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B7" w:rsidRPr="009B1C91" w:rsidRDefault="003B2586" w:rsidP="0059424C">
      <w:pPr>
        <w:autoSpaceDE w:val="0"/>
        <w:autoSpaceDN w:val="0"/>
        <w:adjustRightInd w:val="0"/>
        <w:spacing w:after="0" w:line="240" w:lineRule="auto"/>
        <w:ind w:left="7200" w:firstLine="720"/>
        <w:rPr>
          <w:rFonts w:asciiTheme="minorHAnsi" w:hAnsiTheme="minorHAnsi" w:cstheme="minorHAnsi"/>
          <w:sz w:val="44"/>
          <w:szCs w:val="44"/>
        </w:rPr>
      </w:pPr>
      <w:r w:rsidRPr="009B1C91">
        <w:rPr>
          <w:rFonts w:asciiTheme="minorHAnsi" w:hAnsiTheme="minorHAnsi" w:cstheme="minorHAnsi"/>
          <w:noProof/>
          <w:lang w:val="en-US" w:eastAsia="en-US"/>
        </w:rPr>
        <w:drawing>
          <wp:inline distT="0" distB="0" distL="0" distR="0">
            <wp:extent cx="514350" cy="1019175"/>
            <wp:effectExtent l="1905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srcRect/>
                    <a:stretch>
                      <a:fillRect/>
                    </a:stretch>
                  </pic:blipFill>
                  <pic:spPr bwMode="auto">
                    <a:xfrm>
                      <a:off x="0" y="0"/>
                      <a:ext cx="514350" cy="1019175"/>
                    </a:xfrm>
                    <a:prstGeom prst="rect">
                      <a:avLst/>
                    </a:prstGeom>
                    <a:noFill/>
                    <a:ln w="9525">
                      <a:noFill/>
                      <a:miter lim="800000"/>
                      <a:headEnd/>
                      <a:tailEnd/>
                    </a:ln>
                  </pic:spPr>
                </pic:pic>
              </a:graphicData>
            </a:graphic>
          </wp:inline>
        </w:drawing>
      </w:r>
    </w:p>
    <w:p w:rsidR="00045F07" w:rsidRPr="009B1C91" w:rsidRDefault="00142FB7" w:rsidP="002E3354">
      <w:pPr>
        <w:autoSpaceDE w:val="0"/>
        <w:autoSpaceDN w:val="0"/>
        <w:adjustRightInd w:val="0"/>
        <w:spacing w:after="0" w:line="240" w:lineRule="auto"/>
        <w:rPr>
          <w:rFonts w:asciiTheme="minorHAnsi" w:hAnsiTheme="minorHAnsi" w:cstheme="minorHAnsi"/>
          <w:sz w:val="44"/>
          <w:szCs w:val="44"/>
        </w:rPr>
      </w:pPr>
      <w:r w:rsidRPr="009B1C91">
        <w:rPr>
          <w:rFonts w:asciiTheme="minorHAnsi" w:hAnsiTheme="minorHAnsi" w:cstheme="minorHAnsi"/>
          <w:i/>
          <w:sz w:val="44"/>
          <w:szCs w:val="44"/>
        </w:rPr>
        <w:tab/>
      </w:r>
      <w:r w:rsidRPr="009B1C91">
        <w:rPr>
          <w:rFonts w:asciiTheme="minorHAnsi" w:hAnsiTheme="minorHAnsi" w:cstheme="minorHAnsi"/>
          <w:i/>
          <w:sz w:val="44"/>
          <w:szCs w:val="44"/>
        </w:rPr>
        <w:tab/>
      </w:r>
      <w:r w:rsidRPr="009B1C91">
        <w:rPr>
          <w:rFonts w:asciiTheme="minorHAnsi" w:hAnsiTheme="minorHAnsi" w:cstheme="minorHAnsi"/>
          <w:i/>
          <w:sz w:val="44"/>
          <w:szCs w:val="44"/>
        </w:rPr>
        <w:tab/>
      </w:r>
      <w:r w:rsidRPr="009B1C91">
        <w:rPr>
          <w:rFonts w:asciiTheme="minorHAnsi" w:hAnsiTheme="minorHAnsi" w:cstheme="minorHAnsi"/>
          <w:i/>
          <w:sz w:val="44"/>
          <w:szCs w:val="44"/>
        </w:rPr>
        <w:tab/>
      </w:r>
      <w:r w:rsidR="00A36FBB" w:rsidRPr="009B1C91">
        <w:rPr>
          <w:rFonts w:asciiTheme="minorHAnsi" w:hAnsiTheme="minorHAnsi" w:cstheme="minorHAnsi"/>
          <w:sz w:val="44"/>
          <w:szCs w:val="44"/>
        </w:rPr>
        <w:tab/>
      </w:r>
      <w:r w:rsidR="00A36FBB" w:rsidRPr="009B1C91">
        <w:rPr>
          <w:rFonts w:asciiTheme="minorHAnsi" w:hAnsiTheme="minorHAnsi" w:cstheme="minorHAnsi"/>
          <w:sz w:val="44"/>
          <w:szCs w:val="44"/>
        </w:rPr>
        <w:tab/>
      </w:r>
      <w:r w:rsidR="00A36FBB" w:rsidRPr="009B1C91">
        <w:rPr>
          <w:rFonts w:asciiTheme="minorHAnsi" w:hAnsiTheme="minorHAnsi" w:cstheme="minorHAnsi"/>
          <w:sz w:val="44"/>
          <w:szCs w:val="44"/>
        </w:rPr>
        <w:tab/>
      </w:r>
      <w:r w:rsidR="00A36FBB" w:rsidRPr="009B1C91">
        <w:rPr>
          <w:rFonts w:asciiTheme="minorHAnsi" w:hAnsiTheme="minorHAnsi" w:cstheme="minorHAnsi"/>
          <w:sz w:val="44"/>
          <w:szCs w:val="44"/>
        </w:rPr>
        <w:tab/>
      </w:r>
      <w:r w:rsidR="00A36FBB" w:rsidRPr="009B1C91">
        <w:rPr>
          <w:rFonts w:asciiTheme="minorHAnsi" w:hAnsiTheme="minorHAnsi" w:cstheme="minorHAnsi"/>
          <w:sz w:val="44"/>
          <w:szCs w:val="44"/>
        </w:rPr>
        <w:tab/>
      </w:r>
      <w:r w:rsidR="00A36FBB" w:rsidRPr="009B1C91">
        <w:rPr>
          <w:rFonts w:asciiTheme="minorHAnsi" w:hAnsiTheme="minorHAnsi" w:cstheme="minorHAnsi"/>
          <w:sz w:val="44"/>
          <w:szCs w:val="44"/>
        </w:rPr>
        <w:tab/>
      </w:r>
    </w:p>
    <w:p w:rsidR="00D075EE" w:rsidRPr="009B1C91" w:rsidRDefault="00D075EE" w:rsidP="002E3354">
      <w:pPr>
        <w:autoSpaceDE w:val="0"/>
        <w:autoSpaceDN w:val="0"/>
        <w:adjustRightInd w:val="0"/>
        <w:spacing w:after="0" w:line="240" w:lineRule="auto"/>
        <w:rPr>
          <w:rFonts w:asciiTheme="minorHAnsi" w:hAnsiTheme="minorHAnsi" w:cstheme="minorHAnsi"/>
          <w:sz w:val="56"/>
          <w:szCs w:val="56"/>
        </w:rPr>
      </w:pPr>
    </w:p>
    <w:p w:rsidR="00120114" w:rsidRPr="009B1C91" w:rsidRDefault="0F73AF2A" w:rsidP="00045F07">
      <w:pPr>
        <w:autoSpaceDE w:val="0"/>
        <w:autoSpaceDN w:val="0"/>
        <w:adjustRightInd w:val="0"/>
        <w:spacing w:after="0" w:line="240" w:lineRule="auto"/>
        <w:rPr>
          <w:rFonts w:asciiTheme="minorHAnsi" w:hAnsiTheme="minorHAnsi" w:cstheme="minorHAnsi"/>
          <w:sz w:val="56"/>
          <w:szCs w:val="56"/>
        </w:rPr>
      </w:pPr>
      <w:r w:rsidRPr="0F73AF2A">
        <w:rPr>
          <w:rFonts w:asciiTheme="minorHAnsi" w:eastAsiaTheme="minorEastAsia" w:hAnsiTheme="minorHAnsi" w:cstheme="minorBidi"/>
          <w:sz w:val="56"/>
          <w:szCs w:val="56"/>
        </w:rPr>
        <w:t>TOWARDS A MORE RESILEINT AND GREENER BANGLADESH:</w:t>
      </w:r>
    </w:p>
    <w:p w:rsidR="00045F07" w:rsidRPr="009B1C91" w:rsidRDefault="009B5497" w:rsidP="00045F07">
      <w:pPr>
        <w:autoSpaceDE w:val="0"/>
        <w:autoSpaceDN w:val="0"/>
        <w:adjustRightInd w:val="0"/>
        <w:spacing w:after="0" w:line="240" w:lineRule="auto"/>
        <w:rPr>
          <w:rFonts w:asciiTheme="minorHAnsi" w:hAnsiTheme="minorHAnsi" w:cstheme="minorHAnsi"/>
          <w:sz w:val="32"/>
          <w:szCs w:val="32"/>
        </w:rPr>
      </w:pPr>
      <w:r w:rsidRPr="009B1C91">
        <w:rPr>
          <w:rFonts w:asciiTheme="minorHAnsi" w:hAnsiTheme="minorHAnsi" w:cstheme="minorHAnsi"/>
          <w:sz w:val="32"/>
          <w:szCs w:val="32"/>
        </w:rPr>
        <w:t xml:space="preserve">MID-TERM EVALUATION </w:t>
      </w:r>
      <w:r w:rsidR="003655B9" w:rsidRPr="009B1C91">
        <w:rPr>
          <w:rFonts w:asciiTheme="minorHAnsi" w:hAnsiTheme="minorHAnsi" w:cstheme="minorHAnsi"/>
          <w:sz w:val="32"/>
          <w:szCs w:val="32"/>
        </w:rPr>
        <w:t xml:space="preserve">OF </w:t>
      </w:r>
    </w:p>
    <w:p w:rsidR="00045F07" w:rsidRPr="009B1C91" w:rsidRDefault="003655B9" w:rsidP="00045F07">
      <w:pPr>
        <w:autoSpaceDE w:val="0"/>
        <w:autoSpaceDN w:val="0"/>
        <w:adjustRightInd w:val="0"/>
        <w:spacing w:after="0" w:line="240" w:lineRule="auto"/>
        <w:rPr>
          <w:rFonts w:asciiTheme="minorHAnsi" w:hAnsiTheme="minorHAnsi" w:cstheme="minorHAnsi"/>
          <w:sz w:val="32"/>
          <w:szCs w:val="32"/>
        </w:rPr>
      </w:pPr>
      <w:r w:rsidRPr="009B1C91">
        <w:rPr>
          <w:rFonts w:asciiTheme="minorHAnsi" w:hAnsiTheme="minorHAnsi" w:cstheme="minorHAnsi"/>
          <w:sz w:val="32"/>
          <w:szCs w:val="32"/>
        </w:rPr>
        <w:t xml:space="preserve">UNDP BANGLADESH </w:t>
      </w:r>
    </w:p>
    <w:p w:rsidR="00045F07" w:rsidRPr="009B1C91" w:rsidRDefault="00DC7A7F" w:rsidP="00045F07">
      <w:pPr>
        <w:autoSpaceDE w:val="0"/>
        <w:autoSpaceDN w:val="0"/>
        <w:adjustRightInd w:val="0"/>
        <w:spacing w:after="0" w:line="240" w:lineRule="auto"/>
        <w:rPr>
          <w:rFonts w:asciiTheme="minorHAnsi" w:hAnsiTheme="minorHAnsi" w:cstheme="minorHAnsi"/>
          <w:sz w:val="32"/>
          <w:szCs w:val="32"/>
        </w:rPr>
      </w:pPr>
      <w:r w:rsidRPr="009B1C91">
        <w:rPr>
          <w:rFonts w:asciiTheme="minorHAnsi" w:hAnsiTheme="minorHAnsi" w:cstheme="minorHAnsi"/>
          <w:sz w:val="32"/>
          <w:szCs w:val="32"/>
        </w:rPr>
        <w:t>CPD 2012-2016</w:t>
      </w:r>
    </w:p>
    <w:p w:rsidR="00045F07" w:rsidRPr="009B1C91" w:rsidRDefault="009B5497" w:rsidP="00045F07">
      <w:pPr>
        <w:autoSpaceDE w:val="0"/>
        <w:autoSpaceDN w:val="0"/>
        <w:adjustRightInd w:val="0"/>
        <w:spacing w:after="0" w:line="240" w:lineRule="auto"/>
        <w:rPr>
          <w:rFonts w:asciiTheme="minorHAnsi" w:hAnsiTheme="minorHAnsi" w:cstheme="minorHAnsi"/>
          <w:sz w:val="32"/>
          <w:szCs w:val="32"/>
        </w:rPr>
      </w:pPr>
      <w:r w:rsidRPr="009B1C91">
        <w:rPr>
          <w:rFonts w:asciiTheme="minorHAnsi" w:hAnsiTheme="minorHAnsi" w:cstheme="minorHAnsi"/>
          <w:sz w:val="32"/>
          <w:szCs w:val="32"/>
        </w:rPr>
        <w:t>OUTCOME 3.1 AND OUTCOME 3.2</w:t>
      </w:r>
    </w:p>
    <w:p w:rsidR="009F292D" w:rsidRPr="009B1C91" w:rsidRDefault="009F292D" w:rsidP="002E3354">
      <w:pPr>
        <w:autoSpaceDE w:val="0"/>
        <w:autoSpaceDN w:val="0"/>
        <w:adjustRightInd w:val="0"/>
        <w:spacing w:after="0" w:line="240" w:lineRule="auto"/>
        <w:rPr>
          <w:rFonts w:asciiTheme="minorHAnsi" w:hAnsiTheme="minorHAnsi" w:cstheme="minorHAnsi"/>
          <w:sz w:val="56"/>
          <w:szCs w:val="56"/>
        </w:rPr>
      </w:pPr>
    </w:p>
    <w:p w:rsidR="00FC0104" w:rsidRPr="009B1C91" w:rsidRDefault="00FC0104" w:rsidP="002E3354">
      <w:pPr>
        <w:autoSpaceDE w:val="0"/>
        <w:autoSpaceDN w:val="0"/>
        <w:adjustRightInd w:val="0"/>
        <w:spacing w:after="0" w:line="240" w:lineRule="auto"/>
        <w:rPr>
          <w:rFonts w:asciiTheme="minorHAnsi" w:hAnsiTheme="minorHAnsi" w:cstheme="minorHAnsi"/>
          <w:sz w:val="56"/>
          <w:szCs w:val="56"/>
        </w:rPr>
      </w:pPr>
    </w:p>
    <w:p w:rsidR="00FC0104" w:rsidRPr="009B1C91" w:rsidRDefault="00FC0104" w:rsidP="002E3354">
      <w:pPr>
        <w:autoSpaceDE w:val="0"/>
        <w:autoSpaceDN w:val="0"/>
        <w:adjustRightInd w:val="0"/>
        <w:spacing w:after="0" w:line="240" w:lineRule="auto"/>
        <w:rPr>
          <w:rFonts w:asciiTheme="minorHAnsi" w:hAnsiTheme="minorHAnsi" w:cstheme="minorHAnsi"/>
          <w:sz w:val="56"/>
          <w:szCs w:val="56"/>
        </w:rPr>
      </w:pPr>
    </w:p>
    <w:p w:rsidR="00FC0104" w:rsidRPr="009B1C91" w:rsidRDefault="00FC0104" w:rsidP="002E3354">
      <w:pPr>
        <w:autoSpaceDE w:val="0"/>
        <w:autoSpaceDN w:val="0"/>
        <w:adjustRightInd w:val="0"/>
        <w:spacing w:after="0" w:line="240" w:lineRule="auto"/>
        <w:rPr>
          <w:rFonts w:asciiTheme="minorHAnsi" w:hAnsiTheme="minorHAnsi" w:cstheme="minorHAnsi"/>
          <w:sz w:val="56"/>
          <w:szCs w:val="56"/>
        </w:rPr>
      </w:pPr>
    </w:p>
    <w:p w:rsidR="009F292D" w:rsidRPr="009B1C91" w:rsidRDefault="009F292D" w:rsidP="002E3354">
      <w:pPr>
        <w:autoSpaceDE w:val="0"/>
        <w:autoSpaceDN w:val="0"/>
        <w:adjustRightInd w:val="0"/>
        <w:spacing w:after="0" w:line="240" w:lineRule="auto"/>
        <w:rPr>
          <w:rFonts w:asciiTheme="minorHAnsi" w:hAnsiTheme="minorHAnsi" w:cstheme="minorHAnsi"/>
          <w:b/>
          <w:sz w:val="72"/>
          <w:szCs w:val="72"/>
        </w:rPr>
      </w:pPr>
    </w:p>
    <w:p w:rsidR="00120B97" w:rsidRPr="009B1C91" w:rsidRDefault="00120B97" w:rsidP="002E3354">
      <w:pPr>
        <w:autoSpaceDE w:val="0"/>
        <w:autoSpaceDN w:val="0"/>
        <w:adjustRightInd w:val="0"/>
        <w:spacing w:after="0" w:line="240" w:lineRule="auto"/>
        <w:rPr>
          <w:rFonts w:asciiTheme="minorHAnsi" w:hAnsiTheme="minorHAnsi" w:cstheme="minorHAnsi"/>
          <w:b/>
          <w:sz w:val="72"/>
          <w:szCs w:val="72"/>
        </w:rPr>
      </w:pPr>
    </w:p>
    <w:p w:rsidR="009F292D" w:rsidRPr="009B1C91" w:rsidRDefault="009F292D" w:rsidP="0093669A">
      <w:pPr>
        <w:autoSpaceDE w:val="0"/>
        <w:autoSpaceDN w:val="0"/>
        <w:adjustRightInd w:val="0"/>
        <w:spacing w:after="0" w:line="240" w:lineRule="auto"/>
        <w:rPr>
          <w:rFonts w:asciiTheme="minorHAnsi" w:hAnsiTheme="minorHAnsi" w:cstheme="minorHAnsi"/>
        </w:rPr>
      </w:pPr>
    </w:p>
    <w:p w:rsidR="009F292D" w:rsidRPr="009B1C91" w:rsidRDefault="00B52512" w:rsidP="009F292D">
      <w:pPr>
        <w:autoSpaceDE w:val="0"/>
        <w:autoSpaceDN w:val="0"/>
        <w:adjustRightInd w:val="0"/>
        <w:spacing w:after="0" w:line="240" w:lineRule="auto"/>
        <w:rPr>
          <w:rFonts w:asciiTheme="minorHAnsi" w:hAnsiTheme="minorHAnsi" w:cstheme="minorHAnsi"/>
          <w:b/>
          <w:bCs/>
        </w:rPr>
      </w:pPr>
      <w:r w:rsidRPr="009B1C91">
        <w:rPr>
          <w:rFonts w:asciiTheme="minorHAnsi" w:hAnsiTheme="minorHAnsi" w:cstheme="minorHAnsi"/>
          <w:b/>
          <w:bCs/>
        </w:rPr>
        <w:t>Evaluation t</w:t>
      </w:r>
      <w:r w:rsidR="009F292D" w:rsidRPr="009B1C91">
        <w:rPr>
          <w:rFonts w:asciiTheme="minorHAnsi" w:hAnsiTheme="minorHAnsi" w:cstheme="minorHAnsi"/>
          <w:b/>
          <w:bCs/>
        </w:rPr>
        <w:t>eam</w:t>
      </w:r>
    </w:p>
    <w:p w:rsidR="00A068B0" w:rsidRPr="009B1C91" w:rsidRDefault="00B52512" w:rsidP="00A96B87">
      <w:pPr>
        <w:autoSpaceDE w:val="0"/>
        <w:autoSpaceDN w:val="0"/>
        <w:adjustRightInd w:val="0"/>
        <w:spacing w:after="0" w:line="240" w:lineRule="auto"/>
        <w:rPr>
          <w:rFonts w:asciiTheme="minorHAnsi" w:hAnsiTheme="minorHAnsi" w:cstheme="minorHAnsi"/>
          <w:bCs/>
        </w:rPr>
      </w:pPr>
      <w:r w:rsidRPr="009B1C91">
        <w:rPr>
          <w:rFonts w:asciiTheme="minorHAnsi" w:hAnsiTheme="minorHAnsi" w:cstheme="minorHAnsi"/>
          <w:bCs/>
        </w:rPr>
        <w:t>C. Emdad</w:t>
      </w:r>
      <w:r w:rsidR="005252B3">
        <w:rPr>
          <w:rFonts w:asciiTheme="minorHAnsi" w:hAnsiTheme="minorHAnsi" w:cstheme="minorHAnsi"/>
          <w:bCs/>
        </w:rPr>
        <w:t xml:space="preserve"> </w:t>
      </w:r>
      <w:r w:rsidRPr="009B1C91">
        <w:rPr>
          <w:rFonts w:asciiTheme="minorHAnsi" w:hAnsiTheme="minorHAnsi" w:cstheme="minorHAnsi"/>
          <w:bCs/>
        </w:rPr>
        <w:t>Haque (team l</w:t>
      </w:r>
      <w:r w:rsidR="009F292D" w:rsidRPr="009B1C91">
        <w:rPr>
          <w:rFonts w:asciiTheme="minorHAnsi" w:hAnsiTheme="minorHAnsi" w:cstheme="minorHAnsi"/>
          <w:bCs/>
        </w:rPr>
        <w:t>eader)</w:t>
      </w:r>
      <w:r w:rsidRPr="009B1C91">
        <w:rPr>
          <w:rFonts w:asciiTheme="minorHAnsi" w:hAnsiTheme="minorHAnsi" w:cstheme="minorHAnsi"/>
          <w:bCs/>
        </w:rPr>
        <w:t>, international consultant</w:t>
      </w:r>
    </w:p>
    <w:p w:rsidR="009F292D" w:rsidRPr="009B1C91" w:rsidRDefault="00FA29FF" w:rsidP="00A96B87">
      <w:p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Christine W</w:t>
      </w:r>
      <w:r w:rsidRPr="00B5498E">
        <w:rPr>
          <w:rFonts w:asciiTheme="minorHAnsi" w:hAnsiTheme="minorHAnsi"/>
        </w:rPr>
        <w:t>ö</w:t>
      </w:r>
      <w:r w:rsidR="009F292D" w:rsidRPr="009B1C91">
        <w:rPr>
          <w:rFonts w:asciiTheme="minorHAnsi" w:hAnsiTheme="minorHAnsi" w:cstheme="minorHAnsi"/>
          <w:bCs/>
        </w:rPr>
        <w:t>erlen</w:t>
      </w:r>
      <w:r w:rsidR="00B52512" w:rsidRPr="009B1C91">
        <w:rPr>
          <w:rFonts w:asciiTheme="minorHAnsi" w:hAnsiTheme="minorHAnsi" w:cstheme="minorHAnsi"/>
          <w:bCs/>
        </w:rPr>
        <w:t>, international consultant</w:t>
      </w:r>
      <w:r w:rsidR="00FC0104" w:rsidRPr="009B1C91">
        <w:rPr>
          <w:rFonts w:asciiTheme="minorHAnsi" w:hAnsiTheme="minorHAnsi" w:cstheme="minorHAnsi"/>
          <w:bCs/>
        </w:rPr>
        <w:tab/>
      </w:r>
      <w:r w:rsidR="00FC0104" w:rsidRPr="009B1C91">
        <w:rPr>
          <w:rFonts w:asciiTheme="minorHAnsi" w:hAnsiTheme="minorHAnsi" w:cstheme="minorHAnsi"/>
          <w:bCs/>
        </w:rPr>
        <w:tab/>
      </w:r>
      <w:r w:rsidR="00FC0104" w:rsidRPr="009B1C91">
        <w:rPr>
          <w:rFonts w:asciiTheme="minorHAnsi" w:hAnsiTheme="minorHAnsi" w:cstheme="minorHAnsi"/>
          <w:bCs/>
        </w:rPr>
        <w:tab/>
      </w:r>
      <w:r w:rsidR="00FC0104" w:rsidRPr="009B1C91">
        <w:rPr>
          <w:rFonts w:asciiTheme="minorHAnsi" w:hAnsiTheme="minorHAnsi" w:cstheme="minorHAnsi"/>
          <w:bCs/>
        </w:rPr>
        <w:tab/>
      </w:r>
      <w:r w:rsidR="00FC0104" w:rsidRPr="009B1C91">
        <w:rPr>
          <w:rFonts w:asciiTheme="minorHAnsi" w:hAnsiTheme="minorHAnsi" w:cstheme="minorHAnsi"/>
          <w:bCs/>
        </w:rPr>
        <w:tab/>
      </w:r>
      <w:r w:rsidR="00A068B0" w:rsidRPr="009B1C91">
        <w:rPr>
          <w:rFonts w:asciiTheme="minorHAnsi" w:hAnsiTheme="minorHAnsi" w:cstheme="minorHAnsi"/>
          <w:bCs/>
        </w:rPr>
        <w:tab/>
      </w:r>
      <w:r w:rsidR="00FC0104" w:rsidRPr="009B1C91">
        <w:rPr>
          <w:rFonts w:asciiTheme="minorHAnsi" w:hAnsiTheme="minorHAnsi" w:cstheme="minorHAnsi"/>
          <w:b/>
          <w:bCs/>
          <w:sz w:val="28"/>
          <w:szCs w:val="28"/>
        </w:rPr>
        <w:t>Final Report</w:t>
      </w:r>
    </w:p>
    <w:p w:rsidR="009F292D" w:rsidRPr="009B1C91" w:rsidRDefault="009F292D" w:rsidP="00A96B87">
      <w:pPr>
        <w:autoSpaceDE w:val="0"/>
        <w:autoSpaceDN w:val="0"/>
        <w:adjustRightInd w:val="0"/>
        <w:spacing w:after="0" w:line="240" w:lineRule="auto"/>
        <w:rPr>
          <w:rFonts w:asciiTheme="minorHAnsi" w:hAnsiTheme="minorHAnsi" w:cstheme="minorHAnsi"/>
          <w:bCs/>
        </w:rPr>
      </w:pPr>
      <w:r w:rsidRPr="009B1C91">
        <w:rPr>
          <w:rFonts w:asciiTheme="minorHAnsi" w:hAnsiTheme="minorHAnsi" w:cstheme="minorHAnsi"/>
          <w:bCs/>
        </w:rPr>
        <w:t>Nabiul Islam</w:t>
      </w:r>
      <w:r w:rsidR="00B52512" w:rsidRPr="009B1C91">
        <w:rPr>
          <w:rFonts w:asciiTheme="minorHAnsi" w:hAnsiTheme="minorHAnsi" w:cstheme="minorHAnsi"/>
          <w:bCs/>
        </w:rPr>
        <w:t>, national consultant</w:t>
      </w:r>
      <w:r w:rsidR="00FC0104" w:rsidRPr="009B1C91">
        <w:rPr>
          <w:rFonts w:asciiTheme="minorHAnsi" w:hAnsiTheme="minorHAnsi" w:cstheme="minorHAnsi"/>
          <w:bCs/>
        </w:rPr>
        <w:tab/>
      </w:r>
      <w:r w:rsidR="00FC0104" w:rsidRPr="009B1C91">
        <w:rPr>
          <w:rFonts w:asciiTheme="minorHAnsi" w:hAnsiTheme="minorHAnsi" w:cstheme="minorHAnsi"/>
          <w:bCs/>
        </w:rPr>
        <w:tab/>
      </w:r>
      <w:r w:rsidR="00FC0104" w:rsidRPr="009B1C91">
        <w:rPr>
          <w:rFonts w:asciiTheme="minorHAnsi" w:hAnsiTheme="minorHAnsi" w:cstheme="minorHAnsi"/>
          <w:bCs/>
        </w:rPr>
        <w:tab/>
      </w:r>
      <w:r w:rsidR="00FC0104" w:rsidRPr="009B1C91">
        <w:rPr>
          <w:rFonts w:asciiTheme="minorHAnsi" w:hAnsiTheme="minorHAnsi" w:cstheme="minorHAnsi"/>
          <w:bCs/>
        </w:rPr>
        <w:tab/>
      </w:r>
      <w:r w:rsidR="00FC0104" w:rsidRPr="009B1C91">
        <w:rPr>
          <w:rFonts w:asciiTheme="minorHAnsi" w:hAnsiTheme="minorHAnsi" w:cstheme="minorHAnsi"/>
          <w:bCs/>
        </w:rPr>
        <w:tab/>
      </w:r>
      <w:r w:rsidR="00182E71" w:rsidRPr="009B1C91">
        <w:rPr>
          <w:rFonts w:asciiTheme="minorHAnsi" w:hAnsiTheme="minorHAnsi" w:cstheme="minorHAnsi"/>
          <w:b/>
          <w:bCs/>
        </w:rPr>
        <w:tab/>
      </w:r>
      <w:r w:rsidR="00A109A2">
        <w:rPr>
          <w:rFonts w:asciiTheme="minorHAnsi" w:hAnsiTheme="minorHAnsi" w:cstheme="minorHAnsi"/>
          <w:b/>
          <w:bCs/>
        </w:rPr>
        <w:tab/>
      </w:r>
      <w:r w:rsidR="005252B3">
        <w:rPr>
          <w:rFonts w:asciiTheme="minorHAnsi" w:hAnsiTheme="minorHAnsi" w:cstheme="minorHAnsi"/>
          <w:b/>
          <w:bCs/>
        </w:rPr>
        <w:t xml:space="preserve"> July</w:t>
      </w:r>
      <w:r w:rsidR="00FC0104" w:rsidRPr="009B1C91">
        <w:rPr>
          <w:rFonts w:asciiTheme="minorHAnsi" w:hAnsiTheme="minorHAnsi" w:cstheme="minorHAnsi"/>
          <w:b/>
          <w:bCs/>
        </w:rPr>
        <w:t>, 2015</w:t>
      </w:r>
    </w:p>
    <w:p w:rsidR="009F292D" w:rsidRPr="009B1C91" w:rsidRDefault="009F292D" w:rsidP="00A96B87">
      <w:pPr>
        <w:autoSpaceDE w:val="0"/>
        <w:autoSpaceDN w:val="0"/>
        <w:adjustRightInd w:val="0"/>
        <w:spacing w:after="0" w:line="240" w:lineRule="auto"/>
        <w:rPr>
          <w:rFonts w:asciiTheme="minorHAnsi" w:hAnsiTheme="minorHAnsi" w:cstheme="minorHAnsi"/>
          <w:bCs/>
        </w:rPr>
      </w:pPr>
      <w:r w:rsidRPr="009B1C91">
        <w:rPr>
          <w:rFonts w:asciiTheme="minorHAnsi" w:hAnsiTheme="minorHAnsi" w:cstheme="minorHAnsi"/>
          <w:bCs/>
        </w:rPr>
        <w:t>Sharmind</w:t>
      </w:r>
      <w:r w:rsidR="005252B3">
        <w:rPr>
          <w:rFonts w:asciiTheme="minorHAnsi" w:hAnsiTheme="minorHAnsi" w:cstheme="minorHAnsi"/>
          <w:bCs/>
        </w:rPr>
        <w:t xml:space="preserve"> </w:t>
      </w:r>
      <w:r w:rsidRPr="009B1C91">
        <w:rPr>
          <w:rFonts w:asciiTheme="minorHAnsi" w:hAnsiTheme="minorHAnsi" w:cstheme="minorHAnsi"/>
          <w:bCs/>
        </w:rPr>
        <w:t>Neelormi</w:t>
      </w:r>
      <w:r w:rsidR="00B52512" w:rsidRPr="009B1C91">
        <w:rPr>
          <w:rFonts w:asciiTheme="minorHAnsi" w:hAnsiTheme="minorHAnsi" w:cstheme="minorHAnsi"/>
          <w:bCs/>
        </w:rPr>
        <w:t>, national consultant</w:t>
      </w:r>
    </w:p>
    <w:p w:rsidR="000D7DAB" w:rsidRPr="009B1C91" w:rsidRDefault="00B652A0" w:rsidP="009F292D">
      <w:pPr>
        <w:autoSpaceDE w:val="0"/>
        <w:autoSpaceDN w:val="0"/>
        <w:adjustRightInd w:val="0"/>
        <w:spacing w:after="0" w:line="240" w:lineRule="auto"/>
        <w:rPr>
          <w:rFonts w:asciiTheme="minorHAnsi" w:hAnsiTheme="minorHAnsi" w:cstheme="minorHAnsi"/>
        </w:rPr>
      </w:pPr>
      <w:r>
        <w:rPr>
          <w:rFonts w:asciiTheme="minorHAnsi" w:hAnsiTheme="minorHAnsi" w:cstheme="minorHAnsi"/>
          <w:noProof/>
          <w:lang w:val="en-US" w:eastAsia="en-US"/>
        </w:rPr>
        <mc:AlternateContent>
          <mc:Choice Requires="wps">
            <w:drawing>
              <wp:anchor distT="0" distB="0" distL="114300" distR="114300" simplePos="0" relativeHeight="251661312" behindDoc="0" locked="0" layoutInCell="1" allowOverlap="1" wp14:anchorId="46242773" wp14:editId="740A2F3B">
                <wp:simplePos x="0" y="0"/>
                <wp:positionH relativeFrom="column">
                  <wp:posOffset>6181725</wp:posOffset>
                </wp:positionH>
                <wp:positionV relativeFrom="paragraph">
                  <wp:posOffset>805180</wp:posOffset>
                </wp:positionV>
                <wp:extent cx="476250" cy="552450"/>
                <wp:effectExtent l="0" t="0" r="19050" b="19050"/>
                <wp:wrapNone/>
                <wp:docPr id="7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52450"/>
                        </a:xfrm>
                        <a:prstGeom prst="rect">
                          <a:avLst/>
                        </a:prstGeom>
                        <a:solidFill>
                          <a:srgbClr val="FFFFFF"/>
                        </a:solidFill>
                        <a:ln w="9525">
                          <a:solidFill>
                            <a:schemeClr val="bg1">
                              <a:lumMod val="100000"/>
                              <a:lumOff val="0"/>
                            </a:schemeClr>
                          </a:solidFill>
                          <a:miter lim="800000"/>
                          <a:headEnd/>
                          <a:tailEnd/>
                        </a:ln>
                      </wps:spPr>
                      <wps:txbx>
                        <w:txbxContent>
                          <w:p w:rsidR="00EA3B8B" w:rsidRDefault="00EA3B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2773" id="_x0000_t202" coordsize="21600,21600" o:spt="202" path="m,l,21600r21600,l21600,xe">
                <v:stroke joinstyle="miter"/>
                <v:path gradientshapeok="t" o:connecttype="rect"/>
              </v:shapetype>
              <v:shape id="Text Box 26" o:spid="_x0000_s1026" type="#_x0000_t202" style="position:absolute;margin-left:486.75pt;margin-top:63.4pt;width: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RQwIAAIgEAAAOAAAAZHJzL2Uyb0RvYy54bWysVNtu2zAMfR+wfxD0vjox4rQ16hRdug4D&#10;ugvQ7gNkWbaFSaImKbG7rx8lpWm6vQ3zgyBedEgekr66nrUie+G8BNPQ5dmCEmE4dNIMDf3+ePfu&#10;ghIfmOmYAiMa+iQ8vd68fXM12VqUMILqhCMIYnw92YaOIdi6KDwfhWb+DKwwaOzBaRZQdEPROTYh&#10;ulZFuVisiwlcZx1w4T1qb7ORbhJ+3wsevva9F4GohmJuIZ0unW08i80VqwfH7Cj5IQ32D1loJg0G&#10;PULdssDIzsm/oLTkDjz04YyDLqDvJRepBqxmufijmoeRWZFqQXK8PdLk/x8s/7L/5ojsGnpeUWKY&#10;xh49ijmQ9zCTch35mayv0e3BomOYUY99TrV6ew/8hycGtiMzg7hxDqZRsA7zW8aXxcnTjOMjSDt9&#10;hg7jsF2ABDT3TkfykA6C6Ninp2NvYi4clavzdVmhhaOpqsoV3mMEVj8/ts6HjwI0iZeGOmx9Amf7&#10;ex+y67NLjOVBye5OKpUEN7Rb5cie4Zjcpe+A/spNGTI19LIqq1z/K4g4seII0g6ZI7XTWGwGXi7i&#10;F4FZjXoczKx/riQNfYRIdb2KrGXANVFSN/TiBCWS/cF0CTEwqfIdSVHmwH4kPFMf5nZGx9iSFron&#10;7IODvA64vngZwf2iZMJVaKj/uWNOUKI+Gezl5XK1iruThFV1XqLgTi3tqYUZjlANDZTk6zbkfdtZ&#10;J4cRI2VmDNxg/3uZevOS1SFvHPfEwmE14z6dysnr5Qey+Q0AAP//AwBQSwMEFAAGAAgAAAAhAJwr&#10;/jLhAAAADAEAAA8AAABkcnMvZG93bnJldi54bWxMj8FOwzAQRO9I/IO1SNyo07SkaYhTIRC9IUSK&#10;CkcnXpKIeB3Fbhv4erYnOO7M0+xMvplsL444+s6RgvksAoFUO9NRo+Bt93STgvBBk9G9I1TwjR42&#10;xeVFrjPjTvSKxzI0gkPIZ1pBG8KQSenrFq32MzcgsffpRqsDn2MjzahPHG57GUdRIq3uiD+0esCH&#10;Fuuv8mAV+DpK9i/Lcv9eyS3+rI15/Ng+K3V9Nd3fgQg4hT8YzvW5OhTcqXIHMl70CtarxS2jbMQJ&#10;bzgT0TJlqVIQzxcpyCKX/0cUvwAAAP//AwBQSwECLQAUAAYACAAAACEAtoM4kv4AAADhAQAAEwAA&#10;AAAAAAAAAAAAAAAAAAAAW0NvbnRlbnRfVHlwZXNdLnhtbFBLAQItABQABgAIAAAAIQA4/SH/1gAA&#10;AJQBAAALAAAAAAAAAAAAAAAAAC8BAABfcmVscy8ucmVsc1BLAQItABQABgAIAAAAIQAmH/PRQwIA&#10;AIgEAAAOAAAAAAAAAAAAAAAAAC4CAABkcnMvZTJvRG9jLnhtbFBLAQItABQABgAIAAAAIQCcK/4y&#10;4QAAAAwBAAAPAAAAAAAAAAAAAAAAAJ0EAABkcnMvZG93bnJldi54bWxQSwUGAAAAAAQABADzAAAA&#10;qwUAAAAA&#10;" strokecolor="white [3212]">
                <v:textbox>
                  <w:txbxContent>
                    <w:p w:rsidR="00EA3B8B" w:rsidRDefault="00EA3B8B"/>
                  </w:txbxContent>
                </v:textbox>
              </v:shape>
            </w:pict>
          </mc:Fallback>
        </mc:AlternateContent>
      </w:r>
    </w:p>
    <w:p w:rsidR="0058096D" w:rsidRPr="009B1C91" w:rsidRDefault="0058096D" w:rsidP="00BC0A8C">
      <w:pPr>
        <w:autoSpaceDE w:val="0"/>
        <w:autoSpaceDN w:val="0"/>
        <w:adjustRightInd w:val="0"/>
        <w:spacing w:after="0" w:line="240" w:lineRule="auto"/>
        <w:rPr>
          <w:rFonts w:asciiTheme="minorHAnsi" w:hAnsiTheme="minorHAnsi" w:cstheme="minorHAnsi"/>
        </w:rPr>
        <w:sectPr w:rsidR="0058096D" w:rsidRPr="009B1C91" w:rsidSect="0058096D">
          <w:footerReference w:type="default" r:id="rId9"/>
          <w:pgSz w:w="12240" w:h="15840"/>
          <w:pgMar w:top="1440" w:right="1440" w:bottom="1440" w:left="1440" w:header="720" w:footer="720" w:gutter="0"/>
          <w:pgNumType w:start="0"/>
          <w:cols w:space="720"/>
          <w:docGrid w:linePitch="360"/>
        </w:sectPr>
      </w:pPr>
    </w:p>
    <w:p w:rsidR="00BC0A8C" w:rsidRPr="009B1C91" w:rsidRDefault="00BC0A8C" w:rsidP="00BC0A8C">
      <w:pPr>
        <w:autoSpaceDE w:val="0"/>
        <w:autoSpaceDN w:val="0"/>
        <w:adjustRightInd w:val="0"/>
        <w:spacing w:after="0" w:line="240" w:lineRule="auto"/>
        <w:rPr>
          <w:rFonts w:asciiTheme="minorHAnsi" w:hAnsiTheme="minorHAnsi" w:cstheme="minorHAnsi"/>
        </w:rPr>
      </w:pPr>
      <w:r w:rsidRPr="009B1C91">
        <w:rPr>
          <w:rFonts w:asciiTheme="minorHAnsi" w:hAnsiTheme="minorHAnsi" w:cstheme="minorHAnsi"/>
          <w:b/>
          <w:sz w:val="44"/>
          <w:szCs w:val="44"/>
        </w:rPr>
        <w:lastRenderedPageBreak/>
        <w:t>CONTENTS</w:t>
      </w:r>
    </w:p>
    <w:p w:rsidR="00BC0A8C" w:rsidRPr="003F26F2" w:rsidRDefault="003F26F2" w:rsidP="003F26F2">
      <w:pPr>
        <w:autoSpaceDE w:val="0"/>
        <w:autoSpaceDN w:val="0"/>
        <w:adjustRightInd w:val="0"/>
        <w:spacing w:after="0" w:line="240" w:lineRule="auto"/>
        <w:ind w:left="8730" w:right="-180"/>
        <w:rPr>
          <w:rFonts w:asciiTheme="minorHAnsi" w:hAnsiTheme="minorHAnsi" w:cstheme="minorHAnsi"/>
          <w:b/>
        </w:rPr>
      </w:pPr>
      <w:r w:rsidRPr="003F26F2">
        <w:rPr>
          <w:rFonts w:asciiTheme="minorHAnsi" w:hAnsiTheme="minorHAnsi" w:cstheme="minorHAnsi"/>
          <w:b/>
        </w:rPr>
        <w:t>Page</w:t>
      </w:r>
    </w:p>
    <w:p w:rsidR="00BC0A8C" w:rsidRPr="009B1C91" w:rsidRDefault="00BC0A8C" w:rsidP="00BC0A8C">
      <w:pPr>
        <w:autoSpaceDE w:val="0"/>
        <w:autoSpaceDN w:val="0"/>
        <w:adjustRightInd w:val="0"/>
        <w:spacing w:after="0" w:line="240" w:lineRule="auto"/>
        <w:rPr>
          <w:rFonts w:asciiTheme="minorHAnsi" w:hAnsiTheme="minorHAnsi" w:cstheme="minorHAnsi"/>
          <w:b/>
        </w:rPr>
      </w:pPr>
      <w:r w:rsidRPr="009B1C91">
        <w:rPr>
          <w:rFonts w:asciiTheme="minorHAnsi" w:hAnsiTheme="minorHAnsi" w:cstheme="minorHAnsi"/>
          <w:b/>
        </w:rPr>
        <w:t xml:space="preserve">Acronyms and Abbreviations </w:t>
      </w:r>
      <w:r w:rsidR="003F26F2">
        <w:rPr>
          <w:rFonts w:asciiTheme="minorHAnsi" w:hAnsiTheme="minorHAnsi" w:cstheme="minorHAnsi"/>
          <w:b/>
        </w:rPr>
        <w:tab/>
      </w:r>
      <w:r w:rsidR="003F26F2">
        <w:rPr>
          <w:rFonts w:asciiTheme="minorHAnsi" w:hAnsiTheme="minorHAnsi" w:cstheme="minorHAnsi"/>
          <w:b/>
        </w:rPr>
        <w:tab/>
      </w:r>
      <w:r w:rsidR="003F26F2">
        <w:rPr>
          <w:rFonts w:asciiTheme="minorHAnsi" w:hAnsiTheme="minorHAnsi" w:cstheme="minorHAnsi"/>
          <w:b/>
        </w:rPr>
        <w:tab/>
      </w:r>
      <w:r w:rsidR="003F26F2">
        <w:rPr>
          <w:rFonts w:asciiTheme="minorHAnsi" w:hAnsiTheme="minorHAnsi" w:cstheme="minorHAnsi"/>
          <w:b/>
        </w:rPr>
        <w:tab/>
      </w:r>
      <w:r w:rsidR="003F26F2">
        <w:rPr>
          <w:rFonts w:asciiTheme="minorHAnsi" w:hAnsiTheme="minorHAnsi" w:cstheme="minorHAnsi"/>
          <w:b/>
        </w:rPr>
        <w:tab/>
      </w:r>
      <w:r w:rsidR="003F26F2">
        <w:rPr>
          <w:rFonts w:asciiTheme="minorHAnsi" w:hAnsiTheme="minorHAnsi" w:cstheme="minorHAnsi"/>
          <w:b/>
        </w:rPr>
        <w:tab/>
      </w:r>
      <w:r w:rsidR="003F26F2">
        <w:rPr>
          <w:rFonts w:asciiTheme="minorHAnsi" w:hAnsiTheme="minorHAnsi" w:cstheme="minorHAnsi"/>
          <w:b/>
        </w:rPr>
        <w:tab/>
      </w:r>
      <w:r w:rsidR="003F26F2">
        <w:rPr>
          <w:rFonts w:asciiTheme="minorHAnsi" w:hAnsiTheme="minorHAnsi" w:cstheme="minorHAnsi"/>
          <w:b/>
        </w:rPr>
        <w:tab/>
      </w:r>
      <w:r w:rsidR="003F26F2">
        <w:rPr>
          <w:rFonts w:asciiTheme="minorHAnsi" w:hAnsiTheme="minorHAnsi" w:cstheme="minorHAnsi"/>
          <w:b/>
        </w:rPr>
        <w:tab/>
      </w:r>
      <w:r w:rsidR="001E5281">
        <w:rPr>
          <w:rFonts w:asciiTheme="minorHAnsi" w:hAnsiTheme="minorHAnsi" w:cstheme="minorHAnsi"/>
          <w:b/>
        </w:rPr>
        <w:t xml:space="preserve">     </w:t>
      </w:r>
      <w:r w:rsidR="003F26F2">
        <w:rPr>
          <w:rFonts w:asciiTheme="minorHAnsi" w:hAnsiTheme="minorHAnsi" w:cstheme="minorHAnsi"/>
          <w:b/>
        </w:rPr>
        <w:t>iii</w:t>
      </w:r>
    </w:p>
    <w:p w:rsidR="00BC0A8C" w:rsidRPr="009B1C91" w:rsidRDefault="00BC0A8C" w:rsidP="00BC0A8C">
      <w:pPr>
        <w:autoSpaceDE w:val="0"/>
        <w:autoSpaceDN w:val="0"/>
        <w:adjustRightInd w:val="0"/>
        <w:spacing w:after="0" w:line="240" w:lineRule="auto"/>
        <w:rPr>
          <w:rFonts w:asciiTheme="minorHAnsi" w:hAnsiTheme="minorHAnsi" w:cstheme="minorHAnsi"/>
          <w:b/>
        </w:rPr>
      </w:pPr>
      <w:r w:rsidRPr="009B1C91">
        <w:rPr>
          <w:rFonts w:asciiTheme="minorHAnsi" w:hAnsiTheme="minorHAnsi" w:cstheme="minorHAnsi"/>
          <w:b/>
        </w:rPr>
        <w:t xml:space="preserve">Executive Summary </w:t>
      </w:r>
      <w:r w:rsidR="003F26F2">
        <w:rPr>
          <w:rFonts w:asciiTheme="minorHAnsi" w:hAnsiTheme="minorHAnsi" w:cstheme="minorHAnsi"/>
          <w:b/>
        </w:rPr>
        <w:tab/>
      </w:r>
      <w:r w:rsidR="003F26F2">
        <w:rPr>
          <w:rFonts w:asciiTheme="minorHAnsi" w:hAnsiTheme="minorHAnsi" w:cstheme="minorHAnsi"/>
          <w:b/>
        </w:rPr>
        <w:tab/>
      </w:r>
      <w:r w:rsidR="003F26F2">
        <w:rPr>
          <w:rFonts w:asciiTheme="minorHAnsi" w:hAnsiTheme="minorHAnsi" w:cstheme="minorHAnsi"/>
          <w:b/>
        </w:rPr>
        <w:tab/>
      </w:r>
      <w:r w:rsidR="003F26F2">
        <w:rPr>
          <w:rFonts w:asciiTheme="minorHAnsi" w:hAnsiTheme="minorHAnsi" w:cstheme="minorHAnsi"/>
          <w:b/>
        </w:rPr>
        <w:tab/>
      </w:r>
      <w:r w:rsidR="003F26F2">
        <w:rPr>
          <w:rFonts w:asciiTheme="minorHAnsi" w:hAnsiTheme="minorHAnsi" w:cstheme="minorHAnsi"/>
          <w:b/>
        </w:rPr>
        <w:tab/>
      </w:r>
      <w:r w:rsidR="003F26F2">
        <w:rPr>
          <w:rFonts w:asciiTheme="minorHAnsi" w:hAnsiTheme="minorHAnsi" w:cstheme="minorHAnsi"/>
          <w:b/>
        </w:rPr>
        <w:tab/>
      </w:r>
      <w:r w:rsidR="003F26F2">
        <w:rPr>
          <w:rFonts w:asciiTheme="minorHAnsi" w:hAnsiTheme="minorHAnsi" w:cstheme="minorHAnsi"/>
          <w:b/>
        </w:rPr>
        <w:tab/>
      </w:r>
      <w:r w:rsidR="003F26F2">
        <w:rPr>
          <w:rFonts w:asciiTheme="minorHAnsi" w:hAnsiTheme="minorHAnsi" w:cstheme="minorHAnsi"/>
          <w:b/>
        </w:rPr>
        <w:tab/>
      </w:r>
      <w:r w:rsidR="003F26F2">
        <w:rPr>
          <w:rFonts w:asciiTheme="minorHAnsi" w:hAnsiTheme="minorHAnsi" w:cstheme="minorHAnsi"/>
          <w:b/>
        </w:rPr>
        <w:tab/>
      </w:r>
      <w:r w:rsidR="003F26F2">
        <w:rPr>
          <w:rFonts w:asciiTheme="minorHAnsi" w:hAnsiTheme="minorHAnsi" w:cstheme="minorHAnsi"/>
          <w:b/>
        </w:rPr>
        <w:tab/>
      </w:r>
      <w:r w:rsidR="001E5281">
        <w:rPr>
          <w:rFonts w:asciiTheme="minorHAnsi" w:hAnsiTheme="minorHAnsi" w:cstheme="minorHAnsi"/>
          <w:b/>
        </w:rPr>
        <w:t xml:space="preserve">     </w:t>
      </w:r>
      <w:r w:rsidR="00D724FD">
        <w:rPr>
          <w:rFonts w:asciiTheme="minorHAnsi" w:hAnsiTheme="minorHAnsi" w:cstheme="minorHAnsi"/>
          <w:b/>
        </w:rPr>
        <w:t>v</w:t>
      </w:r>
      <w:r w:rsidR="003F26F2">
        <w:rPr>
          <w:rFonts w:asciiTheme="minorHAnsi" w:hAnsiTheme="minorHAnsi" w:cstheme="minorHAnsi"/>
          <w:b/>
        </w:rPr>
        <w:t>i</w:t>
      </w:r>
    </w:p>
    <w:p w:rsidR="00BC0A8C" w:rsidRPr="009B1C91" w:rsidRDefault="00A96B87" w:rsidP="00BC0A8C">
      <w:pPr>
        <w:autoSpaceDE w:val="0"/>
        <w:autoSpaceDN w:val="0"/>
        <w:adjustRightInd w:val="0"/>
        <w:spacing w:after="0" w:line="240" w:lineRule="auto"/>
        <w:rPr>
          <w:rFonts w:asciiTheme="minorHAnsi" w:hAnsiTheme="minorHAnsi" w:cstheme="minorHAnsi"/>
          <w:b/>
        </w:rPr>
      </w:pPr>
      <w:r w:rsidRPr="009B1C91">
        <w:rPr>
          <w:rFonts w:asciiTheme="minorHAnsi" w:hAnsiTheme="minorHAnsi" w:cstheme="minorHAnsi"/>
          <w:b/>
        </w:rPr>
        <w:t>Section 1:</w:t>
      </w:r>
      <w:r w:rsidR="00BC0A8C" w:rsidRPr="009B1C91">
        <w:rPr>
          <w:rFonts w:asciiTheme="minorHAnsi" w:hAnsiTheme="minorHAnsi" w:cstheme="minorHAnsi"/>
          <w:b/>
        </w:rPr>
        <w:t xml:space="preserve"> Introduction </w:t>
      </w:r>
      <w:r w:rsidR="001E5281">
        <w:rPr>
          <w:rFonts w:asciiTheme="minorHAnsi" w:hAnsiTheme="minorHAnsi" w:cstheme="minorHAnsi"/>
          <w:b/>
        </w:rPr>
        <w:tab/>
      </w:r>
      <w:r w:rsidR="001E5281">
        <w:rPr>
          <w:rFonts w:asciiTheme="minorHAnsi" w:hAnsiTheme="minorHAnsi" w:cstheme="minorHAnsi"/>
          <w:b/>
        </w:rPr>
        <w:tab/>
      </w:r>
      <w:r w:rsidR="001E5281">
        <w:rPr>
          <w:rFonts w:asciiTheme="minorHAnsi" w:hAnsiTheme="minorHAnsi" w:cstheme="minorHAnsi"/>
          <w:b/>
        </w:rPr>
        <w:tab/>
      </w:r>
      <w:r w:rsidR="001E5281">
        <w:rPr>
          <w:rFonts w:asciiTheme="minorHAnsi" w:hAnsiTheme="minorHAnsi" w:cstheme="minorHAnsi"/>
          <w:b/>
        </w:rPr>
        <w:tab/>
      </w:r>
      <w:r w:rsidR="001E5281">
        <w:rPr>
          <w:rFonts w:asciiTheme="minorHAnsi" w:hAnsiTheme="minorHAnsi" w:cstheme="minorHAnsi"/>
          <w:b/>
        </w:rPr>
        <w:tab/>
      </w:r>
      <w:r w:rsidR="001E5281">
        <w:rPr>
          <w:rFonts w:asciiTheme="minorHAnsi" w:hAnsiTheme="minorHAnsi" w:cstheme="minorHAnsi"/>
          <w:b/>
        </w:rPr>
        <w:tab/>
      </w:r>
      <w:r w:rsidR="001E5281">
        <w:rPr>
          <w:rFonts w:asciiTheme="minorHAnsi" w:hAnsiTheme="minorHAnsi" w:cstheme="minorHAnsi"/>
          <w:b/>
        </w:rPr>
        <w:tab/>
      </w:r>
      <w:r w:rsidR="001E5281">
        <w:rPr>
          <w:rFonts w:asciiTheme="minorHAnsi" w:hAnsiTheme="minorHAnsi" w:cstheme="minorHAnsi"/>
          <w:b/>
        </w:rPr>
        <w:tab/>
      </w:r>
      <w:r w:rsidR="001E5281">
        <w:rPr>
          <w:rFonts w:asciiTheme="minorHAnsi" w:hAnsiTheme="minorHAnsi" w:cstheme="minorHAnsi"/>
          <w:b/>
        </w:rPr>
        <w:tab/>
      </w:r>
      <w:r w:rsidR="001E5281">
        <w:rPr>
          <w:rFonts w:asciiTheme="minorHAnsi" w:hAnsiTheme="minorHAnsi" w:cstheme="minorHAnsi"/>
          <w:b/>
        </w:rPr>
        <w:tab/>
        <w:t xml:space="preserve">      </w:t>
      </w:r>
      <w:r w:rsidR="003F26F2">
        <w:rPr>
          <w:rFonts w:asciiTheme="minorHAnsi" w:hAnsiTheme="minorHAnsi" w:cstheme="minorHAnsi"/>
          <w:b/>
        </w:rPr>
        <w:t>1</w:t>
      </w:r>
    </w:p>
    <w:p w:rsidR="00BC0A8C" w:rsidRPr="009B1C91" w:rsidRDefault="00BC0A8C" w:rsidP="00BC0A8C">
      <w:pPr>
        <w:autoSpaceDE w:val="0"/>
        <w:autoSpaceDN w:val="0"/>
        <w:adjustRightInd w:val="0"/>
        <w:spacing w:after="0" w:line="240" w:lineRule="auto"/>
        <w:ind w:firstLine="720"/>
        <w:rPr>
          <w:rFonts w:asciiTheme="minorHAnsi" w:hAnsiTheme="minorHAnsi" w:cstheme="minorHAnsi"/>
        </w:rPr>
      </w:pPr>
      <w:r w:rsidRPr="009B1C91">
        <w:rPr>
          <w:rFonts w:asciiTheme="minorHAnsi" w:hAnsiTheme="minorHAnsi" w:cstheme="minorHAnsi"/>
        </w:rPr>
        <w:t xml:space="preserve">1.1 Purpose and Objectives of the Evaluation </w:t>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1E5281">
        <w:rPr>
          <w:rFonts w:asciiTheme="minorHAnsi" w:hAnsiTheme="minorHAnsi" w:cstheme="minorHAnsi"/>
        </w:rPr>
        <w:t xml:space="preserve">      </w:t>
      </w:r>
      <w:r w:rsidR="003F26F2" w:rsidRPr="003F26F2">
        <w:rPr>
          <w:rFonts w:asciiTheme="minorHAnsi" w:hAnsiTheme="minorHAnsi" w:cstheme="minorHAnsi"/>
          <w:b/>
        </w:rPr>
        <w:t>1</w:t>
      </w:r>
    </w:p>
    <w:p w:rsidR="00BC0A8C" w:rsidRPr="009B1C91" w:rsidRDefault="00BC0A8C" w:rsidP="00BC0A8C">
      <w:pPr>
        <w:autoSpaceDE w:val="0"/>
        <w:autoSpaceDN w:val="0"/>
        <w:adjustRightInd w:val="0"/>
        <w:spacing w:after="0" w:line="240" w:lineRule="auto"/>
        <w:ind w:firstLine="720"/>
        <w:rPr>
          <w:rFonts w:asciiTheme="minorHAnsi" w:hAnsiTheme="minorHAnsi" w:cstheme="minorHAnsi"/>
        </w:rPr>
      </w:pPr>
      <w:r w:rsidRPr="009B1C91">
        <w:rPr>
          <w:rFonts w:asciiTheme="minorHAnsi" w:hAnsiTheme="minorHAnsi" w:cstheme="minorHAnsi"/>
        </w:rPr>
        <w:t xml:space="preserve">1.2 Scope of the Evaluation </w:t>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1E5281">
        <w:rPr>
          <w:rFonts w:asciiTheme="minorHAnsi" w:hAnsiTheme="minorHAnsi" w:cstheme="minorHAnsi"/>
        </w:rPr>
        <w:t xml:space="preserve">      </w:t>
      </w:r>
      <w:r w:rsidR="003F26F2" w:rsidRPr="003F26F2">
        <w:rPr>
          <w:rFonts w:asciiTheme="minorHAnsi" w:hAnsiTheme="minorHAnsi" w:cstheme="minorHAnsi"/>
          <w:b/>
        </w:rPr>
        <w:t>1</w:t>
      </w:r>
    </w:p>
    <w:p w:rsidR="00BC0A8C" w:rsidRPr="009B1C91" w:rsidRDefault="00BC0A8C" w:rsidP="00BC0A8C">
      <w:pPr>
        <w:autoSpaceDE w:val="0"/>
        <w:autoSpaceDN w:val="0"/>
        <w:adjustRightInd w:val="0"/>
        <w:spacing w:after="0" w:line="240" w:lineRule="auto"/>
        <w:ind w:firstLine="720"/>
        <w:rPr>
          <w:rFonts w:asciiTheme="minorHAnsi" w:hAnsiTheme="minorHAnsi" w:cstheme="minorHAnsi"/>
        </w:rPr>
      </w:pPr>
      <w:r w:rsidRPr="009B1C91">
        <w:rPr>
          <w:rFonts w:asciiTheme="minorHAnsi" w:hAnsiTheme="minorHAnsi" w:cstheme="minorHAnsi"/>
        </w:rPr>
        <w:t>1.3 Organization of the Evaluation and Methodology</w:t>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1E5281">
        <w:rPr>
          <w:rFonts w:asciiTheme="minorHAnsi" w:hAnsiTheme="minorHAnsi" w:cstheme="minorHAnsi"/>
        </w:rPr>
        <w:t xml:space="preserve">      </w:t>
      </w:r>
      <w:r w:rsidR="003F26F2" w:rsidRPr="003F26F2">
        <w:rPr>
          <w:rFonts w:asciiTheme="minorHAnsi" w:hAnsiTheme="minorHAnsi" w:cstheme="minorHAnsi"/>
          <w:b/>
        </w:rPr>
        <w:t>2</w:t>
      </w:r>
    </w:p>
    <w:p w:rsidR="00BC0A8C" w:rsidRPr="009B1C91" w:rsidRDefault="00BC0A8C" w:rsidP="00BC0A8C">
      <w:pPr>
        <w:autoSpaceDE w:val="0"/>
        <w:autoSpaceDN w:val="0"/>
        <w:adjustRightInd w:val="0"/>
        <w:spacing w:after="0" w:line="240" w:lineRule="auto"/>
        <w:ind w:firstLine="720"/>
        <w:rPr>
          <w:rFonts w:asciiTheme="minorHAnsi" w:hAnsiTheme="minorHAnsi" w:cstheme="minorHAnsi"/>
        </w:rPr>
      </w:pPr>
      <w:r w:rsidRPr="009B1C91">
        <w:rPr>
          <w:rFonts w:asciiTheme="minorHAnsi" w:hAnsiTheme="minorHAnsi" w:cstheme="minorHAnsi"/>
        </w:rPr>
        <w:tab/>
        <w:t>1.3.1 Conceptual Considerations</w:t>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1E5281">
        <w:rPr>
          <w:rFonts w:asciiTheme="minorHAnsi" w:hAnsiTheme="minorHAnsi" w:cstheme="minorHAnsi"/>
        </w:rPr>
        <w:t xml:space="preserve">     </w:t>
      </w:r>
      <w:r w:rsidR="003F26F2" w:rsidRPr="003F26F2">
        <w:rPr>
          <w:rFonts w:asciiTheme="minorHAnsi" w:hAnsiTheme="minorHAnsi" w:cstheme="minorHAnsi"/>
          <w:b/>
        </w:rPr>
        <w:t xml:space="preserve"> 2</w:t>
      </w:r>
    </w:p>
    <w:p w:rsidR="00BC0A8C" w:rsidRPr="009B1C91" w:rsidRDefault="00BC0A8C" w:rsidP="00BC0A8C">
      <w:pPr>
        <w:autoSpaceDE w:val="0"/>
        <w:autoSpaceDN w:val="0"/>
        <w:adjustRightInd w:val="0"/>
        <w:spacing w:after="0" w:line="240" w:lineRule="auto"/>
        <w:ind w:firstLine="720"/>
        <w:rPr>
          <w:rFonts w:asciiTheme="minorHAnsi" w:hAnsiTheme="minorHAnsi" w:cstheme="minorHAnsi"/>
        </w:rPr>
      </w:pPr>
      <w:r w:rsidRPr="009B1C91">
        <w:rPr>
          <w:rFonts w:asciiTheme="minorHAnsi" w:hAnsiTheme="minorHAnsi" w:cstheme="minorHAnsi"/>
        </w:rPr>
        <w:tab/>
        <w:t>1.3.2 Evaluation Criteria and Questions</w:t>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1E5281">
        <w:rPr>
          <w:rFonts w:asciiTheme="minorHAnsi" w:hAnsiTheme="minorHAnsi" w:cstheme="minorHAnsi"/>
        </w:rPr>
        <w:t xml:space="preserve">      </w:t>
      </w:r>
      <w:r w:rsidR="003F26F2" w:rsidRPr="003F26F2">
        <w:rPr>
          <w:rFonts w:asciiTheme="minorHAnsi" w:hAnsiTheme="minorHAnsi" w:cstheme="minorHAnsi"/>
          <w:b/>
        </w:rPr>
        <w:t>2</w:t>
      </w:r>
    </w:p>
    <w:p w:rsidR="00BC0A8C" w:rsidRPr="009B1C91" w:rsidRDefault="00BC0A8C" w:rsidP="00BC0A8C">
      <w:pPr>
        <w:autoSpaceDE w:val="0"/>
        <w:autoSpaceDN w:val="0"/>
        <w:adjustRightInd w:val="0"/>
        <w:spacing w:after="0" w:line="240" w:lineRule="auto"/>
        <w:ind w:firstLine="720"/>
        <w:rPr>
          <w:rFonts w:asciiTheme="minorHAnsi" w:hAnsiTheme="minorHAnsi" w:cstheme="minorHAnsi"/>
        </w:rPr>
      </w:pPr>
      <w:r w:rsidRPr="009B1C91">
        <w:rPr>
          <w:rFonts w:asciiTheme="minorHAnsi" w:hAnsiTheme="minorHAnsi" w:cstheme="minorHAnsi"/>
        </w:rPr>
        <w:tab/>
        <w:t>1.3.3 Data Collection Methods and Analytical Approaches</w:t>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1E5281">
        <w:rPr>
          <w:rFonts w:asciiTheme="minorHAnsi" w:hAnsiTheme="minorHAnsi" w:cstheme="minorHAnsi"/>
        </w:rPr>
        <w:t xml:space="preserve">      </w:t>
      </w:r>
      <w:r w:rsidR="003F26F2" w:rsidRPr="003F26F2">
        <w:rPr>
          <w:rFonts w:asciiTheme="minorHAnsi" w:hAnsiTheme="minorHAnsi" w:cstheme="minorHAnsi"/>
          <w:b/>
        </w:rPr>
        <w:t>5</w:t>
      </w:r>
    </w:p>
    <w:p w:rsidR="00BC0A8C" w:rsidRPr="009B1C91" w:rsidRDefault="00BC0A8C" w:rsidP="00BC0A8C">
      <w:pPr>
        <w:autoSpaceDE w:val="0"/>
        <w:autoSpaceDN w:val="0"/>
        <w:adjustRightInd w:val="0"/>
        <w:spacing w:after="0" w:line="240" w:lineRule="auto"/>
        <w:ind w:firstLine="720"/>
        <w:rPr>
          <w:rFonts w:asciiTheme="minorHAnsi" w:hAnsiTheme="minorHAnsi" w:cstheme="minorHAnsi"/>
        </w:rPr>
      </w:pPr>
    </w:p>
    <w:p w:rsidR="00BC0A8C" w:rsidRPr="009B1C91" w:rsidRDefault="00BC0A8C" w:rsidP="00BC0A8C">
      <w:pPr>
        <w:autoSpaceDE w:val="0"/>
        <w:autoSpaceDN w:val="0"/>
        <w:adjustRightInd w:val="0"/>
        <w:spacing w:after="0" w:line="240" w:lineRule="auto"/>
        <w:rPr>
          <w:rFonts w:asciiTheme="minorHAnsi" w:hAnsiTheme="minorHAnsi" w:cstheme="minorHAnsi"/>
          <w:b/>
        </w:rPr>
      </w:pPr>
      <w:r w:rsidRPr="009B1C91">
        <w:rPr>
          <w:rFonts w:asciiTheme="minorHAnsi" w:hAnsiTheme="minorHAnsi" w:cstheme="minorHAnsi"/>
          <w:b/>
        </w:rPr>
        <w:t>Section 2</w:t>
      </w:r>
      <w:r w:rsidR="00A96B87" w:rsidRPr="009B1C91">
        <w:rPr>
          <w:rFonts w:asciiTheme="minorHAnsi" w:hAnsiTheme="minorHAnsi" w:cstheme="minorHAnsi"/>
          <w:b/>
        </w:rPr>
        <w:t>:</w:t>
      </w:r>
      <w:r w:rsidRPr="009B1C91">
        <w:rPr>
          <w:rFonts w:asciiTheme="minorHAnsi" w:hAnsiTheme="minorHAnsi" w:cstheme="minorHAnsi"/>
          <w:b/>
        </w:rPr>
        <w:t xml:space="preserve"> The Co</w:t>
      </w:r>
      <w:r w:rsidR="005252B3">
        <w:rPr>
          <w:rFonts w:asciiTheme="minorHAnsi" w:hAnsiTheme="minorHAnsi" w:cstheme="minorHAnsi"/>
          <w:b/>
        </w:rPr>
        <w:t xml:space="preserve">untry </w:t>
      </w:r>
      <w:r w:rsidRPr="009B1C91">
        <w:rPr>
          <w:rFonts w:asciiTheme="minorHAnsi" w:hAnsiTheme="minorHAnsi" w:cstheme="minorHAnsi"/>
          <w:b/>
        </w:rPr>
        <w:t>Context</w:t>
      </w:r>
      <w:r w:rsidR="005252B3">
        <w:rPr>
          <w:rFonts w:asciiTheme="minorHAnsi" w:hAnsiTheme="minorHAnsi" w:cstheme="minorHAnsi"/>
          <w:b/>
        </w:rPr>
        <w:t xml:space="preserve"> and Development Challenges for CCED </w:t>
      </w:r>
      <w:r w:rsidR="005252B3">
        <w:rPr>
          <w:rFonts w:asciiTheme="minorHAnsi" w:hAnsiTheme="minorHAnsi" w:cstheme="minorHAnsi"/>
          <w:b/>
        </w:rPr>
        <w:tab/>
      </w:r>
      <w:r w:rsidR="005252B3">
        <w:rPr>
          <w:rFonts w:asciiTheme="minorHAnsi" w:hAnsiTheme="minorHAnsi" w:cstheme="minorHAnsi"/>
          <w:b/>
        </w:rPr>
        <w:tab/>
      </w:r>
      <w:r w:rsidR="005252B3">
        <w:rPr>
          <w:rFonts w:asciiTheme="minorHAnsi" w:hAnsiTheme="minorHAnsi" w:cstheme="minorHAnsi"/>
          <w:b/>
        </w:rPr>
        <w:tab/>
      </w:r>
      <w:r w:rsidR="005252B3">
        <w:rPr>
          <w:rFonts w:asciiTheme="minorHAnsi" w:hAnsiTheme="minorHAnsi" w:cstheme="minorHAnsi"/>
          <w:b/>
        </w:rPr>
        <w:tab/>
        <w:t xml:space="preserve">      7</w:t>
      </w:r>
      <w:r w:rsidRPr="009B1C91">
        <w:rPr>
          <w:rFonts w:asciiTheme="minorHAnsi" w:hAnsiTheme="minorHAnsi" w:cstheme="minorHAnsi"/>
          <w:b/>
          <w:i/>
        </w:rPr>
        <w:t xml:space="preserve"> </w:t>
      </w:r>
    </w:p>
    <w:p w:rsidR="00BC0A8C" w:rsidRPr="009B1C91" w:rsidRDefault="00BC0A8C" w:rsidP="00BC0A8C">
      <w:pPr>
        <w:autoSpaceDE w:val="0"/>
        <w:autoSpaceDN w:val="0"/>
        <w:adjustRightInd w:val="0"/>
        <w:spacing w:after="0" w:line="240" w:lineRule="auto"/>
        <w:ind w:firstLine="720"/>
        <w:rPr>
          <w:rFonts w:asciiTheme="minorHAnsi" w:hAnsiTheme="minorHAnsi" w:cstheme="minorHAnsi"/>
        </w:rPr>
      </w:pPr>
      <w:r w:rsidRPr="009B1C91">
        <w:rPr>
          <w:rFonts w:asciiTheme="minorHAnsi" w:hAnsiTheme="minorHAnsi" w:cstheme="minorHAnsi"/>
        </w:rPr>
        <w:t xml:space="preserve">2.1 Situation and Context </w:t>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1E5281">
        <w:rPr>
          <w:rFonts w:asciiTheme="minorHAnsi" w:hAnsiTheme="minorHAnsi" w:cstheme="minorHAnsi"/>
        </w:rPr>
        <w:t xml:space="preserve">      </w:t>
      </w:r>
      <w:r w:rsidR="003F26F2" w:rsidRPr="003F26F2">
        <w:rPr>
          <w:rFonts w:asciiTheme="minorHAnsi" w:hAnsiTheme="minorHAnsi" w:cstheme="minorHAnsi"/>
          <w:b/>
        </w:rPr>
        <w:t>7</w:t>
      </w:r>
    </w:p>
    <w:p w:rsidR="00BC0A8C" w:rsidRPr="009B1C91" w:rsidRDefault="00BC0A8C" w:rsidP="00BC0A8C">
      <w:pPr>
        <w:autoSpaceDE w:val="0"/>
        <w:autoSpaceDN w:val="0"/>
        <w:adjustRightInd w:val="0"/>
        <w:spacing w:after="0" w:line="240" w:lineRule="auto"/>
        <w:ind w:firstLine="720"/>
        <w:rPr>
          <w:rFonts w:asciiTheme="minorHAnsi" w:hAnsiTheme="minorHAnsi" w:cstheme="minorHAnsi"/>
        </w:rPr>
      </w:pPr>
      <w:r w:rsidRPr="009B1C91">
        <w:rPr>
          <w:rFonts w:asciiTheme="minorHAnsi" w:hAnsiTheme="minorHAnsi" w:cstheme="minorHAnsi"/>
        </w:rPr>
        <w:t xml:space="preserve">2.2 National Policy and Strategy Context </w:t>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3F26F2">
        <w:rPr>
          <w:rFonts w:asciiTheme="minorHAnsi" w:hAnsiTheme="minorHAnsi" w:cstheme="minorHAnsi"/>
        </w:rPr>
        <w:tab/>
      </w:r>
      <w:r w:rsidR="001E5281">
        <w:rPr>
          <w:rFonts w:asciiTheme="minorHAnsi" w:hAnsiTheme="minorHAnsi" w:cstheme="minorHAnsi"/>
        </w:rPr>
        <w:t xml:space="preserve">      </w:t>
      </w:r>
      <w:r w:rsidR="003F26F2" w:rsidRPr="003F26F2">
        <w:rPr>
          <w:rFonts w:asciiTheme="minorHAnsi" w:hAnsiTheme="minorHAnsi" w:cstheme="minorHAnsi"/>
          <w:b/>
        </w:rPr>
        <w:t>9</w:t>
      </w:r>
    </w:p>
    <w:p w:rsidR="00487595" w:rsidRDefault="003F26F2" w:rsidP="003F26F2">
      <w:pPr>
        <w:autoSpaceDE w:val="0"/>
        <w:autoSpaceDN w:val="0"/>
        <w:adjustRightInd w:val="0"/>
        <w:spacing w:after="0" w:line="240" w:lineRule="auto"/>
        <w:ind w:left="720"/>
        <w:rPr>
          <w:rFonts w:asciiTheme="minorHAnsi" w:hAnsiTheme="minorHAnsi" w:cstheme="minorHAnsi"/>
        </w:rPr>
      </w:pPr>
      <w:r>
        <w:rPr>
          <w:rFonts w:asciiTheme="minorHAnsi" w:hAnsiTheme="minorHAnsi" w:cstheme="minorHAnsi"/>
        </w:rPr>
        <w:t xml:space="preserve">2.3 Current Status as Becoming a More </w:t>
      </w:r>
      <w:r w:rsidRPr="003F26F2">
        <w:rPr>
          <w:rFonts w:asciiTheme="minorHAnsi" w:hAnsiTheme="minorHAnsi" w:cstheme="minorHAnsi"/>
          <w:i/>
        </w:rPr>
        <w:t>Resilient</w:t>
      </w:r>
      <w:r>
        <w:rPr>
          <w:rFonts w:asciiTheme="minorHAnsi" w:hAnsiTheme="minorHAnsi" w:cstheme="minorHAnsi"/>
        </w:rPr>
        <w:t xml:space="preserve"> and </w:t>
      </w:r>
      <w:r w:rsidRPr="003F26F2">
        <w:rPr>
          <w:rFonts w:asciiTheme="minorHAnsi" w:hAnsiTheme="minorHAnsi" w:cstheme="minorHAnsi"/>
          <w:i/>
        </w:rPr>
        <w:t>Greener</w:t>
      </w:r>
      <w:r>
        <w:rPr>
          <w:rFonts w:asciiTheme="minorHAnsi" w:hAnsiTheme="minorHAnsi" w:cstheme="minorHAnsi"/>
        </w:rPr>
        <w:t xml:space="preserve"> Nation: </w:t>
      </w:r>
      <w:r w:rsidR="00487595">
        <w:rPr>
          <w:rFonts w:asciiTheme="minorHAnsi" w:hAnsiTheme="minorHAnsi" w:cstheme="minorHAnsi"/>
        </w:rPr>
        <w:tab/>
      </w:r>
      <w:r w:rsidR="00487595">
        <w:rPr>
          <w:rFonts w:asciiTheme="minorHAnsi" w:hAnsiTheme="minorHAnsi" w:cstheme="minorHAnsi"/>
        </w:rPr>
        <w:tab/>
      </w:r>
      <w:r w:rsidR="00487595">
        <w:rPr>
          <w:rFonts w:asciiTheme="minorHAnsi" w:hAnsiTheme="minorHAnsi" w:cstheme="minorHAnsi"/>
        </w:rPr>
        <w:tab/>
      </w:r>
      <w:r w:rsidR="001E5281">
        <w:rPr>
          <w:rFonts w:asciiTheme="minorHAnsi" w:hAnsiTheme="minorHAnsi" w:cstheme="minorHAnsi"/>
        </w:rPr>
        <w:t xml:space="preserve">     </w:t>
      </w:r>
      <w:r w:rsidR="00487595" w:rsidRPr="00487595">
        <w:rPr>
          <w:rFonts w:asciiTheme="minorHAnsi" w:hAnsiTheme="minorHAnsi" w:cstheme="minorHAnsi"/>
          <w:b/>
        </w:rPr>
        <w:t>11</w:t>
      </w:r>
    </w:p>
    <w:p w:rsidR="00BC0A8C" w:rsidRPr="009B1C91" w:rsidRDefault="003F26F2" w:rsidP="00487595">
      <w:pPr>
        <w:autoSpaceDE w:val="0"/>
        <w:autoSpaceDN w:val="0"/>
        <w:adjustRightInd w:val="0"/>
        <w:spacing w:after="0" w:line="240" w:lineRule="auto"/>
        <w:ind w:left="720"/>
        <w:rPr>
          <w:rFonts w:asciiTheme="minorHAnsi" w:hAnsiTheme="minorHAnsi" w:cstheme="minorHAnsi"/>
        </w:rPr>
      </w:pPr>
      <w:r>
        <w:rPr>
          <w:rFonts w:asciiTheme="minorHAnsi" w:hAnsiTheme="minorHAnsi" w:cstheme="minorHAnsi"/>
        </w:rPr>
        <w:t>A Transformati</w:t>
      </w:r>
      <w:r w:rsidR="00487595">
        <w:rPr>
          <w:rFonts w:asciiTheme="minorHAnsi" w:hAnsiTheme="minorHAnsi" w:cstheme="minorHAnsi"/>
        </w:rPr>
        <w:t xml:space="preserve">on on the </w:t>
      </w:r>
      <w:r>
        <w:rPr>
          <w:rFonts w:asciiTheme="minorHAnsi" w:hAnsiTheme="minorHAnsi" w:cstheme="minorHAnsi"/>
        </w:rPr>
        <w:t>Way</w:t>
      </w:r>
      <w:r w:rsidR="00BC0A8C" w:rsidRPr="009B1C91">
        <w:rPr>
          <w:rFonts w:asciiTheme="minorHAnsi" w:hAnsiTheme="minorHAnsi" w:cstheme="minorHAnsi"/>
        </w:rPr>
        <w:tab/>
      </w:r>
    </w:p>
    <w:p w:rsidR="00BC0A8C" w:rsidRPr="009B1C91" w:rsidRDefault="00BC0A8C" w:rsidP="00BC0A8C">
      <w:pPr>
        <w:autoSpaceDE w:val="0"/>
        <w:autoSpaceDN w:val="0"/>
        <w:adjustRightInd w:val="0"/>
        <w:spacing w:after="0" w:line="240" w:lineRule="auto"/>
        <w:ind w:firstLine="720"/>
        <w:rPr>
          <w:rFonts w:asciiTheme="minorHAnsi" w:hAnsiTheme="minorHAnsi" w:cstheme="minorHAnsi"/>
        </w:rPr>
      </w:pPr>
    </w:p>
    <w:p w:rsidR="00BC0A8C" w:rsidRPr="009B1C91" w:rsidRDefault="00A96B87" w:rsidP="00BC0A8C">
      <w:pPr>
        <w:autoSpaceDE w:val="0"/>
        <w:autoSpaceDN w:val="0"/>
        <w:adjustRightInd w:val="0"/>
        <w:spacing w:after="0" w:line="240" w:lineRule="auto"/>
        <w:rPr>
          <w:rFonts w:asciiTheme="minorHAnsi" w:hAnsiTheme="minorHAnsi" w:cstheme="minorHAnsi"/>
          <w:b/>
        </w:rPr>
      </w:pPr>
      <w:r w:rsidRPr="009B1C91">
        <w:rPr>
          <w:rFonts w:asciiTheme="minorHAnsi" w:hAnsiTheme="minorHAnsi" w:cstheme="minorHAnsi"/>
          <w:b/>
        </w:rPr>
        <w:t>Section 3:</w:t>
      </w:r>
      <w:r w:rsidR="00180720">
        <w:rPr>
          <w:rFonts w:asciiTheme="minorHAnsi" w:hAnsiTheme="minorHAnsi" w:cstheme="minorHAnsi"/>
          <w:b/>
        </w:rPr>
        <w:t xml:space="preserve"> UNDP</w:t>
      </w:r>
      <w:r w:rsidR="00BC0A8C" w:rsidRPr="009B1C91">
        <w:rPr>
          <w:rFonts w:asciiTheme="minorHAnsi" w:hAnsiTheme="minorHAnsi" w:cstheme="minorHAnsi"/>
          <w:b/>
        </w:rPr>
        <w:t xml:space="preserve"> Responses and Strategies </w:t>
      </w:r>
      <w:r w:rsidR="001E5281">
        <w:rPr>
          <w:rFonts w:asciiTheme="minorHAnsi" w:hAnsiTheme="minorHAnsi" w:cstheme="minorHAnsi"/>
          <w:b/>
        </w:rPr>
        <w:tab/>
      </w:r>
      <w:r w:rsidR="001E5281">
        <w:rPr>
          <w:rFonts w:asciiTheme="minorHAnsi" w:hAnsiTheme="minorHAnsi" w:cstheme="minorHAnsi"/>
          <w:b/>
        </w:rPr>
        <w:tab/>
      </w:r>
      <w:r w:rsidR="001E5281">
        <w:rPr>
          <w:rFonts w:asciiTheme="minorHAnsi" w:hAnsiTheme="minorHAnsi" w:cstheme="minorHAnsi"/>
          <w:b/>
        </w:rPr>
        <w:tab/>
      </w:r>
      <w:r w:rsidR="001E5281">
        <w:rPr>
          <w:rFonts w:asciiTheme="minorHAnsi" w:hAnsiTheme="minorHAnsi" w:cstheme="minorHAnsi"/>
          <w:b/>
        </w:rPr>
        <w:tab/>
      </w:r>
      <w:r w:rsidR="001E5281">
        <w:rPr>
          <w:rFonts w:asciiTheme="minorHAnsi" w:hAnsiTheme="minorHAnsi" w:cstheme="minorHAnsi"/>
          <w:b/>
        </w:rPr>
        <w:tab/>
      </w:r>
      <w:r w:rsidR="001E5281">
        <w:rPr>
          <w:rFonts w:asciiTheme="minorHAnsi" w:hAnsiTheme="minorHAnsi" w:cstheme="minorHAnsi"/>
          <w:b/>
        </w:rPr>
        <w:tab/>
      </w:r>
      <w:r w:rsidR="001E5281">
        <w:rPr>
          <w:rFonts w:asciiTheme="minorHAnsi" w:hAnsiTheme="minorHAnsi" w:cstheme="minorHAnsi"/>
          <w:b/>
        </w:rPr>
        <w:tab/>
        <w:t xml:space="preserve">    </w:t>
      </w:r>
      <w:r w:rsidR="00487595">
        <w:rPr>
          <w:rFonts w:asciiTheme="minorHAnsi" w:hAnsiTheme="minorHAnsi" w:cstheme="minorHAnsi"/>
          <w:b/>
        </w:rPr>
        <w:t xml:space="preserve"> 15</w:t>
      </w:r>
    </w:p>
    <w:p w:rsidR="00BC0A8C" w:rsidRPr="009B1C91" w:rsidRDefault="00487595" w:rsidP="00BC0A8C">
      <w:pPr>
        <w:autoSpaceDE w:val="0"/>
        <w:autoSpaceDN w:val="0"/>
        <w:adjustRightInd w:val="0"/>
        <w:spacing w:after="0" w:line="240" w:lineRule="auto"/>
        <w:ind w:firstLine="720"/>
        <w:rPr>
          <w:rFonts w:asciiTheme="minorHAnsi" w:hAnsiTheme="minorHAnsi" w:cstheme="minorHAnsi"/>
        </w:rPr>
      </w:pPr>
      <w:r>
        <w:rPr>
          <w:rFonts w:asciiTheme="minorHAnsi" w:hAnsiTheme="minorHAnsi" w:cstheme="minorHAnsi"/>
        </w:rPr>
        <w:t>3.1 The UNDP Country Programme for Bangladesh 2012-2016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E5281">
        <w:rPr>
          <w:rFonts w:asciiTheme="minorHAnsi" w:hAnsiTheme="minorHAnsi" w:cstheme="minorHAnsi"/>
        </w:rPr>
        <w:t xml:space="preserve">     </w:t>
      </w:r>
      <w:r w:rsidRPr="00487595">
        <w:rPr>
          <w:rFonts w:asciiTheme="minorHAnsi" w:hAnsiTheme="minorHAnsi" w:cstheme="minorHAnsi"/>
          <w:b/>
        </w:rPr>
        <w:t>15</w:t>
      </w:r>
    </w:p>
    <w:p w:rsidR="007B5CAC" w:rsidRDefault="00BC0A8C" w:rsidP="007B5CAC">
      <w:pPr>
        <w:autoSpaceDE w:val="0"/>
        <w:autoSpaceDN w:val="0"/>
        <w:adjustRightInd w:val="0"/>
        <w:spacing w:after="0" w:line="240" w:lineRule="auto"/>
        <w:ind w:left="720"/>
        <w:rPr>
          <w:rFonts w:asciiTheme="minorHAnsi" w:hAnsiTheme="minorHAnsi" w:cstheme="minorHAnsi"/>
        </w:rPr>
      </w:pPr>
      <w:r w:rsidRPr="009B1C91">
        <w:rPr>
          <w:rFonts w:asciiTheme="minorHAnsi" w:hAnsiTheme="minorHAnsi" w:cstheme="minorHAnsi"/>
        </w:rPr>
        <w:t>3.2 Current UNDP Climate Change</w:t>
      </w:r>
      <w:r w:rsidR="007B5CAC">
        <w:rPr>
          <w:rFonts w:asciiTheme="minorHAnsi" w:hAnsiTheme="minorHAnsi" w:cstheme="minorHAnsi"/>
        </w:rPr>
        <w:t xml:space="preserve">, Environment, Disaster Risk Reduction and Response </w:t>
      </w:r>
      <w:r w:rsidR="007B5CAC">
        <w:rPr>
          <w:rFonts w:asciiTheme="minorHAnsi" w:hAnsiTheme="minorHAnsi" w:cstheme="minorHAnsi"/>
        </w:rPr>
        <w:tab/>
      </w:r>
      <w:r w:rsidR="001E5281">
        <w:rPr>
          <w:rFonts w:asciiTheme="minorHAnsi" w:hAnsiTheme="minorHAnsi" w:cstheme="minorHAnsi"/>
        </w:rPr>
        <w:t xml:space="preserve">     </w:t>
      </w:r>
      <w:r w:rsidR="007B5CAC" w:rsidRPr="007B5CAC">
        <w:rPr>
          <w:rFonts w:asciiTheme="minorHAnsi" w:hAnsiTheme="minorHAnsi" w:cstheme="minorHAnsi"/>
          <w:b/>
        </w:rPr>
        <w:t>16</w:t>
      </w:r>
    </w:p>
    <w:p w:rsidR="007B5CAC" w:rsidRDefault="007B5CAC" w:rsidP="007B5CAC">
      <w:pPr>
        <w:autoSpaceDE w:val="0"/>
        <w:autoSpaceDN w:val="0"/>
        <w:adjustRightInd w:val="0"/>
        <w:spacing w:after="0" w:line="240" w:lineRule="auto"/>
        <w:ind w:left="720"/>
        <w:rPr>
          <w:rFonts w:asciiTheme="minorHAnsi" w:hAnsiTheme="minorHAnsi" w:cstheme="minorHAnsi"/>
        </w:rPr>
      </w:pPr>
      <w:r>
        <w:rPr>
          <w:rFonts w:asciiTheme="minorHAnsi" w:hAnsiTheme="minorHAnsi" w:cstheme="minorHAnsi"/>
        </w:rPr>
        <w:t xml:space="preserve">       Programmes</w:t>
      </w:r>
    </w:p>
    <w:p w:rsidR="00BC0A8C" w:rsidRDefault="007B5CAC" w:rsidP="00BC0A8C">
      <w:pPr>
        <w:autoSpaceDE w:val="0"/>
        <w:autoSpaceDN w:val="0"/>
        <w:adjustRightInd w:val="0"/>
        <w:spacing w:after="0" w:line="240" w:lineRule="auto"/>
        <w:ind w:firstLine="720"/>
        <w:rPr>
          <w:rFonts w:asciiTheme="minorHAnsi" w:hAnsiTheme="minorHAnsi" w:cstheme="minorHAnsi"/>
          <w:b/>
        </w:rPr>
      </w:pPr>
      <w:r>
        <w:rPr>
          <w:rFonts w:asciiTheme="minorHAnsi" w:hAnsiTheme="minorHAnsi" w:cstheme="minorHAnsi"/>
        </w:rPr>
        <w:tab/>
        <w:t>3.2.1 Climate Change, Environment, and Natural Disaster</w:t>
      </w:r>
      <w:r w:rsidR="00180720">
        <w:rPr>
          <w:rFonts w:asciiTheme="minorHAnsi" w:hAnsiTheme="minorHAnsi" w:cstheme="minorHAnsi"/>
        </w:rPr>
        <w: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E5281">
        <w:rPr>
          <w:rFonts w:asciiTheme="minorHAnsi" w:hAnsiTheme="minorHAnsi" w:cstheme="minorHAnsi"/>
        </w:rPr>
        <w:t xml:space="preserve">     </w:t>
      </w:r>
      <w:r w:rsidRPr="007B5CAC">
        <w:rPr>
          <w:rFonts w:asciiTheme="minorHAnsi" w:hAnsiTheme="minorHAnsi" w:cstheme="minorHAnsi"/>
          <w:b/>
        </w:rPr>
        <w:t>16</w:t>
      </w:r>
    </w:p>
    <w:p w:rsidR="007B5CAC" w:rsidRDefault="007B5CAC" w:rsidP="00BC0A8C">
      <w:pPr>
        <w:autoSpaceDE w:val="0"/>
        <w:autoSpaceDN w:val="0"/>
        <w:adjustRightInd w:val="0"/>
        <w:spacing w:after="0" w:line="240" w:lineRule="auto"/>
        <w:ind w:firstLine="720"/>
        <w:rPr>
          <w:rFonts w:asciiTheme="minorHAnsi" w:hAnsiTheme="minorHAnsi" w:cstheme="minorHAnsi"/>
          <w:b/>
        </w:rPr>
      </w:pPr>
      <w:r>
        <w:rPr>
          <w:rFonts w:asciiTheme="minorHAnsi" w:hAnsiTheme="minorHAnsi" w:cstheme="minorHAnsi"/>
          <w:b/>
        </w:rPr>
        <w:tab/>
      </w:r>
      <w:r w:rsidRPr="007B5CAC">
        <w:rPr>
          <w:rFonts w:asciiTheme="minorHAnsi" w:hAnsiTheme="minorHAnsi" w:cstheme="minorHAnsi"/>
        </w:rPr>
        <w:t>3.2.2 Natural Resources Management and Access to Low Carbon</w:t>
      </w:r>
      <w:r>
        <w:rPr>
          <w:rFonts w:asciiTheme="minorHAnsi" w:hAnsiTheme="minorHAnsi" w:cstheme="minorHAnsi"/>
        </w:rPr>
        <w:tab/>
      </w:r>
      <w:r w:rsidR="00180720">
        <w:rPr>
          <w:rFonts w:asciiTheme="minorHAnsi" w:hAnsiTheme="minorHAnsi" w:cstheme="minorHAnsi"/>
        </w:rPr>
        <w:t xml:space="preserve"> Energy</w:t>
      </w:r>
      <w:r>
        <w:rPr>
          <w:rFonts w:asciiTheme="minorHAnsi" w:hAnsiTheme="minorHAnsi" w:cstheme="minorHAnsi"/>
        </w:rPr>
        <w:tab/>
      </w:r>
      <w:r>
        <w:rPr>
          <w:rFonts w:asciiTheme="minorHAnsi" w:hAnsiTheme="minorHAnsi" w:cstheme="minorHAnsi"/>
        </w:rPr>
        <w:tab/>
      </w:r>
      <w:r w:rsidR="001E5281">
        <w:rPr>
          <w:rFonts w:asciiTheme="minorHAnsi" w:hAnsiTheme="minorHAnsi" w:cstheme="minorHAnsi"/>
        </w:rPr>
        <w:t xml:space="preserve">     </w:t>
      </w:r>
      <w:r w:rsidRPr="007B5CAC">
        <w:rPr>
          <w:rFonts w:asciiTheme="minorHAnsi" w:hAnsiTheme="minorHAnsi" w:cstheme="minorHAnsi"/>
          <w:b/>
        </w:rPr>
        <w:t>18</w:t>
      </w:r>
    </w:p>
    <w:p w:rsidR="007B5CAC" w:rsidRPr="007B5CAC" w:rsidRDefault="001E5281" w:rsidP="00BC0A8C">
      <w:pPr>
        <w:autoSpaceDE w:val="0"/>
        <w:autoSpaceDN w:val="0"/>
        <w:adjustRightInd w:val="0"/>
        <w:spacing w:after="0" w:line="240" w:lineRule="auto"/>
        <w:ind w:firstLine="720"/>
        <w:rPr>
          <w:rFonts w:asciiTheme="minorHAnsi" w:hAnsiTheme="minorHAnsi" w:cstheme="minorHAnsi"/>
        </w:rPr>
      </w:pPr>
      <w:r>
        <w:rPr>
          <w:rFonts w:asciiTheme="minorHAnsi" w:hAnsiTheme="minorHAnsi" w:cstheme="minorHAnsi"/>
        </w:rPr>
        <w:t xml:space="preserve"> </w:t>
      </w:r>
    </w:p>
    <w:p w:rsidR="00BC0A8C" w:rsidRPr="009B1C91" w:rsidRDefault="003E53A1" w:rsidP="00BC0A8C">
      <w:pPr>
        <w:autoSpaceDE w:val="0"/>
        <w:autoSpaceDN w:val="0"/>
        <w:adjustRightInd w:val="0"/>
        <w:spacing w:after="0" w:line="240" w:lineRule="auto"/>
        <w:rPr>
          <w:rFonts w:asciiTheme="minorHAnsi" w:hAnsiTheme="minorHAnsi" w:cstheme="minorHAnsi"/>
          <w:b/>
        </w:rPr>
      </w:pPr>
      <w:r w:rsidRPr="009B1C91">
        <w:rPr>
          <w:rFonts w:asciiTheme="minorHAnsi" w:hAnsiTheme="minorHAnsi" w:cstheme="minorHAnsi"/>
          <w:b/>
        </w:rPr>
        <w:t>Section 4</w:t>
      </w:r>
      <w:r w:rsidR="00A96B87" w:rsidRPr="009B1C91">
        <w:rPr>
          <w:rFonts w:asciiTheme="minorHAnsi" w:hAnsiTheme="minorHAnsi" w:cstheme="minorHAnsi"/>
          <w:b/>
        </w:rPr>
        <w:t>:</w:t>
      </w:r>
      <w:r w:rsidR="00BC0A8C" w:rsidRPr="009B1C91">
        <w:rPr>
          <w:rFonts w:asciiTheme="minorHAnsi" w:hAnsiTheme="minorHAnsi" w:cstheme="minorHAnsi"/>
          <w:b/>
        </w:rPr>
        <w:t xml:space="preserve"> Contributions to Res</w:t>
      </w:r>
      <w:r w:rsidR="007B5CAC">
        <w:rPr>
          <w:rFonts w:asciiTheme="minorHAnsi" w:hAnsiTheme="minorHAnsi" w:cstheme="minorHAnsi"/>
          <w:b/>
        </w:rPr>
        <w:t xml:space="preserve">ults – Findings on </w:t>
      </w:r>
      <w:r w:rsidR="00BC0A8C" w:rsidRPr="009B1C91">
        <w:rPr>
          <w:rFonts w:asciiTheme="minorHAnsi" w:hAnsiTheme="minorHAnsi" w:cstheme="minorHAnsi"/>
          <w:b/>
        </w:rPr>
        <w:t xml:space="preserve">Outcomes </w:t>
      </w:r>
      <w:r w:rsidR="007B5CAC">
        <w:rPr>
          <w:rFonts w:asciiTheme="minorHAnsi" w:hAnsiTheme="minorHAnsi" w:cstheme="minorHAnsi"/>
          <w:b/>
        </w:rPr>
        <w:tab/>
      </w:r>
      <w:r w:rsidR="007B5CAC">
        <w:rPr>
          <w:rFonts w:asciiTheme="minorHAnsi" w:hAnsiTheme="minorHAnsi" w:cstheme="minorHAnsi"/>
          <w:b/>
        </w:rPr>
        <w:tab/>
      </w:r>
      <w:r w:rsidR="007B5CAC">
        <w:rPr>
          <w:rFonts w:asciiTheme="minorHAnsi" w:hAnsiTheme="minorHAnsi" w:cstheme="minorHAnsi"/>
          <w:b/>
        </w:rPr>
        <w:tab/>
      </w:r>
      <w:r w:rsidR="007B5CAC">
        <w:rPr>
          <w:rFonts w:asciiTheme="minorHAnsi" w:hAnsiTheme="minorHAnsi" w:cstheme="minorHAnsi"/>
          <w:b/>
        </w:rPr>
        <w:tab/>
      </w:r>
      <w:r w:rsidR="001E5281">
        <w:rPr>
          <w:rFonts w:asciiTheme="minorHAnsi" w:hAnsiTheme="minorHAnsi" w:cstheme="minorHAnsi"/>
          <w:b/>
        </w:rPr>
        <w:t xml:space="preserve">                   </w:t>
      </w:r>
      <w:r w:rsidR="004A6DB6">
        <w:rPr>
          <w:rFonts w:asciiTheme="minorHAnsi" w:hAnsiTheme="minorHAnsi" w:cstheme="minorHAnsi"/>
          <w:b/>
        </w:rPr>
        <w:t xml:space="preserve"> 22</w:t>
      </w:r>
      <w:r w:rsidR="007B5CAC">
        <w:rPr>
          <w:rFonts w:asciiTheme="minorHAnsi" w:hAnsiTheme="minorHAnsi" w:cstheme="minorHAnsi"/>
          <w:b/>
        </w:rPr>
        <w:tab/>
      </w:r>
    </w:p>
    <w:p w:rsidR="004A6DB6" w:rsidRDefault="00BC0A8C" w:rsidP="004A6DB6">
      <w:pPr>
        <w:autoSpaceDE w:val="0"/>
        <w:autoSpaceDN w:val="0"/>
        <w:adjustRightInd w:val="0"/>
        <w:spacing w:after="0" w:line="240" w:lineRule="auto"/>
        <w:ind w:left="1080" w:hanging="360"/>
        <w:rPr>
          <w:rFonts w:asciiTheme="minorHAnsi" w:hAnsiTheme="minorHAnsi" w:cstheme="minorHAnsi"/>
        </w:rPr>
      </w:pPr>
      <w:r w:rsidRPr="009B1C91">
        <w:rPr>
          <w:rFonts w:asciiTheme="minorHAnsi" w:hAnsiTheme="minorHAnsi" w:cstheme="minorHAnsi"/>
        </w:rPr>
        <w:t xml:space="preserve">4.1 CCED Cluster Contributions to </w:t>
      </w:r>
      <w:r w:rsidR="004A6DB6">
        <w:rPr>
          <w:rFonts w:asciiTheme="minorHAnsi" w:hAnsiTheme="minorHAnsi" w:cstheme="minorHAnsi"/>
        </w:rPr>
        <w:t xml:space="preserve">Country </w:t>
      </w:r>
      <w:r w:rsidRPr="009B1C91">
        <w:rPr>
          <w:rFonts w:asciiTheme="minorHAnsi" w:hAnsiTheme="minorHAnsi" w:cstheme="minorHAnsi"/>
        </w:rPr>
        <w:t xml:space="preserve">Programme Outcomes – Theory of Change </w:t>
      </w:r>
      <w:r w:rsidR="004A6DB6">
        <w:rPr>
          <w:rFonts w:asciiTheme="minorHAnsi" w:hAnsiTheme="minorHAnsi" w:cstheme="minorHAnsi"/>
        </w:rPr>
        <w:tab/>
      </w:r>
      <w:r w:rsidR="001E5281">
        <w:rPr>
          <w:rFonts w:asciiTheme="minorHAnsi" w:hAnsiTheme="minorHAnsi" w:cstheme="minorHAnsi"/>
        </w:rPr>
        <w:t xml:space="preserve">     </w:t>
      </w:r>
      <w:r w:rsidR="004A6DB6" w:rsidRPr="004A6DB6">
        <w:rPr>
          <w:rFonts w:asciiTheme="minorHAnsi" w:hAnsiTheme="minorHAnsi" w:cstheme="minorHAnsi"/>
          <w:b/>
        </w:rPr>
        <w:t>22</w:t>
      </w:r>
    </w:p>
    <w:p w:rsidR="00BC0A8C" w:rsidRPr="009B1C91" w:rsidRDefault="00BC0A8C" w:rsidP="004A6DB6">
      <w:pPr>
        <w:autoSpaceDE w:val="0"/>
        <w:autoSpaceDN w:val="0"/>
        <w:adjustRightInd w:val="0"/>
        <w:spacing w:after="0" w:line="240" w:lineRule="auto"/>
        <w:ind w:left="1080"/>
        <w:rPr>
          <w:rFonts w:asciiTheme="minorHAnsi" w:hAnsiTheme="minorHAnsi" w:cstheme="minorHAnsi"/>
        </w:rPr>
      </w:pPr>
      <w:r w:rsidRPr="009B1C91">
        <w:rPr>
          <w:rFonts w:asciiTheme="minorHAnsi" w:hAnsiTheme="minorHAnsi" w:cstheme="minorHAnsi"/>
        </w:rPr>
        <w:t xml:space="preserve">and Synergic Effects </w:t>
      </w:r>
    </w:p>
    <w:p w:rsidR="00BC0A8C" w:rsidRPr="009B1C91" w:rsidRDefault="00BC0A8C" w:rsidP="00BC0A8C">
      <w:pPr>
        <w:autoSpaceDE w:val="0"/>
        <w:autoSpaceDN w:val="0"/>
        <w:adjustRightInd w:val="0"/>
        <w:spacing w:after="0" w:line="240" w:lineRule="auto"/>
        <w:ind w:firstLine="720"/>
        <w:rPr>
          <w:rFonts w:asciiTheme="minorHAnsi" w:hAnsiTheme="minorHAnsi" w:cstheme="minorHAnsi"/>
        </w:rPr>
      </w:pPr>
      <w:r w:rsidRPr="009B1C91">
        <w:rPr>
          <w:rFonts w:asciiTheme="minorHAnsi" w:hAnsiTheme="minorHAnsi" w:cstheme="minorHAnsi"/>
        </w:rPr>
        <w:tab/>
        <w:t>4.1</w:t>
      </w:r>
      <w:r w:rsidR="00AC2DCF" w:rsidRPr="009B1C91">
        <w:rPr>
          <w:rFonts w:asciiTheme="minorHAnsi" w:hAnsiTheme="minorHAnsi" w:cstheme="minorHAnsi"/>
        </w:rPr>
        <w:t>.1 Climate Change</w:t>
      </w:r>
      <w:r w:rsidRPr="009B1C91">
        <w:rPr>
          <w:rFonts w:asciiTheme="minorHAnsi" w:hAnsiTheme="minorHAnsi" w:cstheme="minorHAnsi"/>
        </w:rPr>
        <w:t xml:space="preserve"> and Natural Disaster</w:t>
      </w:r>
      <w:r w:rsidR="00931E59" w:rsidRPr="009B1C91">
        <w:rPr>
          <w:rFonts w:asciiTheme="minorHAnsi" w:hAnsiTheme="minorHAnsi" w:cstheme="minorHAnsi"/>
        </w:rPr>
        <w:t>s</w:t>
      </w:r>
      <w:r w:rsidR="004A6DB6">
        <w:rPr>
          <w:rFonts w:asciiTheme="minorHAnsi" w:hAnsiTheme="minorHAnsi" w:cstheme="minorHAnsi"/>
        </w:rPr>
        <w:tab/>
      </w:r>
      <w:r w:rsidR="004A6DB6">
        <w:rPr>
          <w:rFonts w:asciiTheme="minorHAnsi" w:hAnsiTheme="minorHAnsi" w:cstheme="minorHAnsi"/>
        </w:rPr>
        <w:tab/>
      </w:r>
      <w:r w:rsidR="004A6DB6">
        <w:rPr>
          <w:rFonts w:asciiTheme="minorHAnsi" w:hAnsiTheme="minorHAnsi" w:cstheme="minorHAnsi"/>
        </w:rPr>
        <w:tab/>
      </w:r>
      <w:r w:rsidR="004A6DB6">
        <w:rPr>
          <w:rFonts w:asciiTheme="minorHAnsi" w:hAnsiTheme="minorHAnsi" w:cstheme="minorHAnsi"/>
        </w:rPr>
        <w:tab/>
      </w:r>
      <w:r w:rsidR="004A6DB6">
        <w:rPr>
          <w:rFonts w:asciiTheme="minorHAnsi" w:hAnsiTheme="minorHAnsi" w:cstheme="minorHAnsi"/>
        </w:rPr>
        <w:tab/>
      </w:r>
      <w:r w:rsidR="001E5281">
        <w:rPr>
          <w:rFonts w:asciiTheme="minorHAnsi" w:hAnsiTheme="minorHAnsi" w:cstheme="minorHAnsi"/>
        </w:rPr>
        <w:t xml:space="preserve">     </w:t>
      </w:r>
      <w:r w:rsidR="004A6DB6" w:rsidRPr="004A6DB6">
        <w:rPr>
          <w:rFonts w:asciiTheme="minorHAnsi" w:hAnsiTheme="minorHAnsi" w:cstheme="minorHAnsi"/>
          <w:b/>
        </w:rPr>
        <w:t>23</w:t>
      </w:r>
    </w:p>
    <w:p w:rsidR="00BC0A8C" w:rsidRPr="009B1C91" w:rsidRDefault="00BC0A8C" w:rsidP="00BC0A8C">
      <w:pPr>
        <w:autoSpaceDE w:val="0"/>
        <w:autoSpaceDN w:val="0"/>
        <w:adjustRightInd w:val="0"/>
        <w:spacing w:after="0" w:line="240" w:lineRule="auto"/>
        <w:ind w:left="1980" w:hanging="540"/>
        <w:rPr>
          <w:rFonts w:asciiTheme="minorHAnsi" w:hAnsiTheme="minorHAnsi" w:cstheme="minorHAnsi"/>
        </w:rPr>
      </w:pPr>
      <w:r w:rsidRPr="009B1C91">
        <w:rPr>
          <w:rFonts w:asciiTheme="minorHAnsi" w:hAnsiTheme="minorHAnsi" w:cstheme="minorHAnsi"/>
        </w:rPr>
        <w:t>4.1</w:t>
      </w:r>
      <w:r w:rsidR="00AC2DCF" w:rsidRPr="009B1C91">
        <w:rPr>
          <w:rFonts w:asciiTheme="minorHAnsi" w:hAnsiTheme="minorHAnsi" w:cstheme="minorHAnsi"/>
        </w:rPr>
        <w:t>.2 Natural Resource Management</w:t>
      </w:r>
      <w:r w:rsidRPr="009B1C91">
        <w:rPr>
          <w:rFonts w:asciiTheme="minorHAnsi" w:hAnsiTheme="minorHAnsi" w:cstheme="minorHAnsi"/>
        </w:rPr>
        <w:t xml:space="preserve"> and Access to Low Carbon </w:t>
      </w:r>
      <w:r w:rsidR="004A6DB6">
        <w:rPr>
          <w:rFonts w:asciiTheme="minorHAnsi" w:hAnsiTheme="minorHAnsi" w:cstheme="minorHAnsi"/>
        </w:rPr>
        <w:t>Energy</w:t>
      </w:r>
      <w:r w:rsidR="004A6DB6">
        <w:rPr>
          <w:rFonts w:asciiTheme="minorHAnsi" w:hAnsiTheme="minorHAnsi" w:cstheme="minorHAnsi"/>
        </w:rPr>
        <w:tab/>
      </w:r>
      <w:r w:rsidR="004A6DB6">
        <w:rPr>
          <w:rFonts w:asciiTheme="minorHAnsi" w:hAnsiTheme="minorHAnsi" w:cstheme="minorHAnsi"/>
        </w:rPr>
        <w:tab/>
      </w:r>
      <w:r w:rsidR="001E5281">
        <w:rPr>
          <w:rFonts w:asciiTheme="minorHAnsi" w:hAnsiTheme="minorHAnsi" w:cstheme="minorHAnsi"/>
        </w:rPr>
        <w:t xml:space="preserve">     </w:t>
      </w:r>
      <w:r w:rsidR="004A6DB6" w:rsidRPr="004A6DB6">
        <w:rPr>
          <w:rFonts w:asciiTheme="minorHAnsi" w:hAnsiTheme="minorHAnsi" w:cstheme="minorHAnsi"/>
          <w:b/>
        </w:rPr>
        <w:t>28</w:t>
      </w:r>
    </w:p>
    <w:p w:rsidR="00BC0A8C" w:rsidRPr="009B1C91" w:rsidRDefault="00722DE3" w:rsidP="00931385">
      <w:pPr>
        <w:autoSpaceDE w:val="0"/>
        <w:autoSpaceDN w:val="0"/>
        <w:adjustRightInd w:val="0"/>
        <w:spacing w:after="0" w:line="240" w:lineRule="auto"/>
        <w:ind w:left="1980" w:hanging="540"/>
        <w:rPr>
          <w:rFonts w:asciiTheme="minorHAnsi" w:hAnsiTheme="minorHAnsi" w:cstheme="minorHAnsi"/>
        </w:rPr>
      </w:pPr>
      <w:r w:rsidRPr="009B1C91">
        <w:rPr>
          <w:rFonts w:asciiTheme="minorHAnsi" w:hAnsiTheme="minorHAnsi" w:cstheme="minorHAnsi"/>
        </w:rPr>
        <w:t xml:space="preserve">4.1.3 </w:t>
      </w:r>
      <w:r w:rsidR="00931E59" w:rsidRPr="009B1C91">
        <w:rPr>
          <w:rFonts w:asciiTheme="minorHAnsi" w:hAnsiTheme="minorHAnsi" w:cstheme="minorHAnsi"/>
          <w:bCs/>
          <w:lang w:val="en-US"/>
        </w:rPr>
        <w:t>Promoting Gender Equality and Other Cross-Cutting Issues</w:t>
      </w:r>
      <w:r w:rsidR="004A6DB6">
        <w:rPr>
          <w:rFonts w:asciiTheme="minorHAnsi" w:hAnsiTheme="minorHAnsi" w:cstheme="minorHAnsi"/>
          <w:b/>
          <w:bCs/>
          <w:lang w:val="en-US"/>
        </w:rPr>
        <w:tab/>
      </w:r>
      <w:r w:rsidR="004A6DB6">
        <w:rPr>
          <w:rFonts w:asciiTheme="minorHAnsi" w:hAnsiTheme="minorHAnsi" w:cstheme="minorHAnsi"/>
          <w:b/>
          <w:bCs/>
          <w:lang w:val="en-US"/>
        </w:rPr>
        <w:tab/>
        <w:t xml:space="preserve">         </w:t>
      </w:r>
      <w:r w:rsidR="001E5281">
        <w:rPr>
          <w:rFonts w:asciiTheme="minorHAnsi" w:hAnsiTheme="minorHAnsi" w:cstheme="minorHAnsi"/>
          <w:b/>
          <w:bCs/>
          <w:lang w:val="en-US"/>
        </w:rPr>
        <w:t xml:space="preserve">           </w:t>
      </w:r>
      <w:r w:rsidR="004A6DB6">
        <w:rPr>
          <w:rFonts w:asciiTheme="minorHAnsi" w:hAnsiTheme="minorHAnsi" w:cstheme="minorHAnsi"/>
          <w:b/>
          <w:bCs/>
          <w:lang w:val="en-US"/>
        </w:rPr>
        <w:t>37</w:t>
      </w:r>
    </w:p>
    <w:p w:rsidR="00BC0A8C" w:rsidRPr="009B1C91" w:rsidRDefault="00536C9D" w:rsidP="001B7C35">
      <w:pPr>
        <w:autoSpaceDE w:val="0"/>
        <w:autoSpaceDN w:val="0"/>
        <w:adjustRightInd w:val="0"/>
        <w:spacing w:after="0" w:line="240" w:lineRule="auto"/>
        <w:ind w:left="1980" w:hanging="540"/>
        <w:rPr>
          <w:rFonts w:asciiTheme="minorHAnsi" w:hAnsiTheme="minorHAnsi" w:cstheme="minorHAnsi"/>
        </w:rPr>
      </w:pPr>
      <w:r w:rsidRPr="009B1C91">
        <w:rPr>
          <w:rFonts w:asciiTheme="minorHAnsi" w:hAnsiTheme="minorHAnsi" w:cstheme="minorHAnsi"/>
        </w:rPr>
        <w:t>4.1.4</w:t>
      </w:r>
      <w:r w:rsidR="00722DE3" w:rsidRPr="009B1C91">
        <w:rPr>
          <w:rFonts w:asciiTheme="minorHAnsi" w:hAnsiTheme="minorHAnsi" w:cstheme="minorHAnsi"/>
        </w:rPr>
        <w:t xml:space="preserve"> Organizational </w:t>
      </w:r>
      <w:r w:rsidR="004A6DB6">
        <w:rPr>
          <w:rFonts w:asciiTheme="minorHAnsi" w:hAnsiTheme="minorHAnsi" w:cstheme="minorHAnsi"/>
        </w:rPr>
        <w:t>and Strategic Position and Partnerships</w:t>
      </w:r>
      <w:r w:rsidR="004A6DB6">
        <w:rPr>
          <w:rFonts w:asciiTheme="minorHAnsi" w:hAnsiTheme="minorHAnsi" w:cstheme="minorHAnsi"/>
        </w:rPr>
        <w:tab/>
      </w:r>
      <w:r w:rsidR="004A6DB6">
        <w:rPr>
          <w:rFonts w:asciiTheme="minorHAnsi" w:hAnsiTheme="minorHAnsi" w:cstheme="minorHAnsi"/>
        </w:rPr>
        <w:tab/>
      </w:r>
      <w:r w:rsidR="004A6DB6">
        <w:rPr>
          <w:rFonts w:asciiTheme="minorHAnsi" w:hAnsiTheme="minorHAnsi" w:cstheme="minorHAnsi"/>
        </w:rPr>
        <w:tab/>
      </w:r>
      <w:r w:rsidR="001E5281">
        <w:rPr>
          <w:rFonts w:asciiTheme="minorHAnsi" w:hAnsiTheme="minorHAnsi" w:cstheme="minorHAnsi"/>
        </w:rPr>
        <w:t xml:space="preserve">     </w:t>
      </w:r>
      <w:r w:rsidR="004A6DB6" w:rsidRPr="004A6DB6">
        <w:rPr>
          <w:rFonts w:asciiTheme="minorHAnsi" w:hAnsiTheme="minorHAnsi" w:cstheme="minorHAnsi"/>
          <w:b/>
        </w:rPr>
        <w:t>39</w:t>
      </w:r>
    </w:p>
    <w:p w:rsidR="00BC0A8C" w:rsidRPr="009B1C91" w:rsidRDefault="00931E59" w:rsidP="00BC0A8C">
      <w:pPr>
        <w:autoSpaceDE w:val="0"/>
        <w:autoSpaceDN w:val="0"/>
        <w:adjustRightInd w:val="0"/>
        <w:spacing w:after="0" w:line="240" w:lineRule="auto"/>
        <w:ind w:left="1080" w:hanging="360"/>
        <w:rPr>
          <w:rFonts w:asciiTheme="minorHAnsi" w:hAnsiTheme="minorHAnsi" w:cstheme="minorHAnsi"/>
        </w:rPr>
      </w:pPr>
      <w:r w:rsidRPr="009B1C91">
        <w:rPr>
          <w:rFonts w:asciiTheme="minorHAnsi" w:hAnsiTheme="minorHAnsi" w:cstheme="minorHAnsi"/>
        </w:rPr>
        <w:t>4.2 Project Output</w:t>
      </w:r>
      <w:r w:rsidR="00262527">
        <w:rPr>
          <w:rFonts w:asciiTheme="minorHAnsi" w:hAnsiTheme="minorHAnsi" w:cstheme="minorHAnsi"/>
        </w:rPr>
        <w:t>s</w:t>
      </w:r>
      <w:r w:rsidR="00180720">
        <w:rPr>
          <w:rFonts w:asciiTheme="minorHAnsi" w:hAnsiTheme="minorHAnsi" w:cstheme="minorHAnsi"/>
        </w:rPr>
        <w:t>’</w:t>
      </w:r>
      <w:r w:rsidR="00262527">
        <w:rPr>
          <w:rFonts w:asciiTheme="minorHAnsi" w:hAnsiTheme="minorHAnsi" w:cstheme="minorHAnsi"/>
        </w:rPr>
        <w:t xml:space="preserve"> </w:t>
      </w:r>
      <w:r w:rsidR="00BC0A8C" w:rsidRPr="009B1C91">
        <w:rPr>
          <w:rFonts w:asciiTheme="minorHAnsi" w:hAnsiTheme="minorHAnsi" w:cstheme="minorHAnsi"/>
        </w:rPr>
        <w:t>Contributions to Outcomes – An Evaluation by Criteria</w:t>
      </w:r>
      <w:r w:rsidR="00262527">
        <w:rPr>
          <w:rFonts w:asciiTheme="minorHAnsi" w:hAnsiTheme="minorHAnsi" w:cstheme="minorHAnsi"/>
        </w:rPr>
        <w:tab/>
      </w:r>
      <w:r w:rsidR="00262527">
        <w:rPr>
          <w:rFonts w:asciiTheme="minorHAnsi" w:hAnsiTheme="minorHAnsi" w:cstheme="minorHAnsi"/>
        </w:rPr>
        <w:tab/>
      </w:r>
      <w:r w:rsidR="001E5281">
        <w:rPr>
          <w:rFonts w:asciiTheme="minorHAnsi" w:hAnsiTheme="minorHAnsi" w:cstheme="minorHAnsi"/>
        </w:rPr>
        <w:t xml:space="preserve">     </w:t>
      </w:r>
      <w:r w:rsidR="00262527" w:rsidRPr="00262527">
        <w:rPr>
          <w:rFonts w:asciiTheme="minorHAnsi" w:hAnsiTheme="minorHAnsi" w:cstheme="minorHAnsi"/>
          <w:b/>
        </w:rPr>
        <w:t>42</w:t>
      </w:r>
    </w:p>
    <w:p w:rsidR="00BC0A8C" w:rsidRPr="009B1C91" w:rsidRDefault="00BC0A8C" w:rsidP="00BC0A8C">
      <w:pPr>
        <w:autoSpaceDE w:val="0"/>
        <w:autoSpaceDN w:val="0"/>
        <w:adjustRightInd w:val="0"/>
        <w:spacing w:after="0" w:line="240" w:lineRule="auto"/>
        <w:ind w:left="1080" w:hanging="360"/>
        <w:rPr>
          <w:rFonts w:asciiTheme="minorHAnsi" w:hAnsiTheme="minorHAnsi" w:cstheme="minorHAnsi"/>
        </w:rPr>
      </w:pPr>
      <w:r w:rsidRPr="009B1C91">
        <w:rPr>
          <w:rFonts w:asciiTheme="minorHAnsi" w:hAnsiTheme="minorHAnsi" w:cstheme="minorHAnsi"/>
        </w:rPr>
        <w:tab/>
      </w:r>
      <w:r w:rsidRPr="009B1C91">
        <w:rPr>
          <w:rFonts w:asciiTheme="minorHAnsi" w:hAnsiTheme="minorHAnsi" w:cstheme="minorHAnsi"/>
        </w:rPr>
        <w:tab/>
        <w:t xml:space="preserve">4.2.1 Programme and Project </w:t>
      </w:r>
      <w:r w:rsidRPr="009B1C91">
        <w:rPr>
          <w:rFonts w:asciiTheme="minorHAnsi" w:hAnsiTheme="minorHAnsi" w:cstheme="minorHAnsi"/>
          <w:b/>
          <w:i/>
        </w:rPr>
        <w:t>Relevance</w:t>
      </w:r>
      <w:r w:rsidR="00262527">
        <w:rPr>
          <w:rFonts w:asciiTheme="minorHAnsi" w:hAnsiTheme="minorHAnsi" w:cstheme="minorHAnsi"/>
        </w:rPr>
        <w:tab/>
      </w:r>
      <w:r w:rsidR="00262527">
        <w:rPr>
          <w:rFonts w:asciiTheme="minorHAnsi" w:hAnsiTheme="minorHAnsi" w:cstheme="minorHAnsi"/>
        </w:rPr>
        <w:tab/>
      </w:r>
      <w:r w:rsidR="00262527">
        <w:rPr>
          <w:rFonts w:asciiTheme="minorHAnsi" w:hAnsiTheme="minorHAnsi" w:cstheme="minorHAnsi"/>
        </w:rPr>
        <w:tab/>
      </w:r>
      <w:r w:rsidR="00262527">
        <w:rPr>
          <w:rFonts w:asciiTheme="minorHAnsi" w:hAnsiTheme="minorHAnsi" w:cstheme="minorHAnsi"/>
        </w:rPr>
        <w:tab/>
      </w:r>
      <w:r w:rsidR="00262527">
        <w:rPr>
          <w:rFonts w:asciiTheme="minorHAnsi" w:hAnsiTheme="minorHAnsi" w:cstheme="minorHAnsi"/>
        </w:rPr>
        <w:tab/>
      </w:r>
      <w:r w:rsidR="001E5281">
        <w:rPr>
          <w:rFonts w:asciiTheme="minorHAnsi" w:hAnsiTheme="minorHAnsi" w:cstheme="minorHAnsi"/>
        </w:rPr>
        <w:t xml:space="preserve">                   </w:t>
      </w:r>
      <w:r w:rsidR="00262527" w:rsidRPr="00262527">
        <w:rPr>
          <w:rFonts w:asciiTheme="minorHAnsi" w:hAnsiTheme="minorHAnsi" w:cstheme="minorHAnsi"/>
          <w:b/>
        </w:rPr>
        <w:t>42</w:t>
      </w:r>
    </w:p>
    <w:p w:rsidR="00BC0A8C" w:rsidRPr="009B1C91" w:rsidRDefault="00BC0A8C" w:rsidP="00262527">
      <w:pPr>
        <w:autoSpaceDE w:val="0"/>
        <w:autoSpaceDN w:val="0"/>
        <w:adjustRightInd w:val="0"/>
        <w:spacing w:after="0" w:line="240" w:lineRule="auto"/>
        <w:ind w:firstLine="720"/>
        <w:rPr>
          <w:rFonts w:asciiTheme="minorHAnsi" w:hAnsiTheme="minorHAnsi" w:cstheme="minorHAnsi"/>
        </w:rPr>
      </w:pPr>
      <w:r w:rsidRPr="009B1C91">
        <w:rPr>
          <w:rFonts w:asciiTheme="minorHAnsi" w:hAnsiTheme="minorHAnsi" w:cstheme="minorHAnsi"/>
        </w:rPr>
        <w:tab/>
        <w:t xml:space="preserve">4.2.2 Status and </w:t>
      </w:r>
      <w:r w:rsidRPr="009B1C91">
        <w:rPr>
          <w:rFonts w:asciiTheme="minorHAnsi" w:hAnsiTheme="minorHAnsi" w:cstheme="minorHAnsi"/>
          <w:b/>
          <w:i/>
        </w:rPr>
        <w:t>Effectiveness</w:t>
      </w:r>
      <w:r w:rsidRPr="009B1C91">
        <w:rPr>
          <w:rFonts w:asciiTheme="minorHAnsi" w:hAnsiTheme="minorHAnsi" w:cstheme="minorHAnsi"/>
        </w:rPr>
        <w:t xml:space="preserve"> of Programme </w:t>
      </w:r>
      <w:r w:rsidR="00262527">
        <w:rPr>
          <w:rFonts w:asciiTheme="minorHAnsi" w:hAnsiTheme="minorHAnsi" w:cstheme="minorHAnsi"/>
        </w:rPr>
        <w:t xml:space="preserve">and Project </w:t>
      </w:r>
      <w:r w:rsidRPr="009B1C91">
        <w:rPr>
          <w:rFonts w:asciiTheme="minorHAnsi" w:hAnsiTheme="minorHAnsi" w:cstheme="minorHAnsi"/>
        </w:rPr>
        <w:t>Implementation</w:t>
      </w:r>
      <w:r w:rsidR="00262527">
        <w:rPr>
          <w:rFonts w:asciiTheme="minorHAnsi" w:hAnsiTheme="minorHAnsi" w:cstheme="minorHAnsi"/>
        </w:rPr>
        <w:tab/>
      </w:r>
      <w:r w:rsidR="001E5281">
        <w:rPr>
          <w:rFonts w:asciiTheme="minorHAnsi" w:hAnsiTheme="minorHAnsi" w:cstheme="minorHAnsi"/>
        </w:rPr>
        <w:t xml:space="preserve">    </w:t>
      </w:r>
      <w:r w:rsidR="00262527" w:rsidRPr="00262527">
        <w:rPr>
          <w:rFonts w:asciiTheme="minorHAnsi" w:hAnsiTheme="minorHAnsi" w:cstheme="minorHAnsi"/>
          <w:b/>
        </w:rPr>
        <w:t>44</w:t>
      </w:r>
    </w:p>
    <w:p w:rsidR="00BC0A8C" w:rsidRPr="009B1C91" w:rsidRDefault="00BC0A8C" w:rsidP="00BC0A8C">
      <w:pPr>
        <w:autoSpaceDE w:val="0"/>
        <w:autoSpaceDN w:val="0"/>
        <w:adjustRightInd w:val="0"/>
        <w:spacing w:after="0" w:line="240" w:lineRule="auto"/>
        <w:ind w:firstLine="720"/>
        <w:rPr>
          <w:rFonts w:asciiTheme="minorHAnsi" w:hAnsiTheme="minorHAnsi" w:cstheme="minorHAnsi"/>
        </w:rPr>
      </w:pPr>
      <w:r w:rsidRPr="009B1C91">
        <w:rPr>
          <w:rFonts w:asciiTheme="minorHAnsi" w:hAnsiTheme="minorHAnsi" w:cstheme="minorHAnsi"/>
        </w:rPr>
        <w:tab/>
        <w:t xml:space="preserve">4.2.3 Programme Delivery </w:t>
      </w:r>
      <w:r w:rsidRPr="009B1C91">
        <w:rPr>
          <w:rFonts w:asciiTheme="minorHAnsi" w:hAnsiTheme="minorHAnsi" w:cstheme="minorHAnsi"/>
          <w:b/>
          <w:i/>
        </w:rPr>
        <w:t>Efficiency</w:t>
      </w:r>
      <w:r w:rsidR="00262527">
        <w:rPr>
          <w:rFonts w:asciiTheme="minorHAnsi" w:hAnsiTheme="minorHAnsi" w:cstheme="minorHAnsi"/>
        </w:rPr>
        <w:tab/>
      </w:r>
      <w:r w:rsidR="00262527">
        <w:rPr>
          <w:rFonts w:asciiTheme="minorHAnsi" w:hAnsiTheme="minorHAnsi" w:cstheme="minorHAnsi"/>
        </w:rPr>
        <w:tab/>
      </w:r>
      <w:r w:rsidR="00262527">
        <w:rPr>
          <w:rFonts w:asciiTheme="minorHAnsi" w:hAnsiTheme="minorHAnsi" w:cstheme="minorHAnsi"/>
        </w:rPr>
        <w:tab/>
      </w:r>
      <w:r w:rsidR="00262527">
        <w:rPr>
          <w:rFonts w:asciiTheme="minorHAnsi" w:hAnsiTheme="minorHAnsi" w:cstheme="minorHAnsi"/>
        </w:rPr>
        <w:tab/>
      </w:r>
      <w:r w:rsidR="00262527">
        <w:rPr>
          <w:rFonts w:asciiTheme="minorHAnsi" w:hAnsiTheme="minorHAnsi" w:cstheme="minorHAnsi"/>
        </w:rPr>
        <w:tab/>
      </w:r>
      <w:r w:rsidR="00262527">
        <w:rPr>
          <w:rFonts w:asciiTheme="minorHAnsi" w:hAnsiTheme="minorHAnsi" w:cstheme="minorHAnsi"/>
        </w:rPr>
        <w:tab/>
      </w:r>
      <w:r w:rsidR="001E5281">
        <w:rPr>
          <w:rFonts w:asciiTheme="minorHAnsi" w:hAnsiTheme="minorHAnsi" w:cstheme="minorHAnsi"/>
        </w:rPr>
        <w:t xml:space="preserve">    </w:t>
      </w:r>
      <w:r w:rsidR="00262527" w:rsidRPr="00262527">
        <w:rPr>
          <w:rFonts w:asciiTheme="minorHAnsi" w:hAnsiTheme="minorHAnsi" w:cstheme="minorHAnsi"/>
          <w:b/>
        </w:rPr>
        <w:t>47</w:t>
      </w:r>
    </w:p>
    <w:p w:rsidR="00BC0A8C" w:rsidRPr="009B1C91" w:rsidRDefault="00BC0A8C" w:rsidP="00BC0A8C">
      <w:pPr>
        <w:autoSpaceDE w:val="0"/>
        <w:autoSpaceDN w:val="0"/>
        <w:adjustRightInd w:val="0"/>
        <w:spacing w:after="0" w:line="240" w:lineRule="auto"/>
        <w:ind w:left="1080" w:hanging="360"/>
        <w:rPr>
          <w:rFonts w:asciiTheme="minorHAnsi" w:hAnsiTheme="minorHAnsi" w:cstheme="minorHAnsi"/>
        </w:rPr>
      </w:pPr>
      <w:r w:rsidRPr="009B1C91">
        <w:rPr>
          <w:rFonts w:asciiTheme="minorHAnsi" w:hAnsiTheme="minorHAnsi" w:cstheme="minorHAnsi"/>
        </w:rPr>
        <w:tab/>
      </w:r>
      <w:r w:rsidRPr="009B1C91">
        <w:rPr>
          <w:rFonts w:asciiTheme="minorHAnsi" w:hAnsiTheme="minorHAnsi" w:cstheme="minorHAnsi"/>
        </w:rPr>
        <w:tab/>
        <w:t xml:space="preserve">4.2.4 Engagement with Cross Cutting Themes – Gender and Other Related </w:t>
      </w:r>
      <w:r w:rsidR="00262527">
        <w:rPr>
          <w:rFonts w:asciiTheme="minorHAnsi" w:hAnsiTheme="minorHAnsi" w:cstheme="minorHAnsi"/>
        </w:rPr>
        <w:tab/>
      </w:r>
      <w:r w:rsidR="001E5281">
        <w:rPr>
          <w:rFonts w:asciiTheme="minorHAnsi" w:hAnsiTheme="minorHAnsi" w:cstheme="minorHAnsi"/>
        </w:rPr>
        <w:t xml:space="preserve">    </w:t>
      </w:r>
      <w:r w:rsidR="00262527" w:rsidRPr="00262527">
        <w:rPr>
          <w:rFonts w:asciiTheme="minorHAnsi" w:hAnsiTheme="minorHAnsi" w:cstheme="minorHAnsi"/>
          <w:b/>
        </w:rPr>
        <w:t>54</w:t>
      </w:r>
      <w:r w:rsidR="00262527" w:rsidRPr="00262527">
        <w:rPr>
          <w:rFonts w:asciiTheme="minorHAnsi" w:hAnsiTheme="minorHAnsi" w:cstheme="minorHAnsi"/>
          <w:b/>
        </w:rPr>
        <w:tab/>
      </w:r>
      <w:r w:rsidR="00262527">
        <w:rPr>
          <w:rFonts w:asciiTheme="minorHAnsi" w:hAnsiTheme="minorHAnsi" w:cstheme="minorHAnsi"/>
        </w:rPr>
        <w:tab/>
      </w:r>
      <w:r w:rsidRPr="009B1C91">
        <w:rPr>
          <w:rFonts w:asciiTheme="minorHAnsi" w:hAnsiTheme="minorHAnsi" w:cstheme="minorHAnsi"/>
        </w:rPr>
        <w:t>Perspectives</w:t>
      </w:r>
    </w:p>
    <w:p w:rsidR="00BC0A8C" w:rsidRPr="009B1C91" w:rsidRDefault="00BC0A8C" w:rsidP="00BC0A8C">
      <w:pPr>
        <w:autoSpaceDE w:val="0"/>
        <w:autoSpaceDN w:val="0"/>
        <w:adjustRightInd w:val="0"/>
        <w:spacing w:after="0" w:line="240" w:lineRule="auto"/>
        <w:ind w:left="1080" w:hanging="360"/>
        <w:rPr>
          <w:rFonts w:asciiTheme="minorHAnsi" w:hAnsiTheme="minorHAnsi" w:cstheme="minorHAnsi"/>
        </w:rPr>
      </w:pPr>
      <w:r w:rsidRPr="009B1C91">
        <w:rPr>
          <w:rFonts w:asciiTheme="minorHAnsi" w:hAnsiTheme="minorHAnsi" w:cstheme="minorHAnsi"/>
        </w:rPr>
        <w:tab/>
      </w:r>
      <w:r w:rsidRPr="009B1C91">
        <w:rPr>
          <w:rFonts w:asciiTheme="minorHAnsi" w:hAnsiTheme="minorHAnsi" w:cstheme="minorHAnsi"/>
        </w:rPr>
        <w:tab/>
        <w:t xml:space="preserve">4.2.5 </w:t>
      </w:r>
      <w:r w:rsidRPr="009B1C91">
        <w:rPr>
          <w:rFonts w:asciiTheme="minorHAnsi" w:hAnsiTheme="minorHAnsi" w:cstheme="minorHAnsi"/>
          <w:b/>
          <w:i/>
        </w:rPr>
        <w:t>Sustainability</w:t>
      </w:r>
      <w:r w:rsidR="007223C8">
        <w:rPr>
          <w:rFonts w:asciiTheme="minorHAnsi" w:hAnsiTheme="minorHAnsi" w:cstheme="minorHAnsi"/>
          <w:b/>
          <w:i/>
        </w:rPr>
        <w:t xml:space="preserve"> </w:t>
      </w:r>
      <w:r w:rsidRPr="009B1C91">
        <w:rPr>
          <w:rFonts w:asciiTheme="minorHAnsi" w:hAnsiTheme="minorHAnsi" w:cstheme="minorHAnsi"/>
        </w:rPr>
        <w:t>of Outcomes, and Potential for Replication</w:t>
      </w:r>
      <w:r w:rsidR="00262527">
        <w:rPr>
          <w:rFonts w:asciiTheme="minorHAnsi" w:hAnsiTheme="minorHAnsi" w:cstheme="minorHAnsi"/>
        </w:rPr>
        <w:tab/>
      </w:r>
      <w:r w:rsidR="00262527">
        <w:rPr>
          <w:rFonts w:asciiTheme="minorHAnsi" w:hAnsiTheme="minorHAnsi" w:cstheme="minorHAnsi"/>
        </w:rPr>
        <w:tab/>
      </w:r>
      <w:r w:rsidR="00262527">
        <w:rPr>
          <w:rFonts w:asciiTheme="minorHAnsi" w:hAnsiTheme="minorHAnsi" w:cstheme="minorHAnsi"/>
        </w:rPr>
        <w:tab/>
      </w:r>
      <w:r w:rsidR="001E5281">
        <w:rPr>
          <w:rFonts w:asciiTheme="minorHAnsi" w:hAnsiTheme="minorHAnsi" w:cstheme="minorHAnsi"/>
        </w:rPr>
        <w:t xml:space="preserve">    </w:t>
      </w:r>
      <w:r w:rsidR="00262527" w:rsidRPr="00262527">
        <w:rPr>
          <w:rFonts w:asciiTheme="minorHAnsi" w:hAnsiTheme="minorHAnsi" w:cstheme="minorHAnsi"/>
          <w:b/>
        </w:rPr>
        <w:t>56</w:t>
      </w:r>
    </w:p>
    <w:p w:rsidR="00BC0A8C" w:rsidRPr="009B1C91" w:rsidRDefault="00BC0A8C" w:rsidP="00BC0A8C">
      <w:pPr>
        <w:autoSpaceDE w:val="0"/>
        <w:autoSpaceDN w:val="0"/>
        <w:adjustRightInd w:val="0"/>
        <w:spacing w:after="0" w:line="240" w:lineRule="auto"/>
        <w:rPr>
          <w:rFonts w:asciiTheme="minorHAnsi" w:hAnsiTheme="minorHAnsi" w:cstheme="minorHAnsi"/>
        </w:rPr>
      </w:pPr>
    </w:p>
    <w:p w:rsidR="00BC0A8C" w:rsidRPr="009B1C91" w:rsidRDefault="00BC0A8C" w:rsidP="00BC0A8C">
      <w:pPr>
        <w:autoSpaceDE w:val="0"/>
        <w:autoSpaceDN w:val="0"/>
        <w:adjustRightInd w:val="0"/>
        <w:spacing w:after="0" w:line="240" w:lineRule="auto"/>
        <w:rPr>
          <w:rFonts w:asciiTheme="minorHAnsi" w:hAnsiTheme="minorHAnsi" w:cstheme="minorHAnsi"/>
          <w:b/>
        </w:rPr>
      </w:pPr>
      <w:r w:rsidRPr="009B1C91">
        <w:rPr>
          <w:rFonts w:asciiTheme="minorHAnsi" w:hAnsiTheme="minorHAnsi" w:cstheme="minorHAnsi"/>
          <w:b/>
        </w:rPr>
        <w:tab/>
      </w:r>
      <w:r w:rsidR="00A96B87" w:rsidRPr="009B1C91">
        <w:rPr>
          <w:rFonts w:asciiTheme="minorHAnsi" w:hAnsiTheme="minorHAnsi" w:cstheme="minorHAnsi"/>
          <w:b/>
        </w:rPr>
        <w:t>Section 5:</w:t>
      </w:r>
      <w:r w:rsidR="003819E2" w:rsidRPr="009B1C91">
        <w:rPr>
          <w:rFonts w:asciiTheme="minorHAnsi" w:hAnsiTheme="minorHAnsi" w:cstheme="minorHAnsi"/>
          <w:b/>
        </w:rPr>
        <w:t xml:space="preserve"> Conclusions </w:t>
      </w:r>
      <w:r w:rsidR="00315925" w:rsidRPr="009B1C91">
        <w:rPr>
          <w:rFonts w:asciiTheme="minorHAnsi" w:hAnsiTheme="minorHAnsi" w:cstheme="minorHAnsi"/>
          <w:b/>
        </w:rPr>
        <w:t xml:space="preserve">and Recommendations </w:t>
      </w:r>
      <w:r w:rsidR="001E5281">
        <w:rPr>
          <w:rFonts w:asciiTheme="minorHAnsi" w:hAnsiTheme="minorHAnsi" w:cstheme="minorHAnsi"/>
          <w:b/>
        </w:rPr>
        <w:tab/>
      </w:r>
      <w:r w:rsidR="001E5281">
        <w:rPr>
          <w:rFonts w:asciiTheme="minorHAnsi" w:hAnsiTheme="minorHAnsi" w:cstheme="minorHAnsi"/>
          <w:b/>
        </w:rPr>
        <w:tab/>
      </w:r>
      <w:r w:rsidR="001E5281">
        <w:rPr>
          <w:rFonts w:asciiTheme="minorHAnsi" w:hAnsiTheme="minorHAnsi" w:cstheme="minorHAnsi"/>
          <w:b/>
        </w:rPr>
        <w:tab/>
      </w:r>
      <w:r w:rsidR="001E5281">
        <w:rPr>
          <w:rFonts w:asciiTheme="minorHAnsi" w:hAnsiTheme="minorHAnsi" w:cstheme="minorHAnsi"/>
          <w:b/>
        </w:rPr>
        <w:tab/>
      </w:r>
      <w:r w:rsidR="001E5281">
        <w:rPr>
          <w:rFonts w:asciiTheme="minorHAnsi" w:hAnsiTheme="minorHAnsi" w:cstheme="minorHAnsi"/>
          <w:b/>
        </w:rPr>
        <w:tab/>
      </w:r>
      <w:r w:rsidR="001E5281">
        <w:rPr>
          <w:rFonts w:asciiTheme="minorHAnsi" w:hAnsiTheme="minorHAnsi" w:cstheme="minorHAnsi"/>
          <w:b/>
        </w:rPr>
        <w:tab/>
        <w:t xml:space="preserve">    </w:t>
      </w:r>
      <w:r w:rsidR="00262527">
        <w:rPr>
          <w:rFonts w:asciiTheme="minorHAnsi" w:hAnsiTheme="minorHAnsi" w:cstheme="minorHAnsi"/>
          <w:b/>
        </w:rPr>
        <w:t>59</w:t>
      </w:r>
    </w:p>
    <w:p w:rsidR="00BC0A8C" w:rsidRPr="009B1C91" w:rsidRDefault="00BC0A8C" w:rsidP="003819E2">
      <w:pPr>
        <w:autoSpaceDE w:val="0"/>
        <w:autoSpaceDN w:val="0"/>
        <w:adjustRightInd w:val="0"/>
        <w:spacing w:after="0" w:line="240" w:lineRule="auto"/>
        <w:ind w:firstLine="720"/>
        <w:rPr>
          <w:rFonts w:asciiTheme="minorHAnsi" w:hAnsiTheme="minorHAnsi" w:cstheme="minorHAnsi"/>
        </w:rPr>
      </w:pPr>
      <w:r w:rsidRPr="009B1C91">
        <w:rPr>
          <w:rFonts w:asciiTheme="minorHAnsi" w:hAnsiTheme="minorHAnsi" w:cstheme="minorHAnsi"/>
        </w:rPr>
        <w:tab/>
        <w:t xml:space="preserve">5.1 </w:t>
      </w:r>
      <w:r w:rsidR="00262527">
        <w:rPr>
          <w:rFonts w:asciiTheme="minorHAnsi" w:hAnsiTheme="minorHAnsi" w:cstheme="minorHAnsi"/>
        </w:rPr>
        <w:t>Summary of Findings</w:t>
      </w:r>
      <w:r w:rsidRPr="009B1C91">
        <w:rPr>
          <w:rFonts w:asciiTheme="minorHAnsi" w:hAnsiTheme="minorHAnsi" w:cstheme="minorHAnsi"/>
        </w:rPr>
        <w:t xml:space="preserve"> and Conclusions</w:t>
      </w:r>
      <w:r w:rsidR="00262527">
        <w:rPr>
          <w:rFonts w:asciiTheme="minorHAnsi" w:hAnsiTheme="minorHAnsi" w:cstheme="minorHAnsi"/>
        </w:rPr>
        <w:tab/>
      </w:r>
      <w:r w:rsidR="00262527">
        <w:rPr>
          <w:rFonts w:asciiTheme="minorHAnsi" w:hAnsiTheme="minorHAnsi" w:cstheme="minorHAnsi"/>
        </w:rPr>
        <w:tab/>
      </w:r>
      <w:r w:rsidR="00262527">
        <w:rPr>
          <w:rFonts w:asciiTheme="minorHAnsi" w:hAnsiTheme="minorHAnsi" w:cstheme="minorHAnsi"/>
        </w:rPr>
        <w:tab/>
      </w:r>
      <w:r w:rsidR="00262527">
        <w:rPr>
          <w:rFonts w:asciiTheme="minorHAnsi" w:hAnsiTheme="minorHAnsi" w:cstheme="minorHAnsi"/>
        </w:rPr>
        <w:tab/>
      </w:r>
      <w:r w:rsidR="00262527">
        <w:rPr>
          <w:rFonts w:asciiTheme="minorHAnsi" w:hAnsiTheme="minorHAnsi" w:cstheme="minorHAnsi"/>
        </w:rPr>
        <w:tab/>
      </w:r>
      <w:r w:rsidR="001E5281">
        <w:rPr>
          <w:rFonts w:asciiTheme="minorHAnsi" w:hAnsiTheme="minorHAnsi" w:cstheme="minorHAnsi"/>
        </w:rPr>
        <w:t xml:space="preserve">    </w:t>
      </w:r>
      <w:r w:rsidR="00262527" w:rsidRPr="00262527">
        <w:rPr>
          <w:rFonts w:asciiTheme="minorHAnsi" w:hAnsiTheme="minorHAnsi" w:cstheme="minorHAnsi"/>
          <w:b/>
        </w:rPr>
        <w:t>59</w:t>
      </w:r>
    </w:p>
    <w:p w:rsidR="0045259C" w:rsidRDefault="003819E2" w:rsidP="00BC0A8C">
      <w:pPr>
        <w:autoSpaceDE w:val="0"/>
        <w:autoSpaceDN w:val="0"/>
        <w:adjustRightInd w:val="0"/>
        <w:spacing w:after="0" w:line="240" w:lineRule="auto"/>
        <w:ind w:left="720" w:firstLine="720"/>
        <w:rPr>
          <w:rFonts w:asciiTheme="minorHAnsi" w:hAnsiTheme="minorHAnsi" w:cstheme="minorHAnsi"/>
        </w:rPr>
      </w:pPr>
      <w:r w:rsidRPr="009B1C91">
        <w:rPr>
          <w:rFonts w:asciiTheme="minorHAnsi" w:hAnsiTheme="minorHAnsi" w:cstheme="minorHAnsi"/>
        </w:rPr>
        <w:t>5.2</w:t>
      </w:r>
      <w:r w:rsidR="00180720">
        <w:rPr>
          <w:rFonts w:asciiTheme="minorHAnsi" w:hAnsiTheme="minorHAnsi" w:cstheme="minorHAnsi"/>
        </w:rPr>
        <w:t xml:space="preserve"> </w:t>
      </w:r>
      <w:r w:rsidR="0045259C">
        <w:rPr>
          <w:rFonts w:asciiTheme="minorHAnsi" w:hAnsiTheme="minorHAnsi" w:cstheme="minorHAnsi"/>
        </w:rPr>
        <w:t>Strategic Vision and Future Country Programming</w:t>
      </w:r>
      <w:r w:rsidR="0045259C">
        <w:rPr>
          <w:rFonts w:asciiTheme="minorHAnsi" w:hAnsiTheme="minorHAnsi" w:cstheme="minorHAnsi"/>
        </w:rPr>
        <w:tab/>
      </w:r>
      <w:r w:rsidR="0045259C">
        <w:rPr>
          <w:rFonts w:asciiTheme="minorHAnsi" w:hAnsiTheme="minorHAnsi" w:cstheme="minorHAnsi"/>
        </w:rPr>
        <w:tab/>
      </w:r>
      <w:r w:rsidR="0045259C">
        <w:rPr>
          <w:rFonts w:asciiTheme="minorHAnsi" w:hAnsiTheme="minorHAnsi" w:cstheme="minorHAnsi"/>
        </w:rPr>
        <w:tab/>
      </w:r>
      <w:r w:rsidR="0045259C">
        <w:rPr>
          <w:rFonts w:asciiTheme="minorHAnsi" w:hAnsiTheme="minorHAnsi" w:cstheme="minorHAnsi"/>
        </w:rPr>
        <w:tab/>
      </w:r>
      <w:r w:rsidR="001E5281">
        <w:rPr>
          <w:rFonts w:asciiTheme="minorHAnsi" w:hAnsiTheme="minorHAnsi" w:cstheme="minorHAnsi"/>
        </w:rPr>
        <w:t xml:space="preserve">    </w:t>
      </w:r>
      <w:r w:rsidR="0045259C" w:rsidRPr="0045259C">
        <w:rPr>
          <w:rFonts w:asciiTheme="minorHAnsi" w:hAnsiTheme="minorHAnsi" w:cstheme="minorHAnsi"/>
          <w:b/>
        </w:rPr>
        <w:t>63</w:t>
      </w:r>
    </w:p>
    <w:p w:rsidR="00BC0A8C" w:rsidRDefault="0045259C" w:rsidP="00180720">
      <w:pPr>
        <w:autoSpaceDE w:val="0"/>
        <w:autoSpaceDN w:val="0"/>
        <w:adjustRightInd w:val="0"/>
        <w:spacing w:after="0" w:line="240" w:lineRule="auto"/>
        <w:ind w:left="720" w:firstLine="720"/>
        <w:rPr>
          <w:rFonts w:asciiTheme="minorHAnsi" w:eastAsiaTheme="minorEastAsia" w:hAnsiTheme="minorHAnsi" w:cstheme="minorBidi"/>
          <w:b/>
          <w:bCs/>
        </w:rPr>
      </w:pPr>
      <w:r w:rsidRPr="0F73AF2A">
        <w:rPr>
          <w:rFonts w:asciiTheme="minorHAnsi" w:eastAsiaTheme="minorEastAsia" w:hAnsiTheme="minorHAnsi" w:cstheme="minorBidi"/>
        </w:rPr>
        <w:t xml:space="preserve">5.3 </w:t>
      </w:r>
      <w:r w:rsidR="00BC0A8C" w:rsidRPr="0F73AF2A">
        <w:rPr>
          <w:rFonts w:asciiTheme="minorHAnsi" w:eastAsiaTheme="minorEastAsia" w:hAnsiTheme="minorHAnsi" w:cstheme="minorBidi"/>
        </w:rPr>
        <w:t>Recom</w:t>
      </w:r>
      <w:r w:rsidR="0F73AF2A" w:rsidRPr="0F73AF2A">
        <w:rPr>
          <w:rFonts w:asciiTheme="minorHAnsi" w:eastAsiaTheme="minorEastAsia" w:hAnsiTheme="minorHAnsi" w:cstheme="minorBidi"/>
        </w:rPr>
        <w:t>mendations</w:t>
      </w:r>
      <w:r>
        <w:rPr>
          <w:rFonts w:asciiTheme="minorHAnsi" w:hAnsiTheme="minorHAnsi" w:cstheme="minorHAnsi"/>
        </w:rPr>
        <w:tab/>
      </w:r>
      <w:r w:rsidR="001E5281">
        <w:rPr>
          <w:rFonts w:asciiTheme="minorHAnsi" w:hAnsiTheme="minorHAnsi" w:cstheme="minorHAnsi"/>
        </w:rPr>
        <w:t xml:space="preserve">  </w:t>
      </w:r>
      <w:r w:rsidR="001E5281">
        <w:rPr>
          <w:rFonts w:asciiTheme="minorHAnsi" w:hAnsiTheme="minorHAnsi" w:cstheme="minorHAnsi"/>
        </w:rPr>
        <w:tab/>
      </w:r>
      <w:r w:rsidR="001E5281">
        <w:rPr>
          <w:rFonts w:asciiTheme="minorHAnsi" w:hAnsiTheme="minorHAnsi" w:cstheme="minorHAnsi"/>
        </w:rPr>
        <w:tab/>
      </w:r>
      <w:r w:rsidR="001E5281">
        <w:rPr>
          <w:rFonts w:asciiTheme="minorHAnsi" w:hAnsiTheme="minorHAnsi" w:cstheme="minorHAnsi"/>
        </w:rPr>
        <w:tab/>
      </w:r>
      <w:r w:rsidR="001E5281">
        <w:rPr>
          <w:rFonts w:asciiTheme="minorHAnsi" w:hAnsiTheme="minorHAnsi" w:cstheme="minorHAnsi"/>
        </w:rPr>
        <w:tab/>
      </w:r>
      <w:r w:rsidR="001E5281">
        <w:rPr>
          <w:rFonts w:asciiTheme="minorHAnsi" w:hAnsiTheme="minorHAnsi" w:cstheme="minorHAnsi"/>
        </w:rPr>
        <w:tab/>
      </w:r>
      <w:r w:rsidR="001E5281">
        <w:rPr>
          <w:rFonts w:asciiTheme="minorHAnsi" w:hAnsiTheme="minorHAnsi" w:cstheme="minorHAnsi"/>
        </w:rPr>
        <w:tab/>
      </w:r>
      <w:r w:rsidR="001E5281">
        <w:rPr>
          <w:rFonts w:asciiTheme="minorHAnsi" w:hAnsiTheme="minorHAnsi" w:cstheme="minorHAnsi"/>
        </w:rPr>
        <w:tab/>
        <w:t xml:space="preserve">    </w:t>
      </w:r>
      <w:r w:rsidRPr="0F73AF2A">
        <w:rPr>
          <w:rFonts w:asciiTheme="minorHAnsi" w:eastAsiaTheme="minorEastAsia" w:hAnsiTheme="minorHAnsi" w:cstheme="minorBidi"/>
          <w:b/>
          <w:bCs/>
        </w:rPr>
        <w:t>65</w:t>
      </w:r>
    </w:p>
    <w:p w:rsidR="00180720" w:rsidRDefault="00180720" w:rsidP="00180720">
      <w:pPr>
        <w:autoSpaceDE w:val="0"/>
        <w:autoSpaceDN w:val="0"/>
        <w:adjustRightInd w:val="0"/>
        <w:spacing w:after="0" w:line="240" w:lineRule="auto"/>
        <w:ind w:left="720" w:firstLine="720"/>
        <w:rPr>
          <w:rFonts w:asciiTheme="minorHAnsi" w:eastAsiaTheme="minorEastAsia" w:hAnsiTheme="minorHAnsi" w:cstheme="minorBidi"/>
          <w:b/>
          <w:bCs/>
        </w:rPr>
      </w:pPr>
    </w:p>
    <w:p w:rsidR="00180720" w:rsidRDefault="00180720" w:rsidP="00180720">
      <w:pPr>
        <w:autoSpaceDE w:val="0"/>
        <w:autoSpaceDN w:val="0"/>
        <w:adjustRightInd w:val="0"/>
        <w:spacing w:after="0" w:line="240" w:lineRule="auto"/>
        <w:rPr>
          <w:rFonts w:asciiTheme="minorHAnsi" w:eastAsiaTheme="minorEastAsia" w:hAnsiTheme="minorHAnsi" w:cstheme="minorBidi"/>
          <w:b/>
          <w:bCs/>
        </w:rPr>
      </w:pPr>
      <w:r>
        <w:rPr>
          <w:rFonts w:asciiTheme="minorHAnsi" w:eastAsiaTheme="minorEastAsia" w:hAnsiTheme="minorHAnsi" w:cstheme="minorBidi"/>
          <w:b/>
          <w:bCs/>
        </w:rPr>
        <w:t>References (cited in the Final Report)</w:t>
      </w:r>
      <w:r>
        <w:rPr>
          <w:rFonts w:asciiTheme="minorHAnsi" w:eastAsiaTheme="minorEastAsia" w:hAnsiTheme="minorHAnsi" w:cstheme="minorBidi"/>
          <w:b/>
          <w:bCs/>
        </w:rPr>
        <w:tab/>
      </w:r>
      <w:r>
        <w:rPr>
          <w:rFonts w:asciiTheme="minorHAnsi" w:eastAsiaTheme="minorEastAsia" w:hAnsiTheme="minorHAnsi" w:cstheme="minorBidi"/>
          <w:b/>
          <w:bCs/>
        </w:rPr>
        <w:tab/>
      </w:r>
      <w:r>
        <w:rPr>
          <w:rFonts w:asciiTheme="minorHAnsi" w:eastAsiaTheme="minorEastAsia" w:hAnsiTheme="minorHAnsi" w:cstheme="minorBidi"/>
          <w:b/>
          <w:bCs/>
        </w:rPr>
        <w:tab/>
      </w:r>
      <w:r>
        <w:rPr>
          <w:rFonts w:asciiTheme="minorHAnsi" w:eastAsiaTheme="minorEastAsia" w:hAnsiTheme="minorHAnsi" w:cstheme="minorBidi"/>
          <w:b/>
          <w:bCs/>
        </w:rPr>
        <w:tab/>
      </w:r>
      <w:r>
        <w:rPr>
          <w:rFonts w:asciiTheme="minorHAnsi" w:eastAsiaTheme="minorEastAsia" w:hAnsiTheme="minorHAnsi" w:cstheme="minorBidi"/>
          <w:b/>
          <w:bCs/>
        </w:rPr>
        <w:tab/>
      </w:r>
      <w:r>
        <w:rPr>
          <w:rFonts w:asciiTheme="minorHAnsi" w:eastAsiaTheme="minorEastAsia" w:hAnsiTheme="minorHAnsi" w:cstheme="minorBidi"/>
          <w:b/>
          <w:bCs/>
        </w:rPr>
        <w:tab/>
      </w:r>
      <w:r>
        <w:rPr>
          <w:rFonts w:asciiTheme="minorHAnsi" w:eastAsiaTheme="minorEastAsia" w:hAnsiTheme="minorHAnsi" w:cstheme="minorBidi"/>
          <w:b/>
          <w:bCs/>
        </w:rPr>
        <w:tab/>
      </w:r>
      <w:r>
        <w:rPr>
          <w:rFonts w:asciiTheme="minorHAnsi" w:eastAsiaTheme="minorEastAsia" w:hAnsiTheme="minorHAnsi" w:cstheme="minorBidi"/>
          <w:b/>
          <w:bCs/>
        </w:rPr>
        <w:tab/>
        <w:t xml:space="preserve">    71</w:t>
      </w:r>
    </w:p>
    <w:p w:rsidR="00180720" w:rsidRDefault="00180720" w:rsidP="00180720">
      <w:pPr>
        <w:autoSpaceDE w:val="0"/>
        <w:autoSpaceDN w:val="0"/>
        <w:adjustRightInd w:val="0"/>
        <w:spacing w:after="0" w:line="240" w:lineRule="auto"/>
        <w:rPr>
          <w:rFonts w:asciiTheme="minorHAnsi" w:eastAsiaTheme="minorEastAsia" w:hAnsiTheme="minorHAnsi" w:cstheme="minorBidi"/>
          <w:b/>
          <w:bCs/>
        </w:rPr>
      </w:pPr>
      <w:r>
        <w:rPr>
          <w:rFonts w:asciiTheme="minorHAnsi" w:eastAsiaTheme="minorEastAsia" w:hAnsiTheme="minorHAnsi" w:cstheme="minorBidi"/>
          <w:b/>
          <w:bCs/>
        </w:rPr>
        <w:t>References (cited in the Annexes)</w:t>
      </w:r>
      <w:r>
        <w:rPr>
          <w:rFonts w:asciiTheme="minorHAnsi" w:eastAsiaTheme="minorEastAsia" w:hAnsiTheme="minorHAnsi" w:cstheme="minorBidi"/>
          <w:b/>
          <w:bCs/>
        </w:rPr>
        <w:tab/>
      </w:r>
      <w:r>
        <w:rPr>
          <w:rFonts w:asciiTheme="minorHAnsi" w:eastAsiaTheme="minorEastAsia" w:hAnsiTheme="minorHAnsi" w:cstheme="minorBidi"/>
          <w:b/>
          <w:bCs/>
        </w:rPr>
        <w:tab/>
      </w:r>
      <w:r>
        <w:rPr>
          <w:rFonts w:asciiTheme="minorHAnsi" w:eastAsiaTheme="minorEastAsia" w:hAnsiTheme="minorHAnsi" w:cstheme="minorBidi"/>
          <w:b/>
          <w:bCs/>
        </w:rPr>
        <w:tab/>
      </w:r>
      <w:r>
        <w:rPr>
          <w:rFonts w:asciiTheme="minorHAnsi" w:eastAsiaTheme="minorEastAsia" w:hAnsiTheme="minorHAnsi" w:cstheme="minorBidi"/>
          <w:b/>
          <w:bCs/>
        </w:rPr>
        <w:tab/>
      </w:r>
      <w:r>
        <w:rPr>
          <w:rFonts w:asciiTheme="minorHAnsi" w:eastAsiaTheme="minorEastAsia" w:hAnsiTheme="minorHAnsi" w:cstheme="minorBidi"/>
          <w:b/>
          <w:bCs/>
        </w:rPr>
        <w:tab/>
      </w:r>
      <w:r>
        <w:rPr>
          <w:rFonts w:asciiTheme="minorHAnsi" w:eastAsiaTheme="minorEastAsia" w:hAnsiTheme="minorHAnsi" w:cstheme="minorBidi"/>
          <w:b/>
          <w:bCs/>
        </w:rPr>
        <w:tab/>
      </w:r>
      <w:r>
        <w:rPr>
          <w:rFonts w:asciiTheme="minorHAnsi" w:eastAsiaTheme="minorEastAsia" w:hAnsiTheme="minorHAnsi" w:cstheme="minorBidi"/>
          <w:b/>
          <w:bCs/>
        </w:rPr>
        <w:tab/>
      </w:r>
      <w:r>
        <w:rPr>
          <w:rFonts w:asciiTheme="minorHAnsi" w:eastAsiaTheme="minorEastAsia" w:hAnsiTheme="minorHAnsi" w:cstheme="minorBidi"/>
          <w:b/>
          <w:bCs/>
        </w:rPr>
        <w:tab/>
        <w:t xml:space="preserve">    74</w:t>
      </w:r>
    </w:p>
    <w:p w:rsidR="00180720" w:rsidRDefault="00180720" w:rsidP="00180720">
      <w:pPr>
        <w:autoSpaceDE w:val="0"/>
        <w:autoSpaceDN w:val="0"/>
        <w:adjustRightInd w:val="0"/>
        <w:spacing w:after="0" w:line="240" w:lineRule="auto"/>
        <w:ind w:left="720" w:firstLine="720"/>
        <w:rPr>
          <w:rFonts w:asciiTheme="minorHAnsi" w:eastAsiaTheme="minorEastAsia" w:hAnsiTheme="minorHAnsi" w:cstheme="minorBidi"/>
          <w:b/>
          <w:bCs/>
        </w:rPr>
      </w:pPr>
    </w:p>
    <w:p w:rsidR="00180720" w:rsidRDefault="00180720" w:rsidP="00180720">
      <w:pPr>
        <w:autoSpaceDE w:val="0"/>
        <w:autoSpaceDN w:val="0"/>
        <w:adjustRightInd w:val="0"/>
        <w:spacing w:after="0" w:line="240" w:lineRule="auto"/>
        <w:ind w:left="720" w:firstLine="720"/>
        <w:rPr>
          <w:rFonts w:asciiTheme="minorHAnsi" w:eastAsiaTheme="minorEastAsia" w:hAnsiTheme="minorHAnsi" w:cstheme="minorBidi"/>
          <w:b/>
          <w:bCs/>
        </w:rPr>
      </w:pPr>
    </w:p>
    <w:p w:rsidR="00180720" w:rsidRPr="00180720" w:rsidRDefault="00180720" w:rsidP="00180720">
      <w:pPr>
        <w:autoSpaceDE w:val="0"/>
        <w:autoSpaceDN w:val="0"/>
        <w:adjustRightInd w:val="0"/>
        <w:spacing w:after="0" w:line="240" w:lineRule="auto"/>
        <w:ind w:left="720" w:firstLine="720"/>
        <w:rPr>
          <w:rFonts w:asciiTheme="minorHAnsi" w:eastAsiaTheme="minorEastAsia" w:hAnsiTheme="minorHAnsi" w:cstheme="minorBidi"/>
        </w:rPr>
      </w:pPr>
    </w:p>
    <w:p w:rsidR="0045259C" w:rsidRDefault="00BC0A8C" w:rsidP="0045259C">
      <w:pPr>
        <w:autoSpaceDE w:val="0"/>
        <w:autoSpaceDN w:val="0"/>
        <w:adjustRightInd w:val="0"/>
        <w:spacing w:after="0" w:line="240" w:lineRule="auto"/>
        <w:ind w:firstLine="720"/>
        <w:rPr>
          <w:rFonts w:asciiTheme="minorHAnsi" w:hAnsiTheme="minorHAnsi" w:cstheme="minorHAnsi"/>
        </w:rPr>
      </w:pPr>
      <w:r w:rsidRPr="009B1C91">
        <w:rPr>
          <w:rFonts w:asciiTheme="minorHAnsi" w:hAnsiTheme="minorHAnsi" w:cstheme="minorHAnsi"/>
        </w:rPr>
        <w:tab/>
      </w:r>
    </w:p>
    <w:p w:rsidR="00BC0A8C" w:rsidRDefault="0F73AF2A" w:rsidP="0045259C">
      <w:pPr>
        <w:autoSpaceDE w:val="0"/>
        <w:autoSpaceDN w:val="0"/>
        <w:adjustRightInd w:val="0"/>
        <w:spacing w:after="0" w:line="240" w:lineRule="auto"/>
        <w:rPr>
          <w:rFonts w:asciiTheme="minorHAnsi" w:hAnsiTheme="minorHAnsi" w:cstheme="minorHAnsi"/>
          <w:b/>
        </w:rPr>
      </w:pPr>
      <w:r w:rsidRPr="0F73AF2A">
        <w:rPr>
          <w:rFonts w:asciiTheme="minorHAnsi" w:eastAsiaTheme="minorEastAsia" w:hAnsiTheme="minorHAnsi" w:cstheme="minorBidi"/>
          <w:b/>
          <w:bCs/>
        </w:rPr>
        <w:t>Annexes</w:t>
      </w:r>
    </w:p>
    <w:p w:rsidR="00867F81" w:rsidRDefault="00CD51D8" w:rsidP="0045259C">
      <w:pPr>
        <w:autoSpaceDE w:val="0"/>
        <w:autoSpaceDN w:val="0"/>
        <w:adjustRightInd w:val="0"/>
        <w:spacing w:after="0" w:line="240" w:lineRule="auto"/>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D51D8">
        <w:rPr>
          <w:rFonts w:asciiTheme="minorHAnsi" w:hAnsiTheme="minorHAnsi" w:cstheme="minorHAnsi"/>
          <w:b/>
        </w:rPr>
        <w:t>Page</w:t>
      </w:r>
    </w:p>
    <w:p w:rsidR="00CD51D8" w:rsidRPr="00CD51D8" w:rsidRDefault="00CD51D8" w:rsidP="0045259C">
      <w:pPr>
        <w:autoSpaceDE w:val="0"/>
        <w:autoSpaceDN w:val="0"/>
        <w:adjustRightInd w:val="0"/>
        <w:spacing w:after="0" w:line="240" w:lineRule="auto"/>
        <w:rPr>
          <w:rFonts w:asciiTheme="minorHAnsi" w:hAnsiTheme="minorHAnsi" w:cstheme="minorHAnsi"/>
          <w:b/>
        </w:rPr>
      </w:pPr>
    </w:p>
    <w:p w:rsidR="00D22584" w:rsidRPr="009B1C91" w:rsidRDefault="0F73AF2A" w:rsidP="00B840BC">
      <w:pPr>
        <w:tabs>
          <w:tab w:val="left" w:pos="720"/>
          <w:tab w:val="left" w:pos="12960"/>
        </w:tabs>
        <w:spacing w:after="0" w:line="240" w:lineRule="auto"/>
        <w:ind w:right="360"/>
        <w:rPr>
          <w:rFonts w:asciiTheme="minorHAnsi" w:hAnsiTheme="minorHAnsi" w:cstheme="minorHAnsi"/>
        </w:rPr>
      </w:pPr>
      <w:r w:rsidRPr="0F73AF2A">
        <w:rPr>
          <w:rFonts w:asciiTheme="minorHAnsi" w:eastAsiaTheme="minorEastAsia" w:hAnsiTheme="minorHAnsi" w:cstheme="minorBidi"/>
          <w:b/>
          <w:bCs/>
        </w:rPr>
        <w:t xml:space="preserve">Annex I: </w:t>
      </w:r>
      <w:r w:rsidRPr="0F73AF2A">
        <w:rPr>
          <w:rFonts w:asciiTheme="minorHAnsi" w:eastAsiaTheme="minorEastAsia" w:hAnsiTheme="minorHAnsi" w:cstheme="minorBidi"/>
        </w:rPr>
        <w:t>UNDP CCED Project List, Budget (2012-2016) and Expenditure, 2012-2014</w:t>
      </w:r>
      <w:r w:rsidR="00B840BC">
        <w:rPr>
          <w:rFonts w:asciiTheme="minorHAnsi" w:eastAsiaTheme="minorEastAsia" w:hAnsiTheme="minorHAnsi" w:cstheme="minorBidi"/>
        </w:rPr>
        <w:t xml:space="preserve">                            </w:t>
      </w:r>
      <w:r w:rsidR="00EA3B8B" w:rsidRPr="00B840BC">
        <w:rPr>
          <w:rFonts w:asciiTheme="minorHAnsi" w:eastAsiaTheme="minorEastAsia" w:hAnsiTheme="minorHAnsi" w:cstheme="minorBidi"/>
          <w:b/>
        </w:rPr>
        <w:t>77</w:t>
      </w:r>
      <w:r w:rsidR="00EA3B8B">
        <w:rPr>
          <w:rFonts w:asciiTheme="minorHAnsi" w:eastAsiaTheme="minorEastAsia" w:hAnsiTheme="minorHAnsi" w:cstheme="minorBidi"/>
        </w:rPr>
        <w:tab/>
      </w:r>
      <w:r w:rsidR="00EA3B8B">
        <w:rPr>
          <w:rFonts w:asciiTheme="minorHAnsi" w:eastAsiaTheme="minorEastAsia" w:hAnsiTheme="minorHAnsi" w:cstheme="minorBidi"/>
        </w:rPr>
        <w:tab/>
      </w:r>
      <w:r w:rsidR="00EA3B8B">
        <w:rPr>
          <w:rFonts w:asciiTheme="minorHAnsi" w:eastAsiaTheme="minorEastAsia" w:hAnsiTheme="minorHAnsi" w:cstheme="minorBidi"/>
        </w:rPr>
        <w:tab/>
      </w:r>
      <w:r w:rsidR="00EA3B8B">
        <w:rPr>
          <w:rFonts w:asciiTheme="minorHAnsi" w:eastAsiaTheme="minorEastAsia" w:hAnsiTheme="minorHAnsi" w:cstheme="minorBidi"/>
        </w:rPr>
        <w:tab/>
      </w:r>
    </w:p>
    <w:p w:rsidR="00D22584" w:rsidRPr="009B1C91" w:rsidRDefault="0F73AF2A" w:rsidP="00B840BC">
      <w:pPr>
        <w:spacing w:after="0" w:line="240" w:lineRule="auto"/>
        <w:rPr>
          <w:rFonts w:asciiTheme="minorHAnsi" w:eastAsia="Cambria" w:hAnsiTheme="minorHAnsi" w:cstheme="minorHAnsi"/>
          <w:iCs/>
        </w:rPr>
      </w:pPr>
      <w:r w:rsidRPr="0F73AF2A">
        <w:rPr>
          <w:rFonts w:asciiTheme="minorHAnsi" w:eastAsiaTheme="minorEastAsia" w:hAnsiTheme="minorHAnsi" w:cstheme="minorBidi"/>
          <w:b/>
          <w:bCs/>
        </w:rPr>
        <w:t>Annex II:</w:t>
      </w:r>
      <w:r w:rsidRPr="0F73AF2A">
        <w:rPr>
          <w:rFonts w:asciiTheme="minorHAnsi" w:eastAsiaTheme="minorEastAsia" w:hAnsiTheme="minorHAnsi" w:cstheme="minorBidi"/>
        </w:rPr>
        <w:t xml:space="preserve"> Principles and Areas Covered by Guidelines (Following UNEG Ethical Guideline)</w:t>
      </w:r>
      <w:r w:rsidR="00B840BC">
        <w:rPr>
          <w:rFonts w:asciiTheme="minorHAnsi" w:eastAsiaTheme="minorEastAsia" w:hAnsiTheme="minorHAnsi" w:cstheme="minorBidi"/>
        </w:rPr>
        <w:t xml:space="preserve"> </w:t>
      </w:r>
      <w:r w:rsidR="00B840BC">
        <w:rPr>
          <w:rFonts w:asciiTheme="minorHAnsi" w:eastAsiaTheme="minorEastAsia" w:hAnsiTheme="minorHAnsi" w:cstheme="minorBidi"/>
        </w:rPr>
        <w:tab/>
        <w:t xml:space="preserve"> </w:t>
      </w:r>
      <w:r w:rsidR="00B840BC" w:rsidRPr="00B840BC">
        <w:rPr>
          <w:rFonts w:asciiTheme="minorHAnsi" w:eastAsiaTheme="minorEastAsia" w:hAnsiTheme="minorHAnsi" w:cstheme="minorBidi"/>
          <w:b/>
        </w:rPr>
        <w:t xml:space="preserve"> 79</w:t>
      </w:r>
    </w:p>
    <w:p w:rsidR="00D22584" w:rsidRPr="009B1C91" w:rsidRDefault="0F73AF2A" w:rsidP="00B840BC">
      <w:pPr>
        <w:tabs>
          <w:tab w:val="left" w:pos="90"/>
        </w:tabs>
        <w:spacing w:after="0" w:line="240" w:lineRule="auto"/>
        <w:ind w:right="360"/>
        <w:rPr>
          <w:rFonts w:asciiTheme="minorHAnsi" w:hAnsiTheme="minorHAnsi" w:cstheme="minorHAnsi"/>
          <w:szCs w:val="18"/>
        </w:rPr>
      </w:pPr>
      <w:r w:rsidRPr="0F73AF2A">
        <w:rPr>
          <w:rFonts w:asciiTheme="minorHAnsi" w:eastAsiaTheme="minorEastAsia" w:hAnsiTheme="minorHAnsi" w:cstheme="minorBidi"/>
          <w:b/>
          <w:bCs/>
        </w:rPr>
        <w:t>Annex III:</w:t>
      </w:r>
      <w:r w:rsidRPr="0F73AF2A">
        <w:rPr>
          <w:rFonts w:asciiTheme="minorHAnsi" w:eastAsiaTheme="minorEastAsia" w:hAnsiTheme="minorHAnsi" w:cstheme="minorBidi"/>
        </w:rPr>
        <w:t xml:space="preserve"> Evaluation Matrix for Six selected UNDP Projects</w:t>
      </w:r>
      <w:r w:rsidR="00EA3B8B">
        <w:rPr>
          <w:rFonts w:asciiTheme="minorHAnsi" w:eastAsiaTheme="minorEastAsia" w:hAnsiTheme="minorHAnsi" w:cstheme="minorBidi"/>
        </w:rPr>
        <w:tab/>
      </w:r>
      <w:r w:rsidR="00B840BC">
        <w:rPr>
          <w:rFonts w:asciiTheme="minorHAnsi" w:eastAsiaTheme="minorEastAsia" w:hAnsiTheme="minorHAnsi" w:cstheme="minorBidi"/>
        </w:rPr>
        <w:tab/>
      </w:r>
      <w:r w:rsidR="00B840BC">
        <w:rPr>
          <w:rFonts w:asciiTheme="minorHAnsi" w:eastAsiaTheme="minorEastAsia" w:hAnsiTheme="minorHAnsi" w:cstheme="minorBidi"/>
        </w:rPr>
        <w:tab/>
      </w:r>
      <w:r w:rsidR="00B840BC">
        <w:rPr>
          <w:rFonts w:asciiTheme="minorHAnsi" w:eastAsiaTheme="minorEastAsia" w:hAnsiTheme="minorHAnsi" w:cstheme="minorBidi"/>
        </w:rPr>
        <w:tab/>
      </w:r>
      <w:r w:rsidR="00B840BC">
        <w:rPr>
          <w:rFonts w:asciiTheme="minorHAnsi" w:eastAsiaTheme="minorEastAsia" w:hAnsiTheme="minorHAnsi" w:cstheme="minorBidi"/>
        </w:rPr>
        <w:tab/>
      </w:r>
      <w:r w:rsidR="00B840BC" w:rsidRPr="00B840BC">
        <w:rPr>
          <w:rFonts w:asciiTheme="minorHAnsi" w:eastAsiaTheme="minorEastAsia" w:hAnsiTheme="minorHAnsi" w:cstheme="minorBidi"/>
          <w:b/>
        </w:rPr>
        <w:t xml:space="preserve"> </w:t>
      </w:r>
      <w:r w:rsidR="00B840BC">
        <w:rPr>
          <w:rFonts w:asciiTheme="minorHAnsi" w:eastAsiaTheme="minorEastAsia" w:hAnsiTheme="minorHAnsi" w:cstheme="minorBidi"/>
          <w:b/>
        </w:rPr>
        <w:t xml:space="preserve"> </w:t>
      </w:r>
      <w:r w:rsidR="00B840BC" w:rsidRPr="00B840BC">
        <w:rPr>
          <w:rFonts w:asciiTheme="minorHAnsi" w:eastAsiaTheme="minorEastAsia" w:hAnsiTheme="minorHAnsi" w:cstheme="minorBidi"/>
          <w:b/>
        </w:rPr>
        <w:t>80</w:t>
      </w:r>
    </w:p>
    <w:p w:rsidR="00D22584" w:rsidRPr="009B1C91" w:rsidRDefault="0F73AF2A" w:rsidP="00B840BC">
      <w:pPr>
        <w:spacing w:after="0" w:line="240" w:lineRule="auto"/>
        <w:rPr>
          <w:rFonts w:asciiTheme="minorHAnsi" w:hAnsiTheme="minorHAnsi" w:cstheme="minorHAnsi"/>
        </w:rPr>
      </w:pPr>
      <w:r w:rsidRPr="0F73AF2A">
        <w:rPr>
          <w:rFonts w:asciiTheme="minorHAnsi" w:eastAsiaTheme="minorEastAsia" w:hAnsiTheme="minorHAnsi" w:cstheme="minorBidi"/>
          <w:b/>
          <w:bCs/>
        </w:rPr>
        <w:t>Annex IV:</w:t>
      </w:r>
      <w:r w:rsidRPr="0F73AF2A">
        <w:rPr>
          <w:rFonts w:asciiTheme="minorHAnsi" w:eastAsiaTheme="minorEastAsia" w:hAnsiTheme="minorHAnsi" w:cstheme="minorBidi"/>
        </w:rPr>
        <w:t xml:space="preserve"> List of Contacts, Schedules and Meetings</w:t>
      </w:r>
      <w:r w:rsidR="00B840BC">
        <w:rPr>
          <w:rFonts w:asciiTheme="minorHAnsi" w:eastAsiaTheme="minorEastAsia" w:hAnsiTheme="minorHAnsi" w:cstheme="minorBidi"/>
        </w:rPr>
        <w:tab/>
      </w:r>
      <w:r w:rsidR="00B840BC">
        <w:rPr>
          <w:rFonts w:asciiTheme="minorHAnsi" w:eastAsiaTheme="minorEastAsia" w:hAnsiTheme="minorHAnsi" w:cstheme="minorBidi"/>
        </w:rPr>
        <w:tab/>
      </w:r>
      <w:r w:rsidR="00B840BC">
        <w:rPr>
          <w:rFonts w:asciiTheme="minorHAnsi" w:eastAsiaTheme="minorEastAsia" w:hAnsiTheme="minorHAnsi" w:cstheme="minorBidi"/>
        </w:rPr>
        <w:tab/>
      </w:r>
      <w:r w:rsidR="00B840BC">
        <w:rPr>
          <w:rFonts w:asciiTheme="minorHAnsi" w:eastAsiaTheme="minorEastAsia" w:hAnsiTheme="minorHAnsi" w:cstheme="minorBidi"/>
        </w:rPr>
        <w:tab/>
      </w:r>
      <w:r w:rsidR="00B840BC">
        <w:rPr>
          <w:rFonts w:asciiTheme="minorHAnsi" w:eastAsiaTheme="minorEastAsia" w:hAnsiTheme="minorHAnsi" w:cstheme="minorBidi"/>
        </w:rPr>
        <w:tab/>
        <w:t xml:space="preserve">             </w:t>
      </w:r>
      <w:r w:rsidR="00B840BC" w:rsidRPr="00B840BC">
        <w:rPr>
          <w:rFonts w:asciiTheme="minorHAnsi" w:eastAsiaTheme="minorEastAsia" w:hAnsiTheme="minorHAnsi" w:cstheme="minorBidi"/>
          <w:b/>
        </w:rPr>
        <w:t xml:space="preserve">  107</w:t>
      </w:r>
    </w:p>
    <w:p w:rsidR="003A6FF8" w:rsidRPr="002E4A6D" w:rsidRDefault="0F73AF2A" w:rsidP="00B840BC">
      <w:pPr>
        <w:autoSpaceDE w:val="0"/>
        <w:autoSpaceDN w:val="0"/>
        <w:adjustRightInd w:val="0"/>
        <w:spacing w:after="0" w:line="240" w:lineRule="auto"/>
        <w:rPr>
          <w:rFonts w:asciiTheme="minorHAnsi" w:hAnsiTheme="minorHAnsi" w:cstheme="minorHAnsi"/>
        </w:rPr>
      </w:pPr>
      <w:r w:rsidRPr="0F73AF2A">
        <w:rPr>
          <w:rFonts w:asciiTheme="minorHAnsi" w:eastAsiaTheme="minorEastAsia" w:hAnsiTheme="minorHAnsi" w:cstheme="minorBidi"/>
          <w:b/>
          <w:bCs/>
        </w:rPr>
        <w:t>Annex V:</w:t>
      </w:r>
      <w:r w:rsidRPr="0F73AF2A">
        <w:rPr>
          <w:rFonts w:asciiTheme="minorHAnsi" w:eastAsiaTheme="minorEastAsia" w:hAnsiTheme="minorHAnsi" w:cstheme="minorBidi"/>
        </w:rPr>
        <w:t xml:space="preserve"> List of Selected Documents Reviewed</w:t>
      </w:r>
      <w:r w:rsidR="00B840BC">
        <w:rPr>
          <w:rFonts w:asciiTheme="minorHAnsi" w:eastAsiaTheme="minorEastAsia" w:hAnsiTheme="minorHAnsi" w:cstheme="minorBidi"/>
        </w:rPr>
        <w:tab/>
      </w:r>
      <w:r w:rsidR="00B840BC">
        <w:rPr>
          <w:rFonts w:asciiTheme="minorHAnsi" w:eastAsiaTheme="minorEastAsia" w:hAnsiTheme="minorHAnsi" w:cstheme="minorBidi"/>
        </w:rPr>
        <w:tab/>
      </w:r>
      <w:r w:rsidR="00B840BC">
        <w:rPr>
          <w:rFonts w:asciiTheme="minorHAnsi" w:eastAsiaTheme="minorEastAsia" w:hAnsiTheme="minorHAnsi" w:cstheme="minorBidi"/>
        </w:rPr>
        <w:tab/>
      </w:r>
      <w:r w:rsidR="00B840BC">
        <w:rPr>
          <w:rFonts w:asciiTheme="minorHAnsi" w:eastAsiaTheme="minorEastAsia" w:hAnsiTheme="minorHAnsi" w:cstheme="minorBidi"/>
        </w:rPr>
        <w:tab/>
      </w:r>
      <w:r w:rsidR="00B840BC">
        <w:rPr>
          <w:rFonts w:asciiTheme="minorHAnsi" w:eastAsiaTheme="minorEastAsia" w:hAnsiTheme="minorHAnsi" w:cstheme="minorBidi"/>
        </w:rPr>
        <w:tab/>
      </w:r>
      <w:r w:rsidR="00B840BC">
        <w:rPr>
          <w:rFonts w:asciiTheme="minorHAnsi" w:eastAsiaTheme="minorEastAsia" w:hAnsiTheme="minorHAnsi" w:cstheme="minorBidi"/>
        </w:rPr>
        <w:tab/>
      </w:r>
      <w:r w:rsidR="00B840BC">
        <w:rPr>
          <w:rFonts w:asciiTheme="minorHAnsi" w:eastAsiaTheme="minorEastAsia" w:hAnsiTheme="minorHAnsi" w:cstheme="minorBidi"/>
        </w:rPr>
        <w:tab/>
      </w:r>
      <w:r w:rsidR="00B840BC" w:rsidRPr="00B840BC">
        <w:rPr>
          <w:rFonts w:asciiTheme="minorHAnsi" w:eastAsiaTheme="minorEastAsia" w:hAnsiTheme="minorHAnsi" w:cstheme="minorBidi"/>
          <w:b/>
        </w:rPr>
        <w:t>111</w:t>
      </w:r>
    </w:p>
    <w:p w:rsidR="00D22584" w:rsidRPr="00B36C91" w:rsidRDefault="0F73AF2A" w:rsidP="00D22584">
      <w:pPr>
        <w:autoSpaceDE w:val="0"/>
        <w:autoSpaceDN w:val="0"/>
        <w:adjustRightInd w:val="0"/>
        <w:spacing w:after="0" w:line="240" w:lineRule="auto"/>
        <w:rPr>
          <w:rFonts w:asciiTheme="minorHAnsi" w:hAnsiTheme="minorHAnsi" w:cstheme="minorHAnsi"/>
          <w:b/>
          <w:bCs/>
        </w:rPr>
      </w:pPr>
      <w:r w:rsidRPr="0F73AF2A">
        <w:rPr>
          <w:rFonts w:asciiTheme="minorHAnsi" w:eastAsiaTheme="minorEastAsia" w:hAnsiTheme="minorHAnsi" w:cstheme="minorBidi"/>
          <w:b/>
          <w:bCs/>
        </w:rPr>
        <w:t>Annex VI:</w:t>
      </w:r>
      <w:r w:rsidRPr="0F73AF2A">
        <w:rPr>
          <w:rFonts w:asciiTheme="minorHAnsi" w:eastAsiaTheme="minorEastAsia" w:hAnsiTheme="minorHAnsi" w:cstheme="minorBidi"/>
        </w:rPr>
        <w:t xml:space="preserve"> Macroeconomic Performance by Development Indicators, Bangladesh, 2000-2014</w:t>
      </w:r>
      <w:r w:rsidR="00B36C91">
        <w:rPr>
          <w:rFonts w:asciiTheme="minorHAnsi" w:eastAsiaTheme="minorEastAsia" w:hAnsiTheme="minorHAnsi" w:cstheme="minorBidi"/>
        </w:rPr>
        <w:tab/>
      </w:r>
      <w:r w:rsidR="00B36C91">
        <w:rPr>
          <w:rFonts w:asciiTheme="minorHAnsi" w:eastAsiaTheme="minorEastAsia" w:hAnsiTheme="minorHAnsi" w:cstheme="minorBidi"/>
          <w:b/>
        </w:rPr>
        <w:t>114</w:t>
      </w:r>
    </w:p>
    <w:p w:rsidR="00CE5444" w:rsidRPr="00B36C91" w:rsidRDefault="00CE5444" w:rsidP="00D22584">
      <w:pPr>
        <w:autoSpaceDE w:val="0"/>
        <w:autoSpaceDN w:val="0"/>
        <w:adjustRightInd w:val="0"/>
        <w:spacing w:after="0" w:line="240" w:lineRule="auto"/>
      </w:pPr>
      <w:r w:rsidRPr="0F73AF2A">
        <w:rPr>
          <w:rFonts w:asciiTheme="minorHAnsi" w:eastAsiaTheme="minorEastAsia" w:hAnsiTheme="minorHAnsi" w:cstheme="minorBidi"/>
          <w:b/>
          <w:bCs/>
        </w:rPr>
        <w:t xml:space="preserve">Annex </w:t>
      </w:r>
      <w:r w:rsidR="0082491E" w:rsidRPr="0F73AF2A">
        <w:rPr>
          <w:rFonts w:asciiTheme="minorHAnsi" w:eastAsiaTheme="minorEastAsia" w:hAnsiTheme="minorHAnsi" w:cstheme="minorBidi"/>
          <w:b/>
          <w:bCs/>
        </w:rPr>
        <w:t>VII.a</w:t>
      </w:r>
      <w:r w:rsidRPr="0F73AF2A">
        <w:rPr>
          <w:rFonts w:asciiTheme="minorHAnsi" w:eastAsiaTheme="minorEastAsia" w:hAnsiTheme="minorHAnsi" w:cstheme="minorBidi"/>
          <w:b/>
          <w:bCs/>
        </w:rPr>
        <w:t>:</w:t>
      </w:r>
      <w:r w:rsidR="003C6762">
        <w:rPr>
          <w:rFonts w:asciiTheme="minorHAnsi" w:eastAsiaTheme="minorEastAsia" w:hAnsiTheme="minorHAnsi" w:cstheme="minorBidi"/>
          <w:b/>
          <w:bCs/>
        </w:rPr>
        <w:t xml:space="preserve"> </w:t>
      </w:r>
      <w:r w:rsidRPr="0F73AF2A">
        <w:t>GDP Growth in South-Asian Countries</w:t>
      </w:r>
      <w:r w:rsidR="00B36C91">
        <w:tab/>
      </w:r>
      <w:r w:rsidR="00B36C91">
        <w:tab/>
      </w:r>
      <w:r w:rsidR="00B36C91">
        <w:tab/>
      </w:r>
      <w:r w:rsidR="00B36C91">
        <w:tab/>
      </w:r>
      <w:r w:rsidR="00B36C91">
        <w:tab/>
      </w:r>
      <w:r w:rsidR="00B36C91">
        <w:tab/>
      </w:r>
      <w:r w:rsidR="00B36C91" w:rsidRPr="00B36C91">
        <w:rPr>
          <w:b/>
        </w:rPr>
        <w:t>121</w:t>
      </w:r>
    </w:p>
    <w:p w:rsidR="00B36C91" w:rsidRDefault="00D22584" w:rsidP="002E4A6D">
      <w:pPr>
        <w:tabs>
          <w:tab w:val="left" w:pos="2235"/>
        </w:tabs>
        <w:spacing w:after="0" w:line="240" w:lineRule="auto"/>
        <w:rPr>
          <w:rFonts w:asciiTheme="minorHAnsi" w:eastAsiaTheme="minorEastAsia" w:hAnsiTheme="minorHAnsi" w:cstheme="minorBidi"/>
        </w:rPr>
      </w:pPr>
      <w:r w:rsidRPr="0F73AF2A">
        <w:rPr>
          <w:rFonts w:asciiTheme="minorHAnsi" w:eastAsiaTheme="minorEastAsia" w:hAnsiTheme="minorHAnsi" w:cstheme="minorBidi"/>
          <w:b/>
          <w:bCs/>
        </w:rPr>
        <w:t xml:space="preserve">Annex </w:t>
      </w:r>
      <w:r w:rsidR="00867F81" w:rsidRPr="0F73AF2A">
        <w:rPr>
          <w:rFonts w:asciiTheme="minorHAnsi" w:eastAsiaTheme="minorEastAsia" w:hAnsiTheme="minorHAnsi" w:cstheme="minorBidi"/>
          <w:b/>
          <w:bCs/>
        </w:rPr>
        <w:t>VII</w:t>
      </w:r>
      <w:r w:rsidR="0082491E" w:rsidRPr="0F73AF2A">
        <w:rPr>
          <w:rFonts w:asciiTheme="minorHAnsi" w:eastAsiaTheme="minorEastAsia" w:hAnsiTheme="minorHAnsi" w:cstheme="minorBidi"/>
          <w:b/>
          <w:bCs/>
        </w:rPr>
        <w:t>.b</w:t>
      </w:r>
      <w:r w:rsidRPr="0F73AF2A">
        <w:rPr>
          <w:rFonts w:asciiTheme="minorHAnsi" w:eastAsiaTheme="minorEastAsia" w:hAnsiTheme="minorHAnsi" w:cstheme="minorBidi"/>
          <w:b/>
          <w:bCs/>
        </w:rPr>
        <w:t>:</w:t>
      </w:r>
      <w:r w:rsidRPr="0F73AF2A">
        <w:rPr>
          <w:rFonts w:asciiTheme="minorHAnsi" w:eastAsiaTheme="minorEastAsia" w:hAnsiTheme="minorHAnsi" w:cstheme="minorBidi"/>
        </w:rPr>
        <w:t xml:space="preserve"> Total Number of People Reported Killed and Affected by Disasters </w:t>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sidRPr="00B36C91">
        <w:rPr>
          <w:rFonts w:asciiTheme="minorHAnsi" w:eastAsiaTheme="minorEastAsia" w:hAnsiTheme="minorHAnsi" w:cstheme="minorBidi"/>
          <w:b/>
        </w:rPr>
        <w:t>121</w:t>
      </w:r>
      <w:r w:rsidR="00B36C91">
        <w:rPr>
          <w:rFonts w:asciiTheme="minorHAnsi" w:eastAsiaTheme="minorEastAsia" w:hAnsiTheme="minorHAnsi" w:cstheme="minorBidi"/>
        </w:rPr>
        <w:tab/>
      </w:r>
    </w:p>
    <w:p w:rsidR="003A6FF8" w:rsidRPr="002E4A6D" w:rsidRDefault="00B36C91" w:rsidP="002E4A6D">
      <w:pPr>
        <w:tabs>
          <w:tab w:val="left" w:pos="2235"/>
        </w:tabs>
        <w:spacing w:after="0" w:line="240" w:lineRule="auto"/>
        <w:rPr>
          <w:rFonts w:asciiTheme="minorHAnsi" w:hAnsiTheme="minorHAnsi" w:cstheme="minorHAnsi"/>
          <w:szCs w:val="18"/>
        </w:rPr>
      </w:pPr>
      <w:r>
        <w:rPr>
          <w:rFonts w:asciiTheme="minorHAnsi" w:eastAsiaTheme="minorEastAsia" w:hAnsiTheme="minorHAnsi" w:cstheme="minorBidi"/>
        </w:rPr>
        <w:t xml:space="preserve">                        </w:t>
      </w:r>
      <w:r w:rsidR="00D22584" w:rsidRPr="0F73AF2A">
        <w:rPr>
          <w:rFonts w:asciiTheme="minorHAnsi" w:eastAsiaTheme="minorEastAsia" w:hAnsiTheme="minorHAnsi" w:cstheme="minorBidi"/>
        </w:rPr>
        <w:t>by Country (1994-2013)</w:t>
      </w:r>
    </w:p>
    <w:p w:rsidR="00D22584" w:rsidRPr="00B36C91" w:rsidRDefault="0F73AF2A" w:rsidP="00D22584">
      <w:pPr>
        <w:spacing w:after="0" w:line="240" w:lineRule="auto"/>
        <w:rPr>
          <w:rFonts w:asciiTheme="minorHAnsi" w:hAnsiTheme="minorHAnsi" w:cstheme="minorHAnsi"/>
          <w:b/>
        </w:rPr>
      </w:pPr>
      <w:r w:rsidRPr="0F73AF2A">
        <w:rPr>
          <w:rFonts w:asciiTheme="minorHAnsi" w:eastAsiaTheme="minorEastAsia" w:hAnsiTheme="minorHAnsi" w:cstheme="minorBidi"/>
          <w:b/>
          <w:bCs/>
        </w:rPr>
        <w:t>Annex VIII:</w:t>
      </w:r>
      <w:r w:rsidRPr="0F73AF2A">
        <w:rPr>
          <w:rFonts w:asciiTheme="minorHAnsi" w:eastAsiaTheme="minorEastAsia" w:hAnsiTheme="minorHAnsi" w:cstheme="minorBidi"/>
        </w:rPr>
        <w:t xml:space="preserve"> UNDP CPD Indicator 2012-2016 under Consideration</w:t>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sidRPr="00B36C91">
        <w:rPr>
          <w:rFonts w:asciiTheme="minorHAnsi" w:eastAsiaTheme="minorEastAsia" w:hAnsiTheme="minorHAnsi" w:cstheme="minorBidi"/>
          <w:b/>
        </w:rPr>
        <w:t>122</w:t>
      </w:r>
    </w:p>
    <w:p w:rsidR="003A6FF8" w:rsidRPr="00B36C91" w:rsidRDefault="0F73AF2A" w:rsidP="00D22584">
      <w:pPr>
        <w:spacing w:after="0" w:line="240" w:lineRule="auto"/>
        <w:rPr>
          <w:rFonts w:asciiTheme="minorHAnsi" w:hAnsiTheme="minorHAnsi" w:cstheme="minorHAnsi"/>
          <w:b/>
        </w:rPr>
      </w:pPr>
      <w:r w:rsidRPr="0F73AF2A">
        <w:rPr>
          <w:rFonts w:asciiTheme="minorHAnsi" w:eastAsiaTheme="minorEastAsia" w:hAnsiTheme="minorHAnsi" w:cstheme="minorBidi"/>
          <w:b/>
          <w:bCs/>
        </w:rPr>
        <w:t>Annex IX:</w:t>
      </w:r>
      <w:r w:rsidRPr="0F73AF2A">
        <w:rPr>
          <w:rFonts w:asciiTheme="minorHAnsi" w:eastAsiaTheme="minorEastAsia" w:hAnsiTheme="minorHAnsi" w:cstheme="minorBidi"/>
        </w:rPr>
        <w:t xml:space="preserve"> An Overview of Energy Sector in Bangladesh – Opportunities for UNDP</w:t>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sidRPr="00B36C91">
        <w:rPr>
          <w:rFonts w:asciiTheme="minorHAnsi" w:eastAsiaTheme="minorEastAsia" w:hAnsiTheme="minorHAnsi" w:cstheme="minorBidi"/>
          <w:b/>
        </w:rPr>
        <w:t>123</w:t>
      </w:r>
    </w:p>
    <w:p w:rsidR="00D22584" w:rsidRPr="00B36C91" w:rsidRDefault="0F73AF2A" w:rsidP="00D22584">
      <w:pPr>
        <w:spacing w:after="0" w:line="240" w:lineRule="auto"/>
        <w:rPr>
          <w:rFonts w:asciiTheme="minorHAnsi" w:hAnsiTheme="minorHAnsi" w:cstheme="minorHAnsi"/>
          <w:b/>
        </w:rPr>
      </w:pPr>
      <w:r w:rsidRPr="0F73AF2A">
        <w:rPr>
          <w:rFonts w:asciiTheme="minorHAnsi" w:eastAsiaTheme="minorEastAsia" w:hAnsiTheme="minorHAnsi" w:cstheme="minorBidi"/>
          <w:b/>
          <w:bCs/>
        </w:rPr>
        <w:t>Annex X:</w:t>
      </w:r>
      <w:r w:rsidRPr="0F73AF2A">
        <w:rPr>
          <w:rFonts w:asciiTheme="minorHAnsi" w:eastAsiaTheme="minorEastAsia" w:hAnsiTheme="minorHAnsi" w:cstheme="minorBidi"/>
        </w:rPr>
        <w:t xml:space="preserve"> Components of Resilience by Thematic Area</w:t>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sidRPr="00B36C91">
        <w:rPr>
          <w:rFonts w:asciiTheme="minorHAnsi" w:eastAsiaTheme="minorEastAsia" w:hAnsiTheme="minorHAnsi" w:cstheme="minorBidi"/>
          <w:b/>
        </w:rPr>
        <w:t>142</w:t>
      </w:r>
    </w:p>
    <w:p w:rsidR="00D22584" w:rsidRPr="00B36C91" w:rsidRDefault="0F73AF2A" w:rsidP="00D22584">
      <w:pPr>
        <w:tabs>
          <w:tab w:val="left" w:pos="2235"/>
        </w:tabs>
        <w:spacing w:after="0" w:line="240" w:lineRule="auto"/>
        <w:rPr>
          <w:rFonts w:asciiTheme="minorHAnsi" w:hAnsiTheme="minorHAnsi" w:cstheme="minorHAnsi"/>
          <w:b/>
          <w:szCs w:val="18"/>
        </w:rPr>
      </w:pPr>
      <w:r w:rsidRPr="0F73AF2A">
        <w:rPr>
          <w:rFonts w:asciiTheme="minorHAnsi" w:eastAsiaTheme="minorEastAsia" w:hAnsiTheme="minorHAnsi" w:cstheme="minorBidi"/>
          <w:b/>
          <w:bCs/>
        </w:rPr>
        <w:t>Annex XI</w:t>
      </w:r>
      <w:r w:rsidRPr="0F73AF2A">
        <w:rPr>
          <w:rFonts w:asciiTheme="minorHAnsi" w:eastAsiaTheme="minorEastAsia" w:hAnsiTheme="minorHAnsi" w:cstheme="minorBidi"/>
        </w:rPr>
        <w:t>: Gender Marker for UNDP CCED Cluster Projects 2014-15</w:t>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sidRPr="00B36C91">
        <w:rPr>
          <w:rFonts w:asciiTheme="minorHAnsi" w:eastAsiaTheme="minorEastAsia" w:hAnsiTheme="minorHAnsi" w:cstheme="minorBidi"/>
          <w:b/>
        </w:rPr>
        <w:t>143</w:t>
      </w:r>
    </w:p>
    <w:p w:rsidR="00B36C91" w:rsidRPr="00B36C91" w:rsidRDefault="00D22584" w:rsidP="00D22584">
      <w:pPr>
        <w:spacing w:after="0" w:line="240" w:lineRule="auto"/>
        <w:rPr>
          <w:rFonts w:asciiTheme="minorHAnsi" w:eastAsiaTheme="minorEastAsia" w:hAnsiTheme="minorHAnsi" w:cstheme="minorBidi"/>
          <w:b/>
        </w:rPr>
      </w:pPr>
      <w:r w:rsidRPr="0F73AF2A">
        <w:rPr>
          <w:rFonts w:asciiTheme="minorHAnsi" w:eastAsiaTheme="minorEastAsia" w:hAnsiTheme="minorHAnsi" w:cstheme="minorBidi"/>
          <w:b/>
          <w:bCs/>
        </w:rPr>
        <w:t xml:space="preserve">Annex </w:t>
      </w:r>
      <w:r w:rsidR="00867F81" w:rsidRPr="0F73AF2A">
        <w:rPr>
          <w:rFonts w:asciiTheme="minorHAnsi" w:eastAsiaTheme="minorEastAsia" w:hAnsiTheme="minorHAnsi" w:cstheme="minorBidi"/>
          <w:b/>
          <w:bCs/>
        </w:rPr>
        <w:t>XII.a</w:t>
      </w:r>
      <w:r w:rsidRPr="0F73AF2A">
        <w:rPr>
          <w:rFonts w:asciiTheme="minorHAnsi" w:eastAsiaTheme="minorEastAsia" w:hAnsiTheme="minorHAnsi" w:cstheme="minorBidi"/>
          <w:b/>
          <w:bCs/>
        </w:rPr>
        <w:t>:</w:t>
      </w:r>
      <w:r w:rsidRPr="0F73AF2A">
        <w:rPr>
          <w:rFonts w:asciiTheme="minorHAnsi" w:eastAsiaTheme="minorEastAsia" w:hAnsiTheme="minorHAnsi" w:cstheme="minorBidi"/>
        </w:rPr>
        <w:t xml:space="preserve">  Output Achievements in CCA and DRR (Outcome) by UNDP Interventions </w:t>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sidRPr="00B36C91">
        <w:rPr>
          <w:rFonts w:asciiTheme="minorHAnsi" w:eastAsiaTheme="minorEastAsia" w:hAnsiTheme="minorHAnsi" w:cstheme="minorBidi"/>
          <w:b/>
        </w:rPr>
        <w:t>144</w:t>
      </w:r>
    </w:p>
    <w:p w:rsidR="00D22584" w:rsidRPr="009B1C91" w:rsidRDefault="00B36C91" w:rsidP="00B36C91">
      <w:pPr>
        <w:spacing w:after="0" w:line="240" w:lineRule="auto"/>
        <w:ind w:firstLine="720"/>
        <w:rPr>
          <w:rFonts w:asciiTheme="minorHAnsi" w:hAnsiTheme="minorHAnsi" w:cstheme="minorHAnsi"/>
        </w:rPr>
      </w:pPr>
      <w:r>
        <w:rPr>
          <w:rFonts w:asciiTheme="minorHAnsi" w:eastAsiaTheme="minorEastAsia" w:hAnsiTheme="minorHAnsi" w:cstheme="minorBidi"/>
        </w:rPr>
        <w:t xml:space="preserve">          </w:t>
      </w:r>
      <w:r w:rsidR="00D22584" w:rsidRPr="0F73AF2A">
        <w:rPr>
          <w:rFonts w:asciiTheme="minorHAnsi" w:eastAsiaTheme="minorEastAsia" w:hAnsiTheme="minorHAnsi" w:cstheme="minorBidi"/>
        </w:rPr>
        <w:t>during 2012-</w:t>
      </w:r>
      <w:r w:rsidR="0F73AF2A" w:rsidRPr="0F73AF2A">
        <w:rPr>
          <w:rFonts w:asciiTheme="minorHAnsi" w:eastAsiaTheme="minorEastAsia" w:hAnsiTheme="minorHAnsi" w:cstheme="minorBidi"/>
        </w:rPr>
        <w:t>2014 and a Qualitative Assessment</w:t>
      </w:r>
    </w:p>
    <w:p w:rsidR="00B36C91" w:rsidRPr="00B36C91" w:rsidRDefault="00D22584" w:rsidP="00D22584">
      <w:pPr>
        <w:spacing w:after="0" w:line="240" w:lineRule="auto"/>
        <w:rPr>
          <w:rFonts w:asciiTheme="minorHAnsi" w:eastAsiaTheme="minorEastAsia" w:hAnsiTheme="minorHAnsi" w:cstheme="minorBidi"/>
          <w:b/>
        </w:rPr>
      </w:pPr>
      <w:r w:rsidRPr="0F73AF2A">
        <w:rPr>
          <w:rFonts w:asciiTheme="minorHAnsi" w:eastAsiaTheme="minorEastAsia" w:hAnsiTheme="minorHAnsi" w:cstheme="minorBidi"/>
          <w:b/>
          <w:bCs/>
        </w:rPr>
        <w:t xml:space="preserve">Annex </w:t>
      </w:r>
      <w:r w:rsidR="00867F81" w:rsidRPr="0F73AF2A">
        <w:rPr>
          <w:rFonts w:asciiTheme="minorHAnsi" w:eastAsiaTheme="minorEastAsia" w:hAnsiTheme="minorHAnsi" w:cstheme="minorBidi"/>
          <w:b/>
          <w:bCs/>
        </w:rPr>
        <w:t>XII.b</w:t>
      </w:r>
      <w:r w:rsidRPr="0F73AF2A">
        <w:rPr>
          <w:rFonts w:asciiTheme="minorHAnsi" w:eastAsiaTheme="minorEastAsia" w:hAnsiTheme="minorHAnsi" w:cstheme="minorBidi"/>
          <w:b/>
          <w:bCs/>
        </w:rPr>
        <w:t>:</w:t>
      </w:r>
      <w:r w:rsidRPr="0F73AF2A">
        <w:rPr>
          <w:rFonts w:asciiTheme="minorHAnsi" w:eastAsiaTheme="minorEastAsia" w:hAnsiTheme="minorHAnsi" w:cstheme="minorBidi"/>
        </w:rPr>
        <w:t xml:space="preserve"> Output Achievements in NRM and Energy (Outcome) by UNDP Interventions </w:t>
      </w:r>
      <w:r w:rsidR="00B36C91">
        <w:rPr>
          <w:rFonts w:asciiTheme="minorHAnsi" w:eastAsiaTheme="minorEastAsia" w:hAnsiTheme="minorHAnsi" w:cstheme="minorBidi"/>
        </w:rPr>
        <w:tab/>
      </w:r>
      <w:r w:rsidR="00B36C91" w:rsidRPr="00B36C91">
        <w:rPr>
          <w:rFonts w:asciiTheme="minorHAnsi" w:eastAsiaTheme="minorEastAsia" w:hAnsiTheme="minorHAnsi" w:cstheme="minorBidi"/>
          <w:b/>
        </w:rPr>
        <w:t>147</w:t>
      </w:r>
    </w:p>
    <w:p w:rsidR="00D22584" w:rsidRPr="009B1C91" w:rsidRDefault="00B36C91" w:rsidP="00B36C91">
      <w:pPr>
        <w:spacing w:after="0" w:line="240" w:lineRule="auto"/>
        <w:ind w:left="720"/>
        <w:rPr>
          <w:rFonts w:asciiTheme="minorHAnsi" w:hAnsiTheme="minorHAnsi" w:cstheme="minorHAnsi"/>
        </w:rPr>
      </w:pPr>
      <w:r>
        <w:rPr>
          <w:rFonts w:asciiTheme="minorHAnsi" w:eastAsiaTheme="minorEastAsia" w:hAnsiTheme="minorHAnsi" w:cstheme="minorBidi"/>
        </w:rPr>
        <w:t xml:space="preserve">         </w:t>
      </w:r>
      <w:r w:rsidR="00D22584" w:rsidRPr="0F73AF2A">
        <w:rPr>
          <w:rFonts w:asciiTheme="minorHAnsi" w:eastAsiaTheme="minorEastAsia" w:hAnsiTheme="minorHAnsi" w:cstheme="minorBidi"/>
        </w:rPr>
        <w:t>during 2012-</w:t>
      </w:r>
      <w:r w:rsidR="0F73AF2A" w:rsidRPr="0F73AF2A">
        <w:rPr>
          <w:rFonts w:asciiTheme="minorHAnsi" w:eastAsiaTheme="minorEastAsia" w:hAnsiTheme="minorHAnsi" w:cstheme="minorBidi"/>
        </w:rPr>
        <w:t>2014 and a Qualitative   Assessment</w:t>
      </w:r>
    </w:p>
    <w:p w:rsidR="00D22584" w:rsidRPr="00B36C91" w:rsidRDefault="00D22584" w:rsidP="00D22584">
      <w:pPr>
        <w:spacing w:after="0" w:line="240" w:lineRule="auto"/>
        <w:rPr>
          <w:rFonts w:asciiTheme="minorHAnsi" w:hAnsiTheme="minorHAnsi" w:cstheme="minorHAnsi"/>
          <w:b/>
        </w:rPr>
      </w:pPr>
      <w:r w:rsidRPr="0F73AF2A">
        <w:rPr>
          <w:rFonts w:asciiTheme="minorHAnsi" w:eastAsiaTheme="minorEastAsia" w:hAnsiTheme="minorHAnsi" w:cstheme="minorBidi"/>
          <w:b/>
          <w:bCs/>
        </w:rPr>
        <w:t xml:space="preserve">Annex </w:t>
      </w:r>
      <w:r w:rsidR="00867F81" w:rsidRPr="0F73AF2A">
        <w:rPr>
          <w:rFonts w:asciiTheme="minorHAnsi" w:eastAsiaTheme="minorEastAsia" w:hAnsiTheme="minorHAnsi" w:cstheme="minorBidi"/>
          <w:b/>
          <w:bCs/>
        </w:rPr>
        <w:t>XIII</w:t>
      </w:r>
      <w:r w:rsidRPr="0F73AF2A">
        <w:rPr>
          <w:rFonts w:asciiTheme="minorHAnsi" w:eastAsiaTheme="minorEastAsia" w:hAnsiTheme="minorHAnsi" w:cstheme="minorBidi"/>
          <w:b/>
          <w:bCs/>
        </w:rPr>
        <w:t>:</w:t>
      </w:r>
      <w:r w:rsidRPr="0F73AF2A">
        <w:rPr>
          <w:rFonts w:asciiTheme="minorHAnsi" w:eastAsiaTheme="minorEastAsia" w:hAnsiTheme="minorHAnsi" w:cstheme="minorBidi"/>
        </w:rPr>
        <w:t xml:space="preserve"> Value f</w:t>
      </w:r>
      <w:r w:rsidR="00B36C91">
        <w:rPr>
          <w:rFonts w:asciiTheme="minorHAnsi" w:eastAsiaTheme="minorEastAsia" w:hAnsiTheme="minorHAnsi" w:cstheme="minorBidi"/>
        </w:rPr>
        <w:t xml:space="preserve">or Money (VfM) Analysis for </w:t>
      </w:r>
      <w:r w:rsidRPr="0F73AF2A">
        <w:rPr>
          <w:rFonts w:asciiTheme="minorHAnsi" w:eastAsiaTheme="minorEastAsia" w:hAnsiTheme="minorHAnsi" w:cstheme="minorBidi"/>
        </w:rPr>
        <w:t>S</w:t>
      </w:r>
      <w:r w:rsidR="00B36C91">
        <w:rPr>
          <w:rFonts w:asciiTheme="minorHAnsi" w:eastAsiaTheme="minorEastAsia" w:hAnsiTheme="minorHAnsi" w:cstheme="minorBidi"/>
        </w:rPr>
        <w:t>elected Project Components</w:t>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sidRPr="00B36C91">
        <w:rPr>
          <w:rFonts w:asciiTheme="minorHAnsi" w:eastAsiaTheme="minorEastAsia" w:hAnsiTheme="minorHAnsi" w:cstheme="minorBidi"/>
          <w:b/>
        </w:rPr>
        <w:t>149</w:t>
      </w:r>
    </w:p>
    <w:p w:rsidR="00D22584" w:rsidRPr="00B36C91" w:rsidRDefault="0F73AF2A" w:rsidP="00D22584">
      <w:pPr>
        <w:spacing w:after="0" w:line="240" w:lineRule="auto"/>
        <w:rPr>
          <w:rFonts w:asciiTheme="minorHAnsi" w:hAnsiTheme="minorHAnsi" w:cstheme="minorHAnsi"/>
          <w:b/>
          <w:bCs/>
        </w:rPr>
      </w:pPr>
      <w:r w:rsidRPr="0F73AF2A">
        <w:rPr>
          <w:rFonts w:asciiTheme="minorHAnsi" w:eastAsiaTheme="minorEastAsia" w:hAnsiTheme="minorHAnsi" w:cstheme="minorBidi"/>
          <w:b/>
          <w:bCs/>
        </w:rPr>
        <w:t>Annex XIV:</w:t>
      </w:r>
      <w:r w:rsidRPr="0F73AF2A">
        <w:rPr>
          <w:rFonts w:asciiTheme="minorHAnsi" w:eastAsiaTheme="minorEastAsia" w:hAnsiTheme="minorHAnsi" w:cstheme="minorBidi"/>
        </w:rPr>
        <w:t xml:space="preserve"> Six Selected UNDP Projects Evaluation Matrix by Criteria</w:t>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sidRPr="00B36C91">
        <w:rPr>
          <w:rFonts w:asciiTheme="minorHAnsi" w:eastAsiaTheme="minorEastAsia" w:hAnsiTheme="minorHAnsi" w:cstheme="minorBidi"/>
          <w:b/>
        </w:rPr>
        <w:t>165</w:t>
      </w:r>
    </w:p>
    <w:p w:rsidR="003A6FF8" w:rsidRPr="00B36C91" w:rsidRDefault="0F73AF2A" w:rsidP="00D22584">
      <w:pPr>
        <w:spacing w:after="0" w:line="240" w:lineRule="auto"/>
        <w:rPr>
          <w:rFonts w:asciiTheme="minorHAnsi" w:hAnsiTheme="minorHAnsi" w:cstheme="minorHAnsi"/>
          <w:b/>
        </w:rPr>
      </w:pPr>
      <w:r w:rsidRPr="0F73AF2A">
        <w:rPr>
          <w:rFonts w:asciiTheme="minorHAnsi" w:eastAsiaTheme="minorEastAsia" w:hAnsiTheme="minorHAnsi" w:cstheme="minorBidi"/>
          <w:b/>
          <w:bCs/>
        </w:rPr>
        <w:t>Annex XV:</w:t>
      </w:r>
      <w:r w:rsidRPr="0F73AF2A">
        <w:rPr>
          <w:rFonts w:asciiTheme="minorHAnsi" w:eastAsiaTheme="minorEastAsia" w:hAnsiTheme="minorHAnsi" w:cstheme="minorBidi"/>
        </w:rPr>
        <w:t xml:space="preserve"> Selected Project Progress Report for Six Interventions up to December 2014 </w:t>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sidRPr="00B36C91">
        <w:rPr>
          <w:rFonts w:asciiTheme="minorHAnsi" w:eastAsiaTheme="minorEastAsia" w:hAnsiTheme="minorHAnsi" w:cstheme="minorBidi"/>
          <w:b/>
        </w:rPr>
        <w:t>174</w:t>
      </w:r>
    </w:p>
    <w:p w:rsidR="00D22584" w:rsidRPr="00B36C91" w:rsidRDefault="0F73AF2A" w:rsidP="00D22584">
      <w:pPr>
        <w:spacing w:after="0" w:line="240" w:lineRule="auto"/>
        <w:rPr>
          <w:rFonts w:asciiTheme="minorHAnsi" w:hAnsiTheme="minorHAnsi" w:cstheme="minorHAnsi"/>
          <w:b/>
        </w:rPr>
      </w:pPr>
      <w:r w:rsidRPr="0F73AF2A">
        <w:rPr>
          <w:rFonts w:asciiTheme="minorHAnsi" w:eastAsiaTheme="minorEastAsia" w:hAnsiTheme="minorHAnsi" w:cstheme="minorBidi"/>
          <w:b/>
          <w:bCs/>
        </w:rPr>
        <w:t>Annex XVI:</w:t>
      </w:r>
      <w:r w:rsidRPr="0F73AF2A">
        <w:rPr>
          <w:rFonts w:asciiTheme="minorHAnsi" w:eastAsiaTheme="minorEastAsia" w:hAnsiTheme="minorHAnsi" w:cstheme="minorBidi"/>
        </w:rPr>
        <w:t xml:space="preserve"> Recommendations for Refinement of CPD Indicators</w:t>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sidRPr="00B36C91">
        <w:rPr>
          <w:rFonts w:asciiTheme="minorHAnsi" w:eastAsiaTheme="minorEastAsia" w:hAnsiTheme="minorHAnsi" w:cstheme="minorBidi"/>
          <w:b/>
        </w:rPr>
        <w:t>214</w:t>
      </w:r>
    </w:p>
    <w:p w:rsidR="00D22584" w:rsidRPr="00B36C91" w:rsidRDefault="0F73AF2A" w:rsidP="00D22584">
      <w:pPr>
        <w:spacing w:after="0" w:line="240" w:lineRule="auto"/>
        <w:rPr>
          <w:rFonts w:asciiTheme="minorHAnsi" w:hAnsiTheme="minorHAnsi" w:cstheme="minorHAnsi"/>
          <w:b/>
        </w:rPr>
      </w:pPr>
      <w:r w:rsidRPr="0F73AF2A">
        <w:rPr>
          <w:rFonts w:asciiTheme="minorHAnsi" w:eastAsiaTheme="minorEastAsia" w:hAnsiTheme="minorHAnsi" w:cstheme="minorBidi"/>
          <w:b/>
          <w:bCs/>
        </w:rPr>
        <w:t>Annex XVII:</w:t>
      </w:r>
      <w:r w:rsidRPr="0F73AF2A">
        <w:rPr>
          <w:rFonts w:asciiTheme="minorHAnsi" w:eastAsiaTheme="minorEastAsia" w:hAnsiTheme="minorHAnsi" w:cstheme="minorBidi"/>
        </w:rPr>
        <w:t xml:space="preserve"> Terms of Reference (TOR)</w:t>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Pr>
          <w:rFonts w:asciiTheme="minorHAnsi" w:eastAsiaTheme="minorEastAsia" w:hAnsiTheme="minorHAnsi" w:cstheme="minorBidi"/>
        </w:rPr>
        <w:tab/>
      </w:r>
      <w:r w:rsidR="00B36C91" w:rsidRPr="00B36C91">
        <w:rPr>
          <w:rFonts w:asciiTheme="minorHAnsi" w:eastAsiaTheme="minorEastAsia" w:hAnsiTheme="minorHAnsi" w:cstheme="minorBidi"/>
          <w:b/>
        </w:rPr>
        <w:t>215</w:t>
      </w:r>
    </w:p>
    <w:p w:rsidR="00255A8C" w:rsidRPr="009B1C91" w:rsidRDefault="00255A8C" w:rsidP="00D22584">
      <w:pPr>
        <w:spacing w:after="0" w:line="240" w:lineRule="auto"/>
        <w:rPr>
          <w:rFonts w:asciiTheme="minorHAnsi" w:hAnsiTheme="minorHAnsi" w:cstheme="minorHAnsi"/>
        </w:rPr>
      </w:pPr>
    </w:p>
    <w:p w:rsidR="00255A8C" w:rsidRPr="009B1C91" w:rsidRDefault="00255A8C" w:rsidP="00D22584">
      <w:pPr>
        <w:spacing w:after="0" w:line="240" w:lineRule="auto"/>
        <w:rPr>
          <w:rFonts w:asciiTheme="minorHAnsi" w:hAnsiTheme="minorHAnsi" w:cstheme="minorHAnsi"/>
        </w:rPr>
      </w:pPr>
    </w:p>
    <w:p w:rsidR="00255A8C" w:rsidRPr="009B1C91" w:rsidRDefault="00255A8C" w:rsidP="00D22584">
      <w:pPr>
        <w:spacing w:after="0" w:line="240" w:lineRule="auto"/>
        <w:rPr>
          <w:rFonts w:asciiTheme="minorHAnsi" w:hAnsiTheme="minorHAnsi" w:cstheme="minorHAnsi"/>
        </w:rPr>
      </w:pPr>
    </w:p>
    <w:p w:rsidR="00255A8C" w:rsidRPr="009B1C91" w:rsidRDefault="00255A8C" w:rsidP="00D22584">
      <w:pPr>
        <w:spacing w:after="0" w:line="240" w:lineRule="auto"/>
        <w:rPr>
          <w:rFonts w:asciiTheme="minorHAnsi" w:hAnsiTheme="minorHAnsi" w:cstheme="minorHAnsi"/>
        </w:rPr>
      </w:pPr>
    </w:p>
    <w:p w:rsidR="00255A8C" w:rsidRPr="009B1C91" w:rsidRDefault="00255A8C" w:rsidP="00D22584">
      <w:pPr>
        <w:spacing w:after="0" w:line="240" w:lineRule="auto"/>
        <w:rPr>
          <w:rFonts w:asciiTheme="minorHAnsi" w:hAnsiTheme="minorHAnsi" w:cstheme="minorHAnsi"/>
        </w:rPr>
      </w:pPr>
    </w:p>
    <w:p w:rsidR="00255A8C" w:rsidRPr="009B1C91" w:rsidRDefault="00255A8C" w:rsidP="00D22584">
      <w:pPr>
        <w:spacing w:after="0" w:line="240" w:lineRule="auto"/>
        <w:rPr>
          <w:rFonts w:asciiTheme="minorHAnsi" w:hAnsiTheme="minorHAnsi" w:cstheme="minorHAnsi"/>
        </w:rPr>
      </w:pPr>
    </w:p>
    <w:p w:rsidR="00255A8C" w:rsidRPr="009B1C91" w:rsidRDefault="00255A8C" w:rsidP="00D22584">
      <w:pPr>
        <w:spacing w:after="0" w:line="240" w:lineRule="auto"/>
        <w:rPr>
          <w:rFonts w:asciiTheme="minorHAnsi" w:hAnsiTheme="minorHAnsi" w:cstheme="minorHAnsi"/>
        </w:rPr>
      </w:pPr>
    </w:p>
    <w:p w:rsidR="00255A8C" w:rsidRPr="009B1C91" w:rsidRDefault="00255A8C" w:rsidP="00D22584">
      <w:pPr>
        <w:spacing w:after="0" w:line="240" w:lineRule="auto"/>
        <w:rPr>
          <w:rFonts w:asciiTheme="minorHAnsi" w:hAnsiTheme="minorHAnsi" w:cstheme="minorHAnsi"/>
        </w:rPr>
      </w:pPr>
    </w:p>
    <w:p w:rsidR="00255A8C" w:rsidRPr="009B1C91" w:rsidRDefault="00255A8C" w:rsidP="00D22584">
      <w:pPr>
        <w:spacing w:after="0" w:line="240" w:lineRule="auto"/>
        <w:rPr>
          <w:rFonts w:asciiTheme="minorHAnsi" w:hAnsiTheme="minorHAnsi" w:cstheme="minorHAnsi"/>
        </w:rPr>
      </w:pPr>
    </w:p>
    <w:p w:rsidR="00255A8C" w:rsidRPr="009B1C91" w:rsidRDefault="00255A8C" w:rsidP="00D22584">
      <w:pPr>
        <w:spacing w:after="0" w:line="240" w:lineRule="auto"/>
        <w:rPr>
          <w:rFonts w:asciiTheme="minorHAnsi" w:hAnsiTheme="minorHAnsi" w:cstheme="minorHAnsi"/>
        </w:rPr>
      </w:pPr>
    </w:p>
    <w:p w:rsidR="00255A8C" w:rsidRPr="009B1C91" w:rsidRDefault="00255A8C" w:rsidP="00D22584">
      <w:pPr>
        <w:spacing w:after="0" w:line="240" w:lineRule="auto"/>
        <w:rPr>
          <w:rFonts w:asciiTheme="minorHAnsi" w:hAnsiTheme="minorHAnsi" w:cstheme="minorHAnsi"/>
        </w:rPr>
      </w:pPr>
    </w:p>
    <w:p w:rsidR="00255A8C" w:rsidRPr="009B1C91" w:rsidRDefault="00255A8C" w:rsidP="00D22584">
      <w:pPr>
        <w:spacing w:after="0" w:line="240" w:lineRule="auto"/>
        <w:rPr>
          <w:rFonts w:asciiTheme="minorHAnsi" w:hAnsiTheme="minorHAnsi" w:cstheme="minorHAnsi"/>
        </w:rPr>
      </w:pPr>
    </w:p>
    <w:p w:rsidR="00255A8C" w:rsidRPr="009B1C91" w:rsidRDefault="00255A8C" w:rsidP="00D22584">
      <w:pPr>
        <w:spacing w:after="0" w:line="240" w:lineRule="auto"/>
        <w:rPr>
          <w:rFonts w:asciiTheme="minorHAnsi" w:hAnsiTheme="minorHAnsi" w:cstheme="minorHAnsi"/>
        </w:rPr>
      </w:pPr>
    </w:p>
    <w:p w:rsidR="00255A8C" w:rsidRDefault="00255A8C" w:rsidP="00D22584">
      <w:pPr>
        <w:spacing w:after="0" w:line="240" w:lineRule="auto"/>
        <w:rPr>
          <w:rFonts w:asciiTheme="minorHAnsi" w:hAnsiTheme="minorHAnsi" w:cstheme="minorHAnsi"/>
        </w:rPr>
      </w:pPr>
    </w:p>
    <w:p w:rsidR="003F26F2" w:rsidRDefault="003F26F2" w:rsidP="00D22584">
      <w:pPr>
        <w:spacing w:after="0" w:line="240" w:lineRule="auto"/>
        <w:rPr>
          <w:rFonts w:asciiTheme="minorHAnsi" w:hAnsiTheme="minorHAnsi" w:cstheme="minorHAnsi"/>
        </w:rPr>
      </w:pPr>
    </w:p>
    <w:p w:rsidR="003F26F2" w:rsidRDefault="003F26F2" w:rsidP="00D22584">
      <w:pPr>
        <w:spacing w:after="0" w:line="240" w:lineRule="auto"/>
        <w:rPr>
          <w:rFonts w:asciiTheme="minorHAnsi" w:hAnsiTheme="minorHAnsi" w:cstheme="minorHAnsi"/>
        </w:rPr>
      </w:pPr>
    </w:p>
    <w:p w:rsidR="003F26F2" w:rsidRDefault="003F26F2" w:rsidP="00D22584">
      <w:pPr>
        <w:spacing w:after="0" w:line="240" w:lineRule="auto"/>
        <w:rPr>
          <w:rFonts w:asciiTheme="minorHAnsi" w:hAnsiTheme="minorHAnsi" w:cstheme="minorHAnsi"/>
        </w:rPr>
      </w:pPr>
    </w:p>
    <w:p w:rsidR="003F26F2" w:rsidRDefault="003F26F2" w:rsidP="00D22584">
      <w:pPr>
        <w:spacing w:after="0" w:line="240" w:lineRule="auto"/>
        <w:rPr>
          <w:rFonts w:asciiTheme="minorHAnsi" w:hAnsiTheme="minorHAnsi" w:cstheme="minorHAnsi"/>
        </w:rPr>
      </w:pPr>
    </w:p>
    <w:p w:rsidR="0045259C" w:rsidRDefault="0045259C" w:rsidP="00D22584">
      <w:pPr>
        <w:spacing w:after="0" w:line="240" w:lineRule="auto"/>
        <w:rPr>
          <w:rFonts w:asciiTheme="minorHAnsi" w:hAnsiTheme="minorHAnsi" w:cstheme="minorHAnsi"/>
        </w:rPr>
      </w:pPr>
    </w:p>
    <w:p w:rsidR="0045259C" w:rsidRDefault="0045259C" w:rsidP="00D22584">
      <w:pPr>
        <w:spacing w:after="0" w:line="240" w:lineRule="auto"/>
        <w:rPr>
          <w:rFonts w:asciiTheme="minorHAnsi" w:hAnsiTheme="minorHAnsi" w:cstheme="minorHAnsi"/>
        </w:rPr>
      </w:pPr>
    </w:p>
    <w:p w:rsidR="0045259C" w:rsidRDefault="0045259C" w:rsidP="00D22584">
      <w:pPr>
        <w:spacing w:after="0" w:line="240" w:lineRule="auto"/>
        <w:rPr>
          <w:rFonts w:asciiTheme="minorHAnsi" w:hAnsiTheme="minorHAnsi" w:cstheme="minorHAnsi"/>
        </w:rPr>
      </w:pPr>
    </w:p>
    <w:p w:rsidR="0045259C" w:rsidRDefault="0045259C" w:rsidP="00D22584">
      <w:pPr>
        <w:spacing w:after="0" w:line="240" w:lineRule="auto"/>
        <w:rPr>
          <w:rFonts w:asciiTheme="minorHAnsi" w:hAnsiTheme="minorHAnsi" w:cstheme="minorHAnsi"/>
        </w:rPr>
      </w:pPr>
    </w:p>
    <w:p w:rsidR="0045259C" w:rsidRDefault="0045259C" w:rsidP="00D22584">
      <w:pPr>
        <w:spacing w:after="0" w:line="240" w:lineRule="auto"/>
        <w:rPr>
          <w:rFonts w:asciiTheme="minorHAnsi" w:hAnsiTheme="minorHAnsi" w:cstheme="minorHAnsi"/>
        </w:rPr>
      </w:pPr>
    </w:p>
    <w:p w:rsidR="0045259C" w:rsidRDefault="0045259C" w:rsidP="00D22584">
      <w:pPr>
        <w:spacing w:after="0" w:line="240" w:lineRule="auto"/>
        <w:rPr>
          <w:rFonts w:asciiTheme="minorHAnsi" w:hAnsiTheme="minorHAnsi" w:cstheme="minorHAnsi"/>
        </w:rPr>
      </w:pPr>
    </w:p>
    <w:p w:rsidR="0045259C" w:rsidRPr="009B1C91" w:rsidRDefault="0045259C" w:rsidP="00D22584">
      <w:pPr>
        <w:spacing w:after="0" w:line="240" w:lineRule="auto"/>
        <w:rPr>
          <w:rFonts w:asciiTheme="minorHAnsi" w:hAnsiTheme="minorHAnsi" w:cstheme="minorHAnsi"/>
        </w:rPr>
      </w:pPr>
    </w:p>
    <w:p w:rsidR="00255A8C" w:rsidRPr="009B1C91" w:rsidRDefault="0F73AF2A" w:rsidP="00255A8C">
      <w:pPr>
        <w:spacing w:after="0" w:line="240" w:lineRule="auto"/>
        <w:jc w:val="center"/>
        <w:rPr>
          <w:rFonts w:asciiTheme="minorHAnsi" w:hAnsiTheme="minorHAnsi" w:cstheme="minorHAnsi"/>
          <w:b/>
        </w:rPr>
      </w:pPr>
      <w:r w:rsidRPr="0F73AF2A">
        <w:rPr>
          <w:rFonts w:asciiTheme="minorHAnsi" w:eastAsiaTheme="minorEastAsia" w:hAnsiTheme="minorHAnsi" w:cstheme="minorBidi"/>
          <w:b/>
          <w:bCs/>
        </w:rPr>
        <w:t>List of Acronyms and Abbreviations</w:t>
      </w:r>
    </w:p>
    <w:p w:rsidR="00782C76" w:rsidRPr="009B1C91" w:rsidRDefault="00782C76" w:rsidP="00EC615F">
      <w:pPr>
        <w:spacing w:after="0" w:line="240" w:lineRule="auto"/>
        <w:rPr>
          <w:rFonts w:asciiTheme="minorHAnsi" w:hAnsiTheme="minorHAnsi" w:cstheme="minorHAnsi"/>
          <w:b/>
        </w:rPr>
      </w:pPr>
    </w:p>
    <w:p w:rsidR="00782C76" w:rsidRPr="009B1C91" w:rsidRDefault="00782C76" w:rsidP="00782C76">
      <w:pPr>
        <w:spacing w:after="0" w:line="240" w:lineRule="auto"/>
        <w:rPr>
          <w:rFonts w:asciiTheme="minorHAnsi" w:hAnsiTheme="minorHAnsi" w:cstheme="minorHAnsi"/>
        </w:rPr>
      </w:pP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ADB</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Asian Development Bank</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ADP</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Annual Development Programme</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ADR</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Assessment of Development Results</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APF</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Adaptation Policy Framework</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AusAID</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Australian Agency for International Development</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BCCSAP</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Bangladesh Climate Change Strategy and Action Plan</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BCR</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Benefit Cost ration</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BGDP</w:t>
      </w:r>
      <w:r w:rsidRPr="00EC615F">
        <w:rPr>
          <w:rFonts w:asciiTheme="minorHAnsi" w:hAnsiTheme="minorHAnsi" w:cstheme="minorHAnsi"/>
        </w:rPr>
        <w:tab/>
      </w:r>
      <w:r w:rsidRPr="00EC615F">
        <w:rPr>
          <w:rFonts w:asciiTheme="minorHAnsi" w:hAnsiTheme="minorHAnsi" w:cstheme="minorHAnsi"/>
        </w:rPr>
        <w:tab/>
      </w:r>
      <w:r w:rsidR="00145F3A" w:rsidRPr="0F73AF2A">
        <w:rPr>
          <w:rFonts w:asciiTheme="minorHAnsi" w:eastAsiaTheme="minorEastAsia" w:hAnsiTheme="minorHAnsi" w:cstheme="minorBidi"/>
        </w:rPr>
        <w:t>Bangladesh Green Development Programme</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BRAC</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Bangladesh Rural Advancement Committee</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BRESL</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 xml:space="preserve">Barrier Removal for Energy Standards and Labelling </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BSTI</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Bangladesh Standards and Testing Institution</w:t>
      </w:r>
    </w:p>
    <w:p w:rsidR="0052507B" w:rsidRPr="00EC615F" w:rsidRDefault="00145F3A" w:rsidP="00782C76">
      <w:pPr>
        <w:spacing w:after="0" w:line="240" w:lineRule="auto"/>
        <w:rPr>
          <w:rFonts w:asciiTheme="minorHAnsi" w:hAnsiTheme="minorHAnsi" w:cstheme="minorHAnsi"/>
        </w:rPr>
      </w:pPr>
      <w:r w:rsidRPr="0F73AF2A">
        <w:rPr>
          <w:rFonts w:asciiTheme="minorHAnsi" w:eastAsiaTheme="minorEastAsia" w:hAnsiTheme="minorHAnsi" w:cstheme="minorBidi"/>
        </w:rPr>
        <w:t>BW</w:t>
      </w:r>
      <w:r w:rsidR="0052507B" w:rsidRPr="0F73AF2A">
        <w:rPr>
          <w:rFonts w:asciiTheme="minorHAnsi" w:eastAsiaTheme="minorEastAsia" w:hAnsiTheme="minorHAnsi" w:cstheme="minorBidi"/>
        </w:rPr>
        <w:t>DB</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Bangladesh Water Development Board</w:t>
      </w:r>
    </w:p>
    <w:p w:rsidR="0052507B" w:rsidRPr="00EC615F" w:rsidRDefault="0052507B" w:rsidP="00782C76">
      <w:pPr>
        <w:spacing w:after="0" w:line="240" w:lineRule="auto"/>
        <w:rPr>
          <w:rFonts w:asciiTheme="minorHAnsi" w:hAnsiTheme="minorHAnsi" w:cstheme="minorHAnsi"/>
          <w:bCs/>
        </w:rPr>
      </w:pPr>
      <w:r w:rsidRPr="0F73AF2A">
        <w:rPr>
          <w:rFonts w:asciiTheme="minorHAnsi" w:eastAsiaTheme="minorEastAsia" w:hAnsiTheme="minorHAnsi" w:cstheme="minorBidi"/>
        </w:rPr>
        <w:t>CAS</w:t>
      </w:r>
      <w:r w:rsidRPr="00EC615F">
        <w:rPr>
          <w:rFonts w:asciiTheme="minorHAnsi" w:hAnsiTheme="minorHAnsi" w:cstheme="minorHAnsi"/>
          <w:bCs/>
        </w:rPr>
        <w:tab/>
      </w:r>
      <w:r w:rsidRPr="00EC615F">
        <w:rPr>
          <w:rFonts w:asciiTheme="minorHAnsi" w:hAnsiTheme="minorHAnsi" w:cstheme="minorHAnsi"/>
          <w:bCs/>
        </w:rPr>
        <w:tab/>
      </w:r>
      <w:r w:rsidRPr="0F73AF2A">
        <w:rPr>
          <w:rFonts w:asciiTheme="minorHAnsi" w:eastAsiaTheme="minorEastAsia" w:hAnsiTheme="minorHAnsi" w:cstheme="minorBidi"/>
        </w:rPr>
        <w:t xml:space="preserve">Community Asset Score </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CBA</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Community Based Adaptation</w:t>
      </w:r>
    </w:p>
    <w:p w:rsidR="0052507B" w:rsidRPr="00EC615F" w:rsidRDefault="0052507B" w:rsidP="00782C76">
      <w:pPr>
        <w:spacing w:after="0" w:line="240" w:lineRule="auto"/>
        <w:ind w:left="1440" w:hanging="1440"/>
        <w:rPr>
          <w:rFonts w:asciiTheme="minorHAnsi" w:hAnsiTheme="minorHAnsi" w:cstheme="minorHAnsi"/>
          <w:bCs/>
        </w:rPr>
      </w:pPr>
      <w:r w:rsidRPr="0F73AF2A">
        <w:rPr>
          <w:rFonts w:asciiTheme="minorHAnsi" w:eastAsiaTheme="minorEastAsia" w:hAnsiTheme="minorHAnsi" w:cstheme="minorBidi"/>
        </w:rPr>
        <w:t>CBACC-CF</w:t>
      </w:r>
      <w:r w:rsidRPr="00EC615F">
        <w:rPr>
          <w:rFonts w:asciiTheme="minorHAnsi" w:hAnsiTheme="minorHAnsi" w:cstheme="minorHAnsi"/>
          <w:bCs/>
        </w:rPr>
        <w:tab/>
      </w:r>
      <w:r w:rsidRPr="0F73AF2A">
        <w:rPr>
          <w:rFonts w:asciiTheme="minorHAnsi" w:eastAsiaTheme="minorEastAsia" w:hAnsiTheme="minorHAnsi" w:cstheme="minorBidi"/>
        </w:rPr>
        <w:t>Community Based Adaptation to Climate Change through Co</w:t>
      </w:r>
      <w:r w:rsidR="005E045C" w:rsidRPr="0F73AF2A">
        <w:rPr>
          <w:rFonts w:asciiTheme="minorHAnsi" w:eastAsiaTheme="minorEastAsia" w:hAnsiTheme="minorHAnsi" w:cstheme="minorBidi"/>
        </w:rPr>
        <w:t xml:space="preserve">stal Afforestation </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CBO</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Community Based Organization</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CBRM</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 xml:space="preserve">Community-Based Natural Resource Management </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CC</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Climate Change</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CCA</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Climate Change Adaptation</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CCC</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Climate Change Cell</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CCED</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Climate Change Environment Disaster</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CDMP</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Comprehensive Disaster Management Programme</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CFL</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Compact Fluorescent Lamp</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COP</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Conference of Parties</w:t>
      </w:r>
    </w:p>
    <w:p w:rsidR="0052507B" w:rsidRPr="00EC615F" w:rsidRDefault="0052507B" w:rsidP="00782C76">
      <w:pPr>
        <w:spacing w:after="0" w:line="240" w:lineRule="auto"/>
        <w:rPr>
          <w:rFonts w:asciiTheme="minorHAnsi" w:eastAsia="Cambria" w:hAnsiTheme="minorHAnsi" w:cstheme="minorHAnsi"/>
          <w:bCs/>
        </w:rPr>
      </w:pPr>
      <w:r w:rsidRPr="0F73AF2A">
        <w:rPr>
          <w:rFonts w:asciiTheme="minorHAnsi" w:eastAsiaTheme="minorEastAsia" w:hAnsiTheme="minorHAnsi" w:cstheme="minorBidi"/>
        </w:rPr>
        <w:t>CP</w:t>
      </w:r>
      <w:r w:rsidRPr="00EC615F">
        <w:rPr>
          <w:rFonts w:asciiTheme="minorHAnsi" w:eastAsia="Cambria" w:hAnsiTheme="minorHAnsi" w:cstheme="minorHAnsi"/>
          <w:b/>
          <w:bCs/>
        </w:rPr>
        <w:tab/>
      </w:r>
      <w:r w:rsidRPr="00EC615F">
        <w:rPr>
          <w:rFonts w:asciiTheme="minorHAnsi" w:eastAsia="Cambria" w:hAnsiTheme="minorHAnsi" w:cstheme="minorHAnsi"/>
          <w:b/>
          <w:bCs/>
        </w:rPr>
        <w:tab/>
      </w:r>
      <w:r w:rsidRPr="0F73AF2A">
        <w:rPr>
          <w:rFonts w:asciiTheme="minorHAnsi" w:eastAsiaTheme="minorEastAsia" w:hAnsiTheme="minorHAnsi" w:cstheme="minorBidi"/>
        </w:rPr>
        <w:t xml:space="preserve">Country Programme </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CPD</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Country Programme Document</w:t>
      </w:r>
    </w:p>
    <w:p w:rsidR="0052507B" w:rsidRPr="00EC615F" w:rsidRDefault="0052507B" w:rsidP="00782C76">
      <w:pPr>
        <w:spacing w:after="0" w:line="240" w:lineRule="auto"/>
        <w:rPr>
          <w:rFonts w:asciiTheme="minorHAnsi" w:hAnsiTheme="minorHAnsi" w:cstheme="minorHAnsi"/>
          <w:bCs/>
        </w:rPr>
      </w:pPr>
      <w:r w:rsidRPr="0F73AF2A">
        <w:rPr>
          <w:rFonts w:asciiTheme="minorHAnsi" w:eastAsiaTheme="minorEastAsia" w:hAnsiTheme="minorHAnsi" w:cstheme="minorBidi"/>
        </w:rPr>
        <w:t>CPEIR</w:t>
      </w:r>
      <w:r w:rsidRPr="00EC615F">
        <w:rPr>
          <w:rFonts w:asciiTheme="minorHAnsi" w:hAnsiTheme="minorHAnsi" w:cstheme="minorHAnsi"/>
          <w:bCs/>
        </w:rPr>
        <w:tab/>
      </w:r>
      <w:r w:rsidRPr="00EC615F">
        <w:rPr>
          <w:rFonts w:asciiTheme="minorHAnsi" w:hAnsiTheme="minorHAnsi" w:cstheme="minorHAnsi"/>
          <w:bCs/>
        </w:rPr>
        <w:tab/>
      </w:r>
      <w:r w:rsidRPr="0F73AF2A">
        <w:rPr>
          <w:rFonts w:asciiTheme="minorHAnsi" w:eastAsiaTheme="minorEastAsia" w:hAnsiTheme="minorHAnsi" w:cstheme="minorBidi"/>
        </w:rPr>
        <w:t xml:space="preserve">Climate Public Expenditure and Institutional Review </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CSOs</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Civil Society Organizations</w:t>
      </w:r>
    </w:p>
    <w:p w:rsidR="0052507B" w:rsidRPr="00EC615F" w:rsidRDefault="0052507B" w:rsidP="00782C76">
      <w:pPr>
        <w:spacing w:after="0" w:line="240" w:lineRule="auto"/>
        <w:rPr>
          <w:rFonts w:asciiTheme="minorHAnsi" w:hAnsiTheme="minorHAnsi" w:cstheme="minorHAnsi"/>
          <w:shd w:val="clear" w:color="auto" w:fill="FFFFFF"/>
        </w:rPr>
      </w:pPr>
      <w:r w:rsidRPr="0F73AF2A">
        <w:rPr>
          <w:rFonts w:asciiTheme="minorHAnsi" w:eastAsiaTheme="minorEastAsia" w:hAnsiTheme="minorHAnsi" w:cstheme="minorBidi"/>
          <w:shd w:val="clear" w:color="auto" w:fill="FFFFFF"/>
        </w:rPr>
        <w:t>CWBMP</w:t>
      </w:r>
      <w:r w:rsidRPr="00EC615F">
        <w:rPr>
          <w:rFonts w:asciiTheme="minorHAnsi" w:hAnsiTheme="minorHAnsi" w:cstheme="minorHAnsi"/>
          <w:shd w:val="clear" w:color="auto" w:fill="FFFFFF"/>
        </w:rPr>
        <w:tab/>
      </w:r>
      <w:r w:rsidRPr="0F73AF2A">
        <w:rPr>
          <w:rFonts w:asciiTheme="minorHAnsi" w:eastAsiaTheme="minorEastAsia" w:hAnsiTheme="minorHAnsi" w:cstheme="minorBidi"/>
          <w:shd w:val="clear" w:color="auto" w:fill="FFFFFF"/>
        </w:rPr>
        <w:t>Coastal Wetland Biodiversity Management Programme</w:t>
      </w:r>
    </w:p>
    <w:p w:rsidR="0052507B" w:rsidRPr="00EC615F" w:rsidRDefault="0052507B" w:rsidP="00782C76">
      <w:pPr>
        <w:spacing w:after="0" w:line="240" w:lineRule="auto"/>
        <w:rPr>
          <w:rFonts w:asciiTheme="minorHAnsi" w:hAnsiTheme="minorHAnsi" w:cstheme="minorHAnsi"/>
          <w:bCs/>
        </w:rPr>
      </w:pPr>
      <w:r w:rsidRPr="0F73AF2A">
        <w:rPr>
          <w:rFonts w:asciiTheme="minorHAnsi" w:eastAsiaTheme="minorEastAsia" w:hAnsiTheme="minorHAnsi" w:cstheme="minorBidi"/>
        </w:rPr>
        <w:t>DDM</w:t>
      </w:r>
      <w:r w:rsidRPr="00EC615F">
        <w:rPr>
          <w:rFonts w:asciiTheme="minorHAnsi" w:hAnsiTheme="minorHAnsi" w:cstheme="minorHAnsi"/>
          <w:bCs/>
        </w:rPr>
        <w:tab/>
      </w:r>
      <w:r w:rsidRPr="00EC615F">
        <w:rPr>
          <w:rFonts w:asciiTheme="minorHAnsi" w:hAnsiTheme="minorHAnsi" w:cstheme="minorHAnsi"/>
          <w:bCs/>
        </w:rPr>
        <w:tab/>
      </w:r>
      <w:r w:rsidRPr="0F73AF2A">
        <w:rPr>
          <w:rFonts w:asciiTheme="minorHAnsi" w:eastAsiaTheme="minorEastAsia" w:hAnsiTheme="minorHAnsi" w:cstheme="minorBidi"/>
        </w:rPr>
        <w:t>Department of Disaster Management</w:t>
      </w:r>
    </w:p>
    <w:p w:rsidR="0052507B" w:rsidRPr="00EC615F" w:rsidRDefault="0052507B" w:rsidP="00782C76">
      <w:pPr>
        <w:spacing w:after="0" w:line="240" w:lineRule="auto"/>
        <w:rPr>
          <w:rFonts w:asciiTheme="minorHAnsi" w:hAnsiTheme="minorHAnsi" w:cstheme="minorHAnsi"/>
          <w:bCs/>
        </w:rPr>
      </w:pPr>
      <w:r w:rsidRPr="0F73AF2A">
        <w:rPr>
          <w:rFonts w:asciiTheme="minorHAnsi" w:eastAsiaTheme="minorEastAsia" w:hAnsiTheme="minorHAnsi" w:cstheme="minorBidi"/>
        </w:rPr>
        <w:t>DFID</w:t>
      </w:r>
      <w:r w:rsidRPr="00EC615F">
        <w:rPr>
          <w:rFonts w:asciiTheme="minorHAnsi" w:hAnsiTheme="minorHAnsi" w:cstheme="minorHAnsi"/>
          <w:bCs/>
        </w:rPr>
        <w:tab/>
      </w:r>
      <w:r w:rsidRPr="00EC615F">
        <w:rPr>
          <w:rFonts w:asciiTheme="minorHAnsi" w:hAnsiTheme="minorHAnsi" w:cstheme="minorHAnsi"/>
          <w:bCs/>
        </w:rPr>
        <w:tab/>
      </w:r>
      <w:r w:rsidRPr="0F73AF2A">
        <w:rPr>
          <w:rFonts w:asciiTheme="minorHAnsi" w:eastAsiaTheme="minorEastAsia" w:hAnsiTheme="minorHAnsi" w:cstheme="minorBidi"/>
        </w:rPr>
        <w:t>Department for International Development</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DM</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Disaster Management</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DMB</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Disaster Management Bureau</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DMC</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Disaster Management Committee</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DoE</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Department of Environment</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DPHE</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Department of Public Health</w:t>
      </w:r>
    </w:p>
    <w:p w:rsidR="0052507B" w:rsidRPr="00EC615F" w:rsidRDefault="0052507B" w:rsidP="00782C76">
      <w:pPr>
        <w:spacing w:after="0" w:line="240" w:lineRule="auto"/>
        <w:rPr>
          <w:rFonts w:asciiTheme="minorHAnsi" w:hAnsiTheme="minorHAnsi" w:cstheme="minorHAnsi"/>
          <w:bCs/>
        </w:rPr>
      </w:pPr>
      <w:r w:rsidRPr="0F73AF2A">
        <w:rPr>
          <w:rFonts w:asciiTheme="minorHAnsi" w:eastAsiaTheme="minorEastAsia" w:hAnsiTheme="minorHAnsi" w:cstheme="minorBidi"/>
        </w:rPr>
        <w:t>DPP</w:t>
      </w:r>
      <w:r w:rsidRPr="00EC615F">
        <w:rPr>
          <w:rFonts w:asciiTheme="minorHAnsi" w:hAnsiTheme="minorHAnsi" w:cstheme="minorHAnsi"/>
          <w:bCs/>
        </w:rPr>
        <w:tab/>
      </w:r>
      <w:r w:rsidRPr="00EC615F">
        <w:rPr>
          <w:rFonts w:asciiTheme="minorHAnsi" w:hAnsiTheme="minorHAnsi" w:cstheme="minorHAnsi"/>
          <w:bCs/>
        </w:rPr>
        <w:tab/>
      </w:r>
      <w:r w:rsidRPr="0F73AF2A">
        <w:rPr>
          <w:rFonts w:asciiTheme="minorHAnsi" w:eastAsiaTheme="minorEastAsia" w:hAnsiTheme="minorHAnsi" w:cstheme="minorBidi"/>
        </w:rPr>
        <w:t>Development Project Proposal</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DRH</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Disaster Resilient Habitat</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DRR</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Disaster Risk Reduction</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lastRenderedPageBreak/>
        <w:t>DRRF</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Disaster Relief and Response Facility</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EB</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Electronic Ballast</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ECA</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Ecologically Critical Areas</w:t>
      </w:r>
    </w:p>
    <w:p w:rsidR="0052507B" w:rsidRPr="00EC615F" w:rsidRDefault="0052507B" w:rsidP="00782C76">
      <w:pPr>
        <w:spacing w:after="0" w:line="240" w:lineRule="auto"/>
        <w:rPr>
          <w:rFonts w:asciiTheme="minorHAnsi" w:hAnsiTheme="minorHAnsi" w:cstheme="minorHAnsi"/>
          <w:bCs/>
        </w:rPr>
      </w:pPr>
      <w:r w:rsidRPr="0F73AF2A">
        <w:rPr>
          <w:rFonts w:asciiTheme="minorHAnsi" w:eastAsiaTheme="minorEastAsia" w:hAnsiTheme="minorHAnsi" w:cstheme="minorBidi"/>
        </w:rPr>
        <w:t>ECDVI</w:t>
      </w:r>
      <w:r w:rsidRPr="00EC615F">
        <w:rPr>
          <w:rFonts w:asciiTheme="minorHAnsi" w:hAnsiTheme="minorHAnsi" w:cstheme="minorHAnsi"/>
          <w:bCs/>
        </w:rPr>
        <w:tab/>
      </w:r>
      <w:r w:rsidRPr="00EC615F">
        <w:rPr>
          <w:rFonts w:asciiTheme="minorHAnsi" w:hAnsiTheme="minorHAnsi" w:cstheme="minorHAnsi"/>
          <w:bCs/>
        </w:rPr>
        <w:tab/>
      </w:r>
      <w:r w:rsidRPr="0F73AF2A">
        <w:rPr>
          <w:rFonts w:asciiTheme="minorHAnsi" w:eastAsiaTheme="minorEastAsia" w:hAnsiTheme="minorHAnsi" w:cstheme="minorBidi"/>
        </w:rPr>
        <w:t xml:space="preserve">Environment, Climate and Disaster Vulnerability Index </w:t>
      </w:r>
    </w:p>
    <w:p w:rsidR="0052507B" w:rsidRPr="00EC615F" w:rsidRDefault="0052507B" w:rsidP="00782C76">
      <w:pPr>
        <w:pStyle w:val="Default"/>
        <w:rPr>
          <w:rFonts w:asciiTheme="minorHAnsi" w:hAnsiTheme="minorHAnsi" w:cstheme="minorHAnsi"/>
          <w:color w:val="auto"/>
          <w:sz w:val="22"/>
          <w:szCs w:val="22"/>
        </w:rPr>
      </w:pPr>
      <w:r w:rsidRPr="00EC615F">
        <w:rPr>
          <w:rFonts w:asciiTheme="minorHAnsi" w:hAnsiTheme="minorHAnsi" w:cstheme="minorHAnsi"/>
          <w:color w:val="auto"/>
          <w:sz w:val="22"/>
          <w:szCs w:val="22"/>
        </w:rPr>
        <w:t>EE</w:t>
      </w:r>
      <w:r w:rsidRPr="00EC615F">
        <w:rPr>
          <w:rFonts w:asciiTheme="minorHAnsi" w:hAnsiTheme="minorHAnsi" w:cstheme="minorHAnsi"/>
          <w:color w:val="auto"/>
          <w:sz w:val="22"/>
          <w:szCs w:val="22"/>
        </w:rPr>
        <w:tab/>
      </w:r>
      <w:r w:rsidRPr="00EC615F">
        <w:rPr>
          <w:rFonts w:asciiTheme="minorHAnsi" w:hAnsiTheme="minorHAnsi" w:cstheme="minorHAnsi"/>
          <w:color w:val="auto"/>
          <w:sz w:val="22"/>
          <w:szCs w:val="22"/>
        </w:rPr>
        <w:tab/>
        <w:t xml:space="preserve">Energy Efficiency </w:t>
      </w:r>
    </w:p>
    <w:p w:rsidR="0052507B" w:rsidRPr="00EC615F" w:rsidRDefault="00145F3A" w:rsidP="00782C76">
      <w:pPr>
        <w:spacing w:after="0" w:line="240" w:lineRule="auto"/>
        <w:rPr>
          <w:rFonts w:asciiTheme="minorHAnsi" w:hAnsiTheme="minorHAnsi" w:cstheme="minorHAnsi"/>
        </w:rPr>
      </w:pPr>
      <w:r w:rsidRPr="0F73AF2A">
        <w:rPr>
          <w:rFonts w:asciiTheme="minorHAnsi" w:eastAsiaTheme="minorEastAsia" w:hAnsiTheme="minorHAnsi" w:cstheme="minorBidi"/>
        </w:rPr>
        <w:t>EE&amp;C</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Energy Efficiency and Conservation</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EM</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Emergency Management</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ER</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Early Recovery</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ERF</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Early Recovery Facility</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EU</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European Union</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EWS</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Early Warning System</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FAO</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Food and Agricultural Organization</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FAP</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Flood Action Plan</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FFF</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 xml:space="preserve"> Forest, Fish, and Fruit </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FGDs</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Focus Group Discussions</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FYP</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Five Year Plan</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GCF</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Green Climate Fund</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GDP</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Gross Domestic Products</w:t>
      </w:r>
    </w:p>
    <w:p w:rsidR="0052507B" w:rsidRPr="00EC615F" w:rsidRDefault="0052507B" w:rsidP="00782C76">
      <w:pPr>
        <w:spacing w:after="0" w:line="240" w:lineRule="auto"/>
        <w:rPr>
          <w:rFonts w:asciiTheme="minorHAnsi" w:hAnsiTheme="minorHAnsi" w:cstheme="minorHAnsi"/>
          <w:bCs/>
        </w:rPr>
      </w:pPr>
      <w:r w:rsidRPr="0F73AF2A">
        <w:rPr>
          <w:rFonts w:asciiTheme="minorHAnsi" w:eastAsiaTheme="minorEastAsia" w:hAnsiTheme="minorHAnsi" w:cstheme="minorBidi"/>
        </w:rPr>
        <w:t>GED</w:t>
      </w:r>
      <w:r w:rsidRPr="00EC615F">
        <w:rPr>
          <w:rFonts w:asciiTheme="minorHAnsi" w:hAnsiTheme="minorHAnsi" w:cstheme="minorHAnsi"/>
          <w:bCs/>
        </w:rPr>
        <w:tab/>
      </w:r>
      <w:r w:rsidRPr="00EC615F">
        <w:rPr>
          <w:rFonts w:asciiTheme="minorHAnsi" w:hAnsiTheme="minorHAnsi" w:cstheme="minorHAnsi"/>
          <w:bCs/>
        </w:rPr>
        <w:tab/>
      </w:r>
      <w:r w:rsidRPr="0F73AF2A">
        <w:rPr>
          <w:rFonts w:asciiTheme="minorHAnsi" w:eastAsiaTheme="minorEastAsia" w:hAnsiTheme="minorHAnsi" w:cstheme="minorBidi"/>
        </w:rPr>
        <w:t>General Economic Division</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GEF</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Global Environment Facility</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GGCA</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 xml:space="preserve"> Global Gender and Climate Change Alliance </w:t>
      </w:r>
    </w:p>
    <w:p w:rsidR="0052507B" w:rsidRPr="00EC615F" w:rsidRDefault="0052507B" w:rsidP="00782C76">
      <w:pPr>
        <w:spacing w:after="0" w:line="240" w:lineRule="auto"/>
        <w:rPr>
          <w:rStyle w:val="apple-converted-space"/>
          <w:rFonts w:asciiTheme="minorHAnsi" w:hAnsiTheme="minorHAnsi" w:cstheme="minorHAnsi"/>
          <w:shd w:val="clear" w:color="auto" w:fill="FFFFFF"/>
        </w:rPr>
      </w:pPr>
      <w:r w:rsidRPr="0F73AF2A">
        <w:rPr>
          <w:rFonts w:asciiTheme="minorHAnsi" w:eastAsiaTheme="minorEastAsia" w:hAnsiTheme="minorHAnsi" w:cstheme="minorBidi"/>
          <w:shd w:val="clear" w:color="auto" w:fill="FFFFFF"/>
        </w:rPr>
        <w:t>GIZ</w:t>
      </w:r>
      <w:r w:rsidRPr="00EC615F">
        <w:rPr>
          <w:rFonts w:asciiTheme="minorHAnsi" w:hAnsiTheme="minorHAnsi" w:cstheme="minorHAnsi"/>
          <w:shd w:val="clear" w:color="auto" w:fill="FFFFFF"/>
        </w:rPr>
        <w:tab/>
      </w:r>
      <w:r w:rsidRPr="00EC615F">
        <w:rPr>
          <w:rFonts w:asciiTheme="minorHAnsi" w:hAnsiTheme="minorHAnsi" w:cstheme="minorHAnsi"/>
          <w:shd w:val="clear" w:color="auto" w:fill="FFFFFF"/>
        </w:rPr>
        <w:tab/>
      </w:r>
      <w:r w:rsidRPr="0F73AF2A">
        <w:rPr>
          <w:rFonts w:asciiTheme="minorHAnsi" w:eastAsiaTheme="minorEastAsia" w:hAnsiTheme="minorHAnsi" w:cstheme="minorBidi"/>
          <w:shd w:val="clear" w:color="auto" w:fill="FFFFFF"/>
        </w:rPr>
        <w:t>The Deutsche Gesellschaft</w:t>
      </w:r>
      <w:r w:rsidR="003C6762">
        <w:rPr>
          <w:rFonts w:asciiTheme="minorHAnsi" w:eastAsiaTheme="minorEastAsia" w:hAnsiTheme="minorHAnsi" w:cstheme="minorBidi"/>
          <w:shd w:val="clear" w:color="auto" w:fill="FFFFFF"/>
        </w:rPr>
        <w:t xml:space="preserve"> </w:t>
      </w:r>
      <w:r w:rsidRPr="0F73AF2A">
        <w:rPr>
          <w:rFonts w:asciiTheme="minorHAnsi" w:eastAsiaTheme="minorEastAsia" w:hAnsiTheme="minorHAnsi" w:cstheme="minorBidi"/>
          <w:shd w:val="clear" w:color="auto" w:fill="FFFFFF"/>
        </w:rPr>
        <w:t>für</w:t>
      </w:r>
      <w:r w:rsidR="003C6762">
        <w:rPr>
          <w:rFonts w:asciiTheme="minorHAnsi" w:eastAsiaTheme="minorEastAsia" w:hAnsiTheme="minorHAnsi" w:cstheme="minorBidi"/>
          <w:shd w:val="clear" w:color="auto" w:fill="FFFFFF"/>
        </w:rPr>
        <w:t xml:space="preserve"> </w:t>
      </w:r>
      <w:r w:rsidRPr="0F73AF2A">
        <w:rPr>
          <w:rFonts w:asciiTheme="minorHAnsi" w:eastAsiaTheme="minorEastAsia" w:hAnsiTheme="minorHAnsi" w:cstheme="minorBidi"/>
          <w:shd w:val="clear" w:color="auto" w:fill="FFFFFF"/>
        </w:rPr>
        <w:t>Internationale</w:t>
      </w:r>
      <w:r w:rsidR="003C6762">
        <w:rPr>
          <w:rFonts w:asciiTheme="minorHAnsi" w:eastAsiaTheme="minorEastAsia" w:hAnsiTheme="minorHAnsi" w:cstheme="minorBidi"/>
          <w:shd w:val="clear" w:color="auto" w:fill="FFFFFF"/>
        </w:rPr>
        <w:t xml:space="preserve"> </w:t>
      </w:r>
      <w:r w:rsidRPr="0F73AF2A">
        <w:rPr>
          <w:rFonts w:asciiTheme="minorHAnsi" w:eastAsiaTheme="minorEastAsia" w:hAnsiTheme="minorHAnsi" w:cstheme="minorBidi"/>
          <w:shd w:val="clear" w:color="auto" w:fill="FFFFFF"/>
        </w:rPr>
        <w:t>Zusammenarbeit</w:t>
      </w:r>
      <w:r w:rsidRPr="0F73AF2A">
        <w:rPr>
          <w:rStyle w:val="apple-converted-space"/>
          <w:rFonts w:asciiTheme="minorHAnsi" w:eastAsiaTheme="minorEastAsia" w:hAnsiTheme="minorHAnsi" w:cstheme="minorBidi"/>
          <w:shd w:val="clear" w:color="auto" w:fill="FFFFFF"/>
        </w:rPr>
        <w:t> </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GoB</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Government of Bangladesh</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HHK</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Hybrid Hoffman Kiln</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ICT</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Information and Communication Technology</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IDCOL</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Infrastructure Development Company Limited</w:t>
      </w:r>
    </w:p>
    <w:p w:rsidR="0052507B" w:rsidRPr="00EC615F" w:rsidRDefault="0052507B" w:rsidP="00782C76">
      <w:pPr>
        <w:spacing w:after="0" w:line="240" w:lineRule="auto"/>
        <w:rPr>
          <w:rFonts w:asciiTheme="minorHAnsi" w:hAnsiTheme="minorHAnsi" w:cstheme="minorHAnsi"/>
          <w:shd w:val="clear" w:color="auto" w:fill="FFFFFF"/>
        </w:rPr>
      </w:pPr>
      <w:r w:rsidRPr="0F73AF2A">
        <w:rPr>
          <w:rStyle w:val="apple-converted-space"/>
          <w:rFonts w:asciiTheme="minorHAnsi" w:eastAsiaTheme="minorEastAsia" w:hAnsiTheme="minorHAnsi" w:cstheme="minorBidi"/>
          <w:shd w:val="clear" w:color="auto" w:fill="FFFFFF"/>
        </w:rPr>
        <w:t>IFC</w:t>
      </w:r>
      <w:r w:rsidR="00145F3A" w:rsidRPr="00EC615F">
        <w:rPr>
          <w:rStyle w:val="apple-converted-space"/>
          <w:rFonts w:asciiTheme="minorHAnsi" w:hAnsiTheme="minorHAnsi" w:cstheme="minorHAnsi"/>
          <w:shd w:val="clear" w:color="auto" w:fill="FFFFFF"/>
        </w:rPr>
        <w:tab/>
      </w:r>
      <w:r w:rsidR="00145F3A" w:rsidRPr="00EC615F">
        <w:rPr>
          <w:rStyle w:val="apple-converted-space"/>
          <w:rFonts w:asciiTheme="minorHAnsi" w:hAnsiTheme="minorHAnsi" w:cstheme="minorHAnsi"/>
          <w:shd w:val="clear" w:color="auto" w:fill="FFFFFF"/>
        </w:rPr>
        <w:tab/>
      </w:r>
      <w:r w:rsidR="00145F3A" w:rsidRPr="0F73AF2A">
        <w:rPr>
          <w:rStyle w:val="apple-converted-space"/>
          <w:rFonts w:asciiTheme="minorHAnsi" w:eastAsiaTheme="minorEastAsia" w:hAnsiTheme="minorHAnsi" w:cstheme="minorBidi"/>
          <w:shd w:val="clear" w:color="auto" w:fill="FFFFFF"/>
        </w:rPr>
        <w:t>International Finance Corporation</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IGAs</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Income Generating Activities</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IKEBMI</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 xml:space="preserve">Improving Kiln Efficiency in the Brick Making Industry </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INDC</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Intended Nationally Determined Contribution</w:t>
      </w:r>
    </w:p>
    <w:p w:rsidR="0052507B" w:rsidRPr="00EC615F" w:rsidRDefault="00423BB4" w:rsidP="00782C76">
      <w:pPr>
        <w:spacing w:after="0" w:line="240" w:lineRule="auto"/>
        <w:rPr>
          <w:rFonts w:asciiTheme="minorHAnsi" w:hAnsiTheme="minorHAnsi" w:cstheme="minorHAnsi"/>
        </w:rPr>
      </w:pPr>
      <w:r w:rsidRPr="0F73AF2A">
        <w:rPr>
          <w:rFonts w:asciiTheme="minorHAnsi" w:eastAsiaTheme="minorEastAsia" w:hAnsiTheme="minorHAnsi" w:cstheme="minorBidi"/>
        </w:rPr>
        <w:t>INGOs</w:t>
      </w:r>
      <w:r>
        <w:rPr>
          <w:rFonts w:asciiTheme="minorHAnsi" w:hAnsiTheme="minorHAnsi" w:cstheme="minorHAnsi"/>
        </w:rPr>
        <w:tab/>
      </w:r>
      <w:r>
        <w:rPr>
          <w:rFonts w:asciiTheme="minorHAnsi" w:hAnsiTheme="minorHAnsi" w:cstheme="minorHAnsi"/>
        </w:rPr>
        <w:tab/>
      </w:r>
      <w:r w:rsidRPr="0F73AF2A">
        <w:rPr>
          <w:rFonts w:asciiTheme="minorHAnsi" w:eastAsiaTheme="minorEastAsia" w:hAnsiTheme="minorHAnsi" w:cstheme="minorBidi"/>
        </w:rPr>
        <w:t>International Non-</w:t>
      </w:r>
      <w:r w:rsidR="0052507B" w:rsidRPr="0F73AF2A">
        <w:rPr>
          <w:rFonts w:asciiTheme="minorHAnsi" w:eastAsiaTheme="minorEastAsia" w:hAnsiTheme="minorHAnsi" w:cstheme="minorBidi"/>
        </w:rPr>
        <w:t>Government Organizations</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IP</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Inception Phase</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IPCC</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Intergovernmental Panel on Climate Change</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IRR</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Internal Rate of Return</w:t>
      </w:r>
    </w:p>
    <w:p w:rsidR="0052507B" w:rsidRPr="00EC615F" w:rsidRDefault="0052507B" w:rsidP="00782C76">
      <w:pPr>
        <w:spacing w:after="0" w:line="240" w:lineRule="auto"/>
        <w:rPr>
          <w:rFonts w:asciiTheme="minorHAnsi" w:hAnsiTheme="minorHAnsi" w:cstheme="minorHAnsi"/>
          <w:shd w:val="clear" w:color="auto" w:fill="FFFFFF"/>
        </w:rPr>
      </w:pPr>
      <w:r w:rsidRPr="0F73AF2A">
        <w:rPr>
          <w:rFonts w:asciiTheme="minorHAnsi" w:eastAsiaTheme="minorEastAsia" w:hAnsiTheme="minorHAnsi" w:cstheme="minorBidi"/>
        </w:rPr>
        <w:t>IUCN</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shd w:val="clear" w:color="auto" w:fill="FFFFFF"/>
        </w:rPr>
        <w:t>International Union for Conservation of Nature</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KfW</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shd w:val="clear" w:color="auto" w:fill="FFFFFF"/>
        </w:rPr>
        <w:t>Kreditanstalt</w:t>
      </w:r>
      <w:r w:rsidR="003C6762">
        <w:rPr>
          <w:rFonts w:asciiTheme="minorHAnsi" w:eastAsiaTheme="minorEastAsia" w:hAnsiTheme="minorHAnsi" w:cstheme="minorBidi"/>
          <w:shd w:val="clear" w:color="auto" w:fill="FFFFFF"/>
        </w:rPr>
        <w:t xml:space="preserve"> </w:t>
      </w:r>
      <w:r w:rsidRPr="0F73AF2A">
        <w:rPr>
          <w:rFonts w:asciiTheme="minorHAnsi" w:eastAsiaTheme="minorEastAsia" w:hAnsiTheme="minorHAnsi" w:cstheme="minorBidi"/>
          <w:shd w:val="clear" w:color="auto" w:fill="FFFFFF"/>
        </w:rPr>
        <w:t>für</w:t>
      </w:r>
      <w:r w:rsidR="003C6762">
        <w:rPr>
          <w:rFonts w:asciiTheme="minorHAnsi" w:eastAsiaTheme="minorEastAsia" w:hAnsiTheme="minorHAnsi" w:cstheme="minorBidi"/>
          <w:shd w:val="clear" w:color="auto" w:fill="FFFFFF"/>
        </w:rPr>
        <w:t xml:space="preserve"> </w:t>
      </w:r>
      <w:r w:rsidRPr="0F73AF2A">
        <w:rPr>
          <w:rFonts w:asciiTheme="minorHAnsi" w:eastAsiaTheme="minorEastAsia" w:hAnsiTheme="minorHAnsi" w:cstheme="minorBidi"/>
          <w:shd w:val="clear" w:color="auto" w:fill="FFFFFF"/>
        </w:rPr>
        <w:t>Wiederaufbau</w:t>
      </w:r>
      <w:r w:rsidRPr="0F73AF2A">
        <w:rPr>
          <w:rStyle w:val="apple-converted-space"/>
          <w:rFonts w:asciiTheme="minorHAnsi" w:eastAsiaTheme="minorEastAsia" w:hAnsiTheme="minorHAnsi" w:cstheme="minorBidi"/>
          <w:shd w:val="clear" w:color="auto" w:fill="FFFFFF"/>
        </w:rPr>
        <w:t> </w:t>
      </w:r>
      <w:r w:rsidRPr="0F73AF2A">
        <w:rPr>
          <w:rFonts w:asciiTheme="minorHAnsi" w:eastAsiaTheme="minorEastAsia" w:hAnsiTheme="minorHAnsi" w:cstheme="minorBidi"/>
          <w:shd w:val="clear" w:color="auto" w:fill="FFFFFF"/>
        </w:rPr>
        <w:t>(Reconstruction Credit Institute)</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KI</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Key Informant</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LCD</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Low Carbon Development</w:t>
      </w:r>
    </w:p>
    <w:p w:rsidR="0052507B" w:rsidRPr="00EC615F" w:rsidRDefault="0052507B" w:rsidP="00782C76">
      <w:pPr>
        <w:spacing w:after="0" w:line="240" w:lineRule="auto"/>
        <w:rPr>
          <w:rFonts w:asciiTheme="minorHAnsi" w:hAnsiTheme="minorHAnsi" w:cstheme="minorHAnsi"/>
          <w:bCs/>
        </w:rPr>
      </w:pPr>
      <w:r w:rsidRPr="0F73AF2A">
        <w:rPr>
          <w:rFonts w:asciiTheme="minorHAnsi" w:eastAsiaTheme="minorEastAsia" w:hAnsiTheme="minorHAnsi" w:cstheme="minorBidi"/>
        </w:rPr>
        <w:t>LCFF</w:t>
      </w:r>
      <w:r w:rsidRPr="00EC615F">
        <w:rPr>
          <w:rFonts w:asciiTheme="minorHAnsi" w:hAnsiTheme="minorHAnsi" w:cstheme="minorHAnsi"/>
          <w:bCs/>
        </w:rPr>
        <w:tab/>
      </w:r>
      <w:r w:rsidRPr="00EC615F">
        <w:rPr>
          <w:rFonts w:asciiTheme="minorHAnsi" w:hAnsiTheme="minorHAnsi" w:cstheme="minorHAnsi"/>
          <w:bCs/>
        </w:rPr>
        <w:tab/>
      </w:r>
      <w:r w:rsidRPr="0F73AF2A">
        <w:rPr>
          <w:rFonts w:asciiTheme="minorHAnsi" w:eastAsiaTheme="minorEastAsia" w:hAnsiTheme="minorHAnsi" w:cstheme="minorBidi"/>
        </w:rPr>
        <w:t xml:space="preserve">Local Climate Fiscal Framework </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LCG-DER</w:t>
      </w:r>
      <w:r w:rsidR="00145F3A" w:rsidRPr="00EC615F">
        <w:rPr>
          <w:rFonts w:asciiTheme="minorHAnsi" w:hAnsiTheme="minorHAnsi" w:cstheme="minorHAnsi"/>
        </w:rPr>
        <w:tab/>
      </w:r>
      <w:r w:rsidR="00145F3A" w:rsidRPr="0F73AF2A">
        <w:rPr>
          <w:rFonts w:asciiTheme="minorHAnsi" w:eastAsiaTheme="minorEastAsia" w:hAnsiTheme="minorHAnsi" w:cstheme="minorBidi"/>
        </w:rPr>
        <w:t>Local Consultative Group-Disaster and Emergency Response</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LDRRF</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 xml:space="preserve"> Local Disaster Risk Reduction Fund </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LED</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shd w:val="clear" w:color="auto" w:fill="FFFFFF"/>
        </w:rPr>
        <w:t>Light-Emitting Diode</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LGED</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Local Government Engineering Department</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M&amp;E</w:t>
      </w:r>
      <w:r w:rsidRPr="00EC615F">
        <w:rPr>
          <w:rFonts w:asciiTheme="minorHAnsi" w:hAnsiTheme="minorHAnsi" w:cstheme="minorHAnsi"/>
          <w:bCs/>
        </w:rPr>
        <w:tab/>
      </w:r>
      <w:r w:rsidRPr="00EC615F">
        <w:rPr>
          <w:rFonts w:asciiTheme="minorHAnsi" w:hAnsiTheme="minorHAnsi" w:cstheme="minorHAnsi"/>
          <w:bCs/>
        </w:rPr>
        <w:tab/>
      </w:r>
      <w:r w:rsidRPr="0F73AF2A">
        <w:rPr>
          <w:rFonts w:asciiTheme="minorHAnsi" w:eastAsiaTheme="minorEastAsia" w:hAnsiTheme="minorHAnsi" w:cstheme="minorBidi"/>
        </w:rPr>
        <w:t>Monitoring and Evaluation</w:t>
      </w:r>
    </w:p>
    <w:p w:rsidR="0052507B"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MDGs</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Millennium Development Goals</w:t>
      </w:r>
    </w:p>
    <w:p w:rsidR="00AA2FEA" w:rsidRPr="00EC615F" w:rsidRDefault="00AA2FEA" w:rsidP="00782C76">
      <w:pPr>
        <w:spacing w:after="0" w:line="240" w:lineRule="auto"/>
        <w:rPr>
          <w:rFonts w:asciiTheme="minorHAnsi" w:hAnsiTheme="minorHAnsi" w:cstheme="minorHAnsi"/>
        </w:rPr>
      </w:pPr>
      <w:r w:rsidRPr="0F73AF2A">
        <w:rPr>
          <w:rFonts w:asciiTheme="minorHAnsi" w:eastAsiaTheme="minorEastAsia" w:hAnsiTheme="minorHAnsi" w:cstheme="minorBidi"/>
        </w:rPr>
        <w:t>Metric Ton</w:t>
      </w:r>
      <w:r>
        <w:rPr>
          <w:rFonts w:asciiTheme="minorHAnsi" w:hAnsiTheme="minorHAnsi" w:cstheme="minorHAnsi"/>
        </w:rPr>
        <w:tab/>
      </w:r>
      <w:r w:rsidRPr="0F73AF2A">
        <w:rPr>
          <w:rFonts w:asciiTheme="minorHAnsi" w:eastAsiaTheme="minorEastAsia" w:hAnsiTheme="minorHAnsi" w:cstheme="minorBidi"/>
        </w:rPr>
        <w:t>Metric ton refers to 2204 pound or 1000 kg.</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MIC</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Middle Income Country</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MoEF</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 xml:space="preserve">Ministry of Environment and Forest </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lastRenderedPageBreak/>
        <w:t>MoFDM</w:t>
      </w:r>
      <w:r w:rsidRPr="00EC615F">
        <w:rPr>
          <w:rFonts w:asciiTheme="minorHAnsi" w:hAnsiTheme="minorHAnsi" w:cstheme="minorHAnsi"/>
        </w:rPr>
        <w:tab/>
      </w:r>
      <w:r w:rsidRPr="0F73AF2A">
        <w:rPr>
          <w:rFonts w:asciiTheme="minorHAnsi" w:eastAsiaTheme="minorEastAsia" w:hAnsiTheme="minorHAnsi" w:cstheme="minorBidi"/>
        </w:rPr>
        <w:t xml:space="preserve">Ministry of Food and Disaster Management </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MoI</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 xml:space="preserve">Ministry of Industries </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MTR</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Mid-Term Review</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MW</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Mega Watt</w:t>
      </w:r>
    </w:p>
    <w:p w:rsidR="0052507B" w:rsidRPr="00EC615F" w:rsidRDefault="0052507B" w:rsidP="00782C76">
      <w:pPr>
        <w:spacing w:after="0" w:line="240" w:lineRule="auto"/>
        <w:rPr>
          <w:rFonts w:asciiTheme="minorHAnsi" w:hAnsiTheme="minorHAnsi" w:cstheme="minorHAnsi"/>
          <w:bCs/>
        </w:rPr>
      </w:pPr>
      <w:r w:rsidRPr="0F73AF2A">
        <w:rPr>
          <w:rFonts w:asciiTheme="minorHAnsi" w:eastAsiaTheme="minorEastAsia" w:hAnsiTheme="minorHAnsi" w:cstheme="minorBidi"/>
        </w:rPr>
        <w:t>NAPA</w:t>
      </w:r>
      <w:r w:rsidRPr="00EC615F">
        <w:rPr>
          <w:rFonts w:asciiTheme="minorHAnsi" w:hAnsiTheme="minorHAnsi" w:cstheme="minorHAnsi"/>
          <w:bCs/>
        </w:rPr>
        <w:tab/>
      </w:r>
      <w:r w:rsidRPr="00EC615F">
        <w:rPr>
          <w:rFonts w:asciiTheme="minorHAnsi" w:hAnsiTheme="minorHAnsi" w:cstheme="minorHAnsi"/>
          <w:bCs/>
        </w:rPr>
        <w:tab/>
      </w:r>
      <w:r w:rsidRPr="0F73AF2A">
        <w:rPr>
          <w:rFonts w:asciiTheme="minorHAnsi" w:eastAsiaTheme="minorEastAsia" w:hAnsiTheme="minorHAnsi" w:cstheme="minorBidi"/>
        </w:rPr>
        <w:t>National Adaptation Programme of Actions</w:t>
      </w:r>
    </w:p>
    <w:p w:rsidR="0052507B" w:rsidRPr="00EC615F" w:rsidRDefault="0052507B" w:rsidP="00782C76">
      <w:pPr>
        <w:spacing w:after="0" w:line="240" w:lineRule="auto"/>
        <w:rPr>
          <w:rFonts w:asciiTheme="minorHAnsi" w:hAnsiTheme="minorHAnsi" w:cstheme="minorHAnsi"/>
          <w:bCs/>
        </w:rPr>
      </w:pPr>
      <w:r w:rsidRPr="0F73AF2A">
        <w:rPr>
          <w:rFonts w:asciiTheme="minorHAnsi" w:eastAsiaTheme="minorEastAsia" w:hAnsiTheme="minorHAnsi" w:cstheme="minorBidi"/>
        </w:rPr>
        <w:t>NGO</w:t>
      </w:r>
      <w:r w:rsidRPr="00EC615F">
        <w:rPr>
          <w:rFonts w:asciiTheme="minorHAnsi" w:hAnsiTheme="minorHAnsi" w:cstheme="minorHAnsi"/>
          <w:bCs/>
        </w:rPr>
        <w:tab/>
      </w:r>
      <w:r w:rsidRPr="00EC615F">
        <w:rPr>
          <w:rFonts w:asciiTheme="minorHAnsi" w:hAnsiTheme="minorHAnsi" w:cstheme="minorHAnsi"/>
          <w:bCs/>
        </w:rPr>
        <w:tab/>
      </w:r>
      <w:r w:rsidRPr="0F73AF2A">
        <w:rPr>
          <w:rFonts w:asciiTheme="minorHAnsi" w:eastAsiaTheme="minorEastAsia" w:hAnsiTheme="minorHAnsi" w:cstheme="minorBidi"/>
        </w:rPr>
        <w:t>Non-Government Organization</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NPD</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 xml:space="preserve">National Project Director </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NPV</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Net Present Value</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NPWA</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 xml:space="preserve">National Policy for Women’s Advancement  </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NRM</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Natural Resources Management</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NSDS</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National Sustainable Development Strategy</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ODS</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Ozone Depleting Substances</w:t>
      </w:r>
    </w:p>
    <w:p w:rsidR="0052507B" w:rsidRPr="00EC615F" w:rsidRDefault="0052507B" w:rsidP="00782C76">
      <w:pPr>
        <w:spacing w:after="0" w:line="240" w:lineRule="auto"/>
        <w:rPr>
          <w:rFonts w:asciiTheme="minorHAnsi" w:hAnsiTheme="minorHAnsi" w:cstheme="minorHAnsi"/>
          <w:bCs/>
        </w:rPr>
      </w:pPr>
      <w:r w:rsidRPr="0F73AF2A">
        <w:rPr>
          <w:rFonts w:asciiTheme="minorHAnsi" w:eastAsiaTheme="minorEastAsia" w:hAnsiTheme="minorHAnsi" w:cstheme="minorBidi"/>
        </w:rPr>
        <w:t>PEC</w:t>
      </w:r>
      <w:r w:rsidRPr="00EC615F">
        <w:rPr>
          <w:rFonts w:asciiTheme="minorHAnsi" w:hAnsiTheme="minorHAnsi" w:cstheme="minorHAnsi"/>
          <w:bCs/>
        </w:rPr>
        <w:tab/>
      </w:r>
      <w:r w:rsidRPr="00EC615F">
        <w:rPr>
          <w:rFonts w:asciiTheme="minorHAnsi" w:hAnsiTheme="minorHAnsi" w:cstheme="minorHAnsi"/>
          <w:bCs/>
        </w:rPr>
        <w:tab/>
      </w:r>
      <w:r w:rsidRPr="0F73AF2A">
        <w:rPr>
          <w:rFonts w:asciiTheme="minorHAnsi" w:eastAsiaTheme="minorEastAsia" w:hAnsiTheme="minorHAnsi" w:cstheme="minorBidi"/>
        </w:rPr>
        <w:t>Poverty Environment Climate</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PECM</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 xml:space="preserve">Poverty Environment Climate Mainstreaming </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ProDoc</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Project Document</w:t>
      </w:r>
    </w:p>
    <w:p w:rsidR="0052507B" w:rsidRPr="00EC615F" w:rsidRDefault="0052507B" w:rsidP="00782C76">
      <w:pPr>
        <w:spacing w:after="0" w:line="240" w:lineRule="auto"/>
        <w:rPr>
          <w:rFonts w:asciiTheme="minorHAnsi" w:hAnsiTheme="minorHAnsi" w:cstheme="minorHAnsi"/>
          <w:shd w:val="clear" w:color="auto" w:fill="FFFFFF"/>
        </w:rPr>
      </w:pPr>
      <w:r w:rsidRPr="0F73AF2A">
        <w:rPr>
          <w:rFonts w:asciiTheme="minorHAnsi" w:eastAsiaTheme="minorEastAsia" w:hAnsiTheme="minorHAnsi" w:cstheme="minorBidi"/>
        </w:rPr>
        <w:t>REDD</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shd w:val="clear" w:color="auto" w:fill="FFFFFF"/>
        </w:rPr>
        <w:t>Reducing Emissions from Deforestation and forest Degradation</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ROAR</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Results Oriented Annual Report</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RRMC</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 xml:space="preserve"> Results and Resource Management Cluster </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RVCC</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Reducing Vulnerability to Climate Change</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SAARC</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South Asian Association for Regional Cooperation</w:t>
      </w:r>
    </w:p>
    <w:p w:rsidR="0052507B" w:rsidRPr="00EC615F" w:rsidRDefault="0052507B" w:rsidP="00782C76">
      <w:pPr>
        <w:spacing w:after="0" w:line="240" w:lineRule="auto"/>
        <w:rPr>
          <w:rFonts w:asciiTheme="minorHAnsi" w:hAnsiTheme="minorHAnsi" w:cstheme="minorHAnsi"/>
          <w:shd w:val="clear" w:color="auto" w:fill="FFFFFF"/>
        </w:rPr>
      </w:pPr>
      <w:r w:rsidRPr="0F73AF2A">
        <w:rPr>
          <w:rFonts w:asciiTheme="minorHAnsi" w:eastAsiaTheme="minorEastAsia" w:hAnsiTheme="minorHAnsi" w:cstheme="minorBidi"/>
        </w:rPr>
        <w:t>SDC</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shd w:val="clear" w:color="auto" w:fill="FFFFFF"/>
        </w:rPr>
        <w:t>Swiss Agency for Development and Cooperation</w:t>
      </w:r>
    </w:p>
    <w:p w:rsidR="0052507B" w:rsidRPr="00EC615F" w:rsidRDefault="0052507B" w:rsidP="00782C76">
      <w:pPr>
        <w:spacing w:after="0" w:line="240" w:lineRule="auto"/>
        <w:rPr>
          <w:rFonts w:asciiTheme="minorHAnsi" w:hAnsiTheme="minorHAnsi" w:cstheme="minorHAnsi"/>
          <w:shd w:val="clear" w:color="auto" w:fill="FFFFFF"/>
        </w:rPr>
      </w:pPr>
      <w:r w:rsidRPr="0F73AF2A">
        <w:rPr>
          <w:rFonts w:asciiTheme="minorHAnsi" w:eastAsiaTheme="minorEastAsia" w:hAnsiTheme="minorHAnsi" w:cstheme="minorBidi"/>
          <w:shd w:val="clear" w:color="auto" w:fill="FFFFFF"/>
        </w:rPr>
        <w:t>SEGP</w:t>
      </w:r>
      <w:r w:rsidR="00EC615F" w:rsidRPr="00EC615F">
        <w:rPr>
          <w:rFonts w:asciiTheme="minorHAnsi" w:hAnsiTheme="minorHAnsi" w:cstheme="minorHAnsi"/>
          <w:shd w:val="clear" w:color="auto" w:fill="FFFFFF"/>
        </w:rPr>
        <w:tab/>
      </w:r>
      <w:r w:rsidR="00EC615F" w:rsidRPr="00EC615F">
        <w:rPr>
          <w:rFonts w:asciiTheme="minorHAnsi" w:hAnsiTheme="minorHAnsi" w:cstheme="minorHAnsi"/>
          <w:shd w:val="clear" w:color="auto" w:fill="FFFFFF"/>
        </w:rPr>
        <w:tab/>
      </w:r>
      <w:r w:rsidR="00EC615F" w:rsidRPr="0F73AF2A">
        <w:rPr>
          <w:rFonts w:asciiTheme="minorHAnsi" w:eastAsiaTheme="minorEastAsia" w:hAnsiTheme="minorHAnsi" w:cstheme="minorBidi"/>
          <w:shd w:val="clear" w:color="auto" w:fill="FFFFFF"/>
        </w:rPr>
        <w:t>Sustainable Environmental Governance Programme</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SFYP</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Sixth Five Year Plan</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SIDA</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Swedish International Development Authority</w:t>
      </w:r>
    </w:p>
    <w:p w:rsidR="0052507B" w:rsidRPr="00EC615F" w:rsidRDefault="0052507B" w:rsidP="00782C76">
      <w:pPr>
        <w:spacing w:after="0" w:line="240" w:lineRule="auto"/>
        <w:rPr>
          <w:rFonts w:asciiTheme="minorHAnsi" w:hAnsiTheme="minorHAnsi" w:cstheme="minorHAnsi"/>
          <w:shd w:val="clear" w:color="auto" w:fill="FFFFFF"/>
        </w:rPr>
      </w:pPr>
      <w:r w:rsidRPr="0F73AF2A">
        <w:rPr>
          <w:rFonts w:asciiTheme="minorHAnsi" w:eastAsiaTheme="minorEastAsia" w:hAnsiTheme="minorHAnsi" w:cstheme="minorBidi"/>
        </w:rPr>
        <w:t>SMART</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shd w:val="clear" w:color="auto" w:fill="FFFFFF"/>
        </w:rPr>
        <w:t>Specific, Measurable,</w:t>
      </w:r>
      <w:r w:rsidRPr="0F73AF2A">
        <w:rPr>
          <w:rStyle w:val="apple-converted-space"/>
          <w:rFonts w:asciiTheme="minorHAnsi" w:eastAsiaTheme="minorEastAsia" w:hAnsiTheme="minorHAnsi" w:cstheme="minorBidi"/>
          <w:shd w:val="clear" w:color="auto" w:fill="FFFFFF"/>
        </w:rPr>
        <w:t> </w:t>
      </w:r>
      <w:r w:rsidRPr="0F73AF2A">
        <w:rPr>
          <w:rFonts w:asciiTheme="minorHAnsi" w:eastAsiaTheme="minorEastAsia" w:hAnsiTheme="minorHAnsi" w:cstheme="minorBidi"/>
          <w:shd w:val="clear" w:color="auto" w:fill="FFFFFF"/>
        </w:rPr>
        <w:t>Achievable,</w:t>
      </w:r>
      <w:r w:rsidRPr="0F73AF2A">
        <w:rPr>
          <w:rStyle w:val="apple-converted-space"/>
          <w:rFonts w:asciiTheme="minorHAnsi" w:eastAsiaTheme="minorEastAsia" w:hAnsiTheme="minorHAnsi" w:cstheme="minorBidi"/>
          <w:shd w:val="clear" w:color="auto" w:fill="FFFFFF"/>
        </w:rPr>
        <w:t> </w:t>
      </w:r>
      <w:r w:rsidRPr="0F73AF2A">
        <w:rPr>
          <w:rFonts w:asciiTheme="minorHAnsi" w:eastAsiaTheme="minorEastAsia" w:hAnsiTheme="minorHAnsi" w:cstheme="minorBidi"/>
          <w:shd w:val="clear" w:color="auto" w:fill="FFFFFF"/>
        </w:rPr>
        <w:t>Realistic and</w:t>
      </w:r>
      <w:r w:rsidRPr="0F73AF2A">
        <w:rPr>
          <w:rStyle w:val="apple-converted-space"/>
          <w:rFonts w:asciiTheme="minorHAnsi" w:eastAsiaTheme="minorEastAsia" w:hAnsiTheme="minorHAnsi" w:cstheme="minorBidi"/>
          <w:shd w:val="clear" w:color="auto" w:fill="FFFFFF"/>
        </w:rPr>
        <w:t> </w:t>
      </w:r>
      <w:r w:rsidRPr="0F73AF2A">
        <w:rPr>
          <w:rFonts w:asciiTheme="minorHAnsi" w:eastAsiaTheme="minorEastAsia" w:hAnsiTheme="minorHAnsi" w:cstheme="minorBidi"/>
          <w:shd w:val="clear" w:color="auto" w:fill="FFFFFF"/>
        </w:rPr>
        <w:t>Time-bound</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SOD</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Standing Orders on Disaster</w:t>
      </w:r>
    </w:p>
    <w:p w:rsidR="0052507B" w:rsidRPr="00EC615F" w:rsidRDefault="0052507B" w:rsidP="00782C76">
      <w:pPr>
        <w:spacing w:after="0" w:line="240" w:lineRule="auto"/>
        <w:rPr>
          <w:rFonts w:asciiTheme="minorHAnsi" w:eastAsia="Cambria" w:hAnsiTheme="minorHAnsi" w:cstheme="minorHAnsi"/>
          <w:bCs/>
        </w:rPr>
      </w:pPr>
      <w:r w:rsidRPr="0F73AF2A">
        <w:rPr>
          <w:rFonts w:asciiTheme="minorHAnsi" w:eastAsiaTheme="minorEastAsia" w:hAnsiTheme="minorHAnsi" w:cstheme="minorBidi"/>
        </w:rPr>
        <w:t>SP</w:t>
      </w:r>
      <w:r w:rsidRPr="00EC615F">
        <w:rPr>
          <w:rFonts w:asciiTheme="minorHAnsi" w:eastAsia="Cambria" w:hAnsiTheme="minorHAnsi" w:cstheme="minorHAnsi"/>
          <w:bCs/>
        </w:rPr>
        <w:tab/>
      </w:r>
      <w:r w:rsidRPr="00EC615F">
        <w:rPr>
          <w:rFonts w:asciiTheme="minorHAnsi" w:eastAsia="Cambria" w:hAnsiTheme="minorHAnsi" w:cstheme="minorHAnsi"/>
          <w:bCs/>
        </w:rPr>
        <w:tab/>
      </w:r>
      <w:r w:rsidRPr="0F73AF2A">
        <w:rPr>
          <w:rFonts w:asciiTheme="minorHAnsi" w:eastAsiaTheme="minorEastAsia" w:hAnsiTheme="minorHAnsi" w:cstheme="minorBidi"/>
        </w:rPr>
        <w:t>Strategic Plan</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SREDA</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Sustainable and Renewable Energy Development Authority</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SREPGen</w:t>
      </w:r>
      <w:r w:rsidRPr="00EC615F">
        <w:rPr>
          <w:rFonts w:asciiTheme="minorHAnsi" w:hAnsiTheme="minorHAnsi" w:cstheme="minorHAnsi"/>
        </w:rPr>
        <w:tab/>
      </w:r>
      <w:r w:rsidRPr="0F73AF2A">
        <w:rPr>
          <w:rFonts w:asciiTheme="minorHAnsi" w:eastAsiaTheme="minorEastAsia" w:hAnsiTheme="minorHAnsi" w:cstheme="minorBidi"/>
        </w:rPr>
        <w:t>Sustainable Renewable Energy Power Generation</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TE</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Terminal Evaluation</w:t>
      </w:r>
    </w:p>
    <w:p w:rsidR="0052507B" w:rsidRPr="00EC615F" w:rsidRDefault="0052507B" w:rsidP="00782C76">
      <w:pPr>
        <w:spacing w:after="0" w:line="240" w:lineRule="auto"/>
        <w:rPr>
          <w:rFonts w:asciiTheme="minorHAnsi" w:hAnsiTheme="minorHAnsi" w:cstheme="minorHAnsi"/>
          <w:shd w:val="clear" w:color="auto" w:fill="FFFFFF"/>
        </w:rPr>
      </w:pPr>
      <w:r w:rsidRPr="0F73AF2A">
        <w:rPr>
          <w:rFonts w:asciiTheme="minorHAnsi" w:eastAsiaTheme="minorEastAsia" w:hAnsiTheme="minorHAnsi" w:cstheme="minorBidi"/>
          <w:shd w:val="clear" w:color="auto" w:fill="FFFFFF"/>
        </w:rPr>
        <w:t>TNC</w:t>
      </w:r>
      <w:r w:rsidR="00EC615F" w:rsidRPr="00EC615F">
        <w:rPr>
          <w:rFonts w:asciiTheme="minorHAnsi" w:hAnsiTheme="minorHAnsi" w:cstheme="minorHAnsi"/>
          <w:shd w:val="clear" w:color="auto" w:fill="FFFFFF"/>
        </w:rPr>
        <w:tab/>
      </w:r>
      <w:r w:rsidR="00EC615F" w:rsidRPr="00EC615F">
        <w:rPr>
          <w:rFonts w:asciiTheme="minorHAnsi" w:hAnsiTheme="minorHAnsi" w:cstheme="minorHAnsi"/>
          <w:shd w:val="clear" w:color="auto" w:fill="FFFFFF"/>
        </w:rPr>
        <w:tab/>
      </w:r>
      <w:r w:rsidR="00EC615F" w:rsidRPr="0F73AF2A">
        <w:rPr>
          <w:rFonts w:asciiTheme="minorHAnsi" w:eastAsiaTheme="minorEastAsia" w:hAnsiTheme="minorHAnsi" w:cstheme="minorBidi"/>
          <w:shd w:val="clear" w:color="auto" w:fill="FFFFFF"/>
        </w:rPr>
        <w:t>Third National Communications to the UNFCCC</w:t>
      </w:r>
    </w:p>
    <w:p w:rsidR="0052507B" w:rsidRDefault="0052507B" w:rsidP="00782C76">
      <w:pPr>
        <w:spacing w:after="0" w:line="240" w:lineRule="auto"/>
        <w:rPr>
          <w:rFonts w:asciiTheme="minorHAnsi" w:hAnsiTheme="minorHAnsi" w:cstheme="minorHAnsi"/>
          <w:bCs/>
        </w:rPr>
      </w:pPr>
      <w:r w:rsidRPr="0F73AF2A">
        <w:rPr>
          <w:rFonts w:asciiTheme="minorHAnsi" w:eastAsiaTheme="minorEastAsia" w:hAnsiTheme="minorHAnsi" w:cstheme="minorBidi"/>
        </w:rPr>
        <w:t>TPP</w:t>
      </w:r>
      <w:r w:rsidRPr="00EC615F">
        <w:rPr>
          <w:rFonts w:asciiTheme="minorHAnsi" w:hAnsiTheme="minorHAnsi" w:cstheme="minorHAnsi"/>
          <w:bCs/>
        </w:rPr>
        <w:tab/>
      </w:r>
      <w:r w:rsidRPr="00EC615F">
        <w:rPr>
          <w:rFonts w:asciiTheme="minorHAnsi" w:hAnsiTheme="minorHAnsi" w:cstheme="minorHAnsi"/>
          <w:bCs/>
        </w:rPr>
        <w:tab/>
      </w:r>
      <w:r w:rsidRPr="0F73AF2A">
        <w:rPr>
          <w:rFonts w:asciiTheme="minorHAnsi" w:eastAsiaTheme="minorEastAsia" w:hAnsiTheme="minorHAnsi" w:cstheme="minorBidi"/>
        </w:rPr>
        <w:t>Technical Project Proposal</w:t>
      </w:r>
    </w:p>
    <w:p w:rsidR="00405050" w:rsidRPr="00EC615F" w:rsidRDefault="00405050" w:rsidP="00782C76">
      <w:pPr>
        <w:spacing w:after="0" w:line="240" w:lineRule="auto"/>
        <w:rPr>
          <w:rFonts w:asciiTheme="minorHAnsi" w:hAnsiTheme="minorHAnsi" w:cstheme="minorHAnsi"/>
          <w:bCs/>
        </w:rPr>
      </w:pPr>
      <w:r w:rsidRPr="0F73AF2A">
        <w:rPr>
          <w:rFonts w:asciiTheme="minorHAnsi" w:eastAsiaTheme="minorEastAsia" w:hAnsiTheme="minorHAnsi" w:cstheme="minorBidi"/>
        </w:rPr>
        <w:t>T</w:t>
      </w:r>
      <w:r w:rsidR="00AA2FEA" w:rsidRPr="0F73AF2A">
        <w:rPr>
          <w:rFonts w:asciiTheme="minorHAnsi" w:eastAsiaTheme="minorEastAsia" w:hAnsiTheme="minorHAnsi" w:cstheme="minorBidi"/>
        </w:rPr>
        <w:t>on</w:t>
      </w:r>
      <w:r w:rsidRPr="0F73AF2A">
        <w:rPr>
          <w:rFonts w:asciiTheme="minorHAnsi" w:eastAsiaTheme="minorEastAsia" w:hAnsiTheme="minorHAnsi" w:cstheme="minorBidi"/>
        </w:rPr>
        <w:t xml:space="preserve"> (US)</w:t>
      </w:r>
      <w:r>
        <w:rPr>
          <w:rFonts w:asciiTheme="minorHAnsi" w:hAnsiTheme="minorHAnsi" w:cstheme="minorHAnsi"/>
          <w:bCs/>
        </w:rPr>
        <w:tab/>
      </w:r>
      <w:r w:rsidRPr="0F73AF2A">
        <w:rPr>
          <w:rFonts w:asciiTheme="minorHAnsi" w:eastAsiaTheme="minorEastAsia" w:hAnsiTheme="minorHAnsi" w:cstheme="minorBidi"/>
        </w:rPr>
        <w:t>US ton referring to 2000 pounds</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UN</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United Nations</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UNDAF</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United Nations Development Assistance Framework</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UNDP</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United Nations Development Program</w:t>
      </w:r>
    </w:p>
    <w:p w:rsidR="0052507B" w:rsidRPr="00EC615F" w:rsidRDefault="0052507B" w:rsidP="00782C76">
      <w:pPr>
        <w:spacing w:after="0" w:line="240" w:lineRule="auto"/>
        <w:rPr>
          <w:rFonts w:asciiTheme="minorHAnsi" w:eastAsia="Cambria" w:hAnsiTheme="minorHAnsi" w:cstheme="minorHAnsi"/>
        </w:rPr>
      </w:pPr>
      <w:r w:rsidRPr="0F73AF2A">
        <w:rPr>
          <w:rFonts w:asciiTheme="minorHAnsi" w:eastAsiaTheme="minorEastAsia" w:hAnsiTheme="minorHAnsi" w:cstheme="minorBidi"/>
        </w:rPr>
        <w:t>UNEG</w:t>
      </w:r>
      <w:r w:rsidRPr="00EC615F">
        <w:rPr>
          <w:rFonts w:asciiTheme="minorHAnsi" w:eastAsia="Cambria" w:hAnsiTheme="minorHAnsi" w:cstheme="minorHAnsi"/>
        </w:rPr>
        <w:tab/>
      </w:r>
      <w:r w:rsidRPr="00EC615F">
        <w:rPr>
          <w:rFonts w:asciiTheme="minorHAnsi" w:eastAsia="Cambria" w:hAnsiTheme="minorHAnsi" w:cstheme="minorHAnsi"/>
        </w:rPr>
        <w:tab/>
      </w:r>
      <w:r w:rsidRPr="0F73AF2A">
        <w:rPr>
          <w:rFonts w:asciiTheme="minorHAnsi" w:eastAsiaTheme="minorEastAsia" w:hAnsiTheme="minorHAnsi" w:cstheme="minorBidi"/>
        </w:rPr>
        <w:t>United Nations Evaluation Guideline</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UNFCCC</w:t>
      </w:r>
      <w:r w:rsidRPr="00EC615F">
        <w:rPr>
          <w:rFonts w:asciiTheme="minorHAnsi" w:hAnsiTheme="minorHAnsi" w:cstheme="minorHAnsi"/>
        </w:rPr>
        <w:tab/>
      </w:r>
      <w:r w:rsidRPr="0F73AF2A">
        <w:rPr>
          <w:rFonts w:asciiTheme="minorHAnsi" w:eastAsiaTheme="minorEastAsia" w:hAnsiTheme="minorHAnsi" w:cstheme="minorBidi"/>
        </w:rPr>
        <w:t xml:space="preserve">United Nations Framework Convention on Climate Change </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UNICEF</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United Nations International Children’s Emergency Fund</w:t>
      </w:r>
    </w:p>
    <w:p w:rsidR="0052507B" w:rsidRPr="00EC615F" w:rsidRDefault="0052507B" w:rsidP="00782C76">
      <w:pPr>
        <w:spacing w:after="0" w:line="240" w:lineRule="auto"/>
        <w:rPr>
          <w:rFonts w:asciiTheme="minorHAnsi" w:hAnsiTheme="minorHAnsi" w:cstheme="minorHAnsi"/>
          <w:bCs/>
        </w:rPr>
      </w:pPr>
      <w:r w:rsidRPr="0F73AF2A">
        <w:rPr>
          <w:rFonts w:asciiTheme="minorHAnsi" w:eastAsiaTheme="minorEastAsia" w:hAnsiTheme="minorHAnsi" w:cstheme="minorBidi"/>
        </w:rPr>
        <w:t>VfM</w:t>
      </w:r>
      <w:r w:rsidRPr="00EC615F">
        <w:rPr>
          <w:rFonts w:asciiTheme="minorHAnsi" w:hAnsiTheme="minorHAnsi" w:cstheme="minorHAnsi"/>
          <w:bCs/>
        </w:rPr>
        <w:tab/>
      </w:r>
      <w:r w:rsidRPr="00EC615F">
        <w:rPr>
          <w:rFonts w:asciiTheme="minorHAnsi" w:hAnsiTheme="minorHAnsi" w:cstheme="minorHAnsi"/>
          <w:bCs/>
        </w:rPr>
        <w:tab/>
      </w:r>
      <w:r w:rsidRPr="0F73AF2A">
        <w:rPr>
          <w:rFonts w:asciiTheme="minorHAnsi" w:eastAsiaTheme="minorEastAsia" w:hAnsiTheme="minorHAnsi" w:cstheme="minorBidi"/>
        </w:rPr>
        <w:t>Value for Money</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WB</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World Bank</w:t>
      </w:r>
    </w:p>
    <w:p w:rsidR="0052507B" w:rsidRPr="00EC615F" w:rsidRDefault="0052507B" w:rsidP="00782C76">
      <w:pPr>
        <w:spacing w:after="0" w:line="240" w:lineRule="auto"/>
        <w:rPr>
          <w:rFonts w:asciiTheme="minorHAnsi" w:hAnsiTheme="minorHAnsi" w:cstheme="minorHAnsi"/>
        </w:rPr>
      </w:pPr>
      <w:r w:rsidRPr="0F73AF2A">
        <w:rPr>
          <w:rFonts w:asciiTheme="minorHAnsi" w:eastAsiaTheme="minorEastAsia" w:hAnsiTheme="minorHAnsi" w:cstheme="minorBidi"/>
        </w:rPr>
        <w:t>WFP</w:t>
      </w:r>
      <w:r w:rsidRPr="00EC615F">
        <w:rPr>
          <w:rFonts w:asciiTheme="minorHAnsi" w:hAnsiTheme="minorHAnsi" w:cstheme="minorHAnsi"/>
        </w:rPr>
        <w:tab/>
      </w:r>
      <w:r w:rsidRPr="00EC615F">
        <w:rPr>
          <w:rFonts w:asciiTheme="minorHAnsi" w:hAnsiTheme="minorHAnsi" w:cstheme="minorHAnsi"/>
        </w:rPr>
        <w:tab/>
      </w:r>
      <w:r w:rsidRPr="0F73AF2A">
        <w:rPr>
          <w:rFonts w:asciiTheme="minorHAnsi" w:eastAsiaTheme="minorEastAsia" w:hAnsiTheme="minorHAnsi" w:cstheme="minorBidi"/>
        </w:rPr>
        <w:t>World Food Programme</w:t>
      </w:r>
    </w:p>
    <w:p w:rsidR="00BC0A8C" w:rsidRPr="00EC615F" w:rsidRDefault="00BC0A8C" w:rsidP="00782C76">
      <w:pPr>
        <w:autoSpaceDE w:val="0"/>
        <w:autoSpaceDN w:val="0"/>
        <w:adjustRightInd w:val="0"/>
        <w:spacing w:after="0" w:line="240" w:lineRule="auto"/>
        <w:rPr>
          <w:rFonts w:asciiTheme="minorHAnsi" w:hAnsiTheme="minorHAnsi" w:cstheme="minorHAnsi"/>
        </w:rPr>
      </w:pPr>
    </w:p>
    <w:p w:rsidR="00BC0A8C" w:rsidRPr="00EC615F" w:rsidRDefault="00BC0A8C" w:rsidP="00D22584">
      <w:pPr>
        <w:spacing w:after="0" w:line="240" w:lineRule="auto"/>
        <w:rPr>
          <w:rFonts w:asciiTheme="minorHAnsi" w:hAnsiTheme="minorHAnsi" w:cstheme="minorHAnsi"/>
        </w:rPr>
      </w:pPr>
    </w:p>
    <w:p w:rsidR="00BC0A8C" w:rsidRPr="009B1C91" w:rsidRDefault="00BC0A8C" w:rsidP="00BC0A8C">
      <w:pPr>
        <w:rPr>
          <w:rFonts w:asciiTheme="minorHAnsi" w:hAnsiTheme="minorHAnsi" w:cstheme="minorHAnsi"/>
        </w:rPr>
      </w:pPr>
    </w:p>
    <w:p w:rsidR="00714CA5" w:rsidRPr="009B1C91" w:rsidRDefault="00714CA5" w:rsidP="00714CA5">
      <w:pPr>
        <w:rPr>
          <w:rFonts w:asciiTheme="minorHAnsi" w:hAnsiTheme="minorHAnsi" w:cstheme="minorHAnsi"/>
          <w:b/>
        </w:rPr>
      </w:pPr>
    </w:p>
    <w:p w:rsidR="0058096D" w:rsidRPr="009B1C91" w:rsidRDefault="0058096D" w:rsidP="00714CA5">
      <w:pPr>
        <w:rPr>
          <w:rFonts w:asciiTheme="minorHAnsi" w:hAnsiTheme="minorHAnsi" w:cstheme="minorHAnsi"/>
          <w:b/>
        </w:rPr>
      </w:pPr>
    </w:p>
    <w:p w:rsidR="003F26F2" w:rsidRDefault="003F26F2" w:rsidP="003C6762">
      <w:pPr>
        <w:rPr>
          <w:rFonts w:asciiTheme="minorHAnsi" w:hAnsiTheme="minorHAnsi" w:cstheme="minorHAnsi"/>
          <w:b/>
          <w:sz w:val="24"/>
        </w:rPr>
      </w:pPr>
    </w:p>
    <w:p w:rsidR="00714CA5" w:rsidRPr="009B1C91" w:rsidRDefault="0F73AF2A" w:rsidP="00714CA5">
      <w:pPr>
        <w:jc w:val="center"/>
        <w:rPr>
          <w:rFonts w:asciiTheme="minorHAnsi" w:hAnsiTheme="minorHAnsi" w:cstheme="minorHAnsi"/>
          <w:b/>
          <w:sz w:val="24"/>
        </w:rPr>
      </w:pPr>
      <w:r w:rsidRPr="0F73AF2A">
        <w:rPr>
          <w:rFonts w:asciiTheme="minorHAnsi" w:eastAsiaTheme="minorEastAsia" w:hAnsiTheme="minorHAnsi" w:cstheme="minorBidi"/>
          <w:b/>
          <w:bCs/>
          <w:sz w:val="24"/>
          <w:szCs w:val="24"/>
        </w:rPr>
        <w:t>EXECUTIVE SUMMARY</w:t>
      </w:r>
    </w:p>
    <w:p w:rsidR="00714CA5" w:rsidRPr="009B1C91" w:rsidRDefault="0F73AF2A" w:rsidP="00C61EA4">
      <w:pPr>
        <w:spacing w:after="0" w:line="240" w:lineRule="auto"/>
        <w:jc w:val="both"/>
        <w:rPr>
          <w:rFonts w:asciiTheme="minorHAnsi" w:hAnsiTheme="minorHAnsi" w:cstheme="minorHAnsi"/>
        </w:rPr>
      </w:pPr>
      <w:r w:rsidRPr="0F73AF2A">
        <w:rPr>
          <w:rFonts w:asciiTheme="minorHAnsi" w:eastAsiaTheme="minorEastAsia" w:hAnsiTheme="minorHAnsi" w:cstheme="minorBidi"/>
        </w:rPr>
        <w:t>During the period of 2012-2016, UND</w:t>
      </w:r>
      <w:r w:rsidR="00644CA3">
        <w:rPr>
          <w:rFonts w:asciiTheme="minorHAnsi" w:eastAsiaTheme="minorEastAsia" w:hAnsiTheme="minorHAnsi" w:cstheme="minorBidi"/>
        </w:rPr>
        <w:t>P</w:t>
      </w:r>
      <w:bookmarkStart w:id="0" w:name="_GoBack"/>
      <w:bookmarkEnd w:id="0"/>
      <w:r w:rsidRPr="0F73AF2A">
        <w:rPr>
          <w:rFonts w:asciiTheme="minorHAnsi" w:eastAsiaTheme="minorEastAsia" w:hAnsiTheme="minorHAnsi" w:cstheme="minorBidi"/>
        </w:rPr>
        <w:t xml:space="preserve"> Bangladesh has been supporting a portfolio of projects under the Climate Change, Environment, and Disaster (CCED) Cluster programme by building on previous engagements and achievements in the fields of the environment, disaster management and sustainable development. The overall goal and mandate of the CCED Cluster programme is to engage in activities relating to environmental and natural resources sustainability and mitigation; adaptation to climate change; the alleviation of poverty through capacity building of government institutions, NGOs and civil society organizations; mainstreaming the poverty-environment-climate nexus into development planning and budgeting processes; and implementing innovative solutions for addressing challenges stemming from climate change and degradation of common property resources.  </w:t>
      </w:r>
    </w:p>
    <w:p w:rsidR="00714CA5" w:rsidRPr="009B1C91" w:rsidRDefault="00714CA5" w:rsidP="00C61EA4">
      <w:pPr>
        <w:spacing w:after="0" w:line="240" w:lineRule="auto"/>
        <w:jc w:val="both"/>
        <w:rPr>
          <w:rFonts w:asciiTheme="minorHAnsi" w:hAnsiTheme="minorHAnsi" w:cstheme="minorHAnsi"/>
        </w:rPr>
      </w:pPr>
    </w:p>
    <w:p w:rsidR="00714CA5" w:rsidRPr="009B1C91" w:rsidRDefault="00714CA5" w:rsidP="00C61EA4">
      <w:pPr>
        <w:spacing w:after="0" w:line="240" w:lineRule="auto"/>
        <w:jc w:val="both"/>
        <w:rPr>
          <w:rFonts w:asciiTheme="minorHAnsi" w:hAnsiTheme="minorHAnsi" w:cstheme="minorHAnsi"/>
        </w:rPr>
      </w:pPr>
      <w:r w:rsidRPr="0F73AF2A">
        <w:rPr>
          <w:rFonts w:asciiTheme="minorHAnsi" w:eastAsiaTheme="minorEastAsia" w:hAnsiTheme="minorHAnsi" w:cstheme="minorBidi"/>
        </w:rPr>
        <w:t xml:space="preserve">The purpose of this </w:t>
      </w:r>
      <w:r w:rsidR="0036623A">
        <w:rPr>
          <w:rFonts w:asciiTheme="minorHAnsi" w:eastAsiaTheme="minorEastAsia" w:hAnsiTheme="minorHAnsi" w:cstheme="minorBidi"/>
        </w:rPr>
        <w:t xml:space="preserve">outcome </w:t>
      </w:r>
      <w:r w:rsidRPr="0F73AF2A">
        <w:rPr>
          <w:rFonts w:asciiTheme="minorHAnsi" w:eastAsiaTheme="minorEastAsia" w:hAnsiTheme="minorHAnsi" w:cstheme="minorBidi"/>
        </w:rPr>
        <w:t>evaluation is to docu</w:t>
      </w:r>
      <w:r w:rsidR="0036623A">
        <w:rPr>
          <w:rFonts w:asciiTheme="minorHAnsi" w:eastAsiaTheme="minorEastAsia" w:hAnsiTheme="minorHAnsi" w:cstheme="minorBidi"/>
        </w:rPr>
        <w:t>ment and evaluate the cumulative</w:t>
      </w:r>
      <w:r w:rsidRPr="0F73AF2A">
        <w:rPr>
          <w:rFonts w:asciiTheme="minorHAnsi" w:eastAsiaTheme="minorEastAsia" w:hAnsiTheme="minorHAnsi" w:cstheme="minorBidi"/>
        </w:rPr>
        <w:t xml:space="preserve"> outcomes of UNDP’s contributions towards climate change adaptation, disaster risk reduction, sustainable use of natural resources and energy efficiency, and access to low carbon energy.  This involved an assessment of country-wide transformative developmental changes and the role of UNDP, the Government of Bangladesh, donors, and development partners (including NGOs and CSOs) at the macro level. The evaluation aims to assess UNDP Bangladesh’s contribution towards achieving the country’s development targets.   At the project (micro) level, it involved an examination of the UNDP interventions under the CCED programme, in particular their relevance, effectiveness, efficiency and sustainability outputs and outcomes.  The outcome evaluation was undertaken over the 8 December, 2014 – 31 May, 2015 period, with evaluation interviews, meetings, consultations, and focus group discussions being undertaken between December 2014 – May 2015, supported by in-depth document reviews throughout this period. The timing of the evaluation was selected in such a way so the findings could assist the forthcoming Country Programme development (2017-2021).</w:t>
      </w:r>
    </w:p>
    <w:p w:rsidR="00714CA5" w:rsidRDefault="00714CA5" w:rsidP="00C61EA4">
      <w:pPr>
        <w:spacing w:after="0" w:line="240" w:lineRule="auto"/>
        <w:jc w:val="both"/>
        <w:rPr>
          <w:rFonts w:asciiTheme="minorHAnsi" w:hAnsiTheme="minorHAnsi" w:cstheme="minorHAnsi"/>
        </w:rPr>
      </w:pPr>
    </w:p>
    <w:p w:rsidR="00342E1D" w:rsidRPr="00342E1D" w:rsidRDefault="0F73AF2A" w:rsidP="00C61EA4">
      <w:pPr>
        <w:spacing w:after="0" w:line="240" w:lineRule="auto"/>
        <w:jc w:val="both"/>
        <w:rPr>
          <w:rFonts w:asciiTheme="minorHAnsi" w:hAnsiTheme="minorHAnsi" w:cstheme="minorHAnsi"/>
          <w:b/>
        </w:rPr>
      </w:pPr>
      <w:r w:rsidRPr="0F73AF2A">
        <w:rPr>
          <w:rFonts w:asciiTheme="minorHAnsi" w:eastAsiaTheme="minorEastAsia" w:hAnsiTheme="minorHAnsi" w:cstheme="minorBidi"/>
          <w:b/>
          <w:bCs/>
        </w:rPr>
        <w:t>Major Findings</w:t>
      </w:r>
    </w:p>
    <w:p w:rsidR="00342E1D" w:rsidRPr="009B1C91" w:rsidRDefault="00342E1D" w:rsidP="00C61EA4">
      <w:pPr>
        <w:spacing w:after="0" w:line="240" w:lineRule="auto"/>
        <w:jc w:val="both"/>
        <w:rPr>
          <w:rFonts w:asciiTheme="minorHAnsi" w:hAnsiTheme="minorHAnsi" w:cstheme="minorHAnsi"/>
        </w:rPr>
      </w:pPr>
    </w:p>
    <w:p w:rsidR="00CB06BE" w:rsidRPr="00CB06BE" w:rsidRDefault="0F73AF2A" w:rsidP="001E161B">
      <w:pPr>
        <w:pStyle w:val="ListParagraph"/>
        <w:numPr>
          <w:ilvl w:val="0"/>
          <w:numId w:val="30"/>
        </w:numPr>
        <w:spacing w:after="0" w:line="240" w:lineRule="auto"/>
        <w:jc w:val="both"/>
        <w:rPr>
          <w:rFonts w:asciiTheme="minorHAnsi" w:eastAsiaTheme="minorEastAsia" w:hAnsiTheme="minorHAnsi" w:cstheme="minorBidi"/>
          <w:color w:val="000000" w:themeColor="text1"/>
        </w:rPr>
      </w:pPr>
      <w:r w:rsidRPr="0F73AF2A">
        <w:rPr>
          <w:rFonts w:asciiTheme="minorHAnsi" w:eastAsiaTheme="minorEastAsia" w:hAnsiTheme="minorHAnsi" w:cstheme="minorBidi"/>
          <w:b/>
          <w:bCs/>
          <w:i/>
          <w:iCs/>
        </w:rPr>
        <w:t xml:space="preserve">The CCED programme has continued to cumulatively contribute to the ‘paradigm shifting’ process in developing a ‘culture’ of risk reduction in the country. </w:t>
      </w:r>
      <w:r w:rsidRPr="0F73AF2A">
        <w:rPr>
          <w:rFonts w:asciiTheme="minorHAnsi" w:eastAsiaTheme="minorEastAsia" w:hAnsiTheme="minorHAnsi" w:cstheme="minorBidi"/>
        </w:rPr>
        <w:t>Although the Country Programme cycle is still underway, sufficient ground has been covered to promote the motto of ‘building and enhancing resilience’ for developmental and environmental sustainability goals. During the 2012-16 Country Programme period, a total of $ 102.32 m was budgeted for CCED Cluster activities, of which the lion's share was implemented by 2014; US $ 80.72 m for CCA and DRR programming and US $21.60 m for NRM and access to low carbon energy areas (Annex I). These investments have directly not only contributed to 4 major policy formulations in the NRM areas (Table 4.1.2.1), and further contributed to ‘paradigm shift’ in the institutional thought-process and actions, but also generated considerable tangible and intangible benefits. For example, a total of 28 initiatives</w:t>
      </w:r>
      <w:r w:rsidR="0036623A">
        <w:rPr>
          <w:rFonts w:asciiTheme="minorHAnsi" w:eastAsiaTheme="minorEastAsia" w:hAnsiTheme="minorHAnsi" w:cstheme="minorBidi"/>
        </w:rPr>
        <w:t xml:space="preserve"> and/or projects</w:t>
      </w:r>
      <w:r w:rsidRPr="0F73AF2A">
        <w:rPr>
          <w:rFonts w:asciiTheme="minorHAnsi" w:eastAsiaTheme="minorEastAsia" w:hAnsiTheme="minorHAnsi" w:cstheme="minorBidi"/>
        </w:rPr>
        <w:t xml:space="preserve"> were undertaken by the CCED Cluster, which succeeded in developing effective partnerships with 18 government ministries, numerous NGOs and CSOs, as implementing agencies. The ‘paradigm shift’ of national policy and practice areas requires transformational changes over a longer period of time, and therefore, continuous strategic priorities and resource allocation would be required for UNDP to assist Bangladesh to achieve such a goal in CCED areas. </w:t>
      </w:r>
    </w:p>
    <w:p w:rsidR="009506B2" w:rsidRPr="00417C7F" w:rsidRDefault="009506B2" w:rsidP="009506B2">
      <w:pPr>
        <w:spacing w:after="0" w:line="240" w:lineRule="auto"/>
        <w:jc w:val="both"/>
        <w:rPr>
          <w:rFonts w:asciiTheme="minorHAnsi" w:hAnsiTheme="minorHAnsi" w:cstheme="minorHAnsi"/>
        </w:rPr>
      </w:pPr>
    </w:p>
    <w:p w:rsidR="00342E1D" w:rsidRPr="00224BF9" w:rsidRDefault="00714CA5" w:rsidP="001E161B">
      <w:pPr>
        <w:pStyle w:val="ListParagraph"/>
        <w:numPr>
          <w:ilvl w:val="0"/>
          <w:numId w:val="31"/>
        </w:numPr>
        <w:spacing w:after="0" w:line="240" w:lineRule="auto"/>
        <w:jc w:val="both"/>
        <w:rPr>
          <w:rFonts w:eastAsia="Calibri" w:cs="Calibri"/>
          <w:bCs/>
          <w:color w:val="000000" w:themeColor="text1"/>
        </w:rPr>
      </w:pPr>
      <w:r w:rsidRPr="0F73AF2A">
        <w:rPr>
          <w:rFonts w:asciiTheme="minorHAnsi" w:eastAsiaTheme="minorEastAsia" w:hAnsiTheme="minorHAnsi" w:cstheme="minorBidi"/>
          <w:b/>
          <w:bCs/>
          <w:i/>
          <w:iCs/>
        </w:rPr>
        <w:t xml:space="preserve">The outcome evaluation revealed that UNDP projects were generally relevant, effective, and efficient, with good Value for Money (VfM).  </w:t>
      </w:r>
      <w:r w:rsidR="00342E1D" w:rsidRPr="0F73AF2A">
        <w:rPr>
          <w:rFonts w:asciiTheme="minorHAnsi" w:eastAsiaTheme="minorEastAsia" w:hAnsiTheme="minorHAnsi" w:cstheme="minorBidi"/>
          <w:b/>
          <w:bCs/>
          <w:i/>
          <w:iCs/>
        </w:rPr>
        <w:t xml:space="preserve">For all project components on which analysis was performed, Value for Money (VfM) was higher than one, implying that benefits surpassed cost of development and implementation. </w:t>
      </w:r>
      <w:r w:rsidR="00224BF9" w:rsidRPr="0F73AF2A">
        <w:rPr>
          <w:rFonts w:asciiTheme="minorHAnsi" w:eastAsiaTheme="minorEastAsia" w:hAnsiTheme="minorHAnsi" w:cstheme="minorBidi"/>
        </w:rPr>
        <w:t>[</w:t>
      </w:r>
      <w:r w:rsidR="0069201D" w:rsidRPr="0F73AF2A">
        <w:rPr>
          <w:rFonts w:eastAsia="Calibri" w:cs="Calibri"/>
        </w:rPr>
        <w:t xml:space="preserve">The estimated Value for Money of the CDMI II Core Family Shelter activities </w:t>
      </w:r>
      <w:r w:rsidR="007D6A1E" w:rsidRPr="0F73AF2A">
        <w:rPr>
          <w:rFonts w:eastAsia="Calibri" w:cs="Calibri"/>
        </w:rPr>
        <w:t xml:space="preserve">is: </w:t>
      </w:r>
      <w:r w:rsidR="0069201D" w:rsidRPr="0F73AF2A">
        <w:rPr>
          <w:rFonts w:eastAsia="Calibri" w:cs="Calibri"/>
        </w:rPr>
        <w:t>the Benefit Cost Ratio (BCR) is 2.76:1, and Internal Rate of Return (IRR) is 20.30%.</w:t>
      </w:r>
      <w:r w:rsidR="007D6A1E" w:rsidRPr="0F73AF2A">
        <w:rPr>
          <w:rFonts w:eastAsia="Calibri" w:cs="Calibri"/>
        </w:rPr>
        <w:t xml:space="preserve"> The estimated Value for Money of the disaster-resilient habitat - a component of ERF - is: Benefit Cost Ratio (BCR) is 1.88:1, and Internal Rate of Return (IRR) is 10.50%.</w:t>
      </w:r>
      <w:r w:rsidR="00C8180D" w:rsidRPr="0F73AF2A">
        <w:rPr>
          <w:rFonts w:eastAsia="Calibri" w:cs="Calibri"/>
        </w:rPr>
        <w:t xml:space="preserve"> The Value for Money of the Triple F (Forest, Fish and Fruit) model – a component of the CBACC-CF project, per beneficiary household is: Benefit Cost Ratio (BCR) 4.88:1, and Internal Rate of Return (IRR) 50.90%.</w:t>
      </w:r>
      <w:r w:rsidR="00674CBA" w:rsidRPr="0F73AF2A">
        <w:rPr>
          <w:rFonts w:eastAsia="Calibri" w:cs="Calibri"/>
        </w:rPr>
        <w:t xml:space="preserve"> The estimated Value for Money for Green Bricks </w:t>
      </w:r>
      <w:r w:rsidR="00816445" w:rsidRPr="0F73AF2A">
        <w:rPr>
          <w:rFonts w:eastAsia="Calibri" w:cs="Calibri"/>
        </w:rPr>
        <w:t xml:space="preserve">– IKEBMI project - </w:t>
      </w:r>
      <w:r w:rsidR="00674CBA" w:rsidRPr="0F73AF2A">
        <w:rPr>
          <w:rFonts w:eastAsia="Calibri" w:cs="Calibri"/>
        </w:rPr>
        <w:t>is: Benefit Cost Ratio (BCR) is 1.92:1, and Internal Rate of Return (IRR) is 10.5%</w:t>
      </w:r>
      <w:r w:rsidR="00224BF9" w:rsidRPr="0F73AF2A">
        <w:rPr>
          <w:rFonts w:eastAsia="Calibri" w:cs="Calibri"/>
        </w:rPr>
        <w:t xml:space="preserve">]. </w:t>
      </w:r>
      <w:r w:rsidR="00342E1D" w:rsidRPr="0F73AF2A">
        <w:rPr>
          <w:rFonts w:asciiTheme="minorHAnsi" w:eastAsiaTheme="minorEastAsia" w:hAnsiTheme="minorHAnsi" w:cstheme="minorBidi"/>
          <w:b/>
          <w:bCs/>
          <w:i/>
          <w:iCs/>
        </w:rPr>
        <w:t>Overall, compared to international benchmarks, the efficiency in terms of funds invested and the value of benefits is very high.</w:t>
      </w:r>
    </w:p>
    <w:p w:rsidR="0082610F" w:rsidRPr="0082610F" w:rsidRDefault="0082610F" w:rsidP="0082610F">
      <w:pPr>
        <w:spacing w:after="0" w:line="240" w:lineRule="auto"/>
        <w:ind w:left="360"/>
        <w:jc w:val="both"/>
        <w:rPr>
          <w:rFonts w:asciiTheme="minorHAnsi" w:hAnsiTheme="minorHAnsi" w:cstheme="minorHAnsi"/>
        </w:rPr>
      </w:pPr>
    </w:p>
    <w:p w:rsidR="0082610F" w:rsidRPr="0082610F" w:rsidRDefault="0F73AF2A" w:rsidP="001E161B">
      <w:pPr>
        <w:pStyle w:val="ListParagraph"/>
        <w:numPr>
          <w:ilvl w:val="0"/>
          <w:numId w:val="30"/>
        </w:numPr>
        <w:spacing w:after="0" w:line="240" w:lineRule="auto"/>
        <w:jc w:val="both"/>
        <w:rPr>
          <w:rFonts w:asciiTheme="minorHAnsi" w:eastAsiaTheme="minorEastAsia" w:hAnsiTheme="minorHAnsi" w:cstheme="minorBidi"/>
          <w:b/>
          <w:i/>
          <w:color w:val="000000" w:themeColor="text1"/>
        </w:rPr>
      </w:pPr>
      <w:r w:rsidRPr="0F73AF2A">
        <w:rPr>
          <w:rFonts w:asciiTheme="minorHAnsi" w:eastAsiaTheme="minorEastAsia" w:hAnsiTheme="minorHAnsi" w:cstheme="minorBidi"/>
        </w:rPr>
        <w:t>However, due to the limited scope and timescale of the evaluation, the Value for Money analysis was limited to specific project components, which precluded a longitudinal examination of project intervention efficiency analysis.</w:t>
      </w:r>
      <w:r w:rsidRPr="0F73AF2A">
        <w:rPr>
          <w:rFonts w:asciiTheme="minorHAnsi" w:eastAsiaTheme="minorEastAsia" w:hAnsiTheme="minorHAnsi" w:cstheme="minorBidi"/>
          <w:b/>
          <w:bCs/>
          <w:i/>
          <w:iCs/>
        </w:rPr>
        <w:t xml:space="preserve"> Efforts to design a longitudinal Economic Analysis of UNDP programmes and project interventions are meagre. </w:t>
      </w:r>
    </w:p>
    <w:p w:rsidR="00417C7F" w:rsidRDefault="00417C7F" w:rsidP="00417C7F">
      <w:pPr>
        <w:pStyle w:val="ListParagraph"/>
        <w:spacing w:after="0" w:line="240" w:lineRule="auto"/>
        <w:jc w:val="both"/>
        <w:rPr>
          <w:rFonts w:asciiTheme="minorHAnsi" w:hAnsiTheme="minorHAnsi" w:cstheme="minorHAnsi"/>
        </w:rPr>
      </w:pPr>
    </w:p>
    <w:p w:rsidR="00DE28B1" w:rsidRDefault="0F73AF2A" w:rsidP="001E161B">
      <w:pPr>
        <w:pStyle w:val="ListParagraph"/>
        <w:numPr>
          <w:ilvl w:val="0"/>
          <w:numId w:val="30"/>
        </w:numPr>
        <w:spacing w:after="0" w:line="240" w:lineRule="auto"/>
        <w:jc w:val="both"/>
        <w:rPr>
          <w:rFonts w:asciiTheme="minorHAnsi" w:eastAsiaTheme="minorEastAsia" w:hAnsiTheme="minorHAnsi" w:cstheme="minorBidi"/>
          <w:color w:val="000000" w:themeColor="text1"/>
        </w:rPr>
      </w:pPr>
      <w:r w:rsidRPr="0F73AF2A">
        <w:rPr>
          <w:rFonts w:asciiTheme="minorHAnsi" w:eastAsiaTheme="minorEastAsia" w:hAnsiTheme="minorHAnsi" w:cstheme="minorBidi"/>
        </w:rPr>
        <w:t xml:space="preserve">The outcome assessment further revealed that </w:t>
      </w:r>
      <w:r w:rsidRPr="0F73AF2A">
        <w:rPr>
          <w:rFonts w:asciiTheme="minorHAnsi" w:eastAsiaTheme="minorEastAsia" w:hAnsiTheme="minorHAnsi" w:cstheme="minorBidi"/>
          <w:b/>
          <w:bCs/>
          <w:i/>
          <w:iCs/>
        </w:rPr>
        <w:t>it is time to vigorously promote the motto of ‘pro-growth green development’ and for UNDP to prove itself as a ‘thought leader’ in the transition of Bangladesh’s current dependency on non-renewable energy-based economy towards becoming a renewable energy-based economy and society.</w:t>
      </w:r>
    </w:p>
    <w:p w:rsidR="00417C7F" w:rsidRPr="00417C7F" w:rsidRDefault="00417C7F" w:rsidP="00417C7F">
      <w:pPr>
        <w:spacing w:after="0" w:line="240" w:lineRule="auto"/>
        <w:jc w:val="both"/>
        <w:rPr>
          <w:rFonts w:asciiTheme="minorHAnsi" w:hAnsiTheme="minorHAnsi" w:cstheme="minorHAnsi"/>
        </w:rPr>
      </w:pPr>
    </w:p>
    <w:p w:rsidR="00FE0823" w:rsidRDefault="0F73AF2A" w:rsidP="001E161B">
      <w:pPr>
        <w:pStyle w:val="ListParagraph"/>
        <w:numPr>
          <w:ilvl w:val="0"/>
          <w:numId w:val="30"/>
        </w:numPr>
        <w:spacing w:after="0" w:line="240" w:lineRule="auto"/>
        <w:jc w:val="both"/>
        <w:rPr>
          <w:rFonts w:asciiTheme="minorHAnsi" w:eastAsiaTheme="minorEastAsia" w:hAnsiTheme="minorHAnsi" w:cstheme="minorBidi"/>
          <w:b/>
          <w:i/>
          <w:color w:val="000000" w:themeColor="text1"/>
        </w:rPr>
      </w:pPr>
      <w:r w:rsidRPr="0F73AF2A">
        <w:rPr>
          <w:rFonts w:asciiTheme="minorHAnsi" w:eastAsiaTheme="minorEastAsia" w:hAnsiTheme="minorHAnsi" w:cstheme="minorBidi"/>
        </w:rPr>
        <w:t xml:space="preserve">The CCED programme is at a crossroad to becoming more focused, robust, and strategically well-positioned to continue as a global leader in disaster management and community-based climate change adaptation in Bangladesh. </w:t>
      </w:r>
      <w:r w:rsidRPr="0F73AF2A">
        <w:rPr>
          <w:rFonts w:asciiTheme="minorHAnsi" w:eastAsiaTheme="minorEastAsia" w:hAnsiTheme="minorHAnsi" w:cstheme="minorBidi"/>
          <w:b/>
          <w:bCs/>
          <w:i/>
          <w:iCs/>
        </w:rPr>
        <w:t>In order to position it better, UNDP Bangladesh should invest more on rigorous Economic Analysis of project and programme intervention investments, particularly to earn more credibility from strategic partners.</w:t>
      </w:r>
    </w:p>
    <w:p w:rsidR="00417C7F" w:rsidRPr="00417C7F" w:rsidRDefault="00417C7F" w:rsidP="00417C7F">
      <w:pPr>
        <w:spacing w:after="0" w:line="240" w:lineRule="auto"/>
        <w:jc w:val="both"/>
        <w:rPr>
          <w:rFonts w:asciiTheme="minorHAnsi" w:hAnsiTheme="minorHAnsi" w:cstheme="minorHAnsi"/>
          <w:b/>
          <w:i/>
        </w:rPr>
      </w:pPr>
    </w:p>
    <w:p w:rsidR="00417C7F" w:rsidRPr="00417C7F" w:rsidRDefault="0F73AF2A" w:rsidP="001E161B">
      <w:pPr>
        <w:pStyle w:val="ListParagraph"/>
        <w:numPr>
          <w:ilvl w:val="0"/>
          <w:numId w:val="30"/>
        </w:numPr>
        <w:spacing w:after="0" w:line="240" w:lineRule="auto"/>
        <w:jc w:val="both"/>
        <w:rPr>
          <w:rFonts w:asciiTheme="minorHAnsi" w:eastAsiaTheme="minorEastAsia" w:hAnsiTheme="minorHAnsi" w:cstheme="minorBidi"/>
          <w:b/>
          <w:i/>
          <w:color w:val="000000" w:themeColor="text1"/>
        </w:rPr>
      </w:pPr>
      <w:r w:rsidRPr="0F73AF2A">
        <w:rPr>
          <w:rFonts w:asciiTheme="minorHAnsi" w:eastAsiaTheme="minorEastAsia" w:hAnsiTheme="minorHAnsi" w:cstheme="minorBidi"/>
          <w:lang w:val="en-GB"/>
        </w:rPr>
        <w:t xml:space="preserve">The analysis of UNDP interventions and other activities has revealed that Bangladesh has </w:t>
      </w:r>
      <w:r w:rsidRPr="0F73AF2A">
        <w:rPr>
          <w:rFonts w:asciiTheme="minorHAnsi" w:eastAsiaTheme="minorEastAsia" w:hAnsiTheme="minorHAnsi" w:cstheme="minorBidi"/>
          <w:b/>
          <w:bCs/>
          <w:i/>
          <w:iCs/>
          <w:lang w:val="en-GB"/>
        </w:rPr>
        <w:t>made remarkable progress in mainstreaming climate change, environment and disaster management and poverty reduction.</w:t>
      </w:r>
      <w:r w:rsidRPr="0F73AF2A">
        <w:rPr>
          <w:rFonts w:asciiTheme="minorHAnsi" w:eastAsiaTheme="minorEastAsia" w:hAnsiTheme="minorHAnsi" w:cstheme="minorBidi"/>
          <w:lang w:val="en-GB"/>
        </w:rPr>
        <w:t xml:space="preserve"> The Sixth FYP contains references to most of the policies, strategies and approaches that UNDP and its development partners have supported during the present UNDP country programming period in the CCED portfolio. </w:t>
      </w:r>
      <w:r w:rsidRPr="0F73AF2A">
        <w:rPr>
          <w:rFonts w:asciiTheme="minorHAnsi" w:eastAsiaTheme="minorEastAsia" w:hAnsiTheme="minorHAnsi" w:cstheme="minorBidi"/>
          <w:b/>
          <w:bCs/>
          <w:i/>
          <w:iCs/>
          <w:lang w:val="en-GB"/>
        </w:rPr>
        <w:t xml:space="preserve">These achievements can largely and/or partly be attributed to a dedicated and capable group of </w:t>
      </w:r>
      <w:r w:rsidR="0036623A">
        <w:rPr>
          <w:rFonts w:asciiTheme="minorHAnsi" w:eastAsiaTheme="minorEastAsia" w:hAnsiTheme="minorHAnsi" w:cstheme="minorBidi"/>
          <w:b/>
          <w:bCs/>
          <w:i/>
          <w:iCs/>
          <w:lang w:val="en-GB"/>
        </w:rPr>
        <w:t>officials, managers experts</w:t>
      </w:r>
      <w:r w:rsidRPr="0F73AF2A">
        <w:rPr>
          <w:rFonts w:asciiTheme="minorHAnsi" w:eastAsiaTheme="minorEastAsia" w:hAnsiTheme="minorHAnsi" w:cstheme="minorBidi"/>
          <w:b/>
          <w:bCs/>
          <w:i/>
          <w:iCs/>
          <w:lang w:val="en-GB"/>
        </w:rPr>
        <w:t>, and decision-makers at UNDP as well as government policy makers, NGOs, civil society and donors.</w:t>
      </w:r>
    </w:p>
    <w:p w:rsidR="000D2093" w:rsidRDefault="000D2093" w:rsidP="000D2093">
      <w:pPr>
        <w:spacing w:after="0" w:line="240" w:lineRule="auto"/>
        <w:jc w:val="both"/>
        <w:rPr>
          <w:rFonts w:asciiTheme="minorHAnsi" w:hAnsiTheme="minorHAnsi" w:cstheme="minorHAnsi"/>
          <w:lang w:val="en-GB"/>
        </w:rPr>
      </w:pPr>
    </w:p>
    <w:p w:rsidR="00866FCD" w:rsidRPr="00866FCD" w:rsidRDefault="0F73AF2A" w:rsidP="001E161B">
      <w:pPr>
        <w:pStyle w:val="ListParagraph"/>
        <w:numPr>
          <w:ilvl w:val="0"/>
          <w:numId w:val="30"/>
        </w:numPr>
        <w:spacing w:after="0" w:line="240" w:lineRule="auto"/>
        <w:jc w:val="both"/>
        <w:rPr>
          <w:rFonts w:asciiTheme="minorHAnsi" w:eastAsiaTheme="minorEastAsia" w:hAnsiTheme="minorHAnsi" w:cstheme="minorBidi"/>
          <w:b/>
          <w:i/>
          <w:color w:val="000000" w:themeColor="text1"/>
        </w:rPr>
      </w:pPr>
      <w:r w:rsidRPr="0F73AF2A">
        <w:rPr>
          <w:rFonts w:asciiTheme="minorHAnsi" w:eastAsiaTheme="minorEastAsia" w:hAnsiTheme="minorHAnsi" w:cstheme="minorBidi"/>
          <w:b/>
          <w:bCs/>
          <w:i/>
          <w:iCs/>
          <w:lang w:val="en-GB"/>
        </w:rPr>
        <w:t>These accomplishments should nonetheless be qualified with critical analysis.</w:t>
      </w:r>
      <w:r w:rsidRPr="0F73AF2A">
        <w:rPr>
          <w:rFonts w:asciiTheme="minorHAnsi" w:eastAsiaTheme="minorEastAsia" w:hAnsiTheme="minorHAnsi" w:cstheme="minorBidi"/>
        </w:rPr>
        <w:t xml:space="preserve"> This is because, </w:t>
      </w:r>
      <w:r w:rsidRPr="0F73AF2A">
        <w:rPr>
          <w:rFonts w:asciiTheme="minorHAnsi" w:eastAsiaTheme="minorEastAsia" w:hAnsiTheme="minorHAnsi" w:cstheme="minorBidi"/>
          <w:b/>
          <w:bCs/>
          <w:i/>
          <w:iCs/>
        </w:rPr>
        <w:t>generally, delivery on the policy level was more effective than on the ground.</w:t>
      </w:r>
      <w:r w:rsidRPr="0F73AF2A">
        <w:rPr>
          <w:rFonts w:asciiTheme="minorHAnsi" w:eastAsiaTheme="minorEastAsia" w:hAnsiTheme="minorHAnsi" w:cstheme="minorBidi"/>
        </w:rPr>
        <w:t xml:space="preserve"> Timeliness of interventions was largely appropriate, in particular in the area of CC adaptation and disaster risk. However, the energy technologies currently promoted in the energy efficiency area are quickly becoming obsolete. </w:t>
      </w:r>
      <w:r w:rsidRPr="0F73AF2A">
        <w:rPr>
          <w:rFonts w:asciiTheme="minorHAnsi" w:eastAsiaTheme="minorEastAsia" w:hAnsiTheme="minorHAnsi" w:cstheme="minorBidi"/>
          <w:b/>
          <w:bCs/>
          <w:i/>
          <w:iCs/>
        </w:rPr>
        <w:t>Overall, an effectiveness rating of CCED programmes was marginally satisfactory.</w:t>
      </w:r>
      <w:r w:rsidRPr="0F73AF2A">
        <w:rPr>
          <w:rFonts w:asciiTheme="minorHAnsi" w:eastAsiaTheme="minorEastAsia" w:hAnsiTheme="minorHAnsi" w:cstheme="minorBidi"/>
        </w:rPr>
        <w:t xml:space="preserve"> It is noteworthy here that </w:t>
      </w:r>
      <w:r w:rsidRPr="0F73AF2A">
        <w:rPr>
          <w:rFonts w:asciiTheme="minorHAnsi" w:eastAsiaTheme="minorEastAsia" w:hAnsiTheme="minorHAnsi" w:cstheme="minorBidi"/>
          <w:lang w:val="en-GB"/>
        </w:rPr>
        <w:t xml:space="preserve">political instability and deficiency in human security have hampered the implementation of economic and developmental activities in recent </w:t>
      </w:r>
      <w:r w:rsidRPr="0F73AF2A">
        <w:rPr>
          <w:rFonts w:asciiTheme="minorHAnsi" w:eastAsiaTheme="minorEastAsia" w:hAnsiTheme="minorHAnsi" w:cstheme="minorBidi"/>
          <w:lang w:val="en-GB"/>
        </w:rPr>
        <w:lastRenderedPageBreak/>
        <w:t>years and could adversely affect the pace of implementation of CCA, DRR, energy, and women’s empowerment activities in the country.</w:t>
      </w:r>
    </w:p>
    <w:p w:rsidR="00866FCD" w:rsidRPr="00866FCD" w:rsidRDefault="00866FCD" w:rsidP="00866FCD">
      <w:pPr>
        <w:pStyle w:val="ListParagraph"/>
        <w:rPr>
          <w:rFonts w:asciiTheme="minorHAnsi" w:hAnsiTheme="minorHAnsi" w:cstheme="minorHAnsi"/>
          <w:lang w:val="en-GB"/>
        </w:rPr>
      </w:pPr>
    </w:p>
    <w:p w:rsidR="00133BD5" w:rsidRPr="00133BD5" w:rsidRDefault="00714CA5" w:rsidP="001E161B">
      <w:pPr>
        <w:pStyle w:val="ListParagraph"/>
        <w:numPr>
          <w:ilvl w:val="0"/>
          <w:numId w:val="30"/>
        </w:numPr>
        <w:spacing w:after="0" w:line="240" w:lineRule="auto"/>
        <w:jc w:val="both"/>
        <w:rPr>
          <w:rFonts w:asciiTheme="minorHAnsi" w:eastAsiaTheme="minorEastAsia" w:hAnsiTheme="minorHAnsi" w:cstheme="minorBidi"/>
          <w:b/>
          <w:i/>
          <w:color w:val="000000" w:themeColor="text1"/>
        </w:rPr>
      </w:pPr>
      <w:r w:rsidRPr="0F73AF2A">
        <w:rPr>
          <w:rFonts w:asciiTheme="minorHAnsi" w:eastAsiaTheme="minorEastAsia" w:hAnsiTheme="minorHAnsi" w:cstheme="minorBidi"/>
          <w:b/>
          <w:bCs/>
          <w:i/>
          <w:iCs/>
          <w:lang w:val="en-GB"/>
        </w:rPr>
        <w:t xml:space="preserve">The UNDP CCED portfolio in Bangladesh has piloted innovative approaches to DRR and enhancement of community resilience, which in turn have contributed enormously to equitable economic growth and MDGs. </w:t>
      </w:r>
      <w:r w:rsidRPr="0F73AF2A">
        <w:rPr>
          <w:rFonts w:asciiTheme="minorHAnsi" w:eastAsiaTheme="minorEastAsia" w:hAnsiTheme="minorHAnsi" w:cstheme="minorBidi"/>
          <w:lang w:val="en-GB"/>
        </w:rPr>
        <w:t xml:space="preserve">While the portfolio is diverse and extends across multiple societal levels (local, regional, national and global), a number of common denominators - namely, policy advocacy, intersectoral linkage, innovation, and social mobilization - have assisted an underlying coherent and ‘team approach’ in this Cluster. </w:t>
      </w:r>
    </w:p>
    <w:p w:rsidR="00133BD5" w:rsidRPr="00133BD5" w:rsidRDefault="00133BD5" w:rsidP="00133BD5">
      <w:pPr>
        <w:pStyle w:val="ListParagraph"/>
        <w:rPr>
          <w:rFonts w:asciiTheme="minorHAnsi" w:hAnsiTheme="minorHAnsi" w:cstheme="minorHAnsi"/>
          <w:lang w:val="en-GB"/>
        </w:rPr>
      </w:pPr>
    </w:p>
    <w:p w:rsidR="00E5731A" w:rsidRPr="00636555" w:rsidRDefault="0F73AF2A" w:rsidP="001E161B">
      <w:pPr>
        <w:pStyle w:val="ListParagraph"/>
        <w:numPr>
          <w:ilvl w:val="0"/>
          <w:numId w:val="30"/>
        </w:numPr>
        <w:spacing w:after="0" w:line="240" w:lineRule="auto"/>
        <w:jc w:val="both"/>
        <w:rPr>
          <w:rFonts w:asciiTheme="minorHAnsi" w:eastAsiaTheme="minorEastAsia" w:hAnsiTheme="minorHAnsi" w:cstheme="minorBidi"/>
          <w:i/>
          <w:color w:val="000000" w:themeColor="text1"/>
        </w:rPr>
      </w:pPr>
      <w:r w:rsidRPr="0F73AF2A">
        <w:rPr>
          <w:rFonts w:asciiTheme="minorHAnsi" w:eastAsiaTheme="minorEastAsia" w:hAnsiTheme="minorHAnsi" w:cstheme="minorBidi"/>
          <w:b/>
          <w:bCs/>
          <w:i/>
          <w:iCs/>
          <w:lang w:val="en-GB"/>
        </w:rPr>
        <w:t xml:space="preserve">However, this coherence has not always led to further coordination and communication with other UNDP portfolios, which needs to be addressed. </w:t>
      </w:r>
      <w:r w:rsidR="00636555" w:rsidRPr="00636555">
        <w:rPr>
          <w:rFonts w:asciiTheme="minorHAnsi" w:eastAsiaTheme="minorEastAsia" w:hAnsiTheme="minorHAnsi" w:cstheme="minorBidi"/>
          <w:bCs/>
          <w:i/>
          <w:iCs/>
          <w:lang w:val="en-GB"/>
        </w:rPr>
        <w:t xml:space="preserve">For example, there has been deficiency in coordination between CCED programmes and governance cluster. </w:t>
      </w:r>
    </w:p>
    <w:p w:rsidR="00E5731A" w:rsidRPr="00E5731A" w:rsidRDefault="00E5731A" w:rsidP="00E5731A">
      <w:pPr>
        <w:pStyle w:val="ListParagraph"/>
        <w:rPr>
          <w:rFonts w:asciiTheme="minorHAnsi" w:hAnsiTheme="minorHAnsi" w:cstheme="minorHAnsi"/>
        </w:rPr>
      </w:pPr>
    </w:p>
    <w:p w:rsidR="00020B0D" w:rsidRPr="0082610F" w:rsidRDefault="0F73AF2A" w:rsidP="001E161B">
      <w:pPr>
        <w:pStyle w:val="ListParagraph"/>
        <w:numPr>
          <w:ilvl w:val="0"/>
          <w:numId w:val="30"/>
        </w:numPr>
        <w:spacing w:after="0" w:line="240" w:lineRule="auto"/>
        <w:jc w:val="both"/>
        <w:rPr>
          <w:rFonts w:asciiTheme="minorHAnsi" w:eastAsiaTheme="minorEastAsia" w:hAnsiTheme="minorHAnsi" w:cstheme="minorBidi"/>
          <w:b/>
          <w:i/>
          <w:color w:val="000000" w:themeColor="text1"/>
        </w:rPr>
      </w:pPr>
      <w:r w:rsidRPr="0F73AF2A">
        <w:rPr>
          <w:rFonts w:asciiTheme="minorHAnsi" w:eastAsiaTheme="minorEastAsia" w:hAnsiTheme="minorHAnsi" w:cstheme="minorBidi"/>
          <w:b/>
          <w:bCs/>
          <w:i/>
          <w:iCs/>
        </w:rPr>
        <w:t>There is generally a time lag between the inception and launching of a project</w:t>
      </w:r>
      <w:r w:rsidR="007C2860">
        <w:rPr>
          <w:rFonts w:asciiTheme="minorHAnsi" w:eastAsiaTheme="minorEastAsia" w:hAnsiTheme="minorHAnsi" w:cstheme="minorBidi"/>
          <w:b/>
          <w:bCs/>
          <w:i/>
          <w:iCs/>
        </w:rPr>
        <w:t xml:space="preserve">. Also, </w:t>
      </w:r>
      <w:r w:rsidR="007C2860" w:rsidRPr="0F73AF2A">
        <w:rPr>
          <w:rFonts w:asciiTheme="minorHAnsi" w:eastAsiaTheme="minorEastAsia" w:hAnsiTheme="minorHAnsi" w:cstheme="minorBidi"/>
          <w:b/>
          <w:bCs/>
          <w:i/>
          <w:iCs/>
        </w:rPr>
        <w:t xml:space="preserve">between UNDP </w:t>
      </w:r>
      <w:r w:rsidR="007C2860">
        <w:rPr>
          <w:rFonts w:asciiTheme="minorHAnsi" w:eastAsiaTheme="minorEastAsia" w:hAnsiTheme="minorHAnsi" w:cstheme="minorBidi"/>
          <w:b/>
          <w:bCs/>
          <w:i/>
          <w:iCs/>
        </w:rPr>
        <w:t xml:space="preserve">and the implementation partners, </w:t>
      </w:r>
      <w:r w:rsidRPr="0F73AF2A">
        <w:rPr>
          <w:rFonts w:asciiTheme="minorHAnsi" w:eastAsiaTheme="minorEastAsia" w:hAnsiTheme="minorHAnsi" w:cstheme="minorBidi"/>
          <w:b/>
          <w:bCs/>
          <w:i/>
          <w:iCs/>
        </w:rPr>
        <w:t>partnership negotiations</w:t>
      </w:r>
      <w:r w:rsidR="007C2860">
        <w:rPr>
          <w:rFonts w:asciiTheme="minorHAnsi" w:eastAsiaTheme="minorEastAsia" w:hAnsiTheme="minorHAnsi" w:cstheme="minorBidi"/>
          <w:b/>
          <w:bCs/>
          <w:i/>
          <w:iCs/>
        </w:rPr>
        <w:t xml:space="preserve"> have generally been very lengthy.</w:t>
      </w:r>
      <w:r w:rsidRPr="0F73AF2A">
        <w:rPr>
          <w:rFonts w:asciiTheme="minorHAnsi" w:eastAsiaTheme="minorEastAsia" w:hAnsiTheme="minorHAnsi" w:cstheme="minorBidi"/>
        </w:rPr>
        <w:t xml:space="preserve">A challenge for the evaluators in assessing the CPD outcome has been that the UNDP ROARs (Annual Reports) provided to the evaluators (2012, 2013, 2014) gauged output-level achievement and weaknesses, not larger outcome (‘impact’)-level results. The evaluators therefore relied on various proxy indicators and their triangulation to form outcome-level inferences.  </w:t>
      </w:r>
    </w:p>
    <w:p w:rsidR="0082610F" w:rsidRPr="0082610F" w:rsidRDefault="0082610F" w:rsidP="0082610F">
      <w:pPr>
        <w:spacing w:after="0" w:line="240" w:lineRule="auto"/>
        <w:jc w:val="both"/>
        <w:rPr>
          <w:rFonts w:asciiTheme="minorHAnsi" w:hAnsiTheme="minorHAnsi" w:cstheme="minorHAnsi"/>
          <w:b/>
          <w:i/>
        </w:rPr>
      </w:pPr>
    </w:p>
    <w:p w:rsidR="00714CA5" w:rsidRPr="00020B0D" w:rsidRDefault="0F73AF2A" w:rsidP="001E161B">
      <w:pPr>
        <w:pStyle w:val="ListParagraph"/>
        <w:numPr>
          <w:ilvl w:val="0"/>
          <w:numId w:val="30"/>
        </w:numPr>
        <w:spacing w:after="0" w:line="240" w:lineRule="auto"/>
        <w:jc w:val="both"/>
        <w:rPr>
          <w:rFonts w:asciiTheme="minorHAnsi" w:eastAsiaTheme="minorEastAsia" w:hAnsiTheme="minorHAnsi" w:cstheme="minorBidi"/>
          <w:b/>
          <w:i/>
          <w:color w:val="000000" w:themeColor="text1"/>
        </w:rPr>
      </w:pPr>
      <w:r w:rsidRPr="0F73AF2A">
        <w:rPr>
          <w:rFonts w:asciiTheme="minorHAnsi" w:eastAsiaTheme="minorEastAsia" w:hAnsiTheme="minorHAnsi" w:cstheme="minorBidi"/>
          <w:b/>
          <w:bCs/>
          <w:i/>
          <w:iCs/>
        </w:rPr>
        <w:t xml:space="preserve">It was revealed that explicit planning for and implementation of cross-cutting themes in the CCED Cluster projects has been challenging. </w:t>
      </w:r>
      <w:r w:rsidRPr="0F73AF2A">
        <w:rPr>
          <w:rFonts w:asciiTheme="minorHAnsi" w:eastAsiaTheme="minorEastAsia" w:hAnsiTheme="minorHAnsi" w:cstheme="minorBidi"/>
        </w:rPr>
        <w:t xml:space="preserve">For example, both in terms of local community engagement as well as women’s empowerment, it appeared that UNDP and the implementing agencies were not ‘on the same page’ when the projects were implemented at the local community level. Similarly, project documentation for cross-cutting themes such as gender equality and human rights has not been adequate to achieve the CPD outcomes. </w:t>
      </w:r>
    </w:p>
    <w:p w:rsidR="00714CA5" w:rsidRPr="009B1C91" w:rsidRDefault="00714CA5" w:rsidP="00C61EA4">
      <w:pPr>
        <w:spacing w:after="0" w:line="240" w:lineRule="auto"/>
        <w:jc w:val="both"/>
        <w:rPr>
          <w:rFonts w:asciiTheme="minorHAnsi" w:hAnsiTheme="minorHAnsi" w:cstheme="minorHAnsi"/>
        </w:rPr>
      </w:pPr>
    </w:p>
    <w:p w:rsidR="00714CA5" w:rsidRPr="009B1C91" w:rsidRDefault="0F73AF2A" w:rsidP="00C61EA4">
      <w:pPr>
        <w:spacing w:after="0" w:line="240" w:lineRule="auto"/>
        <w:jc w:val="both"/>
        <w:rPr>
          <w:rFonts w:asciiTheme="minorHAnsi" w:hAnsiTheme="minorHAnsi" w:cstheme="minorHAnsi"/>
        </w:rPr>
      </w:pPr>
      <w:r w:rsidRPr="0F73AF2A">
        <w:rPr>
          <w:rFonts w:asciiTheme="minorHAnsi" w:eastAsiaTheme="minorEastAsia" w:hAnsiTheme="minorHAnsi" w:cstheme="minorBidi"/>
        </w:rPr>
        <w:t xml:space="preserve">Based on the outcome evaluation findings, the evaluators compiled a series of recommendations that address future UNDP programming directions as well as overarching and project-level needs. These are summarized below: </w:t>
      </w:r>
    </w:p>
    <w:p w:rsidR="006D63BA" w:rsidRPr="009B1C91" w:rsidRDefault="006D63BA" w:rsidP="00C61EA4">
      <w:pPr>
        <w:spacing w:after="0" w:line="240" w:lineRule="auto"/>
        <w:jc w:val="both"/>
        <w:rPr>
          <w:rFonts w:asciiTheme="minorHAnsi" w:hAnsiTheme="minorHAnsi" w:cstheme="minorHAnsi"/>
          <w:lang w:val="en-GB"/>
        </w:rPr>
      </w:pPr>
    </w:p>
    <w:p w:rsidR="00714CA5" w:rsidRPr="009B1C91" w:rsidRDefault="0F73AF2A" w:rsidP="00C61EA4">
      <w:pPr>
        <w:spacing w:after="0" w:line="240" w:lineRule="auto"/>
        <w:jc w:val="both"/>
        <w:rPr>
          <w:rFonts w:asciiTheme="minorHAnsi" w:eastAsia="Trebuchet MS" w:hAnsiTheme="minorHAnsi" w:cstheme="minorHAnsi"/>
          <w:b/>
          <w:lang w:val="en-GB"/>
        </w:rPr>
      </w:pPr>
      <w:r w:rsidRPr="0F73AF2A">
        <w:rPr>
          <w:rFonts w:asciiTheme="minorHAnsi" w:eastAsiaTheme="minorEastAsia" w:hAnsiTheme="minorHAnsi" w:cstheme="minorBidi"/>
          <w:b/>
          <w:bCs/>
          <w:lang w:val="en-GB"/>
        </w:rPr>
        <w:t>Strategic Vision and Future Country Programming</w:t>
      </w:r>
    </w:p>
    <w:p w:rsidR="00714CA5" w:rsidRPr="009B1C91" w:rsidRDefault="00714CA5" w:rsidP="00C61EA4">
      <w:pPr>
        <w:tabs>
          <w:tab w:val="left" w:pos="1610"/>
        </w:tabs>
        <w:spacing w:after="0" w:line="240" w:lineRule="auto"/>
        <w:jc w:val="both"/>
        <w:rPr>
          <w:rFonts w:asciiTheme="minorHAnsi" w:hAnsiTheme="minorHAnsi" w:cstheme="minorHAnsi"/>
          <w:b/>
          <w:lang w:val="en-GB"/>
        </w:rPr>
      </w:pPr>
      <w:r w:rsidRPr="009B1C91">
        <w:rPr>
          <w:rFonts w:asciiTheme="minorHAnsi" w:hAnsiTheme="minorHAnsi" w:cstheme="minorHAnsi"/>
          <w:b/>
          <w:lang w:val="en-GB"/>
        </w:rPr>
        <w:tab/>
      </w:r>
    </w:p>
    <w:p w:rsidR="00714CA5" w:rsidRPr="009B1C91" w:rsidRDefault="0F73AF2A" w:rsidP="00C61EA4">
      <w:pPr>
        <w:spacing w:after="0" w:line="240" w:lineRule="auto"/>
        <w:jc w:val="both"/>
        <w:rPr>
          <w:rFonts w:asciiTheme="minorHAnsi" w:hAnsiTheme="minorHAnsi" w:cstheme="minorHAnsi"/>
          <w:b/>
          <w:bCs/>
          <w:i/>
          <w:iCs/>
          <w:lang w:val="en-GB"/>
        </w:rPr>
      </w:pPr>
      <w:r w:rsidRPr="0F73AF2A">
        <w:rPr>
          <w:rFonts w:asciiTheme="minorHAnsi" w:eastAsiaTheme="minorEastAsia" w:hAnsiTheme="minorHAnsi" w:cstheme="minorBidi"/>
          <w:lang w:val="en-GB"/>
        </w:rPr>
        <w:t>The outcome evaluation team believes that</w:t>
      </w:r>
      <w:r w:rsidR="007C2860">
        <w:rPr>
          <w:rFonts w:asciiTheme="minorHAnsi" w:eastAsiaTheme="minorEastAsia" w:hAnsiTheme="minorHAnsi" w:cstheme="minorBidi"/>
          <w:lang w:val="en-GB"/>
        </w:rPr>
        <w:t>,</w:t>
      </w:r>
      <w:r w:rsidRPr="0F73AF2A">
        <w:rPr>
          <w:rFonts w:asciiTheme="minorHAnsi" w:eastAsiaTheme="minorEastAsia" w:hAnsiTheme="minorHAnsi" w:cstheme="minorBidi"/>
          <w:lang w:val="en-GB"/>
        </w:rPr>
        <w:t xml:space="preserve"> to effectively carry over the achievements and impacts of the current programming into the new S</w:t>
      </w:r>
      <w:r w:rsidR="007C2860">
        <w:rPr>
          <w:rFonts w:asciiTheme="minorHAnsi" w:eastAsiaTheme="minorEastAsia" w:hAnsiTheme="minorHAnsi" w:cstheme="minorBidi"/>
          <w:lang w:val="en-GB"/>
        </w:rPr>
        <w:t xml:space="preserve">trategic Plan </w:t>
      </w:r>
      <w:r w:rsidRPr="0F73AF2A">
        <w:rPr>
          <w:rFonts w:asciiTheme="minorHAnsi" w:eastAsiaTheme="minorEastAsia" w:hAnsiTheme="minorHAnsi" w:cstheme="minorBidi"/>
          <w:lang w:val="en-GB"/>
        </w:rPr>
        <w:t xml:space="preserve">and country programming cycles, an evidenced-based Strategic Vision should be developed. Based on the findings of this mid-term Outcome Evaluation, </w:t>
      </w:r>
      <w:r w:rsidRPr="0F73AF2A">
        <w:rPr>
          <w:rFonts w:asciiTheme="minorHAnsi" w:eastAsiaTheme="minorEastAsia" w:hAnsiTheme="minorHAnsi" w:cstheme="minorBidi"/>
          <w:b/>
          <w:bCs/>
          <w:i/>
          <w:iCs/>
          <w:lang w:val="en-GB"/>
        </w:rPr>
        <w:t>Five Key Thematic Pillars</w:t>
      </w:r>
      <w:r w:rsidRPr="0F73AF2A">
        <w:rPr>
          <w:rFonts w:asciiTheme="minorHAnsi" w:eastAsiaTheme="minorEastAsia" w:hAnsiTheme="minorHAnsi" w:cstheme="minorBidi"/>
          <w:lang w:val="en-GB"/>
        </w:rPr>
        <w:t xml:space="preserve"> for developing a coherent strategic approach are proposed:</w:t>
      </w:r>
    </w:p>
    <w:p w:rsidR="00714CA5" w:rsidRPr="009B1C91" w:rsidRDefault="00714CA5" w:rsidP="00C61EA4">
      <w:pPr>
        <w:spacing w:after="0" w:line="240" w:lineRule="auto"/>
        <w:jc w:val="both"/>
        <w:rPr>
          <w:rFonts w:asciiTheme="minorHAnsi" w:hAnsiTheme="minorHAnsi" w:cstheme="minorHAnsi"/>
          <w:lang w:val="en-GB"/>
        </w:rPr>
      </w:pPr>
    </w:p>
    <w:p w:rsidR="00714CA5" w:rsidRPr="009B1C91" w:rsidRDefault="0F73AF2A" w:rsidP="001E161B">
      <w:pPr>
        <w:numPr>
          <w:ilvl w:val="0"/>
          <w:numId w:val="25"/>
        </w:numPr>
        <w:spacing w:after="0" w:line="240" w:lineRule="auto"/>
        <w:jc w:val="both"/>
        <w:rPr>
          <w:rFonts w:asciiTheme="minorHAnsi" w:eastAsiaTheme="minorEastAsia" w:hAnsiTheme="minorHAnsi" w:cstheme="minorBidi"/>
          <w:color w:val="000000" w:themeColor="text1"/>
          <w:lang w:val="en-GB"/>
        </w:rPr>
      </w:pPr>
      <w:r w:rsidRPr="0F73AF2A">
        <w:rPr>
          <w:rFonts w:asciiTheme="minorHAnsi" w:eastAsiaTheme="minorEastAsia" w:hAnsiTheme="minorHAnsi" w:cstheme="minorBidi"/>
          <w:b/>
          <w:bCs/>
          <w:lang w:val="en-GB"/>
        </w:rPr>
        <w:t>Enhancing Community Resilience to Climate and Disaster Risk:</w:t>
      </w:r>
      <w:r w:rsidRPr="0F73AF2A">
        <w:rPr>
          <w:rFonts w:asciiTheme="minorHAnsi" w:eastAsiaTheme="minorEastAsia" w:hAnsiTheme="minorHAnsi" w:cstheme="minorBidi"/>
          <w:lang w:val="en-GB"/>
        </w:rPr>
        <w:t xml:space="preserve"> By building on its strength, in UNDP Strategic Planning and future programming, integration of DRR with livelihood security and human development should be emphasized. </w:t>
      </w:r>
    </w:p>
    <w:p w:rsidR="00714CA5" w:rsidRPr="009B1C91" w:rsidRDefault="00714CA5" w:rsidP="006A2D67">
      <w:pPr>
        <w:spacing w:after="0" w:line="240" w:lineRule="auto"/>
        <w:jc w:val="both"/>
        <w:rPr>
          <w:rFonts w:asciiTheme="minorHAnsi" w:hAnsiTheme="minorHAnsi" w:cstheme="minorHAnsi"/>
          <w:lang w:val="en-GB"/>
        </w:rPr>
      </w:pPr>
    </w:p>
    <w:p w:rsidR="00714CA5" w:rsidRPr="009B1C91" w:rsidRDefault="00714CA5" w:rsidP="001E161B">
      <w:pPr>
        <w:numPr>
          <w:ilvl w:val="0"/>
          <w:numId w:val="25"/>
        </w:numPr>
        <w:spacing w:after="0" w:line="240" w:lineRule="auto"/>
        <w:jc w:val="both"/>
        <w:rPr>
          <w:rFonts w:asciiTheme="minorHAnsi" w:eastAsiaTheme="minorEastAsia" w:hAnsiTheme="minorHAnsi" w:cstheme="minorBidi"/>
          <w:color w:val="000000" w:themeColor="text1"/>
          <w:lang w:val="en-GB"/>
        </w:rPr>
      </w:pPr>
      <w:r w:rsidRPr="0F73AF2A">
        <w:rPr>
          <w:rFonts w:asciiTheme="minorHAnsi" w:eastAsiaTheme="minorEastAsia" w:hAnsiTheme="minorHAnsi" w:cstheme="minorBidi"/>
          <w:b/>
          <w:bCs/>
          <w:lang w:val="en-GB"/>
        </w:rPr>
        <w:t>Building Intersectoral Emergency Management Capacity:</w:t>
      </w:r>
      <w:r w:rsidRPr="0F73AF2A">
        <w:rPr>
          <w:rFonts w:asciiTheme="minorHAnsi" w:eastAsiaTheme="minorEastAsia" w:hAnsiTheme="minorHAnsi" w:cstheme="minorBidi"/>
          <w:lang w:val="en-GB"/>
        </w:rPr>
        <w:t xml:space="preserve"> Mainstreaming ‘emergency management’ for ERF and sustainable development, as an independent portfolio from DM, should be prioritized by UNDP in its Strategic Planning and forthcoming country programming.</w:t>
      </w:r>
    </w:p>
    <w:p w:rsidR="00714CA5" w:rsidRPr="009B1C91" w:rsidRDefault="00714CA5" w:rsidP="006A2D67">
      <w:pPr>
        <w:spacing w:after="0" w:line="240" w:lineRule="auto"/>
        <w:ind w:left="720"/>
        <w:jc w:val="both"/>
        <w:rPr>
          <w:rFonts w:asciiTheme="minorHAnsi" w:hAnsiTheme="minorHAnsi" w:cstheme="minorHAnsi"/>
          <w:lang w:val="en-GB"/>
        </w:rPr>
      </w:pPr>
    </w:p>
    <w:p w:rsidR="00714CA5" w:rsidRPr="009B1C91" w:rsidRDefault="0F73AF2A" w:rsidP="001E161B">
      <w:pPr>
        <w:numPr>
          <w:ilvl w:val="0"/>
          <w:numId w:val="25"/>
        </w:numPr>
        <w:spacing w:after="0" w:line="240" w:lineRule="auto"/>
        <w:jc w:val="both"/>
        <w:rPr>
          <w:rFonts w:asciiTheme="minorHAnsi" w:eastAsiaTheme="minorEastAsia" w:hAnsiTheme="minorHAnsi" w:cstheme="minorBidi"/>
          <w:color w:val="000000" w:themeColor="text1"/>
          <w:lang w:val="en-GB"/>
        </w:rPr>
      </w:pPr>
      <w:r w:rsidRPr="0F73AF2A">
        <w:rPr>
          <w:rFonts w:asciiTheme="minorHAnsi" w:eastAsiaTheme="minorEastAsia" w:hAnsiTheme="minorHAnsi" w:cstheme="minorBidi"/>
          <w:b/>
          <w:bCs/>
          <w:lang w:val="en-GB"/>
        </w:rPr>
        <w:t>Pro-Growth Green Development:</w:t>
      </w:r>
      <w:r w:rsidRPr="0F73AF2A">
        <w:rPr>
          <w:rFonts w:asciiTheme="minorHAnsi" w:eastAsiaTheme="minorEastAsia" w:hAnsiTheme="minorHAnsi" w:cstheme="minorBidi"/>
          <w:lang w:val="en-GB"/>
        </w:rPr>
        <w:t xml:space="preserve"> In UNDP Strategic Planning and country programming, linking the Pro-Growth Green Development theme with new products creation, locally appropriate technology, and employment in greener sectors will help the Pro-Growth Green Development address the country’s perspective plans and goals. </w:t>
      </w:r>
    </w:p>
    <w:p w:rsidR="00714CA5" w:rsidRPr="009B1C91" w:rsidRDefault="00714CA5" w:rsidP="00C61EA4">
      <w:pPr>
        <w:spacing w:after="0" w:line="240" w:lineRule="auto"/>
        <w:ind w:left="720"/>
        <w:jc w:val="both"/>
        <w:rPr>
          <w:rFonts w:asciiTheme="minorHAnsi" w:hAnsiTheme="minorHAnsi" w:cstheme="minorHAnsi"/>
          <w:lang w:val="en-GB"/>
        </w:rPr>
      </w:pPr>
    </w:p>
    <w:p w:rsidR="00714CA5" w:rsidRPr="009B1C91" w:rsidRDefault="0F73AF2A" w:rsidP="001E161B">
      <w:pPr>
        <w:numPr>
          <w:ilvl w:val="0"/>
          <w:numId w:val="25"/>
        </w:numPr>
        <w:spacing w:after="0" w:line="240" w:lineRule="auto"/>
        <w:jc w:val="both"/>
        <w:rPr>
          <w:rFonts w:asciiTheme="minorHAnsi" w:eastAsiaTheme="minorEastAsia" w:hAnsiTheme="minorHAnsi" w:cstheme="minorBidi"/>
          <w:color w:val="000000" w:themeColor="text1"/>
          <w:lang w:val="en-GB"/>
        </w:rPr>
      </w:pPr>
      <w:r w:rsidRPr="0F73AF2A">
        <w:rPr>
          <w:rFonts w:asciiTheme="minorHAnsi" w:eastAsiaTheme="minorEastAsia" w:hAnsiTheme="minorHAnsi" w:cstheme="minorBidi"/>
          <w:b/>
          <w:bCs/>
          <w:lang w:val="en-GB"/>
        </w:rPr>
        <w:t>Improving Environmental Health through Strengthening Environmental Governance:</w:t>
      </w:r>
      <w:r w:rsidRPr="0F73AF2A">
        <w:rPr>
          <w:rFonts w:asciiTheme="minorHAnsi" w:eastAsiaTheme="minorEastAsia" w:hAnsiTheme="minorHAnsi" w:cstheme="minorBidi"/>
          <w:lang w:val="en-GB"/>
        </w:rPr>
        <w:t xml:space="preserve"> Building on lessons learned from these interventions, UNDP should strategically position itself to lead initiatives for improving environmental health, with a focus on common property resources. </w:t>
      </w:r>
    </w:p>
    <w:p w:rsidR="00714CA5" w:rsidRPr="009B1C91" w:rsidRDefault="00714CA5" w:rsidP="00C61EA4">
      <w:pPr>
        <w:spacing w:after="0" w:line="240" w:lineRule="auto"/>
        <w:ind w:left="720"/>
        <w:jc w:val="both"/>
        <w:rPr>
          <w:rFonts w:asciiTheme="minorHAnsi" w:hAnsiTheme="minorHAnsi" w:cstheme="minorHAnsi"/>
          <w:lang w:val="en-GB"/>
        </w:rPr>
      </w:pPr>
    </w:p>
    <w:p w:rsidR="00714CA5" w:rsidRPr="009B1C91" w:rsidRDefault="0F73AF2A" w:rsidP="001E161B">
      <w:pPr>
        <w:numPr>
          <w:ilvl w:val="0"/>
          <w:numId w:val="25"/>
        </w:numPr>
        <w:spacing w:after="0" w:line="240" w:lineRule="auto"/>
        <w:jc w:val="both"/>
        <w:rPr>
          <w:rFonts w:asciiTheme="minorHAnsi" w:eastAsiaTheme="minorEastAsia" w:hAnsiTheme="minorHAnsi" w:cstheme="minorBidi"/>
          <w:color w:val="000000" w:themeColor="text1"/>
          <w:lang w:val="en-GB"/>
        </w:rPr>
      </w:pPr>
      <w:r w:rsidRPr="0F73AF2A">
        <w:rPr>
          <w:rFonts w:asciiTheme="minorHAnsi" w:eastAsiaTheme="minorEastAsia" w:hAnsiTheme="minorHAnsi" w:cstheme="minorBidi"/>
          <w:b/>
          <w:bCs/>
          <w:lang w:val="en-GB"/>
        </w:rPr>
        <w:t>Women’s Empowerment for Climate Change Adaptation, Environmental and Natural Resource Sustainability, and Energy Security:</w:t>
      </w:r>
      <w:r w:rsidRPr="0F73AF2A">
        <w:rPr>
          <w:rFonts w:asciiTheme="minorHAnsi" w:eastAsiaTheme="minorEastAsia" w:hAnsiTheme="minorHAnsi" w:cstheme="minorBidi"/>
          <w:lang w:val="en-GB"/>
        </w:rPr>
        <w:t xml:space="preserve"> Women-designated projects, along with screening of all projects through gender sensitive lens, should be added to the CCED portfolio so that funds and human resources can be dedicated to gender equality in the areas of CCA, environmental and natural resources sustainability, and energy security. </w:t>
      </w:r>
    </w:p>
    <w:p w:rsidR="00714CA5" w:rsidRPr="009B1C91" w:rsidRDefault="00714CA5" w:rsidP="00C61EA4">
      <w:pPr>
        <w:spacing w:after="0" w:line="240" w:lineRule="auto"/>
        <w:jc w:val="both"/>
        <w:rPr>
          <w:rFonts w:asciiTheme="minorHAnsi" w:hAnsiTheme="minorHAnsi" w:cstheme="minorHAnsi"/>
          <w:lang w:val="en-GB"/>
        </w:rPr>
      </w:pPr>
    </w:p>
    <w:p w:rsidR="00714CA5" w:rsidRPr="009B1C91" w:rsidRDefault="00714CA5" w:rsidP="00C61EA4">
      <w:pPr>
        <w:spacing w:after="0" w:line="240" w:lineRule="auto"/>
        <w:jc w:val="both"/>
        <w:rPr>
          <w:rFonts w:asciiTheme="minorHAnsi" w:hAnsiTheme="minorHAnsi" w:cstheme="minorHAnsi"/>
          <w:b/>
          <w:lang w:val="en-GB"/>
        </w:rPr>
      </w:pPr>
    </w:p>
    <w:p w:rsidR="00714CA5" w:rsidRPr="009B1C91" w:rsidRDefault="0F73AF2A" w:rsidP="00C61EA4">
      <w:pPr>
        <w:spacing w:after="0" w:line="240" w:lineRule="auto"/>
        <w:jc w:val="both"/>
        <w:rPr>
          <w:rFonts w:asciiTheme="minorHAnsi" w:eastAsia="Trebuchet MS" w:hAnsiTheme="minorHAnsi" w:cstheme="minorHAnsi"/>
          <w:b/>
          <w:lang w:val="en-GB"/>
        </w:rPr>
      </w:pPr>
      <w:r w:rsidRPr="0F73AF2A">
        <w:rPr>
          <w:rFonts w:asciiTheme="minorHAnsi" w:eastAsiaTheme="minorEastAsia" w:hAnsiTheme="minorHAnsi" w:cstheme="minorBidi"/>
          <w:b/>
          <w:bCs/>
          <w:lang w:val="en-GB"/>
        </w:rPr>
        <w:t>RECOMMENDATIONS</w:t>
      </w:r>
    </w:p>
    <w:p w:rsidR="00714CA5" w:rsidRPr="009B1C91" w:rsidRDefault="00714CA5" w:rsidP="00C61EA4">
      <w:pPr>
        <w:spacing w:after="0" w:line="240" w:lineRule="auto"/>
        <w:jc w:val="both"/>
        <w:rPr>
          <w:rFonts w:asciiTheme="minorHAnsi" w:hAnsiTheme="minorHAnsi" w:cstheme="minorHAnsi"/>
          <w:lang w:val="en-GB"/>
        </w:rPr>
      </w:pPr>
    </w:p>
    <w:p w:rsidR="00714CA5" w:rsidRPr="009B1C91" w:rsidRDefault="0F73AF2A" w:rsidP="00C61EA4">
      <w:pPr>
        <w:spacing w:after="0" w:line="240" w:lineRule="auto"/>
        <w:jc w:val="both"/>
        <w:rPr>
          <w:rFonts w:asciiTheme="minorHAnsi" w:hAnsiTheme="minorHAnsi" w:cstheme="minorHAnsi"/>
          <w:b/>
          <w:lang w:val="en-GB"/>
        </w:rPr>
      </w:pPr>
      <w:r w:rsidRPr="0F73AF2A">
        <w:rPr>
          <w:rFonts w:asciiTheme="minorHAnsi" w:eastAsiaTheme="minorEastAsia" w:hAnsiTheme="minorHAnsi" w:cstheme="minorBidi"/>
          <w:b/>
          <w:bCs/>
          <w:lang w:val="en-GB"/>
        </w:rPr>
        <w:t>Overall CCED Portfolio</w:t>
      </w:r>
    </w:p>
    <w:p w:rsidR="00714CA5" w:rsidRPr="009B1C91" w:rsidRDefault="00714CA5" w:rsidP="00C61EA4">
      <w:pPr>
        <w:spacing w:after="0" w:line="240" w:lineRule="auto"/>
        <w:jc w:val="both"/>
        <w:rPr>
          <w:rFonts w:asciiTheme="minorHAnsi" w:hAnsiTheme="minorHAnsi" w:cstheme="minorHAnsi"/>
          <w:lang w:val="en-GB"/>
        </w:rPr>
      </w:pPr>
    </w:p>
    <w:p w:rsidR="00714CA5" w:rsidRPr="00656FFE" w:rsidRDefault="0F73AF2A" w:rsidP="001E161B">
      <w:pPr>
        <w:numPr>
          <w:ilvl w:val="0"/>
          <w:numId w:val="24"/>
        </w:numPr>
        <w:spacing w:after="0" w:line="240" w:lineRule="auto"/>
        <w:jc w:val="both"/>
        <w:rPr>
          <w:rFonts w:asciiTheme="minorHAnsi" w:eastAsiaTheme="minorEastAsia" w:hAnsiTheme="minorHAnsi" w:cstheme="minorBidi"/>
          <w:b/>
          <w:color w:val="000000" w:themeColor="text1"/>
          <w:lang w:val="de-DE"/>
        </w:rPr>
      </w:pPr>
      <w:r w:rsidRPr="0F73AF2A">
        <w:rPr>
          <w:rFonts w:asciiTheme="minorHAnsi" w:eastAsiaTheme="minorEastAsia" w:hAnsiTheme="minorHAnsi" w:cstheme="minorBidi"/>
          <w:b/>
          <w:bCs/>
          <w:lang w:val="en-GB"/>
        </w:rPr>
        <w:t xml:space="preserve">UNDP needs to critically review and undertake appropriate measures to reconcile CPD outcome indicators with country programme outcomes, particularly in the future country programming. </w:t>
      </w:r>
      <w:r w:rsidRPr="0F73AF2A">
        <w:rPr>
          <w:rFonts w:asciiTheme="minorHAnsi" w:eastAsiaTheme="minorEastAsia" w:hAnsiTheme="minorHAnsi" w:cstheme="minorBidi"/>
          <w:b/>
          <w:bCs/>
          <w:lang w:val="de-DE"/>
        </w:rPr>
        <w:t>The evaluation team recommends that sufficient attention should be devoted to baseline measurement and monitoring of progress and results.</w:t>
      </w:r>
    </w:p>
    <w:p w:rsidR="00512E38" w:rsidRDefault="00512E38" w:rsidP="00512E38">
      <w:pPr>
        <w:spacing w:after="0" w:line="240" w:lineRule="auto"/>
        <w:ind w:left="720"/>
        <w:jc w:val="both"/>
        <w:rPr>
          <w:rFonts w:asciiTheme="minorHAnsi" w:hAnsiTheme="minorHAnsi" w:cstheme="minorHAnsi"/>
          <w:lang w:val="de-DE"/>
        </w:rPr>
      </w:pPr>
    </w:p>
    <w:p w:rsidR="00512E38" w:rsidRPr="009D1AD9" w:rsidRDefault="00512E38" w:rsidP="001E161B">
      <w:pPr>
        <w:pStyle w:val="ListParagraph"/>
        <w:numPr>
          <w:ilvl w:val="0"/>
          <w:numId w:val="24"/>
        </w:numPr>
        <w:spacing w:after="0" w:line="240" w:lineRule="auto"/>
        <w:jc w:val="both"/>
        <w:rPr>
          <w:rFonts w:asciiTheme="minorHAnsi" w:eastAsiaTheme="minorEastAsia" w:hAnsiTheme="minorHAnsi" w:cstheme="minorBidi"/>
          <w:i/>
          <w:color w:val="000000" w:themeColor="text1"/>
        </w:rPr>
      </w:pPr>
      <w:r w:rsidRPr="0F73AF2A">
        <w:rPr>
          <w:rFonts w:asciiTheme="minorHAnsi" w:eastAsiaTheme="minorEastAsia" w:hAnsiTheme="minorHAnsi" w:cstheme="minorBidi"/>
          <w:b/>
          <w:bCs/>
        </w:rPr>
        <w:t>In order to continue to contribute to nationally and internationally relevant development programmes in the areas of CCED, UNDP Bangladesh needs to strengthen further and coordinate its partnership more closely with government ministries, departments, and other private sector stakeholders.</w:t>
      </w:r>
      <w:r w:rsidRPr="0F73AF2A">
        <w:rPr>
          <w:rFonts w:asciiTheme="minorHAnsi" w:eastAsiaTheme="minorEastAsia" w:hAnsiTheme="minorHAnsi" w:cstheme="minorBidi"/>
        </w:rPr>
        <w:t xml:space="preserve"> This is critical because Bangladesh is approaching to become a middle-middle country very rapidly. Recent CCED projects were </w:t>
      </w:r>
      <w:r w:rsidRPr="0F73AF2A">
        <w:rPr>
          <w:rFonts w:asciiTheme="minorHAnsi" w:eastAsiaTheme="minorEastAsia" w:hAnsiTheme="minorHAnsi" w:cstheme="minorBidi"/>
          <w:i/>
          <w:iCs/>
        </w:rPr>
        <w:t>very good</w:t>
      </w:r>
      <w:r w:rsidRPr="0F73AF2A">
        <w:rPr>
          <w:rFonts w:asciiTheme="minorHAnsi" w:eastAsiaTheme="minorEastAsia" w:hAnsiTheme="minorHAnsi" w:cstheme="minorBidi"/>
        </w:rPr>
        <w:t xml:space="preserve"> in terms of their </w:t>
      </w:r>
      <w:r w:rsidRPr="0F73AF2A">
        <w:rPr>
          <w:rFonts w:asciiTheme="minorHAnsi" w:eastAsiaTheme="minorEastAsia" w:hAnsiTheme="minorHAnsi" w:cstheme="minorBidi"/>
          <w:i/>
          <w:iCs/>
        </w:rPr>
        <w:t>relevance</w:t>
      </w:r>
      <w:r w:rsidRPr="0F73AF2A">
        <w:rPr>
          <w:rFonts w:asciiTheme="minorHAnsi" w:eastAsiaTheme="minorEastAsia" w:hAnsiTheme="minorHAnsi" w:cstheme="minorBidi"/>
        </w:rPr>
        <w:t xml:space="preserve"> as they cater to the urgent needs of the country and the priorities of the GoB. However, there exist significant gaps in the coverage of pressing issues such as environmental and common property protection (governance, pollution, land-use practices, energy security). </w:t>
      </w:r>
    </w:p>
    <w:p w:rsidR="009D1AD9" w:rsidRPr="009D1AD9" w:rsidRDefault="009D1AD9" w:rsidP="009D1AD9">
      <w:pPr>
        <w:pStyle w:val="ListParagraph"/>
        <w:rPr>
          <w:rFonts w:asciiTheme="minorHAnsi" w:hAnsiTheme="minorHAnsi" w:cstheme="minorHAnsi"/>
          <w:i/>
          <w:color w:val="FF0000"/>
        </w:rPr>
      </w:pPr>
    </w:p>
    <w:p w:rsidR="00397F09" w:rsidRPr="00656FFE" w:rsidRDefault="0F73AF2A" w:rsidP="001E161B">
      <w:pPr>
        <w:pStyle w:val="ListParagraph"/>
        <w:numPr>
          <w:ilvl w:val="0"/>
          <w:numId w:val="24"/>
        </w:numPr>
        <w:spacing w:after="0" w:line="240" w:lineRule="auto"/>
        <w:jc w:val="both"/>
        <w:rPr>
          <w:rFonts w:asciiTheme="minorHAnsi" w:eastAsiaTheme="minorEastAsia" w:hAnsiTheme="minorHAnsi" w:cstheme="minorBidi"/>
          <w:b/>
          <w:color w:val="000000" w:themeColor="text1"/>
        </w:rPr>
      </w:pPr>
      <w:r w:rsidRPr="0F73AF2A">
        <w:rPr>
          <w:rFonts w:asciiTheme="minorHAnsi" w:eastAsiaTheme="minorEastAsia" w:hAnsiTheme="minorHAnsi" w:cstheme="minorBidi"/>
        </w:rPr>
        <w:t xml:space="preserve">With adequate resource inputs, project management and delivery could have been much more efficient. Overall, rating of efficiency CCED programme is </w:t>
      </w:r>
      <w:r w:rsidRPr="0F73AF2A">
        <w:rPr>
          <w:rFonts w:asciiTheme="minorHAnsi" w:eastAsiaTheme="minorEastAsia" w:hAnsiTheme="minorHAnsi" w:cstheme="minorBidi"/>
          <w:i/>
          <w:iCs/>
        </w:rPr>
        <w:t>marginally satisfactory</w:t>
      </w:r>
      <w:r w:rsidRPr="0F73AF2A">
        <w:rPr>
          <w:rFonts w:asciiTheme="minorHAnsi" w:eastAsiaTheme="minorEastAsia" w:hAnsiTheme="minorHAnsi" w:cstheme="minorBidi"/>
        </w:rPr>
        <w:t xml:space="preserve">. To address these issues, </w:t>
      </w:r>
      <w:r w:rsidR="007C2860">
        <w:rPr>
          <w:rFonts w:asciiTheme="minorHAnsi" w:eastAsiaTheme="minorEastAsia" w:hAnsiTheme="minorHAnsi" w:cstheme="minorBidi"/>
          <w:b/>
          <w:bCs/>
        </w:rPr>
        <w:t>UNDP needs to implement</w:t>
      </w:r>
      <w:r w:rsidRPr="0F73AF2A">
        <w:rPr>
          <w:rFonts w:asciiTheme="minorHAnsi" w:eastAsiaTheme="minorEastAsia" w:hAnsiTheme="minorHAnsi" w:cstheme="minorBidi"/>
          <w:b/>
          <w:bCs/>
        </w:rPr>
        <w:t xml:space="preserve"> mechanisms for </w:t>
      </w:r>
      <w:r w:rsidR="007C2860">
        <w:rPr>
          <w:rFonts w:asciiTheme="minorHAnsi" w:eastAsiaTheme="minorEastAsia" w:hAnsiTheme="minorHAnsi" w:cstheme="minorBidi"/>
          <w:b/>
          <w:bCs/>
        </w:rPr>
        <w:t>speedy project development and approval</w:t>
      </w:r>
      <w:r w:rsidRPr="0F73AF2A">
        <w:rPr>
          <w:rFonts w:asciiTheme="minorHAnsi" w:eastAsiaTheme="minorEastAsia" w:hAnsiTheme="minorHAnsi" w:cstheme="minorBidi"/>
          <w:b/>
          <w:bCs/>
        </w:rPr>
        <w:t xml:space="preserve">, allocate required funds for baseline database creation for all interventions, and establish close monitoring of costs and results, and of the evaluation of outcomes and impacts. </w:t>
      </w:r>
    </w:p>
    <w:p w:rsidR="00397F09" w:rsidRPr="00397F09" w:rsidRDefault="00397F09" w:rsidP="00397F09">
      <w:pPr>
        <w:pStyle w:val="ListParagraph"/>
        <w:rPr>
          <w:rFonts w:asciiTheme="minorHAnsi" w:hAnsiTheme="minorHAnsi" w:cstheme="minorHAnsi"/>
          <w:lang w:val="de-DE"/>
        </w:rPr>
      </w:pPr>
    </w:p>
    <w:p w:rsidR="00714CA5" w:rsidRPr="00F54DAA" w:rsidRDefault="00714CA5" w:rsidP="001E161B">
      <w:pPr>
        <w:pStyle w:val="ListParagraph"/>
        <w:numPr>
          <w:ilvl w:val="0"/>
          <w:numId w:val="24"/>
        </w:numPr>
        <w:spacing w:after="0" w:line="240" w:lineRule="auto"/>
        <w:jc w:val="both"/>
        <w:rPr>
          <w:rFonts w:asciiTheme="minorHAnsi" w:eastAsiaTheme="minorEastAsia" w:hAnsiTheme="minorHAnsi" w:cstheme="minorBidi"/>
          <w:color w:val="000000" w:themeColor="text1"/>
        </w:rPr>
      </w:pPr>
      <w:r w:rsidRPr="0F73AF2A">
        <w:rPr>
          <w:rFonts w:asciiTheme="minorHAnsi" w:eastAsiaTheme="minorEastAsia" w:hAnsiTheme="minorHAnsi" w:cstheme="minorBidi"/>
          <w:b/>
          <w:bCs/>
          <w:lang w:val="de-DE"/>
        </w:rPr>
        <w:t>UNDP</w:t>
      </w:r>
      <w:r w:rsidR="009D1AD9" w:rsidRPr="0F73AF2A">
        <w:rPr>
          <w:rFonts w:asciiTheme="minorHAnsi" w:eastAsiaTheme="minorEastAsia" w:hAnsiTheme="minorHAnsi" w:cstheme="minorBidi"/>
          <w:b/>
          <w:bCs/>
          <w:lang w:val="de-DE"/>
        </w:rPr>
        <w:t xml:space="preserve"> should consider adopting more r</w:t>
      </w:r>
      <w:r w:rsidRPr="0F73AF2A">
        <w:rPr>
          <w:rFonts w:asciiTheme="minorHAnsi" w:eastAsiaTheme="minorEastAsia" w:hAnsiTheme="minorHAnsi" w:cstheme="minorBidi"/>
          <w:b/>
          <w:bCs/>
          <w:lang w:val="de-DE"/>
        </w:rPr>
        <w:t>igourous methodologies for economic and financial analysis.</w:t>
      </w:r>
      <w:r w:rsidRPr="0F73AF2A">
        <w:rPr>
          <w:rFonts w:asciiTheme="minorHAnsi" w:eastAsiaTheme="minorEastAsia" w:hAnsiTheme="minorHAnsi" w:cstheme="minorBidi"/>
          <w:lang w:val="de-DE"/>
        </w:rPr>
        <w:t xml:space="preserve"> In this case, the PECM guidelines (GED-published Manual of Instruction for Project Analysis) can be a useful tool for UNDP to assess its own projects.</w:t>
      </w:r>
      <w:r w:rsidR="00397F09" w:rsidRPr="0F73AF2A">
        <w:rPr>
          <w:rFonts w:asciiTheme="minorHAnsi" w:eastAsiaTheme="minorEastAsia" w:hAnsiTheme="minorHAnsi" w:cstheme="minorBidi"/>
          <w:b/>
          <w:bCs/>
        </w:rPr>
        <w:t>For assessing project intervention Value for Money (VfM), UNDP should adopt a longitudinal approach that examines the flow of costs and benefits over the whole lifetime of the investment.</w:t>
      </w:r>
      <w:r w:rsidR="00397F09" w:rsidRPr="0F73AF2A">
        <w:rPr>
          <w:rFonts w:asciiTheme="minorHAnsi" w:eastAsiaTheme="minorEastAsia" w:hAnsiTheme="minorHAnsi" w:cstheme="minorBidi"/>
        </w:rPr>
        <w:t xml:space="preserve"> This aspect </w:t>
      </w:r>
      <w:r w:rsidR="00397F09" w:rsidRPr="0F73AF2A">
        <w:rPr>
          <w:rFonts w:asciiTheme="minorHAnsi" w:eastAsiaTheme="minorEastAsia" w:hAnsiTheme="minorHAnsi" w:cstheme="minorBidi"/>
        </w:rPr>
        <w:lastRenderedPageBreak/>
        <w:t xml:space="preserve">is important, among other dimensions, for examining sustainability because a programme or project with a positive payback is expected to sustain better on its own. </w:t>
      </w:r>
    </w:p>
    <w:p w:rsidR="00F54DAA" w:rsidRPr="00F54DAA" w:rsidRDefault="00F54DAA" w:rsidP="00F54DAA">
      <w:pPr>
        <w:pStyle w:val="ListParagraph"/>
        <w:rPr>
          <w:rFonts w:asciiTheme="minorHAnsi" w:eastAsiaTheme="minorEastAsia" w:hAnsiTheme="minorHAnsi" w:cstheme="minorBidi"/>
          <w:color w:val="000000" w:themeColor="text1"/>
        </w:rPr>
      </w:pPr>
    </w:p>
    <w:p w:rsidR="00F54DAA" w:rsidRPr="00656FFE" w:rsidRDefault="00F54DAA" w:rsidP="001E161B">
      <w:pPr>
        <w:numPr>
          <w:ilvl w:val="0"/>
          <w:numId w:val="24"/>
        </w:numPr>
        <w:spacing w:after="0" w:line="240" w:lineRule="auto"/>
        <w:jc w:val="both"/>
        <w:rPr>
          <w:rFonts w:asciiTheme="minorHAnsi" w:eastAsiaTheme="minorEastAsia" w:hAnsiTheme="minorHAnsi" w:cstheme="minorBidi"/>
          <w:color w:val="000000" w:themeColor="text1"/>
          <w:lang w:val="de-DE"/>
        </w:rPr>
      </w:pPr>
      <w:r w:rsidRPr="0F73AF2A">
        <w:rPr>
          <w:rFonts w:asciiTheme="minorHAnsi" w:eastAsiaTheme="minorEastAsia" w:hAnsiTheme="minorHAnsi" w:cstheme="minorBidi"/>
          <w:b/>
          <w:bCs/>
          <w:lang w:val="de-DE"/>
        </w:rPr>
        <w:t>In the face of a rapidly changing global environment , UNDP needs to ‘think ahead' strategically and nurture innovative ideas in order to shorten long project cycles.</w:t>
      </w:r>
      <w:r w:rsidRPr="0F73AF2A">
        <w:rPr>
          <w:rFonts w:asciiTheme="minorHAnsi" w:eastAsiaTheme="minorEastAsia" w:hAnsiTheme="minorHAnsi" w:cstheme="minorBidi"/>
        </w:rPr>
        <w:t>UNDP should anticipate long-term challenges that are not yet on the government’s radar but may become very important in the future.  UNDP is in a good position to leverage its global network for sharing accumulated lessons learnt and innovative approaches that work well.</w:t>
      </w:r>
    </w:p>
    <w:p w:rsidR="00F54DAA" w:rsidRPr="000E04E6" w:rsidRDefault="00F54DAA" w:rsidP="00F54DAA">
      <w:pPr>
        <w:pStyle w:val="ListParagraph"/>
        <w:spacing w:after="0" w:line="240" w:lineRule="auto"/>
        <w:jc w:val="both"/>
        <w:rPr>
          <w:rFonts w:asciiTheme="minorHAnsi" w:eastAsiaTheme="minorEastAsia" w:hAnsiTheme="minorHAnsi" w:cstheme="minorBidi"/>
          <w:color w:val="000000" w:themeColor="text1"/>
        </w:rPr>
      </w:pPr>
    </w:p>
    <w:p w:rsidR="00714CA5" w:rsidRPr="009B1C91" w:rsidRDefault="00714CA5" w:rsidP="00C61EA4">
      <w:pPr>
        <w:spacing w:after="0" w:line="240" w:lineRule="auto"/>
        <w:ind w:left="720"/>
        <w:jc w:val="both"/>
        <w:rPr>
          <w:rFonts w:asciiTheme="minorHAnsi" w:hAnsiTheme="minorHAnsi" w:cstheme="minorHAnsi"/>
          <w:lang w:val="de-DE"/>
        </w:rPr>
      </w:pPr>
    </w:p>
    <w:p w:rsidR="00C56927" w:rsidRPr="00C56927" w:rsidRDefault="00720D3A" w:rsidP="001E161B">
      <w:pPr>
        <w:pStyle w:val="ListParagraph"/>
        <w:numPr>
          <w:ilvl w:val="0"/>
          <w:numId w:val="24"/>
        </w:numPr>
        <w:spacing w:after="0" w:line="240" w:lineRule="auto"/>
        <w:jc w:val="both"/>
        <w:rPr>
          <w:rFonts w:asciiTheme="minorHAnsi" w:eastAsiaTheme="minorEastAsia" w:hAnsiTheme="minorHAnsi" w:cstheme="minorBidi"/>
          <w:color w:val="000000" w:themeColor="text1"/>
        </w:rPr>
      </w:pPr>
      <w:r w:rsidRPr="0F73AF2A">
        <w:rPr>
          <w:rFonts w:asciiTheme="minorHAnsi" w:eastAsiaTheme="minorEastAsia" w:hAnsiTheme="minorHAnsi" w:cstheme="minorBidi"/>
          <w:b/>
          <w:bCs/>
        </w:rPr>
        <w:t xml:space="preserve">The extent of achievements is rated as </w:t>
      </w:r>
      <w:r w:rsidRPr="0F73AF2A">
        <w:rPr>
          <w:rFonts w:asciiTheme="minorHAnsi" w:eastAsiaTheme="minorEastAsia" w:hAnsiTheme="minorHAnsi" w:cstheme="minorBidi"/>
          <w:b/>
          <w:bCs/>
          <w:i/>
          <w:iCs/>
        </w:rPr>
        <w:t>satisfactory (i.e. good).</w:t>
      </w:r>
      <w:r w:rsidRPr="0F73AF2A">
        <w:rPr>
          <w:rFonts w:asciiTheme="minorHAnsi" w:eastAsiaTheme="minorEastAsia" w:hAnsiTheme="minorHAnsi" w:cstheme="minorBidi"/>
          <w:b/>
          <w:bCs/>
        </w:rPr>
        <w:t xml:space="preserve"> However, the quality of the outputs is not always controlled. Some outputs are very good, like the various modalities developed in the course of the PECM. Other outputs, such as some of the knowledge product components of CDMPII, are of </w:t>
      </w:r>
      <w:r w:rsidRPr="0F73AF2A">
        <w:rPr>
          <w:rFonts w:asciiTheme="minorHAnsi" w:eastAsiaTheme="minorEastAsia" w:hAnsiTheme="minorHAnsi" w:cstheme="minorBidi"/>
          <w:b/>
          <w:bCs/>
          <w:i/>
          <w:iCs/>
        </w:rPr>
        <w:t>marginal quality</w:t>
      </w:r>
      <w:r w:rsidRPr="0F73AF2A">
        <w:rPr>
          <w:rFonts w:asciiTheme="minorHAnsi" w:eastAsiaTheme="minorEastAsia" w:hAnsiTheme="minorHAnsi" w:cstheme="minorBidi"/>
          <w:b/>
          <w:bCs/>
        </w:rPr>
        <w:t>.</w:t>
      </w:r>
      <w:r w:rsidRPr="0F73AF2A">
        <w:rPr>
          <w:rFonts w:asciiTheme="minorHAnsi" w:eastAsiaTheme="minorEastAsia" w:hAnsiTheme="minorHAnsi" w:cstheme="minorBidi"/>
          <w:lang w:val="en-US"/>
        </w:rPr>
        <w:t xml:space="preserve"> UNDP’s overall performance on the national policy level is </w:t>
      </w:r>
      <w:r w:rsidRPr="0F73AF2A">
        <w:rPr>
          <w:rFonts w:asciiTheme="minorHAnsi" w:eastAsiaTheme="minorEastAsia" w:hAnsiTheme="minorHAnsi" w:cstheme="minorBidi"/>
          <w:b/>
          <w:bCs/>
          <w:i/>
          <w:iCs/>
          <w:lang w:val="en-US"/>
        </w:rPr>
        <w:t>more effective</w:t>
      </w:r>
      <w:r w:rsidRPr="0F73AF2A">
        <w:rPr>
          <w:rFonts w:asciiTheme="minorHAnsi" w:eastAsiaTheme="minorEastAsia" w:hAnsiTheme="minorHAnsi" w:cstheme="minorBidi"/>
          <w:lang w:val="en-US"/>
        </w:rPr>
        <w:t xml:space="preserve"> than on the local level.</w:t>
      </w:r>
      <w:r w:rsidRPr="0F73AF2A">
        <w:rPr>
          <w:rFonts w:asciiTheme="minorHAnsi" w:eastAsiaTheme="minorEastAsia" w:hAnsiTheme="minorHAnsi" w:cstheme="minorBidi"/>
        </w:rPr>
        <w:t xml:space="preserve"> For example, limited or no monitoring is being pursued to link community-based risk maps with local government and planning authorities so that further supports for DRR and CCA can be offered to the local government and communities. </w:t>
      </w:r>
      <w:r w:rsidRPr="0F73AF2A">
        <w:rPr>
          <w:rFonts w:asciiTheme="minorHAnsi" w:eastAsiaTheme="minorEastAsia" w:hAnsiTheme="minorHAnsi" w:cstheme="minorBidi"/>
          <w:b/>
          <w:bCs/>
        </w:rPr>
        <w:t xml:space="preserve">UNDP CCED interventions therefore need to target more effective programme delivery to strengthen sub-national and local governmental-level capacity (in CCA, DRR and other developmental activities).  More resources should be allocated to these areas. </w:t>
      </w:r>
      <w:r w:rsidRPr="0F73AF2A">
        <w:rPr>
          <w:rFonts w:asciiTheme="minorHAnsi" w:eastAsiaTheme="minorEastAsia" w:hAnsiTheme="minorHAnsi" w:cstheme="minorBidi"/>
          <w:lang w:val="en-US"/>
        </w:rPr>
        <w:t xml:space="preserve">In order to strengthen the sustainability of delivery at the local level, the evaluation team believes that UNDP should </w:t>
      </w:r>
      <w:r w:rsidR="007C2860">
        <w:rPr>
          <w:rFonts w:asciiTheme="minorHAnsi" w:eastAsiaTheme="minorEastAsia" w:hAnsiTheme="minorHAnsi" w:cstheme="minorBidi"/>
          <w:lang w:val="en-US"/>
        </w:rPr>
        <w:t xml:space="preserve">work more closely with the government machinery to </w:t>
      </w:r>
      <w:r w:rsidRPr="0F73AF2A">
        <w:rPr>
          <w:rFonts w:asciiTheme="minorHAnsi" w:eastAsiaTheme="minorEastAsia" w:hAnsiTheme="minorHAnsi" w:cstheme="minorBidi"/>
          <w:lang w:val="en-US"/>
        </w:rPr>
        <w:t xml:space="preserve">strengthen its sub-national (district and </w:t>
      </w:r>
      <w:r w:rsidRPr="0F73AF2A">
        <w:rPr>
          <w:rFonts w:asciiTheme="minorHAnsi" w:eastAsiaTheme="minorEastAsia" w:hAnsiTheme="minorHAnsi" w:cstheme="minorBidi"/>
          <w:i/>
          <w:iCs/>
          <w:lang w:val="en-US"/>
        </w:rPr>
        <w:t>upazila</w:t>
      </w:r>
      <w:r w:rsidRPr="0F73AF2A">
        <w:rPr>
          <w:rFonts w:asciiTheme="minorHAnsi" w:eastAsiaTheme="minorEastAsia" w:hAnsiTheme="minorHAnsi" w:cstheme="minorBidi"/>
          <w:lang w:val="en-US"/>
        </w:rPr>
        <w:t xml:space="preserve"> level), local (union), and village-level institutions, and empower local governments and NGOs in terms of local delivery capacity.</w:t>
      </w:r>
    </w:p>
    <w:p w:rsidR="00C56927" w:rsidRDefault="00C56927" w:rsidP="00C56927">
      <w:pPr>
        <w:pStyle w:val="ListParagraph"/>
        <w:spacing w:after="0" w:line="240" w:lineRule="auto"/>
        <w:jc w:val="both"/>
        <w:rPr>
          <w:rFonts w:asciiTheme="minorHAnsi" w:hAnsiTheme="minorHAnsi" w:cstheme="minorHAnsi"/>
          <w:color w:val="FF0000"/>
        </w:rPr>
      </w:pPr>
    </w:p>
    <w:p w:rsidR="00C56927" w:rsidRPr="00C56927" w:rsidRDefault="00714CA5" w:rsidP="001E161B">
      <w:pPr>
        <w:pStyle w:val="ListParagraph"/>
        <w:numPr>
          <w:ilvl w:val="0"/>
          <w:numId w:val="24"/>
        </w:numPr>
        <w:spacing w:after="0" w:line="240" w:lineRule="auto"/>
        <w:jc w:val="both"/>
        <w:rPr>
          <w:rFonts w:asciiTheme="minorHAnsi" w:eastAsiaTheme="minorEastAsia" w:hAnsiTheme="minorHAnsi" w:cstheme="minorBidi"/>
          <w:color w:val="000000" w:themeColor="text1"/>
        </w:rPr>
      </w:pPr>
      <w:r w:rsidRPr="0F73AF2A">
        <w:rPr>
          <w:rFonts w:asciiTheme="minorHAnsi" w:eastAsiaTheme="minorEastAsia" w:hAnsiTheme="minorHAnsi" w:cstheme="minorBidi"/>
          <w:b/>
          <w:bCs/>
          <w:lang w:val="de-DE"/>
        </w:rPr>
        <w:t>UNDP CCED interventions need to ensure greater programme benefit delivery to the poor, disadvantaged, and physically and mentally challenged  populations.</w:t>
      </w:r>
      <w:r w:rsidR="00C56927" w:rsidRPr="0F73AF2A">
        <w:rPr>
          <w:rFonts w:asciiTheme="minorHAnsi" w:eastAsiaTheme="minorEastAsia" w:hAnsiTheme="minorHAnsi" w:cstheme="minorBidi"/>
          <w:lang w:val="en-US"/>
        </w:rPr>
        <w:t xml:space="preserve">Despite the successful delivery of national-level UNDP CCED Cluster interventions, effective empowerment of the poor, disadvantaged and the physically and mentally challenged has been limited.  At the sub-regional and local government level, a ‘top-down’ governance philosophy is still predominant, which is a serious impediment to enhancing the resilience of poor, marginalized populations.  </w:t>
      </w:r>
      <w:r w:rsidR="00C56927" w:rsidRPr="0F73AF2A">
        <w:rPr>
          <w:rFonts w:asciiTheme="minorHAnsi" w:eastAsiaTheme="minorEastAsia" w:hAnsiTheme="minorHAnsi" w:cstheme="minorBidi"/>
          <w:b/>
          <w:bCs/>
        </w:rPr>
        <w:t>More resource should be placed on building stronger partnerships and granting such vulnerable populations a ‘collective voice' to support social justice and participatory governance, and on fostering a ‘sense of ownership’.</w:t>
      </w:r>
      <w:r w:rsidR="00C56927" w:rsidRPr="0F73AF2A">
        <w:rPr>
          <w:rFonts w:asciiTheme="minorHAnsi" w:eastAsiaTheme="minorEastAsia" w:hAnsiTheme="minorHAnsi" w:cstheme="minorBidi"/>
        </w:rPr>
        <w:t xml:space="preserve">  Also, the</w:t>
      </w:r>
      <w:r w:rsidR="00C56927" w:rsidRPr="0F73AF2A">
        <w:rPr>
          <w:rFonts w:asciiTheme="minorHAnsi" w:eastAsiaTheme="minorEastAsia" w:hAnsiTheme="minorHAnsi" w:cstheme="minorBidi"/>
          <w:lang w:val="en-US"/>
        </w:rPr>
        <w:t xml:space="preserve"> project planning process for local implementation should be more participatory and leverage the knowledge of locals and other development partners (including NGOs and CSOs).</w:t>
      </w:r>
    </w:p>
    <w:p w:rsidR="00714CA5" w:rsidRPr="009B1C91" w:rsidRDefault="00714CA5" w:rsidP="00656FFE">
      <w:pPr>
        <w:spacing w:after="0" w:line="240" w:lineRule="auto"/>
        <w:jc w:val="both"/>
        <w:rPr>
          <w:rFonts w:asciiTheme="minorHAnsi" w:hAnsiTheme="minorHAnsi" w:cstheme="minorHAnsi"/>
          <w:lang w:val="de-DE"/>
        </w:rPr>
      </w:pPr>
    </w:p>
    <w:p w:rsidR="00714CA5" w:rsidRPr="008405AB" w:rsidRDefault="0F73AF2A" w:rsidP="001E161B">
      <w:pPr>
        <w:numPr>
          <w:ilvl w:val="0"/>
          <w:numId w:val="24"/>
        </w:numPr>
        <w:spacing w:after="0" w:line="240" w:lineRule="auto"/>
        <w:jc w:val="both"/>
        <w:rPr>
          <w:rFonts w:asciiTheme="minorHAnsi" w:eastAsiaTheme="minorEastAsia" w:hAnsiTheme="minorHAnsi" w:cstheme="minorBidi"/>
          <w:b/>
          <w:color w:val="000000" w:themeColor="text1"/>
          <w:lang w:val="de-DE"/>
        </w:rPr>
      </w:pPr>
      <w:r w:rsidRPr="0F73AF2A">
        <w:rPr>
          <w:rFonts w:asciiTheme="minorHAnsi" w:eastAsiaTheme="minorEastAsia" w:hAnsiTheme="minorHAnsi" w:cstheme="minorBidi"/>
          <w:b/>
          <w:bCs/>
          <w:lang w:val="de-DE"/>
        </w:rPr>
        <w:t xml:space="preserve">UNDP Bangladesh needs to reinvigorate its 'risk reduction'  and 'building resilient communities' portfolio within the UNDP country office, and its partnerships with GoB ministries, donors and development partners. In consideration of various emerging problems, issues and opportunities (such as the Green Climate Fund), UNDP Bangladesh needs to strategically consolidate and strengthen its CCED portfolio by keeping its focus on 'risk reduction', 'building resilient communities', and resource mobilization and allocation. </w:t>
      </w:r>
    </w:p>
    <w:p w:rsidR="00714CA5" w:rsidRPr="009B1C91" w:rsidRDefault="00714CA5" w:rsidP="00C61EA4">
      <w:pPr>
        <w:spacing w:after="0" w:line="240" w:lineRule="auto"/>
        <w:ind w:left="720"/>
        <w:jc w:val="both"/>
        <w:rPr>
          <w:rFonts w:asciiTheme="minorHAnsi" w:hAnsiTheme="minorHAnsi" w:cstheme="minorHAnsi"/>
          <w:lang w:val="de-DE"/>
        </w:rPr>
      </w:pPr>
    </w:p>
    <w:p w:rsidR="00656FFE" w:rsidRDefault="0F73AF2A" w:rsidP="001E161B">
      <w:pPr>
        <w:numPr>
          <w:ilvl w:val="0"/>
          <w:numId w:val="24"/>
        </w:numPr>
        <w:spacing w:after="0" w:line="240" w:lineRule="auto"/>
        <w:jc w:val="both"/>
        <w:rPr>
          <w:rFonts w:asciiTheme="minorHAnsi" w:eastAsiaTheme="minorEastAsia" w:hAnsiTheme="minorHAnsi" w:cstheme="minorBidi"/>
          <w:color w:val="000000" w:themeColor="text1"/>
          <w:lang w:val="de-DE"/>
        </w:rPr>
      </w:pPr>
      <w:r w:rsidRPr="0F73AF2A">
        <w:rPr>
          <w:rFonts w:asciiTheme="minorHAnsi" w:eastAsiaTheme="minorEastAsia" w:hAnsiTheme="minorHAnsi" w:cstheme="minorBidi"/>
          <w:b/>
          <w:bCs/>
          <w:lang w:val="de-DE"/>
        </w:rPr>
        <w:t>UNDP should undertake strong measures to develop a systemic inventory of project knowledge and lessons learned, and ensure easy access to this information.</w:t>
      </w:r>
      <w:r w:rsidRPr="0F73AF2A">
        <w:rPr>
          <w:rFonts w:asciiTheme="minorHAnsi" w:eastAsiaTheme="minorEastAsia" w:hAnsiTheme="minorHAnsi" w:cstheme="minorBidi"/>
          <w:lang w:val="de-DE"/>
        </w:rPr>
        <w:t xml:space="preserve">  UNDP should </w:t>
      </w:r>
      <w:r w:rsidRPr="0F73AF2A">
        <w:rPr>
          <w:rFonts w:asciiTheme="minorHAnsi" w:eastAsiaTheme="minorEastAsia" w:hAnsiTheme="minorHAnsi" w:cstheme="minorBidi"/>
          <w:lang w:val="de-DE"/>
        </w:rPr>
        <w:lastRenderedPageBreak/>
        <w:t xml:space="preserve">recognize that projects can generate value-adding assets in terms of natural and social capital, partnerships, and professional reputation.  </w:t>
      </w:r>
    </w:p>
    <w:p w:rsidR="008405AB" w:rsidRPr="008405AB" w:rsidRDefault="008405AB" w:rsidP="008405AB">
      <w:pPr>
        <w:spacing w:after="0" w:line="240" w:lineRule="auto"/>
        <w:jc w:val="both"/>
        <w:rPr>
          <w:rFonts w:asciiTheme="minorHAnsi" w:hAnsiTheme="minorHAnsi" w:cstheme="minorHAnsi"/>
          <w:lang w:val="de-DE"/>
        </w:rPr>
      </w:pPr>
    </w:p>
    <w:p w:rsidR="000A0484" w:rsidRPr="00351D6A" w:rsidRDefault="0F73AF2A" w:rsidP="001E161B">
      <w:pPr>
        <w:numPr>
          <w:ilvl w:val="0"/>
          <w:numId w:val="24"/>
        </w:numPr>
        <w:spacing w:after="0" w:line="240" w:lineRule="auto"/>
        <w:jc w:val="both"/>
        <w:rPr>
          <w:rFonts w:asciiTheme="minorHAnsi" w:eastAsiaTheme="minorEastAsia" w:hAnsiTheme="minorHAnsi" w:cstheme="minorBidi"/>
          <w:b/>
          <w:color w:val="000000" w:themeColor="text1"/>
          <w:lang w:val="de-DE"/>
        </w:rPr>
      </w:pPr>
      <w:r w:rsidRPr="0F73AF2A">
        <w:rPr>
          <w:rFonts w:asciiTheme="minorHAnsi" w:eastAsiaTheme="minorEastAsia" w:hAnsiTheme="minorHAnsi" w:cstheme="minorBidi"/>
        </w:rPr>
        <w:t xml:space="preserve">Gender equality, empowerment of women, and human rights considerations are not as prominent in the CCED projects as they could be.  Although efforts are being made to encourage implementation partners to do more regarding women’s and human rights, the UNDP strategy did not place sufficient emphasis on these issues and needs significant improvement. </w:t>
      </w:r>
      <w:r w:rsidRPr="0F73AF2A">
        <w:rPr>
          <w:rFonts w:asciiTheme="minorHAnsi" w:eastAsiaTheme="minorEastAsia" w:hAnsiTheme="minorHAnsi" w:cstheme="minorBidi"/>
          <w:b/>
          <w:bCs/>
        </w:rPr>
        <w:t>To fill in these gaps, UNDP should adopt a systematic approach to address gender issues in CCED areas. All projects should be screened through a gender sensitive lens (as it is pursued through BCCSAP, 2009).</w:t>
      </w:r>
    </w:p>
    <w:p w:rsidR="00733267" w:rsidRPr="009B1C91" w:rsidRDefault="00733267" w:rsidP="00733267">
      <w:pPr>
        <w:spacing w:after="0" w:line="240" w:lineRule="auto"/>
        <w:ind w:left="720"/>
        <w:jc w:val="both"/>
        <w:rPr>
          <w:rFonts w:asciiTheme="minorHAnsi" w:hAnsiTheme="minorHAnsi" w:cstheme="minorHAnsi"/>
          <w:lang w:val="de-DE"/>
        </w:rPr>
      </w:pPr>
    </w:p>
    <w:p w:rsidR="00714CA5" w:rsidRPr="009B1C91" w:rsidRDefault="0F73AF2A" w:rsidP="00C61EA4">
      <w:pPr>
        <w:spacing w:after="0" w:line="240" w:lineRule="auto"/>
        <w:jc w:val="both"/>
        <w:rPr>
          <w:rFonts w:asciiTheme="minorHAnsi" w:hAnsiTheme="minorHAnsi" w:cstheme="minorHAnsi"/>
          <w:b/>
          <w:lang w:val="en-GB"/>
        </w:rPr>
      </w:pPr>
      <w:r w:rsidRPr="0F73AF2A">
        <w:rPr>
          <w:rFonts w:asciiTheme="minorHAnsi" w:eastAsiaTheme="minorEastAsia" w:hAnsiTheme="minorHAnsi" w:cstheme="minorBidi"/>
          <w:b/>
          <w:bCs/>
          <w:lang w:val="en-GB"/>
        </w:rPr>
        <w:t xml:space="preserve">Thematic Areas </w:t>
      </w:r>
    </w:p>
    <w:p w:rsidR="00714CA5" w:rsidRPr="009B1C91" w:rsidRDefault="00714CA5" w:rsidP="00C61EA4">
      <w:pPr>
        <w:spacing w:after="0" w:line="240" w:lineRule="auto"/>
        <w:jc w:val="both"/>
        <w:rPr>
          <w:rFonts w:asciiTheme="minorHAnsi" w:hAnsiTheme="minorHAnsi" w:cstheme="minorHAnsi"/>
          <w:lang w:val="en-GB"/>
        </w:rPr>
      </w:pPr>
    </w:p>
    <w:p w:rsidR="00714CA5" w:rsidRPr="00AB2C59" w:rsidRDefault="0F73AF2A" w:rsidP="001E161B">
      <w:pPr>
        <w:numPr>
          <w:ilvl w:val="0"/>
          <w:numId w:val="21"/>
        </w:numPr>
        <w:spacing w:after="0" w:line="240" w:lineRule="auto"/>
        <w:jc w:val="both"/>
        <w:rPr>
          <w:rFonts w:asciiTheme="minorHAnsi" w:eastAsiaTheme="minorEastAsia" w:hAnsiTheme="minorHAnsi" w:cstheme="minorBidi"/>
          <w:b/>
          <w:color w:val="000000" w:themeColor="text1"/>
          <w:lang w:val="de-DE"/>
        </w:rPr>
      </w:pPr>
      <w:r w:rsidRPr="0F73AF2A">
        <w:rPr>
          <w:rFonts w:asciiTheme="minorHAnsi" w:eastAsiaTheme="minorEastAsia" w:hAnsiTheme="minorHAnsi" w:cstheme="minorBidi"/>
          <w:b/>
          <w:bCs/>
          <w:lang w:val="en-GB"/>
        </w:rPr>
        <w:t xml:space="preserve">The UNDP CCED Cluster should enhance its leadership role by providing more clarity to CCA and DRR and their connections to community </w:t>
      </w:r>
      <w:r w:rsidRPr="0F73AF2A">
        <w:rPr>
          <w:rFonts w:asciiTheme="minorHAnsi" w:eastAsiaTheme="minorEastAsia" w:hAnsiTheme="minorHAnsi" w:cstheme="minorBidi"/>
          <w:b/>
          <w:bCs/>
          <w:i/>
          <w:iCs/>
          <w:lang w:val="en-GB"/>
        </w:rPr>
        <w:t>resilience</w:t>
      </w:r>
      <w:r w:rsidRPr="0F73AF2A">
        <w:rPr>
          <w:rFonts w:asciiTheme="minorHAnsi" w:eastAsiaTheme="minorEastAsia" w:hAnsiTheme="minorHAnsi" w:cstheme="minorBidi"/>
          <w:b/>
          <w:bCs/>
          <w:lang w:val="en-GB"/>
        </w:rPr>
        <w:t xml:space="preserve"> and adaptation. </w:t>
      </w:r>
    </w:p>
    <w:p w:rsidR="00714CA5" w:rsidRPr="00AB2C59" w:rsidRDefault="00714CA5" w:rsidP="00C1541C">
      <w:pPr>
        <w:spacing w:after="0" w:line="240" w:lineRule="auto"/>
        <w:ind w:left="720"/>
        <w:jc w:val="both"/>
        <w:rPr>
          <w:rFonts w:asciiTheme="minorHAnsi" w:hAnsiTheme="minorHAnsi" w:cstheme="minorHAnsi"/>
          <w:b/>
          <w:lang w:val="de-DE"/>
        </w:rPr>
      </w:pPr>
    </w:p>
    <w:p w:rsidR="00714CA5" w:rsidRPr="00AB2C59" w:rsidRDefault="0F73AF2A" w:rsidP="001E161B">
      <w:pPr>
        <w:numPr>
          <w:ilvl w:val="0"/>
          <w:numId w:val="21"/>
        </w:numPr>
        <w:spacing w:after="0" w:line="240" w:lineRule="auto"/>
        <w:jc w:val="both"/>
        <w:rPr>
          <w:rFonts w:asciiTheme="minorHAnsi" w:eastAsiaTheme="minorEastAsia" w:hAnsiTheme="minorHAnsi" w:cstheme="minorBidi"/>
          <w:b/>
          <w:color w:val="000000" w:themeColor="text1"/>
          <w:lang w:val="de-DE"/>
        </w:rPr>
      </w:pPr>
      <w:r w:rsidRPr="0F73AF2A">
        <w:rPr>
          <w:rFonts w:asciiTheme="minorHAnsi" w:eastAsiaTheme="minorEastAsia" w:hAnsiTheme="minorHAnsi" w:cstheme="minorBidi"/>
          <w:b/>
          <w:bCs/>
          <w:lang w:val="de-DE"/>
        </w:rPr>
        <w:t xml:space="preserve">In order to recognize the multidimensionality of the ‘resilience’ concept, UNDP Bangladesh should consider changing its motto from ‘Build Back Better’ to ‘Triple R  - Rebuilding with Reduced Risk’. </w:t>
      </w:r>
    </w:p>
    <w:p w:rsidR="00714CA5" w:rsidRPr="00AB2C59" w:rsidRDefault="00714CA5" w:rsidP="00C1541C">
      <w:pPr>
        <w:spacing w:after="0" w:line="240" w:lineRule="auto"/>
        <w:ind w:left="720"/>
        <w:jc w:val="both"/>
        <w:rPr>
          <w:rFonts w:asciiTheme="minorHAnsi" w:hAnsiTheme="minorHAnsi" w:cstheme="minorHAnsi"/>
          <w:b/>
          <w:lang w:val="de-DE"/>
        </w:rPr>
      </w:pPr>
    </w:p>
    <w:p w:rsidR="00714CA5" w:rsidRPr="00AB2C59" w:rsidRDefault="0F73AF2A" w:rsidP="001E161B">
      <w:pPr>
        <w:numPr>
          <w:ilvl w:val="0"/>
          <w:numId w:val="21"/>
        </w:numPr>
        <w:spacing w:after="0" w:line="240" w:lineRule="auto"/>
        <w:jc w:val="both"/>
        <w:rPr>
          <w:rFonts w:asciiTheme="minorHAnsi" w:eastAsiaTheme="minorEastAsia" w:hAnsiTheme="minorHAnsi" w:cstheme="minorBidi"/>
          <w:b/>
          <w:color w:val="000000" w:themeColor="text1"/>
          <w:lang w:val="de-DE"/>
        </w:rPr>
      </w:pPr>
      <w:r w:rsidRPr="0F73AF2A">
        <w:rPr>
          <w:rFonts w:asciiTheme="minorHAnsi" w:eastAsiaTheme="minorEastAsia" w:hAnsiTheme="minorHAnsi" w:cstheme="minorBidi"/>
          <w:b/>
          <w:bCs/>
          <w:lang w:val="de-DE"/>
        </w:rPr>
        <w:t>UNDP’s approach to risk reduction and resilience enhancement should emphasize greater coordination among local and sub-national (</w:t>
      </w:r>
      <w:r w:rsidRPr="0F73AF2A">
        <w:rPr>
          <w:rFonts w:asciiTheme="minorHAnsi" w:eastAsiaTheme="minorEastAsia" w:hAnsiTheme="minorHAnsi" w:cstheme="minorBidi"/>
          <w:b/>
          <w:bCs/>
          <w:i/>
          <w:iCs/>
          <w:lang w:val="de-DE"/>
        </w:rPr>
        <w:t>upazila</w:t>
      </w:r>
      <w:r w:rsidRPr="0F73AF2A">
        <w:rPr>
          <w:rFonts w:asciiTheme="minorHAnsi" w:eastAsiaTheme="minorEastAsia" w:hAnsiTheme="minorHAnsi" w:cstheme="minorBidi"/>
          <w:b/>
          <w:bCs/>
          <w:lang w:val="de-DE"/>
        </w:rPr>
        <w:t xml:space="preserve"> and district)  government departments. </w:t>
      </w:r>
    </w:p>
    <w:p w:rsidR="00714CA5" w:rsidRPr="00AB2C59" w:rsidRDefault="00714CA5" w:rsidP="00C1541C">
      <w:pPr>
        <w:spacing w:after="0" w:line="240" w:lineRule="auto"/>
        <w:ind w:left="720"/>
        <w:jc w:val="both"/>
        <w:rPr>
          <w:rFonts w:asciiTheme="minorHAnsi" w:hAnsiTheme="minorHAnsi" w:cstheme="minorHAnsi"/>
          <w:b/>
          <w:lang w:val="de-DE"/>
        </w:rPr>
      </w:pPr>
    </w:p>
    <w:p w:rsidR="00714CA5" w:rsidRPr="00AB2C59" w:rsidRDefault="0F73AF2A" w:rsidP="001E161B">
      <w:pPr>
        <w:numPr>
          <w:ilvl w:val="0"/>
          <w:numId w:val="21"/>
        </w:numPr>
        <w:spacing w:after="0" w:line="240" w:lineRule="auto"/>
        <w:jc w:val="both"/>
        <w:rPr>
          <w:rFonts w:asciiTheme="minorHAnsi" w:eastAsiaTheme="minorEastAsia" w:hAnsiTheme="minorHAnsi" w:cstheme="minorBidi"/>
          <w:b/>
          <w:color w:val="000000" w:themeColor="text1"/>
        </w:rPr>
      </w:pPr>
      <w:r w:rsidRPr="0F73AF2A">
        <w:rPr>
          <w:rFonts w:asciiTheme="minorHAnsi" w:eastAsiaTheme="minorEastAsia" w:hAnsiTheme="minorHAnsi" w:cstheme="minorBidi"/>
          <w:b/>
          <w:bCs/>
          <w:lang w:val="de-DE"/>
        </w:rPr>
        <w:t xml:space="preserve">UNDP should establish stronger links between CCA, DRR, and the enhancement of livelihood security. </w:t>
      </w:r>
    </w:p>
    <w:p w:rsidR="00714CA5" w:rsidRPr="00AB2C59" w:rsidRDefault="00714CA5" w:rsidP="00C1541C">
      <w:pPr>
        <w:spacing w:after="0" w:line="240" w:lineRule="auto"/>
        <w:ind w:left="720"/>
        <w:jc w:val="both"/>
        <w:rPr>
          <w:rFonts w:asciiTheme="minorHAnsi" w:hAnsiTheme="minorHAnsi" w:cstheme="minorHAnsi"/>
          <w:b/>
          <w:lang w:val="de-DE"/>
        </w:rPr>
      </w:pPr>
    </w:p>
    <w:p w:rsidR="00714CA5" w:rsidRPr="00AB2C59" w:rsidRDefault="0F73AF2A" w:rsidP="001E161B">
      <w:pPr>
        <w:numPr>
          <w:ilvl w:val="0"/>
          <w:numId w:val="21"/>
        </w:numPr>
        <w:spacing w:after="0" w:line="240" w:lineRule="auto"/>
        <w:jc w:val="both"/>
        <w:rPr>
          <w:rFonts w:asciiTheme="minorHAnsi" w:eastAsiaTheme="minorEastAsia" w:hAnsiTheme="minorHAnsi" w:cstheme="minorBidi"/>
          <w:b/>
          <w:color w:val="000000" w:themeColor="text1"/>
          <w:lang w:val="de-DE"/>
        </w:rPr>
      </w:pPr>
      <w:r w:rsidRPr="0F73AF2A">
        <w:rPr>
          <w:rFonts w:asciiTheme="minorHAnsi" w:eastAsiaTheme="minorEastAsia" w:hAnsiTheme="minorHAnsi" w:cstheme="minorBidi"/>
          <w:b/>
          <w:bCs/>
          <w:lang w:val="de-DE"/>
        </w:rPr>
        <w:t xml:space="preserve">UNDP should invest in generating further knowledge on more effective and efficient cyclone disaster prevention measures. </w:t>
      </w:r>
    </w:p>
    <w:p w:rsidR="00714CA5" w:rsidRPr="00AB2C59" w:rsidRDefault="00714CA5" w:rsidP="00C1541C">
      <w:pPr>
        <w:spacing w:after="0" w:line="240" w:lineRule="auto"/>
        <w:ind w:left="720"/>
        <w:jc w:val="both"/>
        <w:rPr>
          <w:rFonts w:asciiTheme="minorHAnsi" w:hAnsiTheme="minorHAnsi" w:cstheme="minorHAnsi"/>
          <w:b/>
          <w:lang w:val="de-DE"/>
        </w:rPr>
      </w:pPr>
    </w:p>
    <w:p w:rsidR="00714CA5" w:rsidRPr="00AB2C59" w:rsidRDefault="0F73AF2A" w:rsidP="001E161B">
      <w:pPr>
        <w:numPr>
          <w:ilvl w:val="0"/>
          <w:numId w:val="21"/>
        </w:numPr>
        <w:spacing w:after="0" w:line="240" w:lineRule="auto"/>
        <w:jc w:val="both"/>
        <w:rPr>
          <w:rFonts w:asciiTheme="minorHAnsi" w:eastAsiaTheme="minorEastAsia" w:hAnsiTheme="minorHAnsi" w:cstheme="minorBidi"/>
          <w:b/>
          <w:color w:val="000000" w:themeColor="text1"/>
          <w:lang w:val="de-DE"/>
        </w:rPr>
      </w:pPr>
      <w:r w:rsidRPr="0F73AF2A">
        <w:rPr>
          <w:rFonts w:asciiTheme="minorHAnsi" w:eastAsiaTheme="minorEastAsia" w:hAnsiTheme="minorHAnsi" w:cstheme="minorBidi"/>
          <w:b/>
          <w:bCs/>
          <w:lang w:val="de-DE"/>
        </w:rPr>
        <w:t xml:space="preserve">UNDP Bangladesh needs to further improve on-the-ground delivery capacity of </w:t>
      </w:r>
      <w:r w:rsidRPr="0F73AF2A">
        <w:rPr>
          <w:rFonts w:asciiTheme="minorHAnsi" w:eastAsiaTheme="minorEastAsia" w:hAnsiTheme="minorHAnsi" w:cstheme="minorBidi"/>
          <w:b/>
          <w:bCs/>
          <w:i/>
          <w:iCs/>
          <w:lang w:val="de-DE"/>
        </w:rPr>
        <w:t xml:space="preserve">more inclusive </w:t>
      </w:r>
      <w:r w:rsidRPr="0F73AF2A">
        <w:rPr>
          <w:rFonts w:asciiTheme="minorHAnsi" w:eastAsiaTheme="minorEastAsia" w:hAnsiTheme="minorHAnsi" w:cstheme="minorBidi"/>
          <w:b/>
          <w:bCs/>
          <w:lang w:val="de-DE"/>
        </w:rPr>
        <w:t xml:space="preserve">community-based climate change adaptation interventions.  </w:t>
      </w:r>
    </w:p>
    <w:p w:rsidR="00714CA5" w:rsidRPr="00AB2C59" w:rsidRDefault="00714CA5" w:rsidP="00C1541C">
      <w:pPr>
        <w:spacing w:after="0" w:line="240" w:lineRule="auto"/>
        <w:ind w:left="720"/>
        <w:jc w:val="both"/>
        <w:rPr>
          <w:rFonts w:asciiTheme="minorHAnsi" w:hAnsiTheme="minorHAnsi" w:cstheme="minorHAnsi"/>
          <w:b/>
          <w:lang w:val="de-DE"/>
        </w:rPr>
      </w:pPr>
    </w:p>
    <w:p w:rsidR="00F24418" w:rsidRDefault="0F73AF2A" w:rsidP="001E161B">
      <w:pPr>
        <w:numPr>
          <w:ilvl w:val="0"/>
          <w:numId w:val="21"/>
        </w:numPr>
        <w:spacing w:after="0" w:line="240" w:lineRule="auto"/>
        <w:jc w:val="both"/>
        <w:rPr>
          <w:rFonts w:asciiTheme="minorHAnsi" w:eastAsiaTheme="minorEastAsia" w:hAnsiTheme="minorHAnsi" w:cstheme="minorBidi"/>
          <w:b/>
          <w:color w:val="000000" w:themeColor="text1"/>
          <w:lang w:val="de-DE"/>
        </w:rPr>
      </w:pPr>
      <w:r w:rsidRPr="0F73AF2A">
        <w:rPr>
          <w:rFonts w:asciiTheme="minorHAnsi" w:eastAsiaTheme="minorEastAsia" w:hAnsiTheme="minorHAnsi" w:cstheme="minorBidi"/>
          <w:b/>
          <w:bCs/>
          <w:lang w:val="de-DE"/>
        </w:rPr>
        <w:t>UNDP needs to maintain its focus on the niche area of energy efficiency standards and labels.</w:t>
      </w:r>
    </w:p>
    <w:p w:rsidR="00F24418" w:rsidRPr="00F24418" w:rsidRDefault="00F24418" w:rsidP="00F24418">
      <w:pPr>
        <w:spacing w:after="0" w:line="240" w:lineRule="auto"/>
        <w:jc w:val="both"/>
        <w:rPr>
          <w:rFonts w:asciiTheme="minorHAnsi" w:eastAsiaTheme="minorEastAsia" w:hAnsiTheme="minorHAnsi" w:cstheme="minorBidi"/>
          <w:b/>
          <w:color w:val="000000" w:themeColor="text1"/>
          <w:lang w:val="de-DE"/>
        </w:rPr>
      </w:pPr>
    </w:p>
    <w:p w:rsidR="00714CA5" w:rsidRPr="00AB2C59" w:rsidRDefault="00F24418" w:rsidP="001E161B">
      <w:pPr>
        <w:numPr>
          <w:ilvl w:val="0"/>
          <w:numId w:val="21"/>
        </w:numPr>
        <w:spacing w:after="0" w:line="240" w:lineRule="auto"/>
        <w:jc w:val="both"/>
        <w:rPr>
          <w:rFonts w:asciiTheme="minorHAnsi" w:eastAsiaTheme="minorEastAsia" w:hAnsiTheme="minorHAnsi" w:cstheme="minorBidi"/>
          <w:b/>
          <w:color w:val="000000" w:themeColor="text1"/>
          <w:lang w:val="de-DE"/>
        </w:rPr>
      </w:pPr>
      <w:r>
        <w:rPr>
          <w:rFonts w:asciiTheme="minorHAnsi" w:eastAsiaTheme="minorEastAsia" w:hAnsiTheme="minorHAnsi" w:cstheme="minorBidi"/>
          <w:b/>
          <w:bCs/>
          <w:lang w:val="de-DE"/>
        </w:rPr>
        <w:t>UNDP should build further on its established recoemmdnations on enegry efficiency and technology transfer.</w:t>
      </w:r>
    </w:p>
    <w:p w:rsidR="00714CA5" w:rsidRPr="00AB2C59" w:rsidRDefault="00714CA5" w:rsidP="00C1541C">
      <w:pPr>
        <w:spacing w:after="0" w:line="240" w:lineRule="auto"/>
        <w:ind w:left="720"/>
        <w:jc w:val="both"/>
        <w:rPr>
          <w:rFonts w:asciiTheme="minorHAnsi" w:hAnsiTheme="minorHAnsi" w:cstheme="minorHAnsi"/>
          <w:b/>
          <w:lang w:val="de-DE"/>
        </w:rPr>
      </w:pPr>
    </w:p>
    <w:p w:rsidR="00714CA5" w:rsidRPr="00AB2C59" w:rsidRDefault="0F73AF2A" w:rsidP="001E161B">
      <w:pPr>
        <w:numPr>
          <w:ilvl w:val="0"/>
          <w:numId w:val="21"/>
        </w:numPr>
        <w:spacing w:after="0" w:line="240" w:lineRule="auto"/>
        <w:jc w:val="both"/>
        <w:rPr>
          <w:rFonts w:asciiTheme="minorHAnsi" w:eastAsiaTheme="minorEastAsia" w:hAnsiTheme="minorHAnsi" w:cstheme="minorBidi"/>
          <w:b/>
          <w:lang w:val="de-DE"/>
        </w:rPr>
      </w:pPr>
      <w:r w:rsidRPr="0F73AF2A">
        <w:rPr>
          <w:rFonts w:asciiTheme="minorHAnsi" w:eastAsiaTheme="minorEastAsia" w:hAnsiTheme="minorHAnsi" w:cstheme="minorBidi"/>
          <w:b/>
          <w:bCs/>
          <w:lang w:val="en-GB"/>
        </w:rPr>
        <w:t xml:space="preserve">UNDP should continue supporting capacity building in the poverty-environment-climate nexus in partnership with the Government of Bangladesh. </w:t>
      </w:r>
    </w:p>
    <w:p w:rsidR="00BC0A8C" w:rsidRPr="00AB2C59" w:rsidRDefault="00BC0A8C" w:rsidP="00C61EA4">
      <w:pPr>
        <w:jc w:val="both"/>
        <w:rPr>
          <w:rFonts w:asciiTheme="minorHAnsi" w:hAnsiTheme="minorHAnsi" w:cstheme="minorHAnsi"/>
          <w:b/>
        </w:rPr>
      </w:pPr>
    </w:p>
    <w:p w:rsidR="00BC0A8C" w:rsidRPr="009B1C91" w:rsidRDefault="00BC0A8C" w:rsidP="00C61EA4">
      <w:pPr>
        <w:jc w:val="both"/>
        <w:rPr>
          <w:rFonts w:asciiTheme="minorHAnsi" w:hAnsiTheme="minorHAnsi" w:cstheme="minorHAnsi"/>
        </w:rPr>
      </w:pPr>
    </w:p>
    <w:p w:rsidR="00BC0A8C" w:rsidRPr="009B1C91" w:rsidRDefault="00BC0A8C" w:rsidP="00C61EA4">
      <w:pPr>
        <w:jc w:val="both"/>
        <w:rPr>
          <w:rFonts w:asciiTheme="minorHAnsi" w:hAnsiTheme="minorHAnsi" w:cstheme="minorHAnsi"/>
        </w:rPr>
      </w:pPr>
    </w:p>
    <w:p w:rsidR="0058096D" w:rsidRPr="009B1C91" w:rsidRDefault="0058096D" w:rsidP="00C61EA4">
      <w:pPr>
        <w:jc w:val="both"/>
        <w:rPr>
          <w:rFonts w:asciiTheme="minorHAnsi" w:hAnsiTheme="minorHAnsi" w:cstheme="minorHAnsi"/>
        </w:rPr>
        <w:sectPr w:rsidR="0058096D" w:rsidRPr="009B1C91" w:rsidSect="0058096D">
          <w:pgSz w:w="12240" w:h="15840"/>
          <w:pgMar w:top="1440" w:right="1440" w:bottom="1440" w:left="1440" w:header="720" w:footer="720" w:gutter="0"/>
          <w:pgNumType w:fmt="lowerRoman"/>
          <w:cols w:space="720"/>
          <w:docGrid w:linePitch="360"/>
        </w:sectPr>
      </w:pPr>
    </w:p>
    <w:p w:rsidR="008B17D0" w:rsidRPr="009B1C91" w:rsidRDefault="008B17D0" w:rsidP="008B17D0">
      <w:pPr>
        <w:spacing w:after="0" w:line="240" w:lineRule="auto"/>
        <w:rPr>
          <w:rFonts w:asciiTheme="minorHAnsi" w:hAnsiTheme="minorHAnsi" w:cstheme="minorHAnsi"/>
          <w:b/>
          <w:bCs/>
        </w:rPr>
      </w:pPr>
      <w:r w:rsidRPr="009B1C91">
        <w:rPr>
          <w:rFonts w:asciiTheme="minorHAnsi" w:hAnsiTheme="minorHAnsi" w:cstheme="minorHAnsi"/>
          <w:b/>
          <w:bCs/>
        </w:rPr>
        <w:lastRenderedPageBreak/>
        <w:t>SECTION 1</w:t>
      </w:r>
    </w:p>
    <w:p w:rsidR="008B17D0" w:rsidRPr="009B1C91" w:rsidRDefault="008B17D0" w:rsidP="008B17D0">
      <w:pPr>
        <w:spacing w:after="0" w:line="240" w:lineRule="auto"/>
        <w:rPr>
          <w:rFonts w:asciiTheme="minorHAnsi" w:hAnsiTheme="minorHAnsi" w:cstheme="minorHAnsi"/>
          <w:b/>
          <w:bCs/>
        </w:rPr>
      </w:pPr>
    </w:p>
    <w:p w:rsidR="008B17D0" w:rsidRPr="009B1C91" w:rsidRDefault="008B17D0" w:rsidP="008B17D0">
      <w:pPr>
        <w:spacing w:after="0" w:line="240" w:lineRule="auto"/>
        <w:rPr>
          <w:rFonts w:asciiTheme="minorHAnsi" w:hAnsiTheme="minorHAnsi" w:cstheme="minorHAnsi"/>
          <w:b/>
          <w:bCs/>
        </w:rPr>
      </w:pPr>
      <w:r w:rsidRPr="009B1C91">
        <w:rPr>
          <w:rFonts w:asciiTheme="minorHAnsi" w:hAnsiTheme="minorHAnsi" w:cstheme="minorHAnsi"/>
          <w:b/>
          <w:bCs/>
          <w:sz w:val="44"/>
          <w:szCs w:val="44"/>
        </w:rPr>
        <w:t>INTRODUCTION</w:t>
      </w:r>
      <w:r w:rsidRPr="009B1C91">
        <w:rPr>
          <w:rFonts w:asciiTheme="minorHAnsi" w:hAnsiTheme="minorHAnsi" w:cstheme="minorHAnsi"/>
          <w:b/>
          <w:bCs/>
          <w:sz w:val="44"/>
          <w:szCs w:val="44"/>
        </w:rPr>
        <w:cr/>
      </w:r>
    </w:p>
    <w:p w:rsidR="008B17D0" w:rsidRPr="009B1C91" w:rsidRDefault="00240A7B" w:rsidP="00240A7B">
      <w:pPr>
        <w:spacing w:after="0" w:line="240" w:lineRule="auto"/>
        <w:rPr>
          <w:rFonts w:asciiTheme="minorHAnsi" w:eastAsia="Trebuchet MS" w:hAnsiTheme="minorHAnsi" w:cstheme="minorHAnsi"/>
          <w:b/>
          <w:bCs/>
        </w:rPr>
      </w:pPr>
      <w:r w:rsidRPr="009B1C91">
        <w:rPr>
          <w:rFonts w:asciiTheme="minorHAnsi" w:hAnsiTheme="minorHAnsi" w:cstheme="minorHAnsi"/>
          <w:b/>
          <w:bCs/>
        </w:rPr>
        <w:t xml:space="preserve">1.1 </w:t>
      </w:r>
      <w:r w:rsidR="008B17D0" w:rsidRPr="009B1C91">
        <w:rPr>
          <w:rFonts w:asciiTheme="minorHAnsi" w:hAnsiTheme="minorHAnsi" w:cstheme="minorHAnsi"/>
          <w:b/>
          <w:bCs/>
        </w:rPr>
        <w:t xml:space="preserve">PURPOSE AND OBJECTIVES OF THE EVALUATION </w:t>
      </w:r>
    </w:p>
    <w:p w:rsidR="008B17D0" w:rsidRPr="009B1C91" w:rsidRDefault="008B17D0" w:rsidP="008B17D0">
      <w:pPr>
        <w:spacing w:after="0" w:line="240" w:lineRule="auto"/>
        <w:ind w:left="360"/>
        <w:rPr>
          <w:rFonts w:asciiTheme="minorHAnsi" w:hAnsiTheme="minorHAnsi" w:cstheme="minorHAnsi"/>
        </w:rPr>
      </w:pPr>
    </w:p>
    <w:p w:rsidR="008B17D0" w:rsidRPr="009B1C91" w:rsidRDefault="008B17D0" w:rsidP="00C61EA4">
      <w:pPr>
        <w:spacing w:after="0" w:line="240" w:lineRule="auto"/>
        <w:jc w:val="both"/>
        <w:rPr>
          <w:rFonts w:asciiTheme="minorHAnsi" w:eastAsia="Cambria" w:hAnsiTheme="minorHAnsi" w:cstheme="minorHAnsi"/>
        </w:rPr>
      </w:pPr>
      <w:r w:rsidRPr="009B1C91">
        <w:rPr>
          <w:rFonts w:asciiTheme="minorHAnsi" w:eastAsia="Cambria" w:hAnsiTheme="minorHAnsi" w:cstheme="minorHAnsi"/>
        </w:rPr>
        <w:t xml:space="preserve">The UNDP Bangladesh </w:t>
      </w:r>
      <w:r w:rsidRPr="009B1C91">
        <w:rPr>
          <w:rFonts w:asciiTheme="minorHAnsi" w:eastAsia="Cambria" w:hAnsiTheme="minorHAnsi" w:cstheme="minorHAnsi"/>
          <w:b/>
          <w:bCs/>
        </w:rPr>
        <w:t xml:space="preserve">Country Programme </w:t>
      </w:r>
      <w:r w:rsidRPr="009B1C91">
        <w:rPr>
          <w:rFonts w:asciiTheme="minorHAnsi" w:eastAsia="Cambria" w:hAnsiTheme="minorHAnsi" w:cstheme="minorHAnsi"/>
        </w:rPr>
        <w:t>(CP) 2012-2016</w:t>
      </w:r>
      <w:r w:rsidRPr="009B1C91">
        <w:rPr>
          <w:rFonts w:asciiTheme="minorHAnsi" w:eastAsia="Cambria" w:hAnsiTheme="minorHAnsi" w:cstheme="minorHAnsi"/>
          <w:vertAlign w:val="superscript"/>
        </w:rPr>
        <w:footnoteReference w:id="1"/>
      </w:r>
      <w:r w:rsidRPr="009B1C91">
        <w:rPr>
          <w:rFonts w:asciiTheme="minorHAnsi" w:eastAsia="Cambria" w:hAnsiTheme="minorHAnsi" w:cstheme="minorHAnsi"/>
        </w:rPr>
        <w:t xml:space="preserve"> has been formulated in response to the Government of Bangladesh’s development priorities and vision of attaining middle-income status by 2021, as stated in the Outline Perspective Plan 2010-2021 and ongoing Sixth Five Year Plan (2011-2015). The CP 2012-2016 includes as priority areas climate change</w:t>
      </w:r>
      <w:r w:rsidR="00DE0FF3" w:rsidRPr="009B1C91">
        <w:rPr>
          <w:rFonts w:asciiTheme="minorHAnsi" w:eastAsia="Cambria" w:hAnsiTheme="minorHAnsi" w:cstheme="minorHAnsi"/>
        </w:rPr>
        <w:t xml:space="preserve"> (CC)</w:t>
      </w:r>
      <w:r w:rsidRPr="009B1C91">
        <w:rPr>
          <w:rFonts w:asciiTheme="minorHAnsi" w:eastAsia="Cambria" w:hAnsiTheme="minorHAnsi" w:cstheme="minorHAnsi"/>
        </w:rPr>
        <w:t xml:space="preserve">, the environment, disaster risk reduction </w:t>
      </w:r>
      <w:r w:rsidR="00DE0FF3" w:rsidRPr="009B1C91">
        <w:rPr>
          <w:rFonts w:asciiTheme="minorHAnsi" w:eastAsia="Cambria" w:hAnsiTheme="minorHAnsi" w:cstheme="minorHAnsi"/>
        </w:rPr>
        <w:t xml:space="preserve">(DRR) </w:t>
      </w:r>
      <w:r w:rsidRPr="009B1C91">
        <w:rPr>
          <w:rFonts w:asciiTheme="minorHAnsi" w:eastAsia="Cambria" w:hAnsiTheme="minorHAnsi" w:cstheme="minorHAnsi"/>
        </w:rPr>
        <w:t>and response, and gender equality and women’s advancement - thus revealing UNDP Bangladesh’s strong commitment to expanding the scope of Bangladesh’s Climate Change Strategy and Action Plan</w:t>
      </w:r>
      <w:r w:rsidR="00DE0FF3" w:rsidRPr="009B1C91">
        <w:rPr>
          <w:rFonts w:asciiTheme="minorHAnsi" w:eastAsia="Cambria" w:hAnsiTheme="minorHAnsi" w:cstheme="minorHAnsi"/>
        </w:rPr>
        <w:t xml:space="preserve"> (BCCSAP)</w:t>
      </w:r>
      <w:r w:rsidRPr="009B1C91">
        <w:rPr>
          <w:rFonts w:asciiTheme="minorHAnsi" w:eastAsia="Cambria" w:hAnsiTheme="minorHAnsi" w:cstheme="minorHAnsi"/>
        </w:rPr>
        <w:t xml:space="preserve">. </w:t>
      </w:r>
    </w:p>
    <w:p w:rsidR="008B17D0" w:rsidRPr="009B1C91" w:rsidRDefault="008B17D0" w:rsidP="00C61EA4">
      <w:pPr>
        <w:spacing w:after="0" w:line="240" w:lineRule="auto"/>
        <w:jc w:val="both"/>
        <w:rPr>
          <w:rFonts w:asciiTheme="minorHAnsi" w:eastAsia="Cambria" w:hAnsiTheme="minorHAnsi" w:cstheme="minorHAnsi"/>
        </w:rPr>
      </w:pPr>
    </w:p>
    <w:p w:rsidR="008B17D0" w:rsidRPr="009B1C91" w:rsidRDefault="008B17D0" w:rsidP="00C61EA4">
      <w:pPr>
        <w:tabs>
          <w:tab w:val="left" w:pos="360"/>
        </w:tabs>
        <w:spacing w:after="0" w:line="240" w:lineRule="auto"/>
        <w:jc w:val="both"/>
        <w:rPr>
          <w:rFonts w:asciiTheme="minorHAnsi" w:eastAsia="Cambria" w:hAnsiTheme="minorHAnsi" w:cstheme="minorHAnsi"/>
          <w:u w:color="FF0000"/>
        </w:rPr>
      </w:pPr>
      <w:r w:rsidRPr="009B1C91">
        <w:rPr>
          <w:rFonts w:asciiTheme="minorHAnsi" w:eastAsia="Cambria" w:hAnsiTheme="minorHAnsi" w:cstheme="minorHAnsi"/>
        </w:rPr>
        <w:t>The objective of the mid-term outcome evaluation is to assist and support UNDP Bangladesh in assessing the relevance, effectiveness, efficiency and sustainability of pertinent projects and programmes in respect to progressing towards the outcomes. Also, it aims to asse</w:t>
      </w:r>
      <w:r w:rsidR="00DE0FF3" w:rsidRPr="009B1C91">
        <w:rPr>
          <w:rFonts w:asciiTheme="minorHAnsi" w:eastAsia="Cambria" w:hAnsiTheme="minorHAnsi" w:cstheme="minorHAnsi"/>
        </w:rPr>
        <w:t>ss UNDP Bangladesh’s contribution</w:t>
      </w:r>
      <w:r w:rsidRPr="009B1C91">
        <w:rPr>
          <w:rFonts w:asciiTheme="minorHAnsi" w:eastAsia="Cambria" w:hAnsiTheme="minorHAnsi" w:cstheme="minorHAnsi"/>
        </w:rPr>
        <w:t xml:space="preserve"> towards achieving the country’s development targets.</w:t>
      </w:r>
      <w:r w:rsidR="003C6762">
        <w:rPr>
          <w:rFonts w:asciiTheme="minorHAnsi" w:eastAsia="Cambria" w:hAnsiTheme="minorHAnsi" w:cstheme="minorHAnsi"/>
        </w:rPr>
        <w:t xml:space="preserve"> </w:t>
      </w:r>
      <w:r w:rsidRPr="009B1C91">
        <w:rPr>
          <w:rFonts w:asciiTheme="minorHAnsi" w:eastAsia="Cambria" w:hAnsiTheme="minorHAnsi" w:cstheme="minorHAnsi"/>
        </w:rPr>
        <w:t xml:space="preserve">The evaluation also includes an assessment of the causal linkages (if any) and outputs which contribute to the achievement of the outcomes and the extent to which the planned outcomes have been achieved (or are likely to be by the end of 2016). It further assesses factors that facilitate and/or hinder progress in achieving outcomes, including the external environment and weaknesses in design, management and resources.  Consideration has </w:t>
      </w:r>
      <w:r w:rsidR="00DE0FF3" w:rsidRPr="009B1C91">
        <w:rPr>
          <w:rFonts w:asciiTheme="minorHAnsi" w:eastAsia="Cambria" w:hAnsiTheme="minorHAnsi" w:cstheme="minorHAnsi"/>
        </w:rPr>
        <w:t xml:space="preserve">also </w:t>
      </w:r>
      <w:r w:rsidRPr="009B1C91">
        <w:rPr>
          <w:rFonts w:asciiTheme="minorHAnsi" w:eastAsia="Cambria" w:hAnsiTheme="minorHAnsi" w:cstheme="minorHAnsi"/>
        </w:rPr>
        <w:t>been given to the fact that the evaluation results would become critical inputs for the alignment of UNDP’s new Strategic Plan (SP) 2014-2017</w:t>
      </w:r>
      <w:r w:rsidRPr="009B1C91">
        <w:rPr>
          <w:rFonts w:asciiTheme="minorHAnsi" w:eastAsia="Cambria" w:hAnsiTheme="minorHAnsi" w:cstheme="minorHAnsi"/>
          <w:vertAlign w:val="superscript"/>
        </w:rPr>
        <w:footnoteReference w:id="2"/>
      </w:r>
      <w:r w:rsidRPr="009B1C91">
        <w:rPr>
          <w:rFonts w:asciiTheme="minorHAnsi" w:eastAsia="Cambria" w:hAnsiTheme="minorHAnsi" w:cstheme="minorHAnsi"/>
        </w:rPr>
        <w:t xml:space="preserve">. </w:t>
      </w:r>
    </w:p>
    <w:p w:rsidR="008B17D0" w:rsidRPr="009B1C91" w:rsidRDefault="008B17D0" w:rsidP="00DE0FF3">
      <w:pPr>
        <w:tabs>
          <w:tab w:val="left" w:pos="360"/>
        </w:tabs>
        <w:spacing w:after="0" w:line="240" w:lineRule="auto"/>
        <w:jc w:val="both"/>
        <w:rPr>
          <w:rFonts w:asciiTheme="minorHAnsi" w:eastAsia="Cambria" w:hAnsiTheme="minorHAnsi" w:cstheme="minorHAnsi"/>
        </w:rPr>
      </w:pPr>
    </w:p>
    <w:p w:rsidR="00DE0FF3" w:rsidRPr="009B1C91" w:rsidRDefault="00DE0FF3" w:rsidP="00DE0FF3">
      <w:pPr>
        <w:tabs>
          <w:tab w:val="left" w:pos="360"/>
        </w:tabs>
        <w:spacing w:after="0" w:line="240" w:lineRule="auto"/>
        <w:jc w:val="both"/>
        <w:rPr>
          <w:rFonts w:asciiTheme="minorHAnsi" w:eastAsia="Cambria" w:hAnsiTheme="minorHAnsi" w:cstheme="minorHAnsi"/>
        </w:rPr>
      </w:pPr>
    </w:p>
    <w:p w:rsidR="008B17D0" w:rsidRPr="009B1C91" w:rsidRDefault="00094BE8" w:rsidP="00240A7B">
      <w:pPr>
        <w:spacing w:after="0" w:line="240" w:lineRule="auto"/>
        <w:rPr>
          <w:rFonts w:asciiTheme="minorHAnsi" w:eastAsia="Trebuchet MS" w:hAnsiTheme="minorHAnsi" w:cstheme="minorHAnsi"/>
          <w:b/>
          <w:bCs/>
        </w:rPr>
      </w:pPr>
      <w:r w:rsidRPr="009B1C91">
        <w:rPr>
          <w:rFonts w:asciiTheme="minorHAnsi" w:hAnsiTheme="minorHAnsi" w:cstheme="minorHAnsi"/>
          <w:b/>
          <w:bCs/>
        </w:rPr>
        <w:t>1.2 SCOPE</w:t>
      </w:r>
      <w:r w:rsidR="008B17D0" w:rsidRPr="009B1C91">
        <w:rPr>
          <w:rFonts w:asciiTheme="minorHAnsi" w:hAnsiTheme="minorHAnsi" w:cstheme="minorHAnsi"/>
          <w:b/>
          <w:bCs/>
        </w:rPr>
        <w:t xml:space="preserve"> OF THE EVALUATION </w:t>
      </w:r>
    </w:p>
    <w:p w:rsidR="008B17D0" w:rsidRPr="009B1C91" w:rsidRDefault="008B17D0" w:rsidP="008B17D0">
      <w:pPr>
        <w:spacing w:after="0" w:line="240" w:lineRule="auto"/>
        <w:ind w:left="360"/>
        <w:rPr>
          <w:rFonts w:asciiTheme="minorHAnsi" w:eastAsia="Cambria" w:hAnsiTheme="minorHAnsi" w:cstheme="minorHAnsi"/>
        </w:rPr>
      </w:pPr>
    </w:p>
    <w:p w:rsidR="008B17D0" w:rsidRPr="009B1C91" w:rsidRDefault="008B17D0" w:rsidP="00C61EA4">
      <w:pPr>
        <w:spacing w:after="0" w:line="240" w:lineRule="auto"/>
        <w:jc w:val="both"/>
        <w:rPr>
          <w:rFonts w:asciiTheme="minorHAnsi" w:eastAsia="Cambria" w:hAnsiTheme="minorHAnsi" w:cstheme="minorHAnsi"/>
        </w:rPr>
      </w:pPr>
      <w:r w:rsidRPr="009B1C91">
        <w:rPr>
          <w:rFonts w:asciiTheme="minorHAnsi" w:eastAsia="Cambria" w:hAnsiTheme="minorHAnsi" w:cstheme="minorHAnsi"/>
        </w:rPr>
        <w:t xml:space="preserve">The scope of the mid-term outcome evaluation was specifically defined to encompass all programmes and project activities, with funding from all donor agencies and all executing modalities being implemented under the institutional lead and coordination of the Climate Change, Environment, and Disaster (CCED) Cluster of UNDP Bangladesh since 2012.  While there have been </w:t>
      </w:r>
      <w:r w:rsidR="00894D25" w:rsidRPr="009B1C91">
        <w:rPr>
          <w:rFonts w:asciiTheme="minorHAnsi" w:eastAsia="Cambria" w:hAnsiTheme="minorHAnsi" w:cstheme="minorHAnsi"/>
        </w:rPr>
        <w:t>28</w:t>
      </w:r>
      <w:r w:rsidRPr="009B1C91">
        <w:rPr>
          <w:rFonts w:asciiTheme="minorHAnsi" w:eastAsia="Cambria" w:hAnsiTheme="minorHAnsi" w:cstheme="minorHAnsi"/>
        </w:rPr>
        <w:t xml:space="preserve"> programmes and/or projects implemented under outcomes 3.1 and 3.2 during the 2012-16 CP cycle, this evaluation focu</w:t>
      </w:r>
      <w:r w:rsidR="00C1541C" w:rsidRPr="009B1C91">
        <w:rPr>
          <w:rFonts w:asciiTheme="minorHAnsi" w:eastAsia="Cambria" w:hAnsiTheme="minorHAnsi" w:cstheme="minorHAnsi"/>
        </w:rPr>
        <w:t xml:space="preserve">sed on 6 project interventions </w:t>
      </w:r>
      <w:r w:rsidR="00C63CB7">
        <w:rPr>
          <w:rFonts w:asciiTheme="minorHAnsi" w:eastAsia="Cambria" w:hAnsiTheme="minorHAnsi" w:cstheme="minorHAnsi"/>
        </w:rPr>
        <w:t>(Annex I</w:t>
      </w:r>
      <w:r w:rsidRPr="009B1C91">
        <w:rPr>
          <w:rFonts w:asciiTheme="minorHAnsi" w:eastAsia="Cambria" w:hAnsiTheme="minorHAnsi" w:cstheme="minorHAnsi"/>
        </w:rPr>
        <w:t>)</w:t>
      </w:r>
      <w:r w:rsidR="00C1541C" w:rsidRPr="009B1C91">
        <w:rPr>
          <w:rFonts w:asciiTheme="minorHAnsi" w:eastAsia="Cambria" w:hAnsiTheme="minorHAnsi" w:cstheme="minorHAnsi"/>
        </w:rPr>
        <w:t xml:space="preserve"> out of  </w:t>
      </w:r>
      <w:r w:rsidRPr="009B1C91">
        <w:rPr>
          <w:rFonts w:asciiTheme="minorHAnsi" w:eastAsia="Cambria" w:hAnsiTheme="minorHAnsi" w:cstheme="minorHAnsi"/>
        </w:rPr>
        <w:t xml:space="preserve">8 </w:t>
      </w:r>
      <w:r w:rsidRPr="009B1C91">
        <w:rPr>
          <w:rFonts w:asciiTheme="minorHAnsi" w:eastAsia="Cambria" w:hAnsiTheme="minorHAnsi" w:cstheme="minorHAnsi"/>
          <w:i/>
          <w:iCs/>
        </w:rPr>
        <w:t>fully implemented</w:t>
      </w:r>
      <w:r w:rsidR="00C1541C" w:rsidRPr="009B1C91">
        <w:rPr>
          <w:rFonts w:asciiTheme="minorHAnsi" w:eastAsia="Cambria" w:hAnsiTheme="minorHAnsi" w:cstheme="minorHAnsi"/>
        </w:rPr>
        <w:t xml:space="preserve"> projects (6/8 = </w:t>
      </w:r>
      <w:r w:rsidRPr="009B1C91">
        <w:rPr>
          <w:rFonts w:asciiTheme="minorHAnsi" w:eastAsia="Cambria" w:hAnsiTheme="minorHAnsi" w:cstheme="minorHAnsi"/>
        </w:rPr>
        <w:t xml:space="preserve">75%) which contributed directly to achieving the stated outcomes. This part of the evaluation modality involved the project-specific results that supported achievement of the performance indicators, as they required an assessment of the design of the individual programme or project along with their actual progress in achievement, relevance, utility, effectiveness, efficiency, and sustainability. To ensure that all major thematic areas are covered, projects and programmes were </w:t>
      </w:r>
      <w:r w:rsidR="00FD56B8" w:rsidRPr="009B1C91">
        <w:rPr>
          <w:rFonts w:asciiTheme="minorHAnsi" w:eastAsia="Cambria" w:hAnsiTheme="minorHAnsi" w:cstheme="minorHAnsi"/>
        </w:rPr>
        <w:t>selected which encompasses CCA, DRR</w:t>
      </w:r>
      <w:r w:rsidRPr="009B1C91">
        <w:rPr>
          <w:rFonts w:asciiTheme="minorHAnsi" w:eastAsia="Cambria" w:hAnsiTheme="minorHAnsi" w:cstheme="minorHAnsi"/>
        </w:rPr>
        <w:t>, sustainable environment and low carbon energy related activities which ran from before and beyond 2012. C</w:t>
      </w:r>
      <w:r w:rsidR="00FD56B8" w:rsidRPr="009B1C91">
        <w:rPr>
          <w:rFonts w:asciiTheme="minorHAnsi" w:eastAsia="Cambria" w:hAnsiTheme="minorHAnsi" w:cstheme="minorHAnsi"/>
        </w:rPr>
        <w:t>onsidering time constraints,</w:t>
      </w:r>
      <w:r w:rsidRPr="009B1C91">
        <w:rPr>
          <w:rFonts w:asciiTheme="minorHAnsi" w:eastAsia="Cambria" w:hAnsiTheme="minorHAnsi" w:cstheme="minorHAnsi"/>
        </w:rPr>
        <w:t xml:space="preserve"> fully implemented programmes could not be covered by the in-</w:t>
      </w:r>
      <w:r w:rsidRPr="009B1C91">
        <w:rPr>
          <w:rFonts w:asciiTheme="minorHAnsi" w:eastAsia="Cambria" w:hAnsiTheme="minorHAnsi" w:cstheme="minorHAnsi"/>
        </w:rPr>
        <w:lastRenderedPageBreak/>
        <w:t xml:space="preserve">depth evaluation. The remaining 10 programmes/projects were in their early stages (mostly at the inception phase) and hence could not be included in the in-depth assessment process using evaluation criteria. </w:t>
      </w:r>
    </w:p>
    <w:p w:rsidR="008B17D0" w:rsidRPr="009B1C91" w:rsidRDefault="008B17D0" w:rsidP="00094BE8">
      <w:pPr>
        <w:spacing w:after="0" w:line="240" w:lineRule="auto"/>
        <w:rPr>
          <w:rFonts w:asciiTheme="minorHAnsi" w:hAnsiTheme="minorHAnsi" w:cstheme="minorHAnsi"/>
          <w:b/>
          <w:bCs/>
        </w:rPr>
      </w:pPr>
    </w:p>
    <w:p w:rsidR="008B17D0" w:rsidRPr="009B1C91" w:rsidRDefault="00240A7B" w:rsidP="00240A7B">
      <w:pPr>
        <w:spacing w:after="0" w:line="240" w:lineRule="auto"/>
        <w:rPr>
          <w:rFonts w:asciiTheme="minorHAnsi" w:eastAsia="Trebuchet MS" w:hAnsiTheme="minorHAnsi" w:cstheme="minorHAnsi"/>
          <w:b/>
          <w:bCs/>
        </w:rPr>
      </w:pPr>
      <w:r w:rsidRPr="009B1C91">
        <w:rPr>
          <w:rFonts w:asciiTheme="minorHAnsi" w:hAnsiTheme="minorHAnsi" w:cstheme="minorHAnsi"/>
          <w:b/>
          <w:bCs/>
        </w:rPr>
        <w:t xml:space="preserve">1.3 </w:t>
      </w:r>
      <w:r w:rsidR="008B17D0" w:rsidRPr="009B1C91">
        <w:rPr>
          <w:rFonts w:asciiTheme="minorHAnsi" w:hAnsiTheme="minorHAnsi" w:cstheme="minorHAnsi"/>
          <w:b/>
          <w:bCs/>
        </w:rPr>
        <w:t>ORGANIZATION OF THE EVALUATION AND METHODOLOGY</w:t>
      </w:r>
    </w:p>
    <w:p w:rsidR="008B17D0" w:rsidRPr="009B1C91" w:rsidRDefault="008B17D0" w:rsidP="008B17D0">
      <w:pPr>
        <w:spacing w:after="0" w:line="240" w:lineRule="auto"/>
        <w:ind w:left="360"/>
        <w:rPr>
          <w:rFonts w:asciiTheme="minorHAnsi" w:hAnsiTheme="minorHAnsi" w:cstheme="minorHAnsi"/>
          <w:b/>
          <w:bCs/>
        </w:rPr>
      </w:pPr>
    </w:p>
    <w:p w:rsidR="008B17D0" w:rsidRPr="009B1C91" w:rsidRDefault="008B17D0" w:rsidP="00D72388">
      <w:pPr>
        <w:numPr>
          <w:ilvl w:val="2"/>
          <w:numId w:val="13"/>
        </w:numPr>
        <w:spacing w:after="0" w:line="240" w:lineRule="auto"/>
        <w:rPr>
          <w:rFonts w:asciiTheme="minorHAnsi" w:hAnsiTheme="minorHAnsi" w:cstheme="minorHAnsi"/>
          <w:b/>
          <w:bCs/>
        </w:rPr>
      </w:pPr>
      <w:r w:rsidRPr="009B1C91">
        <w:rPr>
          <w:rFonts w:asciiTheme="minorHAnsi" w:hAnsiTheme="minorHAnsi" w:cstheme="minorHAnsi"/>
          <w:b/>
          <w:bCs/>
        </w:rPr>
        <w:t>Conceptual Considerations</w:t>
      </w:r>
    </w:p>
    <w:p w:rsidR="00D72388" w:rsidRPr="009B1C91" w:rsidRDefault="00D72388" w:rsidP="00D72388">
      <w:pPr>
        <w:spacing w:after="0" w:line="240" w:lineRule="auto"/>
        <w:ind w:left="720"/>
        <w:rPr>
          <w:rFonts w:asciiTheme="minorHAnsi" w:hAnsiTheme="minorHAnsi" w:cstheme="minorHAnsi"/>
          <w:b/>
          <w:bCs/>
          <w:sz w:val="12"/>
        </w:rPr>
      </w:pPr>
    </w:p>
    <w:p w:rsidR="008B17D0" w:rsidRPr="009B1C91" w:rsidRDefault="008B17D0" w:rsidP="00D72388">
      <w:pPr>
        <w:spacing w:after="0" w:line="240" w:lineRule="auto"/>
        <w:jc w:val="both"/>
        <w:rPr>
          <w:rFonts w:asciiTheme="minorHAnsi" w:eastAsia="Cambria" w:hAnsiTheme="minorHAnsi" w:cstheme="minorHAnsi"/>
        </w:rPr>
      </w:pPr>
      <w:r w:rsidRPr="009B1C91">
        <w:rPr>
          <w:rFonts w:asciiTheme="minorHAnsi" w:eastAsia="Cambria" w:hAnsiTheme="minorHAnsi" w:cstheme="minorHAnsi"/>
        </w:rPr>
        <w:t>The conceptual framework of the outcome evaluation was conceived following UNEG Ethical Guidelines for outcome evaluation. These principles are articulated well in the various UN standar</w:t>
      </w:r>
      <w:r w:rsidR="00381350" w:rsidRPr="009B1C91">
        <w:rPr>
          <w:rFonts w:asciiTheme="minorHAnsi" w:eastAsia="Cambria" w:hAnsiTheme="minorHAnsi" w:cstheme="minorHAnsi"/>
        </w:rPr>
        <w:t xml:space="preserve">ds and manuals, and include the </w:t>
      </w:r>
      <w:r w:rsidRPr="009B1C91">
        <w:rPr>
          <w:rFonts w:asciiTheme="minorHAnsi" w:eastAsia="Cambria" w:hAnsiTheme="minorHAnsi" w:cstheme="minorHAnsi"/>
        </w:rPr>
        <w:t>primary areas (with the evaluators’ interpretation of the var</w:t>
      </w:r>
      <w:r w:rsidR="00381350" w:rsidRPr="009B1C91">
        <w:rPr>
          <w:rFonts w:asciiTheme="minorHAnsi" w:eastAsia="Cambria" w:hAnsiTheme="minorHAnsi" w:cstheme="minorHAnsi"/>
        </w:rPr>
        <w:t xml:space="preserve">ious guidelines and principles) </w:t>
      </w:r>
      <w:r w:rsidR="00C63CB7">
        <w:rPr>
          <w:rFonts w:asciiTheme="minorHAnsi" w:eastAsia="Cambria" w:hAnsiTheme="minorHAnsi" w:cstheme="minorHAnsi"/>
        </w:rPr>
        <w:t>shown in Annex II</w:t>
      </w:r>
      <w:r w:rsidR="00381350" w:rsidRPr="009B1C91">
        <w:rPr>
          <w:rFonts w:asciiTheme="minorHAnsi" w:eastAsia="Cambria" w:hAnsiTheme="minorHAnsi" w:cstheme="minorHAnsi"/>
        </w:rPr>
        <w:t>.</w:t>
      </w:r>
    </w:p>
    <w:p w:rsidR="00FD56B8" w:rsidRPr="009B1C91" w:rsidRDefault="00FD56B8" w:rsidP="00C61EA4">
      <w:pPr>
        <w:spacing w:after="0" w:line="240" w:lineRule="auto"/>
        <w:jc w:val="both"/>
        <w:rPr>
          <w:rFonts w:asciiTheme="minorHAnsi" w:hAnsiTheme="minorHAnsi" w:cstheme="minorHAnsi"/>
          <w:b/>
          <w:bCs/>
        </w:rPr>
      </w:pPr>
    </w:p>
    <w:p w:rsidR="008B17D0" w:rsidRPr="009B1C91" w:rsidRDefault="008B17D0" w:rsidP="00C61EA4">
      <w:pPr>
        <w:spacing w:after="0" w:line="240" w:lineRule="auto"/>
        <w:jc w:val="both"/>
        <w:rPr>
          <w:rFonts w:asciiTheme="minorHAnsi" w:eastAsia="Cambria" w:hAnsiTheme="minorHAnsi" w:cstheme="minorHAnsi"/>
        </w:rPr>
      </w:pPr>
      <w:r w:rsidRPr="009B1C91">
        <w:rPr>
          <w:rFonts w:asciiTheme="minorHAnsi" w:hAnsiTheme="minorHAnsi" w:cstheme="minorHAnsi"/>
          <w:b/>
          <w:bCs/>
        </w:rPr>
        <w:t xml:space="preserve">Resilience to Risks from Climate Change and Natural Disasters </w:t>
      </w:r>
    </w:p>
    <w:p w:rsidR="008B17D0" w:rsidRPr="009B1C91" w:rsidRDefault="008B17D0" w:rsidP="00C61EA4">
      <w:pPr>
        <w:spacing w:after="0" w:line="240" w:lineRule="auto"/>
        <w:jc w:val="both"/>
        <w:rPr>
          <w:rFonts w:asciiTheme="minorHAnsi" w:eastAsia="Cambria" w:hAnsiTheme="minorHAnsi" w:cstheme="minorHAnsi"/>
        </w:rPr>
      </w:pPr>
    </w:p>
    <w:p w:rsidR="008B17D0" w:rsidRPr="009B1C91" w:rsidRDefault="008B17D0" w:rsidP="00C61EA4">
      <w:pPr>
        <w:tabs>
          <w:tab w:val="left" w:pos="360"/>
        </w:tabs>
        <w:spacing w:after="0" w:line="240" w:lineRule="auto"/>
        <w:jc w:val="both"/>
        <w:rPr>
          <w:rFonts w:asciiTheme="minorHAnsi" w:eastAsia="Cambria" w:hAnsiTheme="minorHAnsi" w:cstheme="minorHAnsi"/>
        </w:rPr>
      </w:pPr>
      <w:r w:rsidRPr="009B1C91">
        <w:rPr>
          <w:rFonts w:asciiTheme="minorHAnsi" w:eastAsia="Cambria" w:hAnsiTheme="minorHAnsi" w:cstheme="minorHAnsi"/>
        </w:rPr>
        <w:t xml:space="preserve">The UNDP CP Outcome 3.1 is defined as “by 2016, populations vulnerable to climate change and natural disaster have become more </w:t>
      </w:r>
      <w:r w:rsidRPr="009B1C91">
        <w:rPr>
          <w:rFonts w:asciiTheme="minorHAnsi" w:eastAsia="Cambria" w:hAnsiTheme="minorHAnsi" w:cstheme="minorHAnsi"/>
          <w:i/>
          <w:iCs/>
        </w:rPr>
        <w:t>resilient</w:t>
      </w:r>
      <w:r w:rsidRPr="009B1C91">
        <w:rPr>
          <w:rFonts w:asciiTheme="minorHAnsi" w:eastAsia="Cambria" w:hAnsiTheme="minorHAnsi" w:cstheme="minorHAnsi"/>
        </w:rPr>
        <w:t xml:space="preserve"> to adapt to risks.” An earlier eva</w:t>
      </w:r>
      <w:r w:rsidR="00D72388" w:rsidRPr="009B1C91">
        <w:rPr>
          <w:rFonts w:asciiTheme="minorHAnsi" w:eastAsia="Cambria" w:hAnsiTheme="minorHAnsi" w:cstheme="minorHAnsi"/>
        </w:rPr>
        <w:t>luability assessment has appropriately</w:t>
      </w:r>
      <w:r w:rsidRPr="009B1C91">
        <w:rPr>
          <w:rFonts w:asciiTheme="minorHAnsi" w:eastAsia="Cambria" w:hAnsiTheme="minorHAnsi" w:cstheme="minorHAnsi"/>
        </w:rPr>
        <w:t xml:space="preserve"> noted that while the perspectives of resilience to risks from both climate and natural disasters are relevant to outcome formulation, there is nominal agreement on how to define and measure resilience over time.</w:t>
      </w:r>
      <w:r w:rsidRPr="009B1C91">
        <w:rPr>
          <w:rFonts w:asciiTheme="minorHAnsi" w:eastAsia="Cambria" w:hAnsiTheme="minorHAnsi" w:cstheme="minorHAnsi"/>
          <w:vertAlign w:val="superscript"/>
        </w:rPr>
        <w:footnoteReference w:id="3"/>
      </w:r>
      <w:r w:rsidRPr="009B1C91">
        <w:rPr>
          <w:rFonts w:asciiTheme="minorHAnsi" w:eastAsia="Cambria" w:hAnsiTheme="minorHAnsi" w:cstheme="minorHAnsi"/>
        </w:rPr>
        <w:t xml:space="preserve"> As a broad guideline, the outcome evaluation adopted the UNDP’s definition of building resilience as a </w:t>
      </w:r>
      <w:r w:rsidRPr="009B1C91">
        <w:rPr>
          <w:rFonts w:asciiTheme="minorHAnsi" w:eastAsia="Cambria" w:hAnsiTheme="minorHAnsi" w:cstheme="minorHAnsi"/>
          <w:i/>
          <w:iCs/>
        </w:rPr>
        <w:t>“transformative process of strengthening the capacity of men, women, communities, institutions, and countries to anticipate, prevent, recover from and transform in the aftermath of shocks, stresses and change</w:t>
      </w:r>
      <w:r w:rsidRPr="009B1C91">
        <w:rPr>
          <w:rFonts w:asciiTheme="minorHAnsi" w:eastAsia="Cambria" w:hAnsiTheme="minorHAnsi" w:cstheme="minorHAnsi"/>
        </w:rPr>
        <w:t>”.</w:t>
      </w:r>
      <w:r w:rsidRPr="009B1C91">
        <w:rPr>
          <w:rFonts w:asciiTheme="minorHAnsi" w:eastAsia="Cambria" w:hAnsiTheme="minorHAnsi" w:cstheme="minorHAnsi"/>
          <w:vertAlign w:val="superscript"/>
        </w:rPr>
        <w:footnoteReference w:id="4"/>
      </w:r>
      <w:r w:rsidRPr="009B1C91">
        <w:rPr>
          <w:rFonts w:asciiTheme="minorHAnsi" w:eastAsia="Cambria" w:hAnsiTheme="minorHAnsi" w:cstheme="minorHAnsi"/>
        </w:rPr>
        <w:t xml:space="preserve"> However, the evaluators also added their own interpretations in order to better reflect the context of Bangladesh. </w:t>
      </w:r>
    </w:p>
    <w:p w:rsidR="008B17D0" w:rsidRPr="009B1C91" w:rsidRDefault="008B17D0" w:rsidP="00C61EA4">
      <w:pPr>
        <w:spacing w:after="0" w:line="240" w:lineRule="auto"/>
        <w:jc w:val="both"/>
        <w:rPr>
          <w:rFonts w:asciiTheme="minorHAnsi" w:hAnsiTheme="minorHAnsi" w:cstheme="minorHAnsi"/>
          <w:b/>
          <w:bCs/>
        </w:rPr>
      </w:pPr>
    </w:p>
    <w:p w:rsidR="008B17D0" w:rsidRPr="009B1C91" w:rsidRDefault="008B17D0" w:rsidP="00C61EA4">
      <w:pPr>
        <w:numPr>
          <w:ilvl w:val="2"/>
          <w:numId w:val="13"/>
        </w:numPr>
        <w:spacing w:after="0" w:line="240" w:lineRule="auto"/>
        <w:ind w:left="630" w:hanging="630"/>
        <w:jc w:val="both"/>
        <w:rPr>
          <w:rFonts w:asciiTheme="minorHAnsi" w:eastAsia="Cambria" w:hAnsiTheme="minorHAnsi" w:cstheme="minorHAnsi"/>
          <w:b/>
          <w:bCs/>
        </w:rPr>
      </w:pPr>
      <w:r w:rsidRPr="009B1C91">
        <w:rPr>
          <w:rFonts w:asciiTheme="minorHAnsi" w:eastAsia="Cambria" w:hAnsiTheme="minorHAnsi" w:cstheme="minorHAnsi"/>
          <w:b/>
          <w:bCs/>
        </w:rPr>
        <w:t>Evaluation Criteria and Questions</w:t>
      </w:r>
    </w:p>
    <w:p w:rsidR="008B17D0" w:rsidRPr="009B1C91" w:rsidRDefault="008B17D0" w:rsidP="00C61EA4">
      <w:pPr>
        <w:tabs>
          <w:tab w:val="left" w:pos="360"/>
        </w:tabs>
        <w:spacing w:after="0" w:line="240" w:lineRule="auto"/>
        <w:jc w:val="both"/>
        <w:rPr>
          <w:rFonts w:asciiTheme="minorHAnsi" w:eastAsia="Cambria" w:hAnsiTheme="minorHAnsi" w:cstheme="minorHAnsi"/>
        </w:rPr>
      </w:pPr>
    </w:p>
    <w:p w:rsidR="008B17D0" w:rsidRPr="009B1C91" w:rsidRDefault="008B17D0" w:rsidP="00C61EA4">
      <w:pPr>
        <w:tabs>
          <w:tab w:val="left" w:pos="360"/>
        </w:tabs>
        <w:spacing w:after="0" w:line="240" w:lineRule="auto"/>
        <w:jc w:val="both"/>
        <w:rPr>
          <w:rFonts w:asciiTheme="minorHAnsi" w:eastAsia="Cambria" w:hAnsiTheme="minorHAnsi" w:cstheme="minorHAnsi"/>
        </w:rPr>
      </w:pPr>
      <w:r w:rsidRPr="009B1C91">
        <w:rPr>
          <w:rFonts w:asciiTheme="minorHAnsi" w:eastAsia="Cambria" w:hAnsiTheme="minorHAnsi" w:cstheme="minorHAnsi"/>
        </w:rPr>
        <w:t xml:space="preserve">As noted in the </w:t>
      </w:r>
      <w:r w:rsidR="00F4419C">
        <w:rPr>
          <w:rFonts w:asciiTheme="minorHAnsi" w:eastAsia="Cambria" w:hAnsiTheme="minorHAnsi" w:cstheme="minorHAnsi"/>
        </w:rPr>
        <w:t xml:space="preserve">evaluation matrix </w:t>
      </w:r>
      <w:r w:rsidR="009B301C">
        <w:rPr>
          <w:rFonts w:asciiTheme="minorHAnsi" w:eastAsia="Cambria" w:hAnsiTheme="minorHAnsi" w:cstheme="minorHAnsi"/>
          <w:u w:color="FF0000"/>
        </w:rPr>
        <w:t>(Annex III</w:t>
      </w:r>
      <w:r w:rsidRPr="009B1C91">
        <w:rPr>
          <w:rFonts w:asciiTheme="minorHAnsi" w:eastAsia="Cambria" w:hAnsiTheme="minorHAnsi" w:cstheme="minorHAnsi"/>
          <w:u w:color="FF0000"/>
        </w:rPr>
        <w:t>),</w:t>
      </w:r>
      <w:r w:rsidRPr="009B1C91">
        <w:rPr>
          <w:rFonts w:asciiTheme="minorHAnsi" w:eastAsia="Cambria" w:hAnsiTheme="minorHAnsi" w:cstheme="minorHAnsi"/>
        </w:rPr>
        <w:t xml:space="preserve"> the outcome evaluation is intended to address the following:</w:t>
      </w:r>
    </w:p>
    <w:p w:rsidR="002E0294" w:rsidRPr="009B1C91" w:rsidRDefault="002E0294" w:rsidP="00C61EA4">
      <w:pPr>
        <w:tabs>
          <w:tab w:val="left" w:pos="360"/>
        </w:tabs>
        <w:spacing w:after="0" w:line="240" w:lineRule="auto"/>
        <w:jc w:val="both"/>
        <w:rPr>
          <w:rFonts w:asciiTheme="minorHAnsi" w:eastAsia="Cambria" w:hAnsiTheme="minorHAnsi" w:cstheme="minorHAnsi"/>
          <w:sz w:val="12"/>
        </w:rPr>
      </w:pPr>
    </w:p>
    <w:p w:rsidR="008B17D0" w:rsidRPr="009B1C91" w:rsidRDefault="008B17D0" w:rsidP="001E161B">
      <w:pPr>
        <w:numPr>
          <w:ilvl w:val="0"/>
          <w:numId w:val="14"/>
        </w:numPr>
        <w:tabs>
          <w:tab w:val="left" w:pos="360"/>
        </w:tabs>
        <w:spacing w:after="0" w:line="240" w:lineRule="auto"/>
        <w:jc w:val="both"/>
        <w:rPr>
          <w:rFonts w:asciiTheme="minorHAnsi" w:eastAsia="Cambria" w:hAnsiTheme="minorHAnsi" w:cstheme="minorHAnsi"/>
        </w:rPr>
      </w:pPr>
      <w:r w:rsidRPr="009B1C91">
        <w:rPr>
          <w:rFonts w:asciiTheme="minorHAnsi" w:eastAsia="Cambria" w:hAnsiTheme="minorHAnsi" w:cstheme="minorHAnsi"/>
        </w:rPr>
        <w:t>Relevance of programme and project development, design (development and vulnerability reduction needs in Bangladesh in the designated sectors and linkages to policy and regulatory needs; alignment with UNDP’s CPD).</w:t>
      </w:r>
    </w:p>
    <w:p w:rsidR="008B17D0" w:rsidRPr="009B1C91" w:rsidRDefault="008B17D0" w:rsidP="001E161B">
      <w:pPr>
        <w:numPr>
          <w:ilvl w:val="0"/>
          <w:numId w:val="14"/>
        </w:numPr>
        <w:tabs>
          <w:tab w:val="left" w:pos="360"/>
        </w:tabs>
        <w:spacing w:after="0" w:line="240" w:lineRule="auto"/>
        <w:jc w:val="both"/>
        <w:rPr>
          <w:rFonts w:asciiTheme="minorHAnsi" w:eastAsia="Cambria" w:hAnsiTheme="minorHAnsi" w:cstheme="minorHAnsi"/>
        </w:rPr>
      </w:pPr>
      <w:r w:rsidRPr="009B1C91">
        <w:rPr>
          <w:rFonts w:asciiTheme="minorHAnsi" w:eastAsia="Cambria" w:hAnsiTheme="minorHAnsi" w:cstheme="minorHAnsi"/>
        </w:rPr>
        <w:t>Application of lessons learned.</w:t>
      </w:r>
    </w:p>
    <w:p w:rsidR="008B17D0" w:rsidRPr="009B1C91" w:rsidRDefault="008B17D0" w:rsidP="001E161B">
      <w:pPr>
        <w:numPr>
          <w:ilvl w:val="0"/>
          <w:numId w:val="14"/>
        </w:numPr>
        <w:tabs>
          <w:tab w:val="left" w:pos="360"/>
        </w:tabs>
        <w:spacing w:after="0" w:line="240" w:lineRule="auto"/>
        <w:jc w:val="both"/>
        <w:rPr>
          <w:rFonts w:asciiTheme="minorHAnsi" w:eastAsia="Cambria" w:hAnsiTheme="minorHAnsi" w:cstheme="minorHAnsi"/>
        </w:rPr>
      </w:pPr>
      <w:r w:rsidRPr="009B1C91">
        <w:rPr>
          <w:rFonts w:asciiTheme="minorHAnsi" w:eastAsia="Cambria" w:hAnsiTheme="minorHAnsi" w:cstheme="minorHAnsi"/>
        </w:rPr>
        <w:t>Evidence of actual progress towards achievement of outcomes.</w:t>
      </w:r>
    </w:p>
    <w:p w:rsidR="008B17D0" w:rsidRPr="009B1C91" w:rsidRDefault="008B17D0" w:rsidP="001E161B">
      <w:pPr>
        <w:numPr>
          <w:ilvl w:val="0"/>
          <w:numId w:val="14"/>
        </w:numPr>
        <w:tabs>
          <w:tab w:val="left" w:pos="360"/>
        </w:tabs>
        <w:spacing w:after="0" w:line="240" w:lineRule="auto"/>
        <w:jc w:val="both"/>
        <w:rPr>
          <w:rFonts w:asciiTheme="minorHAnsi" w:eastAsia="Cambria" w:hAnsiTheme="minorHAnsi" w:cstheme="minorHAnsi"/>
        </w:rPr>
      </w:pPr>
      <w:r w:rsidRPr="009B1C91">
        <w:rPr>
          <w:rFonts w:asciiTheme="minorHAnsi" w:eastAsia="Cambria" w:hAnsiTheme="minorHAnsi" w:cstheme="minorHAnsi"/>
        </w:rPr>
        <w:t>UNDP’s role in achievement of outcomes.</w:t>
      </w:r>
    </w:p>
    <w:p w:rsidR="008B17D0" w:rsidRPr="009B1C91" w:rsidRDefault="008B17D0" w:rsidP="001E161B">
      <w:pPr>
        <w:numPr>
          <w:ilvl w:val="0"/>
          <w:numId w:val="14"/>
        </w:numPr>
        <w:tabs>
          <w:tab w:val="left" w:pos="360"/>
        </w:tabs>
        <w:spacing w:after="0" w:line="240" w:lineRule="auto"/>
        <w:jc w:val="both"/>
        <w:rPr>
          <w:rFonts w:asciiTheme="minorHAnsi" w:eastAsia="Cambria" w:hAnsiTheme="minorHAnsi" w:cstheme="minorHAnsi"/>
        </w:rPr>
      </w:pPr>
      <w:r w:rsidRPr="009B1C91">
        <w:rPr>
          <w:rFonts w:asciiTheme="minorHAnsi" w:eastAsia="Cambria" w:hAnsiTheme="minorHAnsi" w:cstheme="minorHAnsi"/>
        </w:rPr>
        <w:t>Other external factors, if and where appropriate, affecting achievement of outcomes.</w:t>
      </w:r>
    </w:p>
    <w:p w:rsidR="008B17D0" w:rsidRPr="009B1C91" w:rsidRDefault="008B17D0" w:rsidP="001E161B">
      <w:pPr>
        <w:numPr>
          <w:ilvl w:val="0"/>
          <w:numId w:val="14"/>
        </w:numPr>
        <w:tabs>
          <w:tab w:val="left" w:pos="360"/>
        </w:tabs>
        <w:spacing w:after="0" w:line="240" w:lineRule="auto"/>
        <w:jc w:val="both"/>
        <w:rPr>
          <w:rFonts w:asciiTheme="minorHAnsi" w:eastAsia="Cambria" w:hAnsiTheme="minorHAnsi" w:cstheme="minorHAnsi"/>
        </w:rPr>
      </w:pPr>
      <w:r w:rsidRPr="009B1C91">
        <w:rPr>
          <w:rFonts w:asciiTheme="minorHAnsi" w:eastAsia="Cambria" w:hAnsiTheme="minorHAnsi" w:cstheme="minorHAnsi"/>
        </w:rPr>
        <w:t>Effectiveness in partnerships and in formulating partnership strategies.</w:t>
      </w:r>
    </w:p>
    <w:p w:rsidR="008B17D0" w:rsidRPr="009B1C91" w:rsidRDefault="008B17D0" w:rsidP="001E161B">
      <w:pPr>
        <w:numPr>
          <w:ilvl w:val="0"/>
          <w:numId w:val="14"/>
        </w:numPr>
        <w:tabs>
          <w:tab w:val="left" w:pos="360"/>
        </w:tabs>
        <w:spacing w:after="0" w:line="240" w:lineRule="auto"/>
        <w:jc w:val="both"/>
        <w:rPr>
          <w:rFonts w:asciiTheme="minorHAnsi" w:eastAsia="Cambria" w:hAnsiTheme="minorHAnsi" w:cstheme="minorHAnsi"/>
        </w:rPr>
      </w:pPr>
      <w:r w:rsidRPr="009B1C91">
        <w:rPr>
          <w:rFonts w:asciiTheme="minorHAnsi" w:eastAsia="Cambria" w:hAnsiTheme="minorHAnsi" w:cstheme="minorHAnsi"/>
        </w:rPr>
        <w:t>Performance measurement (baseline and performance indicators).</w:t>
      </w:r>
    </w:p>
    <w:p w:rsidR="008B17D0" w:rsidRPr="009B1C91" w:rsidRDefault="008B17D0" w:rsidP="001E161B">
      <w:pPr>
        <w:numPr>
          <w:ilvl w:val="0"/>
          <w:numId w:val="14"/>
        </w:numPr>
        <w:tabs>
          <w:tab w:val="left" w:pos="360"/>
        </w:tabs>
        <w:spacing w:after="0" w:line="240" w:lineRule="auto"/>
        <w:jc w:val="both"/>
        <w:rPr>
          <w:rFonts w:asciiTheme="minorHAnsi" w:eastAsia="Cambria" w:hAnsiTheme="minorHAnsi" w:cstheme="minorHAnsi"/>
        </w:rPr>
      </w:pPr>
      <w:r w:rsidRPr="009B1C91">
        <w:rPr>
          <w:rFonts w:asciiTheme="minorHAnsi" w:eastAsia="Cambria" w:hAnsiTheme="minorHAnsi" w:cstheme="minorHAnsi"/>
        </w:rPr>
        <w:t>Evidence of innovation.</w:t>
      </w:r>
    </w:p>
    <w:p w:rsidR="008B17D0" w:rsidRPr="009B1C91" w:rsidRDefault="008B17D0" w:rsidP="001E161B">
      <w:pPr>
        <w:numPr>
          <w:ilvl w:val="0"/>
          <w:numId w:val="14"/>
        </w:numPr>
        <w:tabs>
          <w:tab w:val="left" w:pos="360"/>
        </w:tabs>
        <w:spacing w:after="0" w:line="240" w:lineRule="auto"/>
        <w:jc w:val="both"/>
        <w:rPr>
          <w:rFonts w:asciiTheme="minorHAnsi" w:eastAsia="Cambria" w:hAnsiTheme="minorHAnsi" w:cstheme="minorHAnsi"/>
        </w:rPr>
      </w:pPr>
      <w:r w:rsidRPr="009B1C91">
        <w:rPr>
          <w:rFonts w:asciiTheme="minorHAnsi" w:eastAsia="Cambria" w:hAnsiTheme="minorHAnsi" w:cstheme="minorHAnsi"/>
        </w:rPr>
        <w:t>Management and economic efficiency (timeliness, value-for-money).</w:t>
      </w:r>
    </w:p>
    <w:p w:rsidR="008B17D0" w:rsidRPr="009B1C91" w:rsidRDefault="008B17D0" w:rsidP="001E161B">
      <w:pPr>
        <w:numPr>
          <w:ilvl w:val="0"/>
          <w:numId w:val="14"/>
        </w:numPr>
        <w:tabs>
          <w:tab w:val="left" w:pos="360"/>
        </w:tabs>
        <w:spacing w:after="0" w:line="240" w:lineRule="auto"/>
        <w:jc w:val="both"/>
        <w:rPr>
          <w:rFonts w:asciiTheme="minorHAnsi" w:eastAsia="Cambria" w:hAnsiTheme="minorHAnsi" w:cstheme="minorHAnsi"/>
        </w:rPr>
      </w:pPr>
      <w:r w:rsidRPr="009B1C91">
        <w:rPr>
          <w:rFonts w:asciiTheme="minorHAnsi" w:eastAsia="Cambria" w:hAnsiTheme="minorHAnsi" w:cstheme="minorHAnsi"/>
        </w:rPr>
        <w:t>Contributions to cross-cutting themes, with special emphasis on gender perspectives.</w:t>
      </w:r>
    </w:p>
    <w:p w:rsidR="008B17D0" w:rsidRPr="009B1C91" w:rsidRDefault="008B17D0" w:rsidP="001E161B">
      <w:pPr>
        <w:numPr>
          <w:ilvl w:val="0"/>
          <w:numId w:val="14"/>
        </w:numPr>
        <w:tabs>
          <w:tab w:val="left" w:pos="360"/>
        </w:tabs>
        <w:spacing w:after="0" w:line="240" w:lineRule="auto"/>
        <w:jc w:val="both"/>
        <w:rPr>
          <w:rFonts w:asciiTheme="minorHAnsi" w:eastAsia="Cambria" w:hAnsiTheme="minorHAnsi" w:cstheme="minorHAnsi"/>
        </w:rPr>
      </w:pPr>
      <w:r w:rsidRPr="009B1C91">
        <w:rPr>
          <w:rFonts w:asciiTheme="minorHAnsi" w:eastAsia="Cambria" w:hAnsiTheme="minorHAnsi" w:cstheme="minorHAnsi"/>
        </w:rPr>
        <w:t>Concepts and evidence of programme/project sustainability.</w:t>
      </w:r>
    </w:p>
    <w:p w:rsidR="008B17D0" w:rsidRPr="009B1C91" w:rsidRDefault="008B17D0" w:rsidP="001E161B">
      <w:pPr>
        <w:numPr>
          <w:ilvl w:val="0"/>
          <w:numId w:val="14"/>
        </w:numPr>
        <w:tabs>
          <w:tab w:val="left" w:pos="360"/>
        </w:tabs>
        <w:spacing w:after="0" w:line="240" w:lineRule="auto"/>
        <w:jc w:val="both"/>
        <w:rPr>
          <w:rFonts w:asciiTheme="minorHAnsi" w:eastAsia="Cambria" w:hAnsiTheme="minorHAnsi" w:cstheme="minorHAnsi"/>
        </w:rPr>
      </w:pPr>
      <w:r w:rsidRPr="009B1C91">
        <w:rPr>
          <w:rFonts w:asciiTheme="minorHAnsi" w:eastAsia="Cambria" w:hAnsiTheme="minorHAnsi" w:cstheme="minorHAnsi"/>
        </w:rPr>
        <w:lastRenderedPageBreak/>
        <w:t xml:space="preserve">Suggestions from stakeholders to be considered as possible recommendations from the MT outcome evaluation for achieving objectives upon completion of programmes/projects. </w:t>
      </w:r>
    </w:p>
    <w:p w:rsidR="008B17D0" w:rsidRPr="009B1C91" w:rsidRDefault="008B17D0" w:rsidP="00C61EA4">
      <w:pPr>
        <w:tabs>
          <w:tab w:val="left" w:pos="360"/>
        </w:tabs>
        <w:spacing w:after="0" w:line="240" w:lineRule="auto"/>
        <w:jc w:val="both"/>
        <w:rPr>
          <w:rFonts w:asciiTheme="minorHAnsi" w:eastAsia="Cambria" w:hAnsiTheme="minorHAnsi" w:cstheme="minorHAnsi"/>
        </w:rPr>
      </w:pPr>
    </w:p>
    <w:p w:rsidR="008B17D0" w:rsidRPr="009B1C91" w:rsidRDefault="008B17D0" w:rsidP="00C61EA4">
      <w:pPr>
        <w:tabs>
          <w:tab w:val="left" w:pos="360"/>
        </w:tabs>
        <w:spacing w:after="0" w:line="240" w:lineRule="auto"/>
        <w:jc w:val="both"/>
        <w:rPr>
          <w:rFonts w:asciiTheme="minorHAnsi" w:eastAsia="Cambria" w:hAnsiTheme="minorHAnsi" w:cstheme="minorHAnsi"/>
        </w:rPr>
      </w:pPr>
      <w:r w:rsidRPr="009B1C91">
        <w:rPr>
          <w:rFonts w:asciiTheme="minorHAnsi" w:eastAsia="Cambria" w:hAnsiTheme="minorHAnsi" w:cstheme="minorHAnsi"/>
        </w:rPr>
        <w:t xml:space="preserve">The UNDP Handbook on Planning, Monitoring and Evaluating for Development Results has been  adopted to formulate the evaluation methodology, to assess the </w:t>
      </w:r>
      <w:r w:rsidRPr="009B1C91">
        <w:rPr>
          <w:rFonts w:asciiTheme="minorHAnsi" w:eastAsia="Cambria" w:hAnsiTheme="minorHAnsi" w:cstheme="minorHAnsi"/>
          <w:b/>
          <w:bCs/>
          <w:i/>
          <w:iCs/>
        </w:rPr>
        <w:t>relevance, efficiency, effectiveness</w:t>
      </w:r>
      <w:r w:rsidR="003C6762">
        <w:rPr>
          <w:rFonts w:asciiTheme="minorHAnsi" w:eastAsia="Cambria" w:hAnsiTheme="minorHAnsi" w:cstheme="minorHAnsi"/>
          <w:b/>
          <w:bCs/>
          <w:i/>
          <w:iCs/>
        </w:rPr>
        <w:t xml:space="preserve"> </w:t>
      </w:r>
      <w:r w:rsidRPr="009B1C91">
        <w:rPr>
          <w:rFonts w:asciiTheme="minorHAnsi" w:eastAsia="Cambria" w:hAnsiTheme="minorHAnsi" w:cstheme="minorHAnsi"/>
        </w:rPr>
        <w:t xml:space="preserve">and </w:t>
      </w:r>
      <w:r w:rsidRPr="009B1C91">
        <w:rPr>
          <w:rFonts w:asciiTheme="minorHAnsi" w:eastAsia="Cambria" w:hAnsiTheme="minorHAnsi" w:cstheme="minorHAnsi"/>
          <w:b/>
          <w:bCs/>
          <w:i/>
          <w:iCs/>
        </w:rPr>
        <w:t>sustainability</w:t>
      </w:r>
      <w:r w:rsidRPr="009B1C91">
        <w:rPr>
          <w:rFonts w:asciiTheme="minorHAnsi" w:eastAsia="Cambria" w:hAnsiTheme="minorHAnsi" w:cstheme="minorHAnsi"/>
        </w:rPr>
        <w:t xml:space="preserve"> of UNDP’s interventions regarding resilience of the vulnerable population to climate change and natural disasters, and to evaluate benefits from better natural resource management and access to low-carbon energy by the vulnerable population.</w:t>
      </w:r>
    </w:p>
    <w:p w:rsidR="00094BE8" w:rsidRPr="009B1C91" w:rsidRDefault="00094BE8" w:rsidP="008B17D0">
      <w:pPr>
        <w:spacing w:after="0" w:line="240" w:lineRule="auto"/>
        <w:jc w:val="both"/>
        <w:rPr>
          <w:rFonts w:asciiTheme="minorHAnsi" w:eastAsia="Cambria" w:hAnsiTheme="minorHAnsi" w:cstheme="minorHAnsi"/>
          <w:b/>
          <w:bCs/>
        </w:rPr>
      </w:pPr>
    </w:p>
    <w:p w:rsidR="008B17D0" w:rsidRPr="009B1C91" w:rsidRDefault="008B17D0" w:rsidP="00C61EA4">
      <w:pPr>
        <w:spacing w:after="0" w:line="240" w:lineRule="auto"/>
        <w:jc w:val="both"/>
        <w:rPr>
          <w:rFonts w:asciiTheme="minorHAnsi" w:eastAsia="Cambria" w:hAnsiTheme="minorHAnsi" w:cstheme="minorHAnsi"/>
          <w:b/>
          <w:bCs/>
        </w:rPr>
      </w:pPr>
      <w:r w:rsidRPr="009B1C91">
        <w:rPr>
          <w:rFonts w:asciiTheme="minorHAnsi" w:eastAsia="Cambria" w:hAnsiTheme="minorHAnsi" w:cstheme="minorHAnsi"/>
          <w:b/>
          <w:bCs/>
        </w:rPr>
        <w:t>A. Evaluation Questions</w:t>
      </w:r>
    </w:p>
    <w:p w:rsidR="008B17D0" w:rsidRPr="009B1C91" w:rsidRDefault="008B17D0" w:rsidP="00C61EA4">
      <w:pPr>
        <w:spacing w:after="0" w:line="240" w:lineRule="auto"/>
        <w:jc w:val="both"/>
        <w:rPr>
          <w:rFonts w:asciiTheme="minorHAnsi" w:eastAsia="Cambria" w:hAnsiTheme="minorHAnsi" w:cstheme="minorHAnsi"/>
          <w:color w:val="1F497D"/>
          <w:u w:color="1F497D"/>
        </w:rPr>
      </w:pPr>
      <w:r w:rsidRPr="009B1C91">
        <w:rPr>
          <w:rFonts w:asciiTheme="minorHAnsi" w:eastAsia="Cambria" w:hAnsiTheme="minorHAnsi" w:cstheme="minorHAnsi"/>
          <w:color w:val="1F497D"/>
          <w:u w:color="1F497D"/>
        </w:rPr>
        <w:t> </w:t>
      </w:r>
    </w:p>
    <w:p w:rsidR="008B17D0" w:rsidRPr="009B1C91" w:rsidRDefault="008B17D0" w:rsidP="00C61EA4">
      <w:pPr>
        <w:spacing w:after="0" w:line="240" w:lineRule="auto"/>
        <w:jc w:val="both"/>
        <w:rPr>
          <w:rFonts w:asciiTheme="minorHAnsi" w:eastAsia="Cambria" w:hAnsiTheme="minorHAnsi" w:cstheme="minorHAnsi"/>
          <w:i/>
          <w:iCs/>
        </w:rPr>
      </w:pPr>
      <w:r w:rsidRPr="009B1C91">
        <w:rPr>
          <w:rFonts w:asciiTheme="minorHAnsi" w:eastAsia="Cambria" w:hAnsiTheme="minorHAnsi" w:cstheme="minorHAnsi"/>
          <w:i/>
          <w:iCs/>
        </w:rPr>
        <w:t>Outcome 3.1</w:t>
      </w:r>
    </w:p>
    <w:p w:rsidR="008B17D0" w:rsidRPr="009B1C91" w:rsidRDefault="008B17D0" w:rsidP="00C61EA4">
      <w:pPr>
        <w:spacing w:after="0" w:line="240" w:lineRule="auto"/>
        <w:jc w:val="both"/>
        <w:rPr>
          <w:rFonts w:asciiTheme="minorHAnsi" w:eastAsia="Cambria" w:hAnsiTheme="minorHAnsi" w:cstheme="minorHAnsi"/>
        </w:rPr>
      </w:pPr>
    </w:p>
    <w:p w:rsidR="008B17D0" w:rsidRPr="009B1C91" w:rsidRDefault="008B17D0" w:rsidP="00C61EA4">
      <w:pPr>
        <w:spacing w:after="0" w:line="240" w:lineRule="auto"/>
        <w:jc w:val="both"/>
        <w:rPr>
          <w:rFonts w:asciiTheme="minorHAnsi" w:eastAsia="Cambria" w:hAnsiTheme="minorHAnsi" w:cstheme="minorHAnsi"/>
        </w:rPr>
      </w:pPr>
      <w:r w:rsidRPr="009B1C91">
        <w:rPr>
          <w:rFonts w:asciiTheme="minorHAnsi" w:eastAsia="Cambria" w:hAnsiTheme="minorHAnsi" w:cstheme="minorHAnsi"/>
        </w:rPr>
        <w:t>For Outcome 3.1 (“By 2016, populations vulnerable to climate change and natural disasters have become more resilient to adapt to risks</w:t>
      </w:r>
      <w:r w:rsidR="0080189C" w:rsidRPr="009B1C91">
        <w:rPr>
          <w:rFonts w:asciiTheme="minorHAnsi" w:eastAsia="Cambria" w:hAnsiTheme="minorHAnsi" w:cstheme="minorHAnsi"/>
        </w:rPr>
        <w:t>”</w:t>
      </w:r>
      <w:r w:rsidRPr="009B1C91">
        <w:rPr>
          <w:rFonts w:asciiTheme="minorHAnsi" w:eastAsia="Cambria" w:hAnsiTheme="minorHAnsi" w:cstheme="minorHAnsi"/>
        </w:rPr>
        <w:t xml:space="preserve">), two general questions were formulated and were investigated through reviewing and assessing documents, reports, notes, as well as through inquiries with the stakeholders, beneficiaries, and non-beneficiaries: </w:t>
      </w:r>
    </w:p>
    <w:p w:rsidR="008B17D0" w:rsidRPr="009B1C91" w:rsidRDefault="008B17D0" w:rsidP="00C61EA4">
      <w:pPr>
        <w:spacing w:after="0" w:line="240" w:lineRule="auto"/>
        <w:jc w:val="both"/>
        <w:rPr>
          <w:rFonts w:asciiTheme="minorHAnsi" w:eastAsia="Cambria" w:hAnsiTheme="minorHAnsi" w:cstheme="minorHAnsi"/>
        </w:rPr>
      </w:pPr>
    </w:p>
    <w:p w:rsidR="008B17D0" w:rsidRPr="009B1C91" w:rsidRDefault="008B17D0" w:rsidP="00C61EA4">
      <w:pPr>
        <w:numPr>
          <w:ilvl w:val="0"/>
          <w:numId w:val="7"/>
        </w:numPr>
        <w:spacing w:after="0" w:line="240" w:lineRule="auto"/>
        <w:jc w:val="both"/>
        <w:rPr>
          <w:rFonts w:asciiTheme="minorHAnsi" w:hAnsiTheme="minorHAnsi" w:cstheme="minorHAnsi"/>
        </w:rPr>
      </w:pPr>
      <w:r w:rsidRPr="009B1C91">
        <w:rPr>
          <w:rFonts w:asciiTheme="minorHAnsi" w:eastAsia="Cambria" w:hAnsiTheme="minorHAnsi" w:cstheme="minorHAnsi"/>
        </w:rPr>
        <w:t>What have been transformative changes in the country since 2011?</w:t>
      </w:r>
    </w:p>
    <w:p w:rsidR="008B17D0" w:rsidRPr="009B1C91" w:rsidRDefault="008B17D0" w:rsidP="00C61EA4">
      <w:pPr>
        <w:numPr>
          <w:ilvl w:val="0"/>
          <w:numId w:val="7"/>
        </w:numPr>
        <w:spacing w:after="0" w:line="240" w:lineRule="auto"/>
        <w:jc w:val="both"/>
        <w:rPr>
          <w:rFonts w:asciiTheme="minorHAnsi" w:hAnsiTheme="minorHAnsi" w:cstheme="minorHAnsi"/>
        </w:rPr>
      </w:pPr>
      <w:r w:rsidRPr="009B1C91">
        <w:rPr>
          <w:rFonts w:asciiTheme="minorHAnsi" w:eastAsia="Cambria" w:hAnsiTheme="minorHAnsi" w:cstheme="minorHAnsi"/>
        </w:rPr>
        <w:t>To what extent are these changes due to UNDP’s interventions?</w:t>
      </w:r>
    </w:p>
    <w:p w:rsidR="008B17D0" w:rsidRPr="009B1C91" w:rsidRDefault="008B17D0" w:rsidP="00C61EA4">
      <w:pPr>
        <w:spacing w:after="0" w:line="240" w:lineRule="auto"/>
        <w:jc w:val="both"/>
        <w:rPr>
          <w:rFonts w:asciiTheme="minorHAnsi" w:eastAsia="Cambria" w:hAnsiTheme="minorHAnsi" w:cstheme="minorHAnsi"/>
        </w:rPr>
      </w:pPr>
    </w:p>
    <w:p w:rsidR="008B17D0" w:rsidRPr="009B1C91" w:rsidRDefault="008B17D0" w:rsidP="00C61EA4">
      <w:pPr>
        <w:spacing w:after="0" w:line="240" w:lineRule="auto"/>
        <w:jc w:val="both"/>
        <w:rPr>
          <w:rFonts w:asciiTheme="minorHAnsi" w:eastAsia="Cambria" w:hAnsiTheme="minorHAnsi" w:cstheme="minorHAnsi"/>
        </w:rPr>
      </w:pPr>
      <w:r w:rsidRPr="009B1C91">
        <w:rPr>
          <w:rFonts w:asciiTheme="minorHAnsi" w:eastAsia="Cambria" w:hAnsiTheme="minorHAnsi" w:cstheme="minorHAnsi"/>
        </w:rPr>
        <w:t>The specific questions regarding Outcome 3.1 were kept separate to identif</w:t>
      </w:r>
      <w:r w:rsidR="00C1541C" w:rsidRPr="009B1C91">
        <w:rPr>
          <w:rFonts w:asciiTheme="minorHAnsi" w:eastAsia="Cambria" w:hAnsiTheme="minorHAnsi" w:cstheme="minorHAnsi"/>
        </w:rPr>
        <w:t xml:space="preserve">y attribution of each outcome. </w:t>
      </w:r>
      <w:r w:rsidRPr="009B1C91">
        <w:rPr>
          <w:rFonts w:asciiTheme="minorHAnsi" w:eastAsia="Cambria" w:hAnsiTheme="minorHAnsi" w:cstheme="minorHAnsi"/>
        </w:rPr>
        <w:t>It was recognized that climate change manifests itself as continuous stresses as well as extreme environmental events (e.g. cyclones) and slow onset hazards (e.g. salinity intrusion) and it is often difficult to separate the risk from climate change and natural disasters. Therefore, the evaluation questions sought answers regarding resilience related to risks from climate change and natural disasters separately (where appropriate) as well as in an integrated manner.</w:t>
      </w:r>
    </w:p>
    <w:p w:rsidR="008B17D0" w:rsidRPr="009B1C91" w:rsidRDefault="008B17D0" w:rsidP="00C61EA4">
      <w:pPr>
        <w:spacing w:after="0" w:line="240" w:lineRule="auto"/>
        <w:jc w:val="both"/>
        <w:rPr>
          <w:rFonts w:asciiTheme="minorHAnsi" w:eastAsia="Cambria" w:hAnsiTheme="minorHAnsi" w:cstheme="minorHAnsi"/>
        </w:rPr>
      </w:pPr>
    </w:p>
    <w:p w:rsidR="008B17D0" w:rsidRPr="009B1C91" w:rsidRDefault="008B17D0" w:rsidP="00C61EA4">
      <w:pPr>
        <w:spacing w:after="0" w:line="240" w:lineRule="auto"/>
        <w:jc w:val="both"/>
        <w:rPr>
          <w:rFonts w:asciiTheme="minorHAnsi" w:eastAsia="Cambria" w:hAnsiTheme="minorHAnsi" w:cstheme="minorHAnsi"/>
        </w:rPr>
      </w:pPr>
      <w:r w:rsidRPr="009B1C91">
        <w:rPr>
          <w:rFonts w:asciiTheme="minorHAnsi" w:eastAsia="Cambria" w:hAnsiTheme="minorHAnsi" w:cstheme="minorHAnsi"/>
        </w:rPr>
        <w:t>The table below depicts the matrix used to guide the questions and lines of discussions with the selected programme/project participant/stakeholders groups, as they were encountered and engaged. In addition, participants/stakeholders were encouraged to add any other details that they felt would contribute to the outcome evaluation process.</w:t>
      </w:r>
    </w:p>
    <w:p w:rsidR="008B17D0" w:rsidRPr="009B1C91" w:rsidRDefault="008B17D0" w:rsidP="008B17D0">
      <w:pPr>
        <w:spacing w:after="0" w:line="240" w:lineRule="auto"/>
        <w:rPr>
          <w:rFonts w:asciiTheme="minorHAnsi" w:eastAsia="Cambria" w:hAnsiTheme="minorHAnsi" w:cstheme="minorHAnsi"/>
          <w:b/>
          <w:bCs/>
          <w:sz w:val="12"/>
        </w:rPr>
      </w:pPr>
    </w:p>
    <w:tbl>
      <w:tblPr>
        <w:tblW w:w="0" w:type="auto"/>
        <w:tblInd w:w="108" w:type="dxa"/>
        <w:tblLayout w:type="fixed"/>
        <w:tblLook w:val="0000" w:firstRow="0" w:lastRow="0" w:firstColumn="0" w:lastColumn="0" w:noHBand="0" w:noVBand="0"/>
      </w:tblPr>
      <w:tblGrid>
        <w:gridCol w:w="9576"/>
      </w:tblGrid>
      <w:tr w:rsidR="008B17D0" w:rsidRPr="009B1C91" w:rsidTr="00E32E4A">
        <w:trPr>
          <w:cantSplit/>
          <w:trHeight w:val="180"/>
        </w:trPr>
        <w:tc>
          <w:tcPr>
            <w:tcW w:w="9576" w:type="dxa"/>
            <w:tcBorders>
              <w:top w:val="single" w:sz="8" w:space="0" w:color="4F81BD"/>
              <w:left w:val="single" w:sz="8" w:space="0" w:color="4F81BD"/>
              <w:bottom w:val="single" w:sz="8" w:space="0" w:color="4F81BD"/>
              <w:right w:val="single" w:sz="8" w:space="0" w:color="4F81BD"/>
            </w:tcBorders>
            <w:shd w:val="clear" w:color="auto" w:fill="C6D9F1"/>
            <w:tcMar>
              <w:top w:w="14" w:type="dxa"/>
              <w:left w:w="86" w:type="dxa"/>
              <w:bottom w:w="14" w:type="dxa"/>
              <w:right w:w="86" w:type="dxa"/>
            </w:tcMar>
          </w:tcPr>
          <w:p w:rsidR="008B17D0" w:rsidRPr="009B1C91" w:rsidRDefault="00D0780D" w:rsidP="00E32E4A">
            <w:pPr>
              <w:spacing w:after="0" w:line="240" w:lineRule="auto"/>
              <w:rPr>
                <w:rFonts w:asciiTheme="minorHAnsi" w:eastAsia="Cambria" w:hAnsiTheme="minorHAnsi" w:cstheme="minorHAnsi"/>
                <w:b/>
                <w:bCs/>
                <w:sz w:val="20"/>
                <w:szCs w:val="20"/>
              </w:rPr>
            </w:pPr>
            <w:r w:rsidRPr="009B1C91">
              <w:rPr>
                <w:rFonts w:asciiTheme="minorHAnsi" w:eastAsia="Cambria" w:hAnsiTheme="minorHAnsi" w:cstheme="minorHAnsi"/>
                <w:b/>
                <w:bCs/>
                <w:sz w:val="20"/>
                <w:szCs w:val="20"/>
              </w:rPr>
              <w:t xml:space="preserve">Table 1.1: </w:t>
            </w:r>
            <w:r w:rsidR="008B17D0" w:rsidRPr="009B1C91">
              <w:rPr>
                <w:rFonts w:asciiTheme="minorHAnsi" w:eastAsia="Cambria" w:hAnsiTheme="minorHAnsi" w:cstheme="minorHAnsi"/>
                <w:b/>
                <w:bCs/>
                <w:sz w:val="20"/>
                <w:szCs w:val="20"/>
              </w:rPr>
              <w:t>Questions and Lines of Discussion with Participants/Stakeholders Regarding Outcome 3.1</w:t>
            </w:r>
          </w:p>
        </w:tc>
      </w:tr>
      <w:tr w:rsidR="008B17D0" w:rsidRPr="009B1C91" w:rsidTr="00E32E4A">
        <w:trPr>
          <w:cantSplit/>
          <w:trHeight w:val="180"/>
        </w:trPr>
        <w:tc>
          <w:tcPr>
            <w:tcW w:w="9576" w:type="dxa"/>
            <w:tcBorders>
              <w:top w:val="single" w:sz="8" w:space="0" w:color="4F81BD"/>
              <w:left w:val="single" w:sz="8" w:space="0" w:color="4F81BD"/>
              <w:bottom w:val="single" w:sz="8" w:space="0" w:color="4F81BD"/>
              <w:right w:val="single" w:sz="8" w:space="0" w:color="4F81BD"/>
            </w:tcBorders>
            <w:shd w:val="clear" w:color="auto" w:fill="auto"/>
            <w:tcMar>
              <w:top w:w="14" w:type="dxa"/>
              <w:left w:w="86" w:type="dxa"/>
              <w:bottom w:w="14" w:type="dxa"/>
              <w:right w:w="86" w:type="dxa"/>
            </w:tcMar>
          </w:tcPr>
          <w:p w:rsidR="008B17D0" w:rsidRPr="009B1C91" w:rsidRDefault="008B17D0" w:rsidP="00E32E4A">
            <w:pPr>
              <w:spacing w:after="0" w:line="240" w:lineRule="auto"/>
              <w:jc w:val="both"/>
              <w:rPr>
                <w:rFonts w:asciiTheme="minorHAnsi" w:eastAsia="Cambria" w:hAnsiTheme="minorHAnsi" w:cstheme="minorHAnsi"/>
                <w:sz w:val="20"/>
                <w:szCs w:val="20"/>
              </w:rPr>
            </w:pPr>
            <w:r w:rsidRPr="009B1C91">
              <w:rPr>
                <w:rFonts w:asciiTheme="minorHAnsi" w:eastAsia="Cambria" w:hAnsiTheme="minorHAnsi" w:cstheme="minorHAnsi"/>
                <w:b/>
                <w:i/>
                <w:iCs/>
                <w:sz w:val="20"/>
                <w:szCs w:val="20"/>
              </w:rPr>
              <w:t>Relevance of UNDP's involvement and approach</w:t>
            </w:r>
            <w:r w:rsidRPr="009B1C91">
              <w:rPr>
                <w:rFonts w:asciiTheme="minorHAnsi" w:eastAsia="Cambria" w:hAnsiTheme="minorHAnsi" w:cstheme="minorHAnsi"/>
                <w:i/>
                <w:iCs/>
                <w:sz w:val="20"/>
                <w:szCs w:val="20"/>
              </w:rPr>
              <w:t>:</w:t>
            </w:r>
          </w:p>
          <w:p w:rsidR="008B17D0" w:rsidRPr="009B1C91" w:rsidRDefault="008B17D0" w:rsidP="001E161B">
            <w:pPr>
              <w:numPr>
                <w:ilvl w:val="0"/>
                <w:numId w:val="18"/>
              </w:numPr>
              <w:suppressAutoHyphens/>
              <w:spacing w:after="0" w:line="240" w:lineRule="auto"/>
              <w:ind w:left="252" w:hanging="270"/>
              <w:jc w:val="both"/>
              <w:rPr>
                <w:rFonts w:asciiTheme="minorHAnsi" w:hAnsiTheme="minorHAnsi" w:cstheme="minorHAnsi"/>
                <w:sz w:val="20"/>
                <w:szCs w:val="20"/>
              </w:rPr>
            </w:pPr>
            <w:r w:rsidRPr="009B1C91">
              <w:rPr>
                <w:rFonts w:asciiTheme="minorHAnsi" w:eastAsia="Cambria" w:hAnsiTheme="minorHAnsi" w:cstheme="minorHAnsi"/>
                <w:kern w:val="1"/>
                <w:sz w:val="20"/>
                <w:szCs w:val="20"/>
              </w:rPr>
              <w:t xml:space="preserve">To what extent are UNDP's key programmes/projects </w:t>
            </w:r>
            <w:r w:rsidRPr="009B1C91">
              <w:rPr>
                <w:rFonts w:asciiTheme="minorHAnsi" w:eastAsia="Cambria" w:hAnsiTheme="minorHAnsi" w:cstheme="minorHAnsi"/>
                <w:i/>
                <w:iCs/>
                <w:kern w:val="1"/>
                <w:sz w:val="20"/>
                <w:szCs w:val="20"/>
              </w:rPr>
              <w:t>relevant</w:t>
            </w:r>
            <w:r w:rsidRPr="009B1C91">
              <w:rPr>
                <w:rFonts w:asciiTheme="minorHAnsi" w:eastAsia="Cambria" w:hAnsiTheme="minorHAnsi" w:cstheme="minorHAnsi"/>
                <w:kern w:val="1"/>
                <w:sz w:val="20"/>
                <w:szCs w:val="20"/>
              </w:rPr>
              <w:t xml:space="preserve"> to making vulnerable populations more resilient to the risks of climate change and natural disasters?</w:t>
            </w:r>
          </w:p>
        </w:tc>
      </w:tr>
      <w:tr w:rsidR="008B17D0" w:rsidRPr="009B1C91" w:rsidTr="00E32E4A">
        <w:trPr>
          <w:cantSplit/>
          <w:trHeight w:val="180"/>
        </w:trPr>
        <w:tc>
          <w:tcPr>
            <w:tcW w:w="9576" w:type="dxa"/>
            <w:tcBorders>
              <w:top w:val="single" w:sz="8" w:space="0" w:color="4F81BD"/>
              <w:left w:val="single" w:sz="8" w:space="0" w:color="4F81BD"/>
              <w:bottom w:val="single" w:sz="8" w:space="0" w:color="4F81BD"/>
              <w:right w:val="single" w:sz="8" w:space="0" w:color="4F81BD"/>
            </w:tcBorders>
            <w:shd w:val="clear" w:color="auto" w:fill="auto"/>
            <w:tcMar>
              <w:top w:w="14" w:type="dxa"/>
              <w:left w:w="86" w:type="dxa"/>
              <w:bottom w:w="14" w:type="dxa"/>
              <w:right w:w="86" w:type="dxa"/>
            </w:tcMar>
          </w:tcPr>
          <w:p w:rsidR="008B17D0" w:rsidRPr="009B1C91" w:rsidRDefault="008B17D0" w:rsidP="00E32E4A">
            <w:pPr>
              <w:spacing w:after="0" w:line="240" w:lineRule="auto"/>
              <w:jc w:val="both"/>
              <w:rPr>
                <w:rFonts w:asciiTheme="minorHAnsi" w:eastAsia="Cambria" w:hAnsiTheme="minorHAnsi" w:cstheme="minorHAnsi"/>
                <w:sz w:val="20"/>
                <w:szCs w:val="20"/>
              </w:rPr>
            </w:pPr>
            <w:r w:rsidRPr="009B1C91">
              <w:rPr>
                <w:rFonts w:asciiTheme="minorHAnsi" w:eastAsia="Cambria" w:hAnsiTheme="minorHAnsi" w:cstheme="minorHAnsi"/>
                <w:b/>
                <w:i/>
                <w:iCs/>
                <w:sz w:val="20"/>
                <w:szCs w:val="20"/>
              </w:rPr>
              <w:t>Effectiveness in contributing to the achievement of the outcome</w:t>
            </w:r>
            <w:r w:rsidRPr="009B1C91">
              <w:rPr>
                <w:rFonts w:asciiTheme="minorHAnsi" w:eastAsia="Cambria" w:hAnsiTheme="minorHAnsi" w:cstheme="minorHAnsi"/>
                <w:i/>
                <w:iCs/>
                <w:sz w:val="20"/>
                <w:szCs w:val="20"/>
              </w:rPr>
              <w:t>:</w:t>
            </w:r>
          </w:p>
          <w:p w:rsidR="00094BE8" w:rsidRPr="009B1C91" w:rsidRDefault="008B17D0" w:rsidP="001E161B">
            <w:pPr>
              <w:numPr>
                <w:ilvl w:val="0"/>
                <w:numId w:val="18"/>
              </w:numPr>
              <w:suppressAutoHyphens/>
              <w:spacing w:after="0" w:line="240" w:lineRule="auto"/>
              <w:ind w:left="252" w:hanging="270"/>
              <w:jc w:val="both"/>
              <w:rPr>
                <w:rFonts w:asciiTheme="minorHAnsi" w:hAnsiTheme="minorHAnsi" w:cstheme="minorHAnsi"/>
                <w:kern w:val="1"/>
                <w:sz w:val="20"/>
                <w:szCs w:val="20"/>
              </w:rPr>
            </w:pPr>
            <w:r w:rsidRPr="009B1C91">
              <w:rPr>
                <w:rFonts w:asciiTheme="minorHAnsi" w:eastAsia="Cambria" w:hAnsiTheme="minorHAnsi" w:cstheme="minorHAnsi"/>
                <w:kern w:val="1"/>
                <w:sz w:val="20"/>
                <w:szCs w:val="20"/>
              </w:rPr>
              <w:t>Compared to 2011, are vulnerable populations now more resilient against climate change and natural disasters?</w:t>
            </w:r>
          </w:p>
          <w:p w:rsidR="008B17D0" w:rsidRPr="009B1C91" w:rsidRDefault="008B17D0" w:rsidP="001E161B">
            <w:pPr>
              <w:numPr>
                <w:ilvl w:val="0"/>
                <w:numId w:val="18"/>
              </w:numPr>
              <w:suppressAutoHyphens/>
              <w:spacing w:after="0" w:line="240" w:lineRule="auto"/>
              <w:ind w:left="252" w:hanging="270"/>
              <w:jc w:val="both"/>
              <w:rPr>
                <w:rFonts w:asciiTheme="minorHAnsi" w:hAnsiTheme="minorHAnsi" w:cstheme="minorHAnsi"/>
                <w:kern w:val="1"/>
                <w:sz w:val="20"/>
                <w:szCs w:val="20"/>
              </w:rPr>
            </w:pPr>
            <w:r w:rsidRPr="009B1C91">
              <w:rPr>
                <w:rFonts w:asciiTheme="minorHAnsi" w:eastAsia="Cambria" w:hAnsiTheme="minorHAnsi" w:cstheme="minorHAnsi"/>
                <w:kern w:val="1"/>
                <w:sz w:val="20"/>
                <w:szCs w:val="20"/>
              </w:rPr>
              <w:t>To what extent are these changes due to UNDP's interventions?</w:t>
            </w:r>
          </w:p>
        </w:tc>
      </w:tr>
      <w:tr w:rsidR="008B17D0" w:rsidRPr="009B1C91" w:rsidTr="00E32E4A">
        <w:trPr>
          <w:cantSplit/>
          <w:trHeight w:val="180"/>
        </w:trPr>
        <w:tc>
          <w:tcPr>
            <w:tcW w:w="9576" w:type="dxa"/>
            <w:tcBorders>
              <w:top w:val="single" w:sz="8" w:space="0" w:color="4F81BD"/>
              <w:left w:val="single" w:sz="8" w:space="0" w:color="4F81BD"/>
              <w:bottom w:val="single" w:sz="8" w:space="0" w:color="4F81BD"/>
              <w:right w:val="single" w:sz="8" w:space="0" w:color="4F81BD"/>
            </w:tcBorders>
            <w:shd w:val="clear" w:color="auto" w:fill="auto"/>
            <w:tcMar>
              <w:top w:w="14" w:type="dxa"/>
              <w:left w:w="86" w:type="dxa"/>
              <w:bottom w:w="14" w:type="dxa"/>
              <w:right w:w="86" w:type="dxa"/>
            </w:tcMar>
          </w:tcPr>
          <w:p w:rsidR="008B17D0" w:rsidRPr="009B1C91" w:rsidRDefault="008B17D0" w:rsidP="00E32E4A">
            <w:pPr>
              <w:spacing w:after="0" w:line="240" w:lineRule="auto"/>
              <w:jc w:val="both"/>
              <w:rPr>
                <w:rFonts w:asciiTheme="minorHAnsi" w:eastAsia="Cambria" w:hAnsiTheme="minorHAnsi" w:cstheme="minorHAnsi"/>
                <w:i/>
                <w:iCs/>
                <w:sz w:val="20"/>
                <w:szCs w:val="20"/>
              </w:rPr>
            </w:pPr>
            <w:r w:rsidRPr="009B1C91">
              <w:rPr>
                <w:rFonts w:asciiTheme="minorHAnsi" w:eastAsia="Cambria" w:hAnsiTheme="minorHAnsi" w:cstheme="minorHAnsi"/>
                <w:b/>
                <w:i/>
                <w:iCs/>
                <w:sz w:val="20"/>
                <w:szCs w:val="20"/>
              </w:rPr>
              <w:t>Efficiency in delivering outputs</w:t>
            </w:r>
            <w:r w:rsidRPr="009B1C91">
              <w:rPr>
                <w:rFonts w:asciiTheme="minorHAnsi" w:eastAsia="Cambria" w:hAnsiTheme="minorHAnsi" w:cstheme="minorHAnsi"/>
                <w:i/>
                <w:iCs/>
                <w:sz w:val="20"/>
                <w:szCs w:val="20"/>
              </w:rPr>
              <w:t>:</w:t>
            </w:r>
          </w:p>
          <w:p w:rsidR="00094BE8" w:rsidRPr="009B1C91" w:rsidRDefault="008B17D0" w:rsidP="001E161B">
            <w:pPr>
              <w:numPr>
                <w:ilvl w:val="0"/>
                <w:numId w:val="19"/>
              </w:numPr>
              <w:suppressAutoHyphens/>
              <w:spacing w:after="0" w:line="240" w:lineRule="auto"/>
              <w:ind w:left="252" w:hanging="270"/>
              <w:jc w:val="both"/>
              <w:rPr>
                <w:rFonts w:asciiTheme="minorHAnsi" w:hAnsiTheme="minorHAnsi" w:cstheme="minorHAnsi"/>
                <w:kern w:val="1"/>
                <w:sz w:val="20"/>
                <w:szCs w:val="20"/>
              </w:rPr>
            </w:pPr>
            <w:r w:rsidRPr="009B1C91">
              <w:rPr>
                <w:rFonts w:asciiTheme="minorHAnsi" w:eastAsia="Cambria" w:hAnsiTheme="minorHAnsi" w:cstheme="minorHAnsi"/>
                <w:kern w:val="1"/>
                <w:sz w:val="20"/>
                <w:szCs w:val="20"/>
              </w:rPr>
              <w:t>To what extent were the relevant programme/project outputs delivered in time and in good quality?</w:t>
            </w:r>
          </w:p>
          <w:p w:rsidR="00094BE8" w:rsidRPr="009B1C91" w:rsidRDefault="008B17D0" w:rsidP="001E161B">
            <w:pPr>
              <w:numPr>
                <w:ilvl w:val="0"/>
                <w:numId w:val="19"/>
              </w:numPr>
              <w:suppressAutoHyphens/>
              <w:spacing w:after="0" w:line="240" w:lineRule="auto"/>
              <w:ind w:left="252" w:hanging="270"/>
              <w:jc w:val="both"/>
              <w:rPr>
                <w:rFonts w:asciiTheme="minorHAnsi" w:hAnsiTheme="minorHAnsi" w:cstheme="minorHAnsi"/>
                <w:kern w:val="1"/>
                <w:sz w:val="20"/>
                <w:szCs w:val="20"/>
              </w:rPr>
            </w:pPr>
            <w:r w:rsidRPr="009B1C91">
              <w:rPr>
                <w:rFonts w:asciiTheme="minorHAnsi" w:eastAsia="Cambria" w:hAnsiTheme="minorHAnsi" w:cstheme="minorHAnsi"/>
                <w:kern w:val="1"/>
                <w:sz w:val="20"/>
                <w:szCs w:val="20"/>
              </w:rPr>
              <w:t>To what extent did UNDP ensure value for money?</w:t>
            </w:r>
          </w:p>
          <w:p w:rsidR="008B17D0" w:rsidRPr="009B1C91" w:rsidRDefault="008B17D0" w:rsidP="001E161B">
            <w:pPr>
              <w:numPr>
                <w:ilvl w:val="0"/>
                <w:numId w:val="19"/>
              </w:numPr>
              <w:suppressAutoHyphens/>
              <w:spacing w:after="0" w:line="240" w:lineRule="auto"/>
              <w:ind w:left="252" w:hanging="270"/>
              <w:jc w:val="both"/>
              <w:rPr>
                <w:rFonts w:asciiTheme="minorHAnsi" w:hAnsiTheme="minorHAnsi" w:cstheme="minorHAnsi"/>
                <w:kern w:val="1"/>
                <w:sz w:val="20"/>
                <w:szCs w:val="20"/>
              </w:rPr>
            </w:pPr>
            <w:r w:rsidRPr="009B1C91">
              <w:rPr>
                <w:rFonts w:asciiTheme="minorHAnsi" w:eastAsia="Cambria" w:hAnsiTheme="minorHAnsi" w:cstheme="minorHAnsi"/>
                <w:kern w:val="1"/>
                <w:sz w:val="20"/>
                <w:szCs w:val="20"/>
              </w:rPr>
              <w:t>Has there been any duplication of efforts among UNDP’s own interventions and interventions delivered by other organizations or entities in contributing to the outcome?</w:t>
            </w:r>
          </w:p>
        </w:tc>
      </w:tr>
      <w:tr w:rsidR="008B17D0" w:rsidRPr="009B1C91" w:rsidTr="00E32E4A">
        <w:trPr>
          <w:cantSplit/>
          <w:trHeight w:val="180"/>
        </w:trPr>
        <w:tc>
          <w:tcPr>
            <w:tcW w:w="9576" w:type="dxa"/>
            <w:tcBorders>
              <w:top w:val="single" w:sz="8" w:space="0" w:color="4F81BD"/>
              <w:left w:val="single" w:sz="8" w:space="0" w:color="4F81BD"/>
              <w:bottom w:val="single" w:sz="8" w:space="0" w:color="4F81BD"/>
              <w:right w:val="single" w:sz="8" w:space="0" w:color="4F81BD"/>
            </w:tcBorders>
            <w:shd w:val="clear" w:color="auto" w:fill="auto"/>
            <w:tcMar>
              <w:top w:w="14" w:type="dxa"/>
              <w:left w:w="86" w:type="dxa"/>
              <w:bottom w:w="14" w:type="dxa"/>
              <w:right w:w="86" w:type="dxa"/>
            </w:tcMar>
          </w:tcPr>
          <w:p w:rsidR="00094BE8" w:rsidRPr="009B1C91" w:rsidRDefault="008B17D0" w:rsidP="00E32E4A">
            <w:pPr>
              <w:spacing w:after="0" w:line="240" w:lineRule="auto"/>
              <w:jc w:val="both"/>
              <w:rPr>
                <w:rFonts w:asciiTheme="minorHAnsi" w:eastAsia="Cambria" w:hAnsiTheme="minorHAnsi" w:cstheme="minorHAnsi"/>
                <w:i/>
                <w:iCs/>
                <w:sz w:val="20"/>
                <w:szCs w:val="20"/>
              </w:rPr>
            </w:pPr>
            <w:r w:rsidRPr="009B1C91">
              <w:rPr>
                <w:rFonts w:asciiTheme="minorHAnsi" w:eastAsia="Cambria" w:hAnsiTheme="minorHAnsi" w:cstheme="minorHAnsi"/>
                <w:b/>
                <w:i/>
                <w:iCs/>
                <w:sz w:val="20"/>
                <w:szCs w:val="20"/>
              </w:rPr>
              <w:t>Sustainability of the outcome</w:t>
            </w:r>
            <w:r w:rsidRPr="009B1C91">
              <w:rPr>
                <w:rFonts w:asciiTheme="minorHAnsi" w:eastAsia="Cambria" w:hAnsiTheme="minorHAnsi" w:cstheme="minorHAnsi"/>
                <w:i/>
                <w:iCs/>
                <w:sz w:val="20"/>
                <w:szCs w:val="20"/>
              </w:rPr>
              <w:t>:</w:t>
            </w:r>
          </w:p>
          <w:p w:rsidR="008B17D0" w:rsidRPr="009B1C91" w:rsidRDefault="008B17D0" w:rsidP="001E161B">
            <w:pPr>
              <w:numPr>
                <w:ilvl w:val="0"/>
                <w:numId w:val="20"/>
              </w:numPr>
              <w:spacing w:after="0" w:line="240" w:lineRule="auto"/>
              <w:ind w:left="252" w:hanging="270"/>
              <w:jc w:val="both"/>
              <w:rPr>
                <w:rFonts w:asciiTheme="minorHAnsi" w:eastAsia="Cambria" w:hAnsiTheme="minorHAnsi" w:cstheme="minorHAnsi"/>
                <w:i/>
                <w:iCs/>
                <w:sz w:val="20"/>
                <w:szCs w:val="20"/>
              </w:rPr>
            </w:pPr>
            <w:r w:rsidRPr="009B1C91">
              <w:rPr>
                <w:rFonts w:asciiTheme="minorHAnsi" w:eastAsia="Cambria" w:hAnsiTheme="minorHAnsi" w:cstheme="minorHAnsi"/>
                <w:kern w:val="1"/>
                <w:sz w:val="20"/>
                <w:szCs w:val="20"/>
              </w:rPr>
              <w:t>What indications are there that the outcome will be sustained after external funding ends?</w:t>
            </w:r>
          </w:p>
        </w:tc>
      </w:tr>
    </w:tbl>
    <w:p w:rsidR="008B17D0" w:rsidRPr="009B1C91" w:rsidRDefault="008B17D0" w:rsidP="008B17D0">
      <w:pPr>
        <w:spacing w:after="0" w:line="240" w:lineRule="auto"/>
        <w:jc w:val="both"/>
        <w:rPr>
          <w:rFonts w:asciiTheme="minorHAnsi" w:eastAsia="Cambria" w:hAnsiTheme="minorHAnsi" w:cstheme="minorHAnsi"/>
          <w:i/>
          <w:iCs/>
        </w:rPr>
      </w:pPr>
    </w:p>
    <w:p w:rsidR="008B17D0" w:rsidRPr="009B1C91" w:rsidRDefault="008B17D0" w:rsidP="00C61EA4">
      <w:pPr>
        <w:spacing w:after="0" w:line="240" w:lineRule="auto"/>
        <w:jc w:val="both"/>
        <w:rPr>
          <w:rFonts w:asciiTheme="minorHAnsi" w:eastAsia="Cambria" w:hAnsiTheme="minorHAnsi" w:cstheme="minorHAnsi"/>
          <w:i/>
          <w:iCs/>
        </w:rPr>
      </w:pPr>
      <w:r w:rsidRPr="009B1C91">
        <w:rPr>
          <w:rFonts w:asciiTheme="minorHAnsi" w:eastAsia="Cambria" w:hAnsiTheme="minorHAnsi" w:cstheme="minorHAnsi"/>
          <w:i/>
          <w:iCs/>
        </w:rPr>
        <w:lastRenderedPageBreak/>
        <w:t>Outcome 3.2</w:t>
      </w:r>
    </w:p>
    <w:p w:rsidR="008B17D0" w:rsidRPr="009B1C91" w:rsidRDefault="008B17D0" w:rsidP="00C61EA4">
      <w:pPr>
        <w:suppressAutoHyphens/>
        <w:spacing w:after="0" w:line="240" w:lineRule="auto"/>
        <w:jc w:val="both"/>
        <w:rPr>
          <w:rFonts w:asciiTheme="minorHAnsi" w:eastAsia="Cambria" w:hAnsiTheme="minorHAnsi" w:cstheme="minorHAnsi"/>
          <w:kern w:val="1"/>
        </w:rPr>
      </w:pPr>
    </w:p>
    <w:p w:rsidR="008B17D0" w:rsidRPr="009B1C91" w:rsidRDefault="008B17D0" w:rsidP="00C61EA4">
      <w:pPr>
        <w:spacing w:after="0" w:line="240" w:lineRule="auto"/>
        <w:jc w:val="both"/>
        <w:rPr>
          <w:rFonts w:asciiTheme="minorHAnsi" w:eastAsia="Cambria" w:hAnsiTheme="minorHAnsi" w:cstheme="minorHAnsi"/>
        </w:rPr>
      </w:pPr>
      <w:r w:rsidRPr="009B1C91">
        <w:rPr>
          <w:rFonts w:asciiTheme="minorHAnsi" w:eastAsia="Cambria" w:hAnsiTheme="minorHAnsi" w:cstheme="minorHAnsi"/>
        </w:rPr>
        <w:t xml:space="preserve">For Outcome 3.2 (“by 2016, vulnerable populations benefit from better natural resource management and access to low-carbon energy”), two general questions were formulated and investigated through reviewing and assessing documents, reports, notes, as well as through inquiries with the stakeholders,  beneficiaries, and non-beneficiaries: </w:t>
      </w:r>
    </w:p>
    <w:p w:rsidR="008B17D0" w:rsidRPr="009B1C91" w:rsidRDefault="008B17D0" w:rsidP="00C61EA4">
      <w:pPr>
        <w:spacing w:after="0" w:line="240" w:lineRule="auto"/>
        <w:ind w:left="360"/>
        <w:jc w:val="both"/>
        <w:rPr>
          <w:rFonts w:asciiTheme="minorHAnsi" w:eastAsia="Cambria" w:hAnsiTheme="minorHAnsi" w:cstheme="minorHAnsi"/>
          <w:color w:val="FF0000"/>
          <w:u w:color="FF0000"/>
        </w:rPr>
      </w:pPr>
    </w:p>
    <w:p w:rsidR="008B17D0" w:rsidRPr="009B1C91" w:rsidRDefault="008B17D0" w:rsidP="00C1541C">
      <w:pPr>
        <w:numPr>
          <w:ilvl w:val="0"/>
          <w:numId w:val="9"/>
        </w:numPr>
        <w:spacing w:after="0" w:line="240" w:lineRule="auto"/>
        <w:ind w:left="360" w:hanging="360"/>
        <w:jc w:val="both"/>
        <w:rPr>
          <w:rFonts w:asciiTheme="minorHAnsi" w:hAnsiTheme="minorHAnsi" w:cstheme="minorHAnsi"/>
        </w:rPr>
      </w:pPr>
      <w:r w:rsidRPr="009B1C91">
        <w:rPr>
          <w:rFonts w:asciiTheme="minorHAnsi" w:eastAsia="Cambria" w:hAnsiTheme="minorHAnsi" w:cstheme="minorHAnsi"/>
        </w:rPr>
        <w:t xml:space="preserve">How has the vulnerable population benefitted from / been impacted by better </w:t>
      </w:r>
      <w:r w:rsidRPr="009B1C91">
        <w:rPr>
          <w:rFonts w:asciiTheme="minorHAnsi" w:eastAsia="Cambria" w:hAnsiTheme="minorHAnsi" w:cstheme="minorHAnsi"/>
          <w:i/>
          <w:iCs/>
        </w:rPr>
        <w:t>natural resource management</w:t>
      </w:r>
      <w:r w:rsidRPr="009B1C91">
        <w:rPr>
          <w:rFonts w:asciiTheme="minorHAnsi" w:eastAsia="Cambria" w:hAnsiTheme="minorHAnsi" w:cstheme="minorHAnsi"/>
        </w:rPr>
        <w:t xml:space="preserve"> since 2011?</w:t>
      </w:r>
    </w:p>
    <w:p w:rsidR="008B17D0" w:rsidRPr="009B1C91" w:rsidRDefault="008B17D0" w:rsidP="00C1541C">
      <w:pPr>
        <w:numPr>
          <w:ilvl w:val="0"/>
          <w:numId w:val="9"/>
        </w:numPr>
        <w:spacing w:after="0" w:line="240" w:lineRule="auto"/>
        <w:ind w:left="360" w:hanging="360"/>
        <w:jc w:val="both"/>
        <w:rPr>
          <w:rFonts w:asciiTheme="minorHAnsi" w:hAnsiTheme="minorHAnsi" w:cstheme="minorHAnsi"/>
        </w:rPr>
      </w:pPr>
      <w:r w:rsidRPr="009B1C91">
        <w:rPr>
          <w:rFonts w:asciiTheme="minorHAnsi" w:eastAsia="Cambria" w:hAnsiTheme="minorHAnsi" w:cstheme="minorHAnsi"/>
        </w:rPr>
        <w:t xml:space="preserve">How the vulnerable population benefitted from / been impacted by easier </w:t>
      </w:r>
      <w:r w:rsidRPr="009B1C91">
        <w:rPr>
          <w:rFonts w:asciiTheme="minorHAnsi" w:eastAsia="Cambria" w:hAnsiTheme="minorHAnsi" w:cstheme="minorHAnsi"/>
          <w:i/>
          <w:iCs/>
        </w:rPr>
        <w:t xml:space="preserve">access to low carbon energy </w:t>
      </w:r>
      <w:r w:rsidRPr="009B1C91">
        <w:rPr>
          <w:rFonts w:asciiTheme="minorHAnsi" w:eastAsia="Cambria" w:hAnsiTheme="minorHAnsi" w:cstheme="minorHAnsi"/>
        </w:rPr>
        <w:t>since 2011?</w:t>
      </w:r>
    </w:p>
    <w:p w:rsidR="008B17D0" w:rsidRPr="009B1C91" w:rsidRDefault="008B17D0" w:rsidP="00C1541C">
      <w:pPr>
        <w:numPr>
          <w:ilvl w:val="0"/>
          <w:numId w:val="9"/>
        </w:numPr>
        <w:spacing w:after="0" w:line="240" w:lineRule="auto"/>
        <w:ind w:left="360" w:hanging="360"/>
        <w:jc w:val="both"/>
        <w:rPr>
          <w:rFonts w:asciiTheme="minorHAnsi" w:hAnsiTheme="minorHAnsi" w:cstheme="minorHAnsi"/>
        </w:rPr>
      </w:pPr>
      <w:r w:rsidRPr="009B1C91">
        <w:rPr>
          <w:rFonts w:asciiTheme="minorHAnsi" w:eastAsia="Cambria" w:hAnsiTheme="minorHAnsi" w:cstheme="minorHAnsi"/>
        </w:rPr>
        <w:t>To what extent are these changes due to UNDP’s interventions?</w:t>
      </w:r>
    </w:p>
    <w:p w:rsidR="008B17D0" w:rsidRPr="009B1C91" w:rsidRDefault="008B17D0" w:rsidP="00C61EA4">
      <w:pPr>
        <w:spacing w:after="0" w:line="240" w:lineRule="auto"/>
        <w:jc w:val="both"/>
        <w:rPr>
          <w:rFonts w:asciiTheme="minorHAnsi" w:eastAsia="Cambria" w:hAnsiTheme="minorHAnsi" w:cstheme="minorHAnsi"/>
        </w:rPr>
      </w:pPr>
    </w:p>
    <w:p w:rsidR="008B17D0" w:rsidRPr="009B1C91" w:rsidRDefault="008B17D0" w:rsidP="00C61EA4">
      <w:pPr>
        <w:spacing w:after="0" w:line="240" w:lineRule="auto"/>
        <w:jc w:val="both"/>
        <w:rPr>
          <w:rFonts w:asciiTheme="minorHAnsi" w:eastAsia="Cambria" w:hAnsiTheme="minorHAnsi" w:cstheme="minorHAnsi"/>
        </w:rPr>
      </w:pPr>
      <w:r w:rsidRPr="009B1C91">
        <w:rPr>
          <w:rFonts w:asciiTheme="minorHAnsi" w:eastAsia="Cambria" w:hAnsiTheme="minorHAnsi" w:cstheme="minorHAnsi"/>
        </w:rPr>
        <w:t>The table below depicts the matrix used to guide the questions and lines of discussions with the selected programme/project participant/stakeholders groups, as they were approached and engaged. In addition, participants/stakeholders were empowered to add any other details that they felt would contribute to the outcome evaluation process.</w:t>
      </w:r>
    </w:p>
    <w:p w:rsidR="00947A33" w:rsidRPr="009B1C91" w:rsidRDefault="00947A33" w:rsidP="00C61EA4">
      <w:pPr>
        <w:spacing w:after="0" w:line="240" w:lineRule="auto"/>
        <w:jc w:val="both"/>
        <w:rPr>
          <w:rFonts w:asciiTheme="minorHAnsi" w:eastAsia="Cambria" w:hAnsiTheme="minorHAnsi" w:cstheme="minorHAnsi"/>
          <w:sz w:val="12"/>
        </w:rPr>
      </w:pPr>
    </w:p>
    <w:tbl>
      <w:tblPr>
        <w:tblW w:w="9512" w:type="dxa"/>
        <w:tblInd w:w="108" w:type="dxa"/>
        <w:tblLayout w:type="fixed"/>
        <w:tblCellMar>
          <w:left w:w="115" w:type="dxa"/>
          <w:right w:w="115" w:type="dxa"/>
        </w:tblCellMar>
        <w:tblLook w:val="0000" w:firstRow="0" w:lastRow="0" w:firstColumn="0" w:lastColumn="0" w:noHBand="0" w:noVBand="0"/>
      </w:tblPr>
      <w:tblGrid>
        <w:gridCol w:w="9512"/>
      </w:tblGrid>
      <w:tr w:rsidR="008B17D0" w:rsidRPr="009B1C91" w:rsidTr="00B5169E">
        <w:trPr>
          <w:cantSplit/>
          <w:trHeight w:val="20"/>
        </w:trPr>
        <w:tc>
          <w:tcPr>
            <w:tcW w:w="9512" w:type="dxa"/>
            <w:tcBorders>
              <w:top w:val="single" w:sz="8" w:space="0" w:color="4F81BD"/>
              <w:left w:val="single" w:sz="8" w:space="0" w:color="4F81BD"/>
              <w:bottom w:val="single" w:sz="8" w:space="0" w:color="4F81BD"/>
              <w:right w:val="single" w:sz="8" w:space="0" w:color="4F81BD"/>
            </w:tcBorders>
            <w:shd w:val="clear" w:color="auto" w:fill="C6D9F1"/>
            <w:tcMar>
              <w:top w:w="14" w:type="dxa"/>
              <w:left w:w="86" w:type="dxa"/>
              <w:bottom w:w="14" w:type="dxa"/>
              <w:right w:w="86" w:type="dxa"/>
            </w:tcMar>
          </w:tcPr>
          <w:p w:rsidR="008B17D0" w:rsidRPr="009B1C91" w:rsidRDefault="00D0780D" w:rsidP="00D0780D">
            <w:pPr>
              <w:spacing w:after="0" w:line="240" w:lineRule="auto"/>
              <w:jc w:val="both"/>
              <w:rPr>
                <w:rFonts w:asciiTheme="minorHAnsi" w:eastAsia="Cambria" w:hAnsiTheme="minorHAnsi" w:cstheme="minorHAnsi"/>
                <w:b/>
                <w:bCs/>
              </w:rPr>
            </w:pPr>
            <w:r w:rsidRPr="009B1C91">
              <w:rPr>
                <w:rFonts w:asciiTheme="minorHAnsi" w:eastAsia="Cambria" w:hAnsiTheme="minorHAnsi" w:cstheme="minorHAnsi"/>
                <w:b/>
                <w:bCs/>
              </w:rPr>
              <w:t xml:space="preserve">Table 1.2: </w:t>
            </w:r>
            <w:r w:rsidR="008B17D0" w:rsidRPr="009B1C91">
              <w:rPr>
                <w:rFonts w:asciiTheme="minorHAnsi" w:eastAsia="Cambria" w:hAnsiTheme="minorHAnsi" w:cstheme="minorHAnsi"/>
                <w:b/>
                <w:bCs/>
                <w:sz w:val="20"/>
                <w:szCs w:val="20"/>
              </w:rPr>
              <w:t>Questions and Lines of Discussion with Participants/Stakeholders Regarding Outcome 3.2</w:t>
            </w:r>
          </w:p>
        </w:tc>
      </w:tr>
      <w:tr w:rsidR="008B17D0" w:rsidRPr="009B1C91" w:rsidTr="00B5169E">
        <w:trPr>
          <w:cantSplit/>
          <w:trHeight w:val="20"/>
        </w:trPr>
        <w:tc>
          <w:tcPr>
            <w:tcW w:w="9512" w:type="dxa"/>
            <w:tcBorders>
              <w:top w:val="single" w:sz="8" w:space="0" w:color="4F81BD"/>
              <w:left w:val="single" w:sz="8" w:space="0" w:color="4F81BD"/>
              <w:bottom w:val="single" w:sz="8" w:space="0" w:color="4F81BD"/>
              <w:right w:val="single" w:sz="8" w:space="0" w:color="4F81BD"/>
            </w:tcBorders>
            <w:shd w:val="clear" w:color="auto" w:fill="auto"/>
            <w:tcMar>
              <w:top w:w="14" w:type="dxa"/>
              <w:left w:w="86" w:type="dxa"/>
              <w:bottom w:w="14" w:type="dxa"/>
              <w:right w:w="86" w:type="dxa"/>
            </w:tcMar>
          </w:tcPr>
          <w:p w:rsidR="008B17D0" w:rsidRPr="009B1C91" w:rsidRDefault="008B17D0" w:rsidP="00236984">
            <w:pPr>
              <w:spacing w:after="0" w:line="240" w:lineRule="auto"/>
              <w:rPr>
                <w:rFonts w:asciiTheme="minorHAnsi" w:eastAsia="Cambria" w:hAnsiTheme="minorHAnsi" w:cstheme="minorHAnsi"/>
                <w:sz w:val="20"/>
                <w:szCs w:val="20"/>
              </w:rPr>
            </w:pPr>
            <w:r w:rsidRPr="009B1C91">
              <w:rPr>
                <w:rFonts w:asciiTheme="minorHAnsi" w:eastAsia="Cambria" w:hAnsiTheme="minorHAnsi" w:cstheme="minorHAnsi"/>
                <w:b/>
                <w:i/>
                <w:iCs/>
                <w:sz w:val="20"/>
                <w:szCs w:val="20"/>
              </w:rPr>
              <w:t>Relevance of UNDP's involvement and approach</w:t>
            </w:r>
            <w:r w:rsidRPr="009B1C91">
              <w:rPr>
                <w:rFonts w:asciiTheme="minorHAnsi" w:eastAsia="Cambria" w:hAnsiTheme="minorHAnsi" w:cstheme="minorHAnsi"/>
                <w:i/>
                <w:iCs/>
                <w:sz w:val="20"/>
                <w:szCs w:val="20"/>
              </w:rPr>
              <w:t>:</w:t>
            </w:r>
          </w:p>
          <w:p w:rsidR="008B17D0" w:rsidRPr="009B1C91" w:rsidRDefault="008B17D0" w:rsidP="001E161B">
            <w:pPr>
              <w:numPr>
                <w:ilvl w:val="0"/>
                <w:numId w:val="15"/>
              </w:numPr>
              <w:suppressAutoHyphens/>
              <w:spacing w:after="0" w:line="240" w:lineRule="auto"/>
              <w:ind w:left="342"/>
              <w:rPr>
                <w:rFonts w:asciiTheme="minorHAnsi" w:hAnsiTheme="minorHAnsi" w:cstheme="minorHAnsi"/>
                <w:sz w:val="20"/>
                <w:szCs w:val="20"/>
              </w:rPr>
            </w:pPr>
            <w:r w:rsidRPr="009B1C91">
              <w:rPr>
                <w:rFonts w:asciiTheme="minorHAnsi" w:eastAsia="Cambria" w:hAnsiTheme="minorHAnsi" w:cstheme="minorHAnsi"/>
                <w:kern w:val="1"/>
                <w:sz w:val="20"/>
                <w:szCs w:val="20"/>
              </w:rPr>
              <w:t xml:space="preserve">To what extent are UNDP's key programmes/projects </w:t>
            </w:r>
            <w:r w:rsidRPr="009B1C91">
              <w:rPr>
                <w:rFonts w:asciiTheme="minorHAnsi" w:eastAsia="Cambria" w:hAnsiTheme="minorHAnsi" w:cstheme="minorHAnsi"/>
                <w:i/>
                <w:iCs/>
                <w:kern w:val="1"/>
                <w:sz w:val="20"/>
                <w:szCs w:val="20"/>
              </w:rPr>
              <w:t>relevant</w:t>
            </w:r>
            <w:r w:rsidRPr="009B1C91">
              <w:rPr>
                <w:rFonts w:asciiTheme="minorHAnsi" w:eastAsia="Cambria" w:hAnsiTheme="minorHAnsi" w:cstheme="minorHAnsi"/>
                <w:kern w:val="1"/>
                <w:sz w:val="20"/>
                <w:szCs w:val="20"/>
              </w:rPr>
              <w:t xml:space="preserve"> to increasing benefits from better natural resource management and access to low carbon energy?</w:t>
            </w:r>
          </w:p>
        </w:tc>
      </w:tr>
      <w:tr w:rsidR="008B17D0" w:rsidRPr="009B1C91" w:rsidTr="00B5169E">
        <w:trPr>
          <w:cantSplit/>
          <w:trHeight w:val="20"/>
        </w:trPr>
        <w:tc>
          <w:tcPr>
            <w:tcW w:w="9512" w:type="dxa"/>
            <w:tcBorders>
              <w:top w:val="single" w:sz="8" w:space="0" w:color="4F81BD"/>
              <w:left w:val="single" w:sz="8" w:space="0" w:color="4F81BD"/>
              <w:bottom w:val="single" w:sz="8" w:space="0" w:color="4F81BD"/>
              <w:right w:val="single" w:sz="8" w:space="0" w:color="4F81BD"/>
            </w:tcBorders>
            <w:shd w:val="clear" w:color="auto" w:fill="auto"/>
            <w:tcMar>
              <w:top w:w="14" w:type="dxa"/>
              <w:left w:w="86" w:type="dxa"/>
              <w:bottom w:w="14" w:type="dxa"/>
              <w:right w:w="86" w:type="dxa"/>
            </w:tcMar>
          </w:tcPr>
          <w:p w:rsidR="008B17D0" w:rsidRPr="009B1C91" w:rsidRDefault="008B17D0" w:rsidP="00236984">
            <w:pPr>
              <w:spacing w:after="0" w:line="240" w:lineRule="auto"/>
              <w:rPr>
                <w:rFonts w:asciiTheme="minorHAnsi" w:eastAsia="Cambria" w:hAnsiTheme="minorHAnsi" w:cstheme="minorHAnsi"/>
                <w:i/>
                <w:iCs/>
                <w:sz w:val="20"/>
                <w:szCs w:val="20"/>
              </w:rPr>
            </w:pPr>
            <w:r w:rsidRPr="009B1C91">
              <w:rPr>
                <w:rFonts w:asciiTheme="minorHAnsi" w:eastAsia="Cambria" w:hAnsiTheme="minorHAnsi" w:cstheme="minorHAnsi"/>
                <w:b/>
                <w:i/>
                <w:iCs/>
                <w:sz w:val="20"/>
                <w:szCs w:val="20"/>
              </w:rPr>
              <w:t>Effectiveness in contributing to the achievement of the outcome</w:t>
            </w:r>
            <w:r w:rsidRPr="009B1C91">
              <w:rPr>
                <w:rFonts w:asciiTheme="minorHAnsi" w:eastAsia="Cambria" w:hAnsiTheme="minorHAnsi" w:cstheme="minorHAnsi"/>
                <w:i/>
                <w:iCs/>
                <w:sz w:val="20"/>
                <w:szCs w:val="20"/>
              </w:rPr>
              <w:t>:</w:t>
            </w:r>
          </w:p>
          <w:p w:rsidR="00240A7B" w:rsidRPr="009B1C91" w:rsidRDefault="008B17D0" w:rsidP="001E161B">
            <w:pPr>
              <w:numPr>
                <w:ilvl w:val="0"/>
                <w:numId w:val="15"/>
              </w:numPr>
              <w:suppressAutoHyphens/>
              <w:spacing w:after="0" w:line="240" w:lineRule="auto"/>
              <w:ind w:left="252" w:hanging="270"/>
              <w:rPr>
                <w:rFonts w:asciiTheme="minorHAnsi" w:hAnsiTheme="minorHAnsi" w:cstheme="minorHAnsi"/>
                <w:kern w:val="1"/>
                <w:sz w:val="20"/>
                <w:szCs w:val="20"/>
              </w:rPr>
            </w:pPr>
            <w:r w:rsidRPr="009B1C91">
              <w:rPr>
                <w:rFonts w:asciiTheme="minorHAnsi" w:eastAsia="Cambria" w:hAnsiTheme="minorHAnsi" w:cstheme="minorHAnsi"/>
                <w:kern w:val="1"/>
                <w:sz w:val="20"/>
                <w:szCs w:val="20"/>
              </w:rPr>
              <w:t xml:space="preserve">Compared to 2011, to what extent do vulnerable populations now benefit from better natural resource management? </w:t>
            </w:r>
          </w:p>
          <w:p w:rsidR="00240A7B" w:rsidRPr="009B1C91" w:rsidRDefault="008B17D0" w:rsidP="001E161B">
            <w:pPr>
              <w:numPr>
                <w:ilvl w:val="0"/>
                <w:numId w:val="15"/>
              </w:numPr>
              <w:suppressAutoHyphens/>
              <w:spacing w:after="0" w:line="240" w:lineRule="auto"/>
              <w:ind w:left="252" w:hanging="270"/>
              <w:rPr>
                <w:rFonts w:asciiTheme="minorHAnsi" w:hAnsiTheme="minorHAnsi" w:cstheme="minorHAnsi"/>
                <w:kern w:val="1"/>
                <w:sz w:val="20"/>
                <w:szCs w:val="20"/>
              </w:rPr>
            </w:pPr>
            <w:r w:rsidRPr="009B1C91">
              <w:rPr>
                <w:rFonts w:asciiTheme="minorHAnsi" w:eastAsia="Cambria" w:hAnsiTheme="minorHAnsi" w:cstheme="minorHAnsi"/>
                <w:kern w:val="1"/>
                <w:sz w:val="20"/>
                <w:szCs w:val="20"/>
              </w:rPr>
              <w:t>Since 2011, how have UNDP projects helped promote low carbon energy sources?</w:t>
            </w:r>
          </w:p>
          <w:p w:rsidR="00240A7B" w:rsidRPr="009B1C91" w:rsidRDefault="008B17D0" w:rsidP="001E161B">
            <w:pPr>
              <w:numPr>
                <w:ilvl w:val="0"/>
                <w:numId w:val="15"/>
              </w:numPr>
              <w:suppressAutoHyphens/>
              <w:spacing w:after="0" w:line="240" w:lineRule="auto"/>
              <w:ind w:left="252" w:hanging="270"/>
              <w:rPr>
                <w:rFonts w:asciiTheme="minorHAnsi" w:hAnsiTheme="minorHAnsi" w:cstheme="minorHAnsi"/>
                <w:kern w:val="1"/>
                <w:sz w:val="20"/>
                <w:szCs w:val="20"/>
              </w:rPr>
            </w:pPr>
            <w:r w:rsidRPr="009B1C91">
              <w:rPr>
                <w:rFonts w:asciiTheme="minorHAnsi" w:eastAsia="Cambria" w:hAnsiTheme="minorHAnsi" w:cstheme="minorHAnsi"/>
                <w:kern w:val="1"/>
                <w:sz w:val="20"/>
                <w:szCs w:val="20"/>
              </w:rPr>
              <w:t xml:space="preserve">Since 2011, how have UNDP projects helped promote access to energy? </w:t>
            </w:r>
          </w:p>
          <w:p w:rsidR="008B17D0" w:rsidRPr="009B1C91" w:rsidRDefault="008B17D0" w:rsidP="001E161B">
            <w:pPr>
              <w:numPr>
                <w:ilvl w:val="0"/>
                <w:numId w:val="15"/>
              </w:numPr>
              <w:suppressAutoHyphens/>
              <w:spacing w:after="0" w:line="240" w:lineRule="auto"/>
              <w:ind w:left="252" w:hanging="270"/>
              <w:rPr>
                <w:rFonts w:asciiTheme="minorHAnsi" w:hAnsiTheme="minorHAnsi" w:cstheme="minorHAnsi"/>
                <w:kern w:val="1"/>
                <w:sz w:val="20"/>
                <w:szCs w:val="20"/>
              </w:rPr>
            </w:pPr>
            <w:r w:rsidRPr="009B1C91">
              <w:rPr>
                <w:rFonts w:asciiTheme="minorHAnsi" w:eastAsia="Cambria" w:hAnsiTheme="minorHAnsi" w:cstheme="minorHAnsi"/>
                <w:kern w:val="1"/>
                <w:sz w:val="20"/>
                <w:szCs w:val="20"/>
              </w:rPr>
              <w:t>To what extent are these changes due to UNDP's interventions?</w:t>
            </w:r>
          </w:p>
        </w:tc>
      </w:tr>
      <w:tr w:rsidR="008B17D0" w:rsidRPr="009B1C91" w:rsidTr="00B5169E">
        <w:trPr>
          <w:cantSplit/>
          <w:trHeight w:val="20"/>
        </w:trPr>
        <w:tc>
          <w:tcPr>
            <w:tcW w:w="9512" w:type="dxa"/>
            <w:tcBorders>
              <w:top w:val="single" w:sz="8" w:space="0" w:color="4F81BD"/>
              <w:left w:val="single" w:sz="8" w:space="0" w:color="4F81BD"/>
              <w:bottom w:val="single" w:sz="8" w:space="0" w:color="4F81BD"/>
              <w:right w:val="single" w:sz="8" w:space="0" w:color="4F81BD"/>
            </w:tcBorders>
            <w:shd w:val="clear" w:color="auto" w:fill="auto"/>
            <w:tcMar>
              <w:top w:w="14" w:type="dxa"/>
              <w:left w:w="86" w:type="dxa"/>
              <w:bottom w:w="14" w:type="dxa"/>
              <w:right w:w="86" w:type="dxa"/>
            </w:tcMar>
          </w:tcPr>
          <w:p w:rsidR="008B17D0" w:rsidRPr="009B1C91" w:rsidRDefault="008B17D0" w:rsidP="00236984">
            <w:pPr>
              <w:spacing w:after="0" w:line="240" w:lineRule="auto"/>
              <w:rPr>
                <w:rFonts w:asciiTheme="minorHAnsi" w:eastAsia="Cambria" w:hAnsiTheme="minorHAnsi" w:cstheme="minorHAnsi"/>
                <w:i/>
                <w:iCs/>
                <w:sz w:val="20"/>
                <w:szCs w:val="20"/>
              </w:rPr>
            </w:pPr>
            <w:r w:rsidRPr="009B1C91">
              <w:rPr>
                <w:rFonts w:asciiTheme="minorHAnsi" w:eastAsia="Cambria" w:hAnsiTheme="minorHAnsi" w:cstheme="minorHAnsi"/>
                <w:b/>
                <w:i/>
                <w:iCs/>
                <w:sz w:val="20"/>
                <w:szCs w:val="20"/>
              </w:rPr>
              <w:t>Efficiency in delivering outputs</w:t>
            </w:r>
            <w:r w:rsidRPr="009B1C91">
              <w:rPr>
                <w:rFonts w:asciiTheme="minorHAnsi" w:eastAsia="Cambria" w:hAnsiTheme="minorHAnsi" w:cstheme="minorHAnsi"/>
                <w:i/>
                <w:iCs/>
                <w:sz w:val="20"/>
                <w:szCs w:val="20"/>
              </w:rPr>
              <w:t>:</w:t>
            </w:r>
          </w:p>
          <w:p w:rsidR="00240A7B" w:rsidRPr="009B1C91" w:rsidRDefault="008B17D0" w:rsidP="001E161B">
            <w:pPr>
              <w:numPr>
                <w:ilvl w:val="0"/>
                <w:numId w:val="16"/>
              </w:numPr>
              <w:suppressAutoHyphens/>
              <w:spacing w:after="0" w:line="240" w:lineRule="auto"/>
              <w:ind w:left="252" w:hanging="270"/>
              <w:rPr>
                <w:rFonts w:asciiTheme="minorHAnsi" w:hAnsiTheme="minorHAnsi" w:cstheme="minorHAnsi"/>
                <w:kern w:val="1"/>
                <w:sz w:val="20"/>
                <w:szCs w:val="20"/>
              </w:rPr>
            </w:pPr>
            <w:r w:rsidRPr="009B1C91">
              <w:rPr>
                <w:rFonts w:asciiTheme="minorHAnsi" w:eastAsia="Cambria" w:hAnsiTheme="minorHAnsi" w:cstheme="minorHAnsi"/>
                <w:kern w:val="1"/>
                <w:sz w:val="20"/>
                <w:szCs w:val="20"/>
              </w:rPr>
              <w:t>To what extent were the relevant programme/project outputs delivered in time and in good quality?</w:t>
            </w:r>
          </w:p>
          <w:p w:rsidR="00240A7B" w:rsidRPr="009B1C91" w:rsidRDefault="008B17D0" w:rsidP="001E161B">
            <w:pPr>
              <w:numPr>
                <w:ilvl w:val="0"/>
                <w:numId w:val="16"/>
              </w:numPr>
              <w:suppressAutoHyphens/>
              <w:spacing w:after="0" w:line="240" w:lineRule="auto"/>
              <w:ind w:left="252" w:hanging="270"/>
              <w:rPr>
                <w:rFonts w:asciiTheme="minorHAnsi" w:hAnsiTheme="minorHAnsi" w:cstheme="minorHAnsi"/>
                <w:kern w:val="1"/>
                <w:sz w:val="20"/>
                <w:szCs w:val="20"/>
              </w:rPr>
            </w:pPr>
            <w:r w:rsidRPr="009B1C91">
              <w:rPr>
                <w:rFonts w:asciiTheme="minorHAnsi" w:eastAsia="Cambria" w:hAnsiTheme="minorHAnsi" w:cstheme="minorHAnsi"/>
                <w:kern w:val="1"/>
                <w:sz w:val="20"/>
                <w:szCs w:val="20"/>
              </w:rPr>
              <w:t>To what extent did UNDP ensure value for money?</w:t>
            </w:r>
          </w:p>
          <w:p w:rsidR="008B17D0" w:rsidRPr="009B1C91" w:rsidRDefault="008B17D0" w:rsidP="001E161B">
            <w:pPr>
              <w:numPr>
                <w:ilvl w:val="0"/>
                <w:numId w:val="16"/>
              </w:numPr>
              <w:suppressAutoHyphens/>
              <w:spacing w:after="0" w:line="240" w:lineRule="auto"/>
              <w:ind w:left="252" w:hanging="270"/>
              <w:rPr>
                <w:rFonts w:asciiTheme="minorHAnsi" w:hAnsiTheme="minorHAnsi" w:cstheme="minorHAnsi"/>
                <w:kern w:val="1"/>
                <w:sz w:val="20"/>
                <w:szCs w:val="20"/>
              </w:rPr>
            </w:pPr>
            <w:r w:rsidRPr="009B1C91">
              <w:rPr>
                <w:rFonts w:asciiTheme="minorHAnsi" w:eastAsia="Cambria" w:hAnsiTheme="minorHAnsi" w:cstheme="minorHAnsi"/>
                <w:kern w:val="1"/>
                <w:sz w:val="20"/>
                <w:szCs w:val="20"/>
              </w:rPr>
              <w:t>Has there been any duplication/overlap of efforts among UNDP’s own interventions and those of other organizations?</w:t>
            </w:r>
          </w:p>
        </w:tc>
      </w:tr>
      <w:tr w:rsidR="008B17D0" w:rsidRPr="009B1C91" w:rsidTr="00B5169E">
        <w:trPr>
          <w:cantSplit/>
          <w:trHeight w:val="20"/>
        </w:trPr>
        <w:tc>
          <w:tcPr>
            <w:tcW w:w="9512" w:type="dxa"/>
            <w:tcBorders>
              <w:top w:val="single" w:sz="8" w:space="0" w:color="4F81BD"/>
              <w:left w:val="single" w:sz="8" w:space="0" w:color="4F81BD"/>
              <w:bottom w:val="single" w:sz="8" w:space="0" w:color="4F81BD"/>
              <w:right w:val="single" w:sz="8" w:space="0" w:color="4F81BD"/>
            </w:tcBorders>
            <w:shd w:val="clear" w:color="auto" w:fill="auto"/>
            <w:tcMar>
              <w:top w:w="14" w:type="dxa"/>
              <w:left w:w="86" w:type="dxa"/>
              <w:bottom w:w="14" w:type="dxa"/>
              <w:right w:w="86" w:type="dxa"/>
            </w:tcMar>
          </w:tcPr>
          <w:p w:rsidR="008B17D0" w:rsidRPr="009B1C91" w:rsidRDefault="008B17D0" w:rsidP="00236984">
            <w:pPr>
              <w:spacing w:after="0" w:line="240" w:lineRule="auto"/>
              <w:rPr>
                <w:rFonts w:asciiTheme="minorHAnsi" w:eastAsia="Cambria" w:hAnsiTheme="minorHAnsi" w:cstheme="minorHAnsi"/>
                <w:i/>
                <w:iCs/>
                <w:sz w:val="20"/>
                <w:szCs w:val="20"/>
              </w:rPr>
            </w:pPr>
            <w:r w:rsidRPr="009B1C91">
              <w:rPr>
                <w:rFonts w:asciiTheme="minorHAnsi" w:eastAsia="Cambria" w:hAnsiTheme="minorHAnsi" w:cstheme="minorHAnsi"/>
                <w:b/>
                <w:i/>
                <w:iCs/>
                <w:sz w:val="20"/>
                <w:szCs w:val="20"/>
              </w:rPr>
              <w:t>Sustainability of the outcome</w:t>
            </w:r>
            <w:r w:rsidRPr="009B1C91">
              <w:rPr>
                <w:rFonts w:asciiTheme="minorHAnsi" w:eastAsia="Cambria" w:hAnsiTheme="minorHAnsi" w:cstheme="minorHAnsi"/>
                <w:i/>
                <w:iCs/>
                <w:sz w:val="20"/>
                <w:szCs w:val="20"/>
              </w:rPr>
              <w:t>:</w:t>
            </w:r>
          </w:p>
          <w:p w:rsidR="008B17D0" w:rsidRPr="009B1C91" w:rsidRDefault="008B17D0" w:rsidP="001E161B">
            <w:pPr>
              <w:numPr>
                <w:ilvl w:val="0"/>
                <w:numId w:val="17"/>
              </w:numPr>
              <w:suppressAutoHyphens/>
              <w:spacing w:after="0" w:line="240" w:lineRule="auto"/>
              <w:ind w:left="342"/>
              <w:rPr>
                <w:rFonts w:asciiTheme="minorHAnsi" w:hAnsiTheme="minorHAnsi" w:cstheme="minorHAnsi"/>
                <w:sz w:val="20"/>
                <w:szCs w:val="20"/>
              </w:rPr>
            </w:pPr>
            <w:r w:rsidRPr="009B1C91">
              <w:rPr>
                <w:rFonts w:asciiTheme="minorHAnsi" w:eastAsia="Cambria" w:hAnsiTheme="minorHAnsi" w:cstheme="minorHAnsi"/>
                <w:kern w:val="1"/>
                <w:sz w:val="20"/>
                <w:szCs w:val="20"/>
              </w:rPr>
              <w:t xml:space="preserve">What indications are there that the outcome will be sustained after external funding ends? </w:t>
            </w:r>
          </w:p>
        </w:tc>
      </w:tr>
    </w:tbl>
    <w:p w:rsidR="008B17D0" w:rsidRPr="009B1C91" w:rsidRDefault="008B17D0" w:rsidP="008B17D0">
      <w:pPr>
        <w:spacing w:after="0" w:line="240" w:lineRule="auto"/>
        <w:jc w:val="both"/>
        <w:rPr>
          <w:rFonts w:asciiTheme="minorHAnsi" w:eastAsia="Cambria" w:hAnsiTheme="minorHAnsi" w:cstheme="minorHAnsi"/>
        </w:rPr>
      </w:pPr>
    </w:p>
    <w:p w:rsidR="008B17D0" w:rsidRPr="009B1C91" w:rsidRDefault="008B17D0" w:rsidP="00C61EA4">
      <w:pPr>
        <w:spacing w:after="0" w:line="240" w:lineRule="auto"/>
        <w:jc w:val="both"/>
        <w:rPr>
          <w:rFonts w:asciiTheme="minorHAnsi" w:eastAsia="Cambria" w:hAnsiTheme="minorHAnsi" w:cstheme="minorHAnsi"/>
          <w:color w:val="FF0000"/>
          <w:u w:color="FF0000"/>
        </w:rPr>
      </w:pPr>
      <w:r w:rsidRPr="009B1C91">
        <w:rPr>
          <w:rFonts w:asciiTheme="minorHAnsi" w:eastAsia="Cambria" w:hAnsiTheme="minorHAnsi" w:cstheme="minorHAnsi"/>
        </w:rPr>
        <w:t xml:space="preserve">The evaluation questions regarding specific project activities as well as their associated institutional and policy changes are illustrated in </w:t>
      </w:r>
      <w:r w:rsidR="00C63CB7">
        <w:rPr>
          <w:rFonts w:asciiTheme="minorHAnsi" w:eastAsia="Cambria" w:hAnsiTheme="minorHAnsi" w:cstheme="minorHAnsi"/>
          <w:u w:color="FF0000"/>
        </w:rPr>
        <w:t>Annex III</w:t>
      </w:r>
      <w:r w:rsidR="00C1541C" w:rsidRPr="009B1C91">
        <w:rPr>
          <w:rFonts w:asciiTheme="minorHAnsi" w:eastAsia="Cambria" w:hAnsiTheme="minorHAnsi" w:cstheme="minorHAnsi"/>
          <w:u w:color="FF0000"/>
        </w:rPr>
        <w:t>.</w:t>
      </w:r>
    </w:p>
    <w:p w:rsidR="008B17D0" w:rsidRPr="009B1C91" w:rsidRDefault="008B17D0" w:rsidP="00C61EA4">
      <w:pPr>
        <w:spacing w:after="0" w:line="240" w:lineRule="auto"/>
        <w:jc w:val="both"/>
        <w:rPr>
          <w:rFonts w:asciiTheme="minorHAnsi" w:eastAsia="Cambria" w:hAnsiTheme="minorHAnsi" w:cstheme="minorHAnsi"/>
        </w:rPr>
      </w:pPr>
    </w:p>
    <w:p w:rsidR="008B17D0" w:rsidRPr="009B1C91" w:rsidRDefault="008B17D0" w:rsidP="00C61EA4">
      <w:pPr>
        <w:spacing w:after="0" w:line="240" w:lineRule="auto"/>
        <w:jc w:val="both"/>
        <w:rPr>
          <w:rFonts w:asciiTheme="minorHAnsi" w:eastAsia="Cambria" w:hAnsiTheme="minorHAnsi" w:cstheme="minorHAnsi"/>
          <w:b/>
          <w:bCs/>
          <w:i/>
          <w:iCs/>
        </w:rPr>
      </w:pPr>
      <w:r w:rsidRPr="009B1C91">
        <w:rPr>
          <w:rFonts w:asciiTheme="minorHAnsi" w:eastAsia="Cambria" w:hAnsiTheme="minorHAnsi" w:cstheme="minorHAnsi"/>
          <w:b/>
          <w:bCs/>
          <w:i/>
          <w:iCs/>
        </w:rPr>
        <w:t>B. Indicators</w:t>
      </w:r>
    </w:p>
    <w:p w:rsidR="008B17D0" w:rsidRPr="009B1C91" w:rsidRDefault="008B17D0" w:rsidP="00C61EA4">
      <w:pPr>
        <w:spacing w:after="0" w:line="240" w:lineRule="auto"/>
        <w:jc w:val="both"/>
        <w:rPr>
          <w:rFonts w:asciiTheme="minorHAnsi" w:eastAsia="Cambria" w:hAnsiTheme="minorHAnsi" w:cstheme="minorHAnsi"/>
        </w:rPr>
      </w:pPr>
    </w:p>
    <w:p w:rsidR="008B17D0" w:rsidRPr="009B1C91" w:rsidRDefault="008B17D0" w:rsidP="00C61EA4">
      <w:pPr>
        <w:spacing w:after="0" w:line="240" w:lineRule="auto"/>
        <w:jc w:val="both"/>
        <w:rPr>
          <w:rFonts w:asciiTheme="minorHAnsi" w:eastAsia="Cambria" w:hAnsiTheme="minorHAnsi" w:cstheme="minorHAnsi"/>
        </w:rPr>
      </w:pPr>
      <w:r w:rsidRPr="009B1C91">
        <w:rPr>
          <w:rFonts w:asciiTheme="minorHAnsi" w:eastAsia="Cambria" w:hAnsiTheme="minorHAnsi" w:cstheme="minorHAnsi"/>
        </w:rPr>
        <w:t xml:space="preserve">The indicators selected in the logical framework of results-based outcome analysis, as illustrated in the Evaluation Matrix </w:t>
      </w:r>
      <w:r w:rsidR="009B301C">
        <w:rPr>
          <w:rFonts w:asciiTheme="minorHAnsi" w:eastAsia="Cambria" w:hAnsiTheme="minorHAnsi" w:cstheme="minorHAnsi"/>
          <w:u w:color="FF0000"/>
        </w:rPr>
        <w:t>(Annex III</w:t>
      </w:r>
      <w:r w:rsidRPr="009B1C91">
        <w:rPr>
          <w:rFonts w:asciiTheme="minorHAnsi" w:eastAsia="Cambria" w:hAnsiTheme="minorHAnsi" w:cstheme="minorHAnsi"/>
          <w:u w:color="FF0000"/>
        </w:rPr>
        <w:t>),</w:t>
      </w:r>
      <w:r w:rsidRPr="009B1C91">
        <w:rPr>
          <w:rFonts w:asciiTheme="minorHAnsi" w:eastAsia="Cambria" w:hAnsiTheme="minorHAnsi" w:cstheme="minorHAnsi"/>
        </w:rPr>
        <w:t xml:space="preserve"> follow the SMART criteria (specific, measurable, achievable, relevant, time-bound), wherever possible. In cases where SMART criteria were not appropriate or unavailable, proxy criteria based on logical inferences were used. </w:t>
      </w:r>
    </w:p>
    <w:p w:rsidR="008B17D0" w:rsidRPr="009B1C91" w:rsidRDefault="008B17D0" w:rsidP="00C61EA4">
      <w:pPr>
        <w:spacing w:after="0" w:line="240" w:lineRule="auto"/>
        <w:jc w:val="both"/>
        <w:rPr>
          <w:rFonts w:asciiTheme="minorHAnsi" w:eastAsia="Cambria" w:hAnsiTheme="minorHAnsi" w:cstheme="minorHAnsi"/>
        </w:rPr>
      </w:pPr>
    </w:p>
    <w:p w:rsidR="008B17D0" w:rsidRPr="009B1C91" w:rsidRDefault="008B17D0" w:rsidP="00C61EA4">
      <w:pPr>
        <w:spacing w:after="0" w:line="240" w:lineRule="auto"/>
        <w:jc w:val="both"/>
        <w:rPr>
          <w:rFonts w:asciiTheme="minorHAnsi" w:eastAsia="Cambria" w:hAnsiTheme="minorHAnsi" w:cstheme="minorHAnsi"/>
        </w:rPr>
      </w:pPr>
      <w:r w:rsidRPr="009B1C91">
        <w:rPr>
          <w:rFonts w:asciiTheme="minorHAnsi" w:eastAsia="Cambria" w:hAnsiTheme="minorHAnsi" w:cstheme="minorHAnsi"/>
        </w:rPr>
        <w:lastRenderedPageBreak/>
        <w:t>As noted in the Evaluability Report</w:t>
      </w:r>
      <w:r w:rsidRPr="009B1C91">
        <w:rPr>
          <w:rFonts w:asciiTheme="minorHAnsi" w:eastAsia="Cambria" w:hAnsiTheme="minorHAnsi" w:cstheme="minorHAnsi"/>
          <w:vertAlign w:val="superscript"/>
        </w:rPr>
        <w:footnoteReference w:id="5"/>
      </w:r>
      <w:r w:rsidRPr="009B1C91">
        <w:rPr>
          <w:rFonts w:asciiTheme="minorHAnsi" w:eastAsia="Cambria" w:hAnsiTheme="minorHAnsi" w:cstheme="minorHAnsi"/>
        </w:rPr>
        <w:t xml:space="preserve">, the four distinct indicators shown in the Table below </w:t>
      </w:r>
      <w:r w:rsidR="0080623E">
        <w:rPr>
          <w:rFonts w:asciiTheme="minorHAnsi" w:eastAsia="Cambria" w:hAnsiTheme="minorHAnsi" w:cstheme="minorHAnsi"/>
        </w:rPr>
        <w:t xml:space="preserve">(Table 1.3) </w:t>
      </w:r>
      <w:r w:rsidRPr="009B1C91">
        <w:rPr>
          <w:rFonts w:asciiTheme="minorHAnsi" w:eastAsia="Cambria" w:hAnsiTheme="minorHAnsi" w:cstheme="minorHAnsi"/>
        </w:rPr>
        <w:t>were emphasized by the evaluators to make evidence-based inferences and judgements:</w:t>
      </w:r>
    </w:p>
    <w:p w:rsidR="00C61EA4" w:rsidRPr="009B1C91" w:rsidRDefault="00C61EA4" w:rsidP="00C61EA4">
      <w:pPr>
        <w:spacing w:after="0" w:line="240" w:lineRule="auto"/>
        <w:jc w:val="both"/>
        <w:rPr>
          <w:rFonts w:asciiTheme="minorHAnsi" w:eastAsia="Cambria" w:hAnsiTheme="minorHAnsi" w:cstheme="minorHAnsi"/>
          <w:sz w:val="12"/>
        </w:rPr>
      </w:pPr>
    </w:p>
    <w:tbl>
      <w:tblPr>
        <w:tblW w:w="9512" w:type="dxa"/>
        <w:tblInd w:w="108" w:type="dxa"/>
        <w:tblLayout w:type="fixed"/>
        <w:tblCellMar>
          <w:left w:w="115" w:type="dxa"/>
          <w:right w:w="115" w:type="dxa"/>
        </w:tblCellMar>
        <w:tblLook w:val="0000" w:firstRow="0" w:lastRow="0" w:firstColumn="0" w:lastColumn="0" w:noHBand="0" w:noVBand="0"/>
      </w:tblPr>
      <w:tblGrid>
        <w:gridCol w:w="9512"/>
      </w:tblGrid>
      <w:tr w:rsidR="008B17D0" w:rsidRPr="009B1C91" w:rsidTr="00486BBA">
        <w:trPr>
          <w:cantSplit/>
          <w:trHeight w:val="477"/>
        </w:trPr>
        <w:tc>
          <w:tcPr>
            <w:tcW w:w="9512"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rsidR="008B17D0" w:rsidRPr="009B1C91" w:rsidRDefault="0080623E" w:rsidP="00DF010F">
            <w:pPr>
              <w:tabs>
                <w:tab w:val="left" w:pos="360"/>
              </w:tabs>
              <w:spacing w:after="0" w:line="240" w:lineRule="auto"/>
              <w:jc w:val="both"/>
              <w:rPr>
                <w:rFonts w:asciiTheme="minorHAnsi" w:eastAsia="Cambria" w:hAnsiTheme="minorHAnsi" w:cstheme="minorHAnsi"/>
                <w:b/>
                <w:bCs/>
                <w:sz w:val="20"/>
                <w:szCs w:val="20"/>
              </w:rPr>
            </w:pPr>
            <w:r>
              <w:rPr>
                <w:rFonts w:asciiTheme="minorHAnsi" w:eastAsia="Cambria" w:hAnsiTheme="minorHAnsi" w:cstheme="minorHAnsi"/>
                <w:b/>
                <w:bCs/>
                <w:sz w:val="20"/>
                <w:szCs w:val="20"/>
              </w:rPr>
              <w:t xml:space="preserve">Table 1.3: </w:t>
            </w:r>
            <w:r w:rsidR="008B17D0" w:rsidRPr="009B1C91">
              <w:rPr>
                <w:rFonts w:asciiTheme="minorHAnsi" w:eastAsia="Cambria" w:hAnsiTheme="minorHAnsi" w:cstheme="minorHAnsi"/>
                <w:b/>
                <w:bCs/>
                <w:sz w:val="20"/>
                <w:szCs w:val="20"/>
              </w:rPr>
              <w:t>Country Programme Outcome 3.1</w:t>
            </w:r>
            <w:r w:rsidR="00DF010F" w:rsidRPr="009B1C91">
              <w:rPr>
                <w:rFonts w:asciiTheme="minorHAnsi" w:eastAsia="Cambria" w:hAnsiTheme="minorHAnsi" w:cstheme="minorHAnsi"/>
                <w:b/>
                <w:bCs/>
                <w:sz w:val="20"/>
                <w:szCs w:val="20"/>
              </w:rPr>
              <w:t xml:space="preserve">: </w:t>
            </w:r>
            <w:r w:rsidR="008B17D0" w:rsidRPr="009B1C91">
              <w:rPr>
                <w:rFonts w:asciiTheme="minorHAnsi" w:eastAsia="Cambria" w:hAnsiTheme="minorHAnsi" w:cstheme="minorHAnsi"/>
                <w:b/>
                <w:bCs/>
                <w:sz w:val="20"/>
                <w:szCs w:val="20"/>
              </w:rPr>
              <w:t xml:space="preserve">By 2016, populations vulnerable to climate change and natural disaster have become more resilient to adapt to risks </w:t>
            </w:r>
          </w:p>
        </w:tc>
      </w:tr>
      <w:tr w:rsidR="008B17D0" w:rsidRPr="009B1C91" w:rsidTr="00486BBA">
        <w:trPr>
          <w:cantSplit/>
          <w:trHeight w:val="180"/>
        </w:trPr>
        <w:tc>
          <w:tcPr>
            <w:tcW w:w="9512" w:type="dxa"/>
            <w:tcBorders>
              <w:top w:val="single" w:sz="4" w:space="0" w:color="000000"/>
              <w:left w:val="single" w:sz="4" w:space="0" w:color="000000"/>
              <w:bottom w:val="single" w:sz="4" w:space="0" w:color="000000"/>
              <w:right w:val="single" w:sz="4" w:space="0" w:color="000000"/>
            </w:tcBorders>
            <w:shd w:val="clear" w:color="auto" w:fill="D3DFEE"/>
            <w:tcMar>
              <w:top w:w="14" w:type="dxa"/>
              <w:left w:w="86" w:type="dxa"/>
              <w:bottom w:w="14" w:type="dxa"/>
              <w:right w:w="86" w:type="dxa"/>
            </w:tcMar>
          </w:tcPr>
          <w:p w:rsidR="008B17D0" w:rsidRPr="009B1C91" w:rsidRDefault="008B17D0" w:rsidP="00240A7B">
            <w:pPr>
              <w:spacing w:after="0" w:line="240" w:lineRule="auto"/>
              <w:jc w:val="both"/>
              <w:rPr>
                <w:rFonts w:asciiTheme="minorHAnsi" w:eastAsia="Cambria" w:hAnsiTheme="minorHAnsi" w:cstheme="minorHAnsi"/>
                <w:sz w:val="20"/>
                <w:szCs w:val="20"/>
              </w:rPr>
            </w:pPr>
            <w:r w:rsidRPr="009B1C91">
              <w:rPr>
                <w:rFonts w:asciiTheme="minorHAnsi" w:eastAsia="Cambria" w:hAnsiTheme="minorHAnsi" w:cstheme="minorHAnsi"/>
                <w:b/>
                <w:sz w:val="20"/>
                <w:szCs w:val="20"/>
              </w:rPr>
              <w:t>Outcome Indicator 1</w:t>
            </w:r>
            <w:r w:rsidRPr="009B1C91">
              <w:rPr>
                <w:rFonts w:asciiTheme="minorHAnsi" w:eastAsia="Cambria" w:hAnsiTheme="minorHAnsi" w:cstheme="minorHAnsi"/>
                <w:sz w:val="20"/>
                <w:szCs w:val="20"/>
              </w:rPr>
              <w:t>:</w:t>
            </w:r>
            <w:r w:rsidRPr="009B1C91">
              <w:rPr>
                <w:rFonts w:asciiTheme="minorHAnsi" w:eastAsia="Cambria" w:hAnsiTheme="minorHAnsi" w:cstheme="minorHAnsi"/>
                <w:i/>
                <w:iCs/>
                <w:sz w:val="20"/>
                <w:szCs w:val="20"/>
              </w:rPr>
              <w:t xml:space="preserve">Environment, climate and disaster vulnerability index </w:t>
            </w:r>
          </w:p>
          <w:p w:rsidR="008B17D0" w:rsidRPr="009B1C91" w:rsidRDefault="008B17D0" w:rsidP="00486BBA">
            <w:pPr>
              <w:spacing w:after="0" w:line="240" w:lineRule="auto"/>
              <w:jc w:val="both"/>
              <w:rPr>
                <w:rFonts w:asciiTheme="minorHAnsi" w:eastAsia="Cambria" w:hAnsiTheme="minorHAnsi" w:cstheme="minorHAnsi"/>
                <w:sz w:val="20"/>
                <w:szCs w:val="20"/>
              </w:rPr>
            </w:pPr>
            <w:r w:rsidRPr="009B1C91">
              <w:rPr>
                <w:rFonts w:asciiTheme="minorHAnsi" w:eastAsia="Cambria" w:hAnsiTheme="minorHAnsi" w:cstheme="minorHAnsi"/>
                <w:b/>
                <w:sz w:val="20"/>
                <w:szCs w:val="20"/>
              </w:rPr>
              <w:t>Baseline</w:t>
            </w:r>
            <w:r w:rsidRPr="009B1C91">
              <w:rPr>
                <w:rFonts w:asciiTheme="minorHAnsi" w:eastAsia="Cambria" w:hAnsiTheme="minorHAnsi" w:cstheme="minorHAnsi"/>
                <w:sz w:val="20"/>
                <w:szCs w:val="20"/>
              </w:rPr>
              <w:t>: 2011: 0% reduction</w:t>
            </w:r>
            <w:r w:rsidRPr="009B1C91">
              <w:rPr>
                <w:rFonts w:asciiTheme="minorHAnsi" w:eastAsia="Cambria" w:hAnsiTheme="minorHAnsi" w:cstheme="minorHAnsi"/>
                <w:b/>
                <w:sz w:val="20"/>
                <w:szCs w:val="20"/>
              </w:rPr>
              <w:t>Target:</w:t>
            </w:r>
            <w:r w:rsidRPr="009B1C91">
              <w:rPr>
                <w:rFonts w:asciiTheme="minorHAnsi" w:eastAsia="Cambria" w:hAnsiTheme="minorHAnsi" w:cstheme="minorHAnsi"/>
                <w:sz w:val="20"/>
                <w:szCs w:val="20"/>
              </w:rPr>
              <w:t xml:space="preserve"> 2016: 20% reduction</w:t>
            </w:r>
          </w:p>
        </w:tc>
      </w:tr>
      <w:tr w:rsidR="008B17D0" w:rsidRPr="009B1C91" w:rsidTr="00486BBA">
        <w:trPr>
          <w:cantSplit/>
          <w:trHeight w:val="180"/>
        </w:trPr>
        <w:tc>
          <w:tcPr>
            <w:tcW w:w="9512"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rsidR="008B17D0" w:rsidRPr="009B1C91" w:rsidRDefault="008B17D0" w:rsidP="00240A7B">
            <w:pPr>
              <w:spacing w:after="0" w:line="240" w:lineRule="auto"/>
              <w:jc w:val="both"/>
              <w:rPr>
                <w:rFonts w:asciiTheme="minorHAnsi" w:eastAsia="Cambria" w:hAnsiTheme="minorHAnsi" w:cstheme="minorHAnsi"/>
                <w:i/>
                <w:iCs/>
                <w:sz w:val="20"/>
                <w:szCs w:val="20"/>
              </w:rPr>
            </w:pPr>
            <w:r w:rsidRPr="009B1C91">
              <w:rPr>
                <w:rFonts w:asciiTheme="minorHAnsi" w:eastAsia="Cambria" w:hAnsiTheme="minorHAnsi" w:cstheme="minorHAnsi"/>
                <w:b/>
                <w:sz w:val="20"/>
                <w:szCs w:val="20"/>
              </w:rPr>
              <w:t>Outcome Indicator 2</w:t>
            </w:r>
            <w:r w:rsidRPr="009B1C91">
              <w:rPr>
                <w:rFonts w:asciiTheme="minorHAnsi" w:eastAsia="Cambria" w:hAnsiTheme="minorHAnsi" w:cstheme="minorHAnsi"/>
                <w:sz w:val="20"/>
                <w:szCs w:val="20"/>
              </w:rPr>
              <w:t>:</w:t>
            </w:r>
            <w:r w:rsidRPr="009B1C91">
              <w:rPr>
                <w:rFonts w:asciiTheme="minorHAnsi" w:eastAsia="Cambria" w:hAnsiTheme="minorHAnsi" w:cstheme="minorHAnsi"/>
                <w:i/>
                <w:iCs/>
                <w:sz w:val="20"/>
                <w:szCs w:val="20"/>
              </w:rPr>
              <w:t>Community Asset Score for disaster risk reduction</w:t>
            </w:r>
          </w:p>
          <w:p w:rsidR="008B17D0" w:rsidRPr="009B1C91" w:rsidRDefault="008B17D0" w:rsidP="00486BBA">
            <w:pPr>
              <w:spacing w:after="0" w:line="240" w:lineRule="auto"/>
              <w:jc w:val="both"/>
              <w:rPr>
                <w:rFonts w:asciiTheme="minorHAnsi" w:eastAsia="Cambria" w:hAnsiTheme="minorHAnsi" w:cstheme="minorHAnsi"/>
                <w:sz w:val="20"/>
                <w:szCs w:val="20"/>
              </w:rPr>
            </w:pPr>
            <w:r w:rsidRPr="009B1C91">
              <w:rPr>
                <w:rFonts w:asciiTheme="minorHAnsi" w:eastAsia="Cambria" w:hAnsiTheme="minorHAnsi" w:cstheme="minorHAnsi"/>
                <w:b/>
                <w:sz w:val="20"/>
                <w:szCs w:val="20"/>
              </w:rPr>
              <w:t>Baseline</w:t>
            </w:r>
            <w:r w:rsidRPr="009B1C91">
              <w:rPr>
                <w:rFonts w:asciiTheme="minorHAnsi" w:eastAsia="Cambria" w:hAnsiTheme="minorHAnsi" w:cstheme="minorHAnsi"/>
                <w:sz w:val="20"/>
                <w:szCs w:val="20"/>
              </w:rPr>
              <w:t>: 2011: 90</w:t>
            </w:r>
            <w:r w:rsidRPr="009B1C91">
              <w:rPr>
                <w:rFonts w:asciiTheme="minorHAnsi" w:eastAsia="Cambria" w:hAnsiTheme="minorHAnsi" w:cstheme="minorHAnsi"/>
                <w:b/>
                <w:sz w:val="20"/>
                <w:szCs w:val="20"/>
              </w:rPr>
              <w:t>Target</w:t>
            </w:r>
            <w:r w:rsidRPr="009B1C91">
              <w:rPr>
                <w:rFonts w:asciiTheme="minorHAnsi" w:eastAsia="Cambria" w:hAnsiTheme="minorHAnsi" w:cstheme="minorHAnsi"/>
                <w:sz w:val="20"/>
                <w:szCs w:val="20"/>
              </w:rPr>
              <w:t>: 2016: 300</w:t>
            </w:r>
          </w:p>
        </w:tc>
      </w:tr>
      <w:tr w:rsidR="008B17D0" w:rsidRPr="009B1C91" w:rsidTr="00486BBA">
        <w:trPr>
          <w:cantSplit/>
          <w:trHeight w:val="180"/>
        </w:trPr>
        <w:tc>
          <w:tcPr>
            <w:tcW w:w="9512" w:type="dxa"/>
            <w:tcBorders>
              <w:top w:val="single" w:sz="4" w:space="0" w:color="000000"/>
              <w:left w:val="single" w:sz="4" w:space="0" w:color="000000"/>
              <w:bottom w:val="single" w:sz="4" w:space="0" w:color="000000"/>
              <w:right w:val="single" w:sz="4" w:space="0" w:color="000000"/>
            </w:tcBorders>
            <w:shd w:val="clear" w:color="auto" w:fill="D3DFEE"/>
            <w:tcMar>
              <w:top w:w="14" w:type="dxa"/>
              <w:left w:w="86" w:type="dxa"/>
              <w:bottom w:w="14" w:type="dxa"/>
              <w:right w:w="86" w:type="dxa"/>
            </w:tcMar>
          </w:tcPr>
          <w:p w:rsidR="008B17D0" w:rsidRPr="009B1C91" w:rsidRDefault="008B17D0" w:rsidP="003C6762">
            <w:pPr>
              <w:tabs>
                <w:tab w:val="left" w:pos="360"/>
              </w:tabs>
              <w:spacing w:after="0" w:line="240" w:lineRule="auto"/>
              <w:rPr>
                <w:rFonts w:asciiTheme="minorHAnsi" w:hAnsiTheme="minorHAnsi" w:cstheme="minorHAnsi"/>
                <w:b/>
                <w:bCs/>
                <w:i/>
                <w:iCs/>
                <w:sz w:val="20"/>
                <w:szCs w:val="20"/>
              </w:rPr>
            </w:pPr>
            <w:r w:rsidRPr="009B1C91">
              <w:rPr>
                <w:rFonts w:asciiTheme="minorHAnsi" w:eastAsia="Cambria" w:hAnsiTheme="minorHAnsi" w:cstheme="minorHAnsi"/>
                <w:b/>
                <w:bCs/>
                <w:sz w:val="20"/>
                <w:szCs w:val="20"/>
              </w:rPr>
              <w:t>Country Programme Outcome 3.2</w:t>
            </w:r>
            <w:r w:rsidR="00DF010F" w:rsidRPr="009B1C91">
              <w:rPr>
                <w:rFonts w:asciiTheme="minorHAnsi" w:eastAsia="Cambria" w:hAnsiTheme="minorHAnsi" w:cstheme="minorHAnsi"/>
                <w:b/>
                <w:bCs/>
                <w:sz w:val="20"/>
                <w:szCs w:val="20"/>
              </w:rPr>
              <w:t xml:space="preserve">: </w:t>
            </w:r>
            <w:r w:rsidRPr="009B1C91">
              <w:rPr>
                <w:rFonts w:asciiTheme="minorHAnsi" w:eastAsia="Cambria" w:hAnsiTheme="minorHAnsi" w:cstheme="minorHAnsi"/>
                <w:b/>
                <w:bCs/>
                <w:sz w:val="20"/>
                <w:szCs w:val="20"/>
              </w:rPr>
              <w:t>By2016,vulnerablepopulationsbenefitfrombetternaturalresourcemanagement</w:t>
            </w:r>
            <w:r w:rsidRPr="009B1C91">
              <w:rPr>
                <w:rFonts w:asciiTheme="minorHAnsi" w:eastAsia="Cambria" w:hAnsiTheme="minorHAnsi" w:cstheme="minorHAnsi"/>
                <w:b/>
                <w:bCs/>
                <w:spacing w:val="1"/>
                <w:sz w:val="20"/>
                <w:szCs w:val="20"/>
              </w:rPr>
              <w:t>and</w:t>
            </w:r>
            <w:r w:rsidRPr="009B1C91">
              <w:rPr>
                <w:rFonts w:asciiTheme="minorHAnsi" w:eastAsia="Cambria" w:hAnsiTheme="minorHAnsi" w:cstheme="minorHAnsi"/>
                <w:b/>
                <w:bCs/>
                <w:sz w:val="20"/>
                <w:szCs w:val="20"/>
              </w:rPr>
              <w:t>accesstolowcarbonenergy</w:t>
            </w:r>
          </w:p>
        </w:tc>
      </w:tr>
      <w:tr w:rsidR="008B17D0" w:rsidRPr="009B1C91" w:rsidTr="00486BBA">
        <w:trPr>
          <w:cantSplit/>
          <w:trHeight w:val="180"/>
        </w:trPr>
        <w:tc>
          <w:tcPr>
            <w:tcW w:w="9512"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rsidR="008B17D0" w:rsidRPr="009B1C91" w:rsidRDefault="008B17D0" w:rsidP="00240A7B">
            <w:pPr>
              <w:spacing w:after="0" w:line="240" w:lineRule="auto"/>
              <w:jc w:val="both"/>
              <w:rPr>
                <w:rFonts w:asciiTheme="minorHAnsi" w:eastAsia="Cambria" w:hAnsiTheme="minorHAnsi" w:cstheme="minorHAnsi"/>
                <w:i/>
                <w:iCs/>
                <w:sz w:val="20"/>
                <w:szCs w:val="20"/>
              </w:rPr>
            </w:pPr>
            <w:r w:rsidRPr="009B1C91">
              <w:rPr>
                <w:rFonts w:asciiTheme="minorHAnsi" w:eastAsia="Cambria" w:hAnsiTheme="minorHAnsi" w:cstheme="minorHAnsi"/>
                <w:b/>
                <w:sz w:val="20"/>
                <w:szCs w:val="20"/>
              </w:rPr>
              <w:t>Outcome Indicator 1</w:t>
            </w:r>
            <w:r w:rsidRPr="009B1C91">
              <w:rPr>
                <w:rFonts w:asciiTheme="minorHAnsi" w:eastAsia="Cambria" w:hAnsiTheme="minorHAnsi" w:cstheme="minorHAnsi"/>
                <w:sz w:val="20"/>
                <w:szCs w:val="20"/>
              </w:rPr>
              <w:t>:</w:t>
            </w:r>
            <w:r w:rsidRPr="009B1C91">
              <w:rPr>
                <w:rFonts w:asciiTheme="minorHAnsi" w:eastAsia="Cambria" w:hAnsiTheme="minorHAnsi" w:cstheme="minorHAnsi"/>
                <w:i/>
                <w:iCs/>
                <w:sz w:val="20"/>
                <w:szCs w:val="20"/>
              </w:rPr>
              <w:t xml:space="preserve">Number of government policies, strategies or plans approved in support of sustainable management of natural resources </w:t>
            </w:r>
          </w:p>
          <w:p w:rsidR="008B17D0" w:rsidRPr="009B1C91" w:rsidRDefault="008B17D0" w:rsidP="00486BBA">
            <w:pPr>
              <w:spacing w:after="0" w:line="240" w:lineRule="auto"/>
              <w:jc w:val="both"/>
              <w:rPr>
                <w:rFonts w:asciiTheme="minorHAnsi" w:eastAsia="Cambria" w:hAnsiTheme="minorHAnsi" w:cstheme="minorHAnsi"/>
                <w:sz w:val="20"/>
                <w:szCs w:val="20"/>
              </w:rPr>
            </w:pPr>
            <w:r w:rsidRPr="009B1C91">
              <w:rPr>
                <w:rFonts w:asciiTheme="minorHAnsi" w:eastAsia="Cambria" w:hAnsiTheme="minorHAnsi" w:cstheme="minorHAnsi"/>
                <w:b/>
                <w:sz w:val="20"/>
                <w:szCs w:val="20"/>
              </w:rPr>
              <w:t>Baseline</w:t>
            </w:r>
            <w:r w:rsidRPr="009B1C91">
              <w:rPr>
                <w:rFonts w:asciiTheme="minorHAnsi" w:eastAsia="Cambria" w:hAnsiTheme="minorHAnsi" w:cstheme="minorHAnsi"/>
                <w:sz w:val="20"/>
                <w:szCs w:val="20"/>
              </w:rPr>
              <w:t>: 18</w:t>
            </w:r>
            <w:r w:rsidRPr="009B1C91">
              <w:rPr>
                <w:rFonts w:asciiTheme="minorHAnsi" w:eastAsia="Cambria" w:hAnsiTheme="minorHAnsi" w:cstheme="minorHAnsi"/>
                <w:b/>
                <w:sz w:val="20"/>
                <w:szCs w:val="20"/>
              </w:rPr>
              <w:t>Target</w:t>
            </w:r>
            <w:r w:rsidRPr="009B1C91">
              <w:rPr>
                <w:rFonts w:asciiTheme="minorHAnsi" w:eastAsia="Cambria" w:hAnsiTheme="minorHAnsi" w:cstheme="minorHAnsi"/>
                <w:sz w:val="20"/>
                <w:szCs w:val="20"/>
              </w:rPr>
              <w:t>: 2016: 22</w:t>
            </w:r>
          </w:p>
        </w:tc>
      </w:tr>
      <w:tr w:rsidR="008B17D0" w:rsidRPr="009B1C91" w:rsidTr="00486BBA">
        <w:trPr>
          <w:cantSplit/>
          <w:trHeight w:val="180"/>
        </w:trPr>
        <w:tc>
          <w:tcPr>
            <w:tcW w:w="9512" w:type="dxa"/>
            <w:tcBorders>
              <w:top w:val="single" w:sz="4" w:space="0" w:color="000000"/>
              <w:left w:val="single" w:sz="4" w:space="0" w:color="000000"/>
              <w:bottom w:val="single" w:sz="4" w:space="0" w:color="000000"/>
              <w:right w:val="single" w:sz="4" w:space="0" w:color="000000"/>
            </w:tcBorders>
            <w:shd w:val="clear" w:color="auto" w:fill="D3DFEE"/>
            <w:tcMar>
              <w:top w:w="14" w:type="dxa"/>
              <w:left w:w="86" w:type="dxa"/>
              <w:bottom w:w="14" w:type="dxa"/>
              <w:right w:w="86" w:type="dxa"/>
            </w:tcMar>
          </w:tcPr>
          <w:p w:rsidR="008B17D0" w:rsidRPr="009B1C91" w:rsidRDefault="008B17D0" w:rsidP="00240A7B">
            <w:pPr>
              <w:spacing w:after="0" w:line="240" w:lineRule="auto"/>
              <w:jc w:val="both"/>
              <w:rPr>
                <w:rFonts w:asciiTheme="minorHAnsi" w:eastAsia="Cambria" w:hAnsiTheme="minorHAnsi" w:cstheme="minorHAnsi"/>
                <w:i/>
                <w:iCs/>
                <w:sz w:val="20"/>
                <w:szCs w:val="20"/>
              </w:rPr>
            </w:pPr>
            <w:r w:rsidRPr="009B1C91">
              <w:rPr>
                <w:rFonts w:asciiTheme="minorHAnsi" w:eastAsia="Cambria" w:hAnsiTheme="minorHAnsi" w:cstheme="minorHAnsi"/>
                <w:b/>
                <w:sz w:val="20"/>
                <w:szCs w:val="20"/>
              </w:rPr>
              <w:t>Outcome Indicator 2</w:t>
            </w:r>
            <w:r w:rsidRPr="009B1C91">
              <w:rPr>
                <w:rFonts w:asciiTheme="minorHAnsi" w:eastAsia="Cambria" w:hAnsiTheme="minorHAnsi" w:cstheme="minorHAnsi"/>
                <w:sz w:val="20"/>
                <w:szCs w:val="20"/>
              </w:rPr>
              <w:t>:</w:t>
            </w:r>
            <w:r w:rsidRPr="009B1C91">
              <w:rPr>
                <w:rFonts w:asciiTheme="minorHAnsi" w:eastAsia="Cambria" w:hAnsiTheme="minorHAnsi" w:cstheme="minorHAnsi"/>
                <w:i/>
                <w:iCs/>
                <w:sz w:val="20"/>
                <w:szCs w:val="20"/>
              </w:rPr>
              <w:t>Number of MW of energy generated from renewable sources</w:t>
            </w:r>
          </w:p>
          <w:p w:rsidR="008B17D0" w:rsidRPr="009B1C91" w:rsidRDefault="008B17D0" w:rsidP="00486BBA">
            <w:pPr>
              <w:spacing w:after="0" w:line="240" w:lineRule="auto"/>
              <w:jc w:val="both"/>
              <w:rPr>
                <w:rFonts w:asciiTheme="minorHAnsi" w:eastAsia="Cambria" w:hAnsiTheme="minorHAnsi" w:cstheme="minorHAnsi"/>
                <w:sz w:val="20"/>
                <w:szCs w:val="20"/>
              </w:rPr>
            </w:pPr>
            <w:r w:rsidRPr="009B1C91">
              <w:rPr>
                <w:rFonts w:asciiTheme="minorHAnsi" w:eastAsia="Cambria" w:hAnsiTheme="minorHAnsi" w:cstheme="minorHAnsi"/>
                <w:b/>
                <w:sz w:val="20"/>
                <w:szCs w:val="20"/>
              </w:rPr>
              <w:t>Baseline</w:t>
            </w:r>
            <w:r w:rsidRPr="009B1C91">
              <w:rPr>
                <w:rFonts w:asciiTheme="minorHAnsi" w:eastAsia="Cambria" w:hAnsiTheme="minorHAnsi" w:cstheme="minorHAnsi"/>
                <w:sz w:val="20"/>
                <w:szCs w:val="20"/>
              </w:rPr>
              <w:t>: 2011: 71 MW</w:t>
            </w:r>
            <w:r w:rsidR="003C6762">
              <w:rPr>
                <w:rFonts w:asciiTheme="minorHAnsi" w:eastAsia="Cambria" w:hAnsiTheme="minorHAnsi" w:cstheme="minorHAnsi"/>
                <w:sz w:val="20"/>
                <w:szCs w:val="20"/>
              </w:rPr>
              <w:t xml:space="preserve"> </w:t>
            </w:r>
            <w:r w:rsidRPr="009B1C91">
              <w:rPr>
                <w:rFonts w:asciiTheme="minorHAnsi" w:eastAsia="Cambria" w:hAnsiTheme="minorHAnsi" w:cstheme="minorHAnsi"/>
                <w:b/>
                <w:sz w:val="20"/>
                <w:szCs w:val="20"/>
              </w:rPr>
              <w:t>Target:</w:t>
            </w:r>
            <w:r w:rsidRPr="009B1C91">
              <w:rPr>
                <w:rFonts w:asciiTheme="minorHAnsi" w:eastAsia="Cambria" w:hAnsiTheme="minorHAnsi" w:cstheme="minorHAnsi"/>
                <w:sz w:val="20"/>
                <w:szCs w:val="20"/>
              </w:rPr>
              <w:t xml:space="preserve"> 2016: 800 MW</w:t>
            </w:r>
          </w:p>
        </w:tc>
      </w:tr>
    </w:tbl>
    <w:p w:rsidR="008B17D0" w:rsidRPr="009B1C91" w:rsidRDefault="008B17D0" w:rsidP="008B17D0">
      <w:pPr>
        <w:spacing w:after="0" w:line="240" w:lineRule="auto"/>
        <w:rPr>
          <w:rFonts w:asciiTheme="minorHAnsi" w:eastAsia="Cambria" w:hAnsiTheme="minorHAnsi" w:cstheme="minorHAnsi"/>
          <w:b/>
          <w:bCs/>
        </w:rPr>
      </w:pPr>
      <w:r w:rsidRPr="009B1C91">
        <w:rPr>
          <w:rFonts w:asciiTheme="minorHAnsi" w:eastAsia="Cambria" w:hAnsiTheme="minorHAnsi" w:cstheme="minorHAnsi"/>
          <w:b/>
          <w:bCs/>
        </w:rPr>
        <w:t xml:space="preserve">Source: UNDP </w:t>
      </w:r>
      <w:r w:rsidR="00984CBB" w:rsidRPr="009B1C91">
        <w:rPr>
          <w:rFonts w:asciiTheme="minorHAnsi" w:eastAsia="Cambria" w:hAnsiTheme="minorHAnsi" w:cstheme="minorHAnsi"/>
          <w:b/>
          <w:bCs/>
        </w:rPr>
        <w:t>Bangladesh</w:t>
      </w:r>
      <w:r w:rsidR="00E32519">
        <w:rPr>
          <w:rFonts w:asciiTheme="minorHAnsi" w:eastAsia="Cambria" w:hAnsiTheme="minorHAnsi" w:cstheme="minorHAnsi"/>
          <w:b/>
          <w:bCs/>
        </w:rPr>
        <w:t xml:space="preserve">, </w:t>
      </w:r>
      <w:r w:rsidRPr="009B1C91">
        <w:rPr>
          <w:rFonts w:asciiTheme="minorHAnsi" w:eastAsia="Cambria" w:hAnsiTheme="minorHAnsi" w:cstheme="minorHAnsi"/>
          <w:b/>
          <w:bCs/>
        </w:rPr>
        <w:t>2014</w:t>
      </w:r>
      <w:r w:rsidR="00E32519">
        <w:rPr>
          <w:rFonts w:asciiTheme="minorHAnsi" w:eastAsia="Cambria" w:hAnsiTheme="minorHAnsi" w:cstheme="minorHAnsi"/>
          <w:b/>
          <w:bCs/>
        </w:rPr>
        <w:t>.</w:t>
      </w:r>
    </w:p>
    <w:p w:rsidR="00240A7B" w:rsidRPr="009B1C91" w:rsidRDefault="00240A7B" w:rsidP="00240A7B">
      <w:pPr>
        <w:spacing w:after="0" w:line="240" w:lineRule="auto"/>
        <w:rPr>
          <w:rFonts w:asciiTheme="minorHAnsi" w:hAnsiTheme="minorHAnsi" w:cstheme="minorHAnsi"/>
          <w:b/>
          <w:bCs/>
        </w:rPr>
      </w:pPr>
    </w:p>
    <w:p w:rsidR="0000143A" w:rsidRPr="009B1C91" w:rsidRDefault="0000143A" w:rsidP="00240A7B">
      <w:pPr>
        <w:spacing w:after="0" w:line="240" w:lineRule="auto"/>
        <w:rPr>
          <w:rFonts w:asciiTheme="minorHAnsi" w:hAnsiTheme="minorHAnsi" w:cstheme="minorHAnsi"/>
          <w:b/>
          <w:bCs/>
        </w:rPr>
      </w:pPr>
    </w:p>
    <w:p w:rsidR="008B17D0" w:rsidRPr="009B1C91" w:rsidRDefault="00240A7B" w:rsidP="00240A7B">
      <w:pPr>
        <w:spacing w:after="0" w:line="240" w:lineRule="auto"/>
        <w:rPr>
          <w:rFonts w:asciiTheme="minorHAnsi" w:eastAsia="Trebuchet MS" w:hAnsiTheme="minorHAnsi" w:cstheme="minorHAnsi"/>
          <w:b/>
          <w:bCs/>
        </w:rPr>
      </w:pPr>
      <w:r w:rsidRPr="009B1C91">
        <w:rPr>
          <w:rFonts w:asciiTheme="minorHAnsi" w:hAnsiTheme="minorHAnsi" w:cstheme="minorHAnsi"/>
          <w:b/>
          <w:bCs/>
        </w:rPr>
        <w:t xml:space="preserve">1.3.3 </w:t>
      </w:r>
      <w:r w:rsidR="008B17D0" w:rsidRPr="009B1C91">
        <w:rPr>
          <w:rFonts w:asciiTheme="minorHAnsi" w:hAnsiTheme="minorHAnsi" w:cstheme="minorHAnsi"/>
          <w:b/>
          <w:bCs/>
        </w:rPr>
        <w:t>Data Collection Methods and Analytical Approaches</w:t>
      </w:r>
    </w:p>
    <w:p w:rsidR="008B17D0" w:rsidRPr="009B1C91" w:rsidRDefault="008B17D0" w:rsidP="008B17D0">
      <w:pPr>
        <w:spacing w:after="0" w:line="240" w:lineRule="auto"/>
        <w:ind w:firstLine="720"/>
        <w:rPr>
          <w:rFonts w:asciiTheme="minorHAnsi" w:hAnsiTheme="minorHAnsi" w:cstheme="minorHAnsi"/>
          <w:b/>
          <w:bCs/>
        </w:rPr>
      </w:pPr>
    </w:p>
    <w:p w:rsidR="008B17D0" w:rsidRPr="009B1C91" w:rsidRDefault="008B17D0" w:rsidP="00C61EA4">
      <w:pPr>
        <w:spacing w:after="0" w:line="240" w:lineRule="auto"/>
        <w:jc w:val="both"/>
        <w:rPr>
          <w:rFonts w:asciiTheme="minorHAnsi" w:eastAsia="Cambria" w:hAnsiTheme="minorHAnsi" w:cstheme="minorHAnsi"/>
        </w:rPr>
      </w:pPr>
      <w:r w:rsidRPr="009B1C91">
        <w:rPr>
          <w:rFonts w:asciiTheme="minorHAnsi" w:eastAsia="Cambria" w:hAnsiTheme="minorHAnsi" w:cstheme="minorHAnsi"/>
        </w:rPr>
        <w:t>Sources of Data and Methods of Collection</w:t>
      </w:r>
    </w:p>
    <w:p w:rsidR="008B17D0" w:rsidRPr="009B1C91" w:rsidRDefault="008B17D0" w:rsidP="00C61EA4">
      <w:pPr>
        <w:spacing w:after="0" w:line="240" w:lineRule="auto"/>
        <w:jc w:val="both"/>
        <w:rPr>
          <w:rFonts w:asciiTheme="minorHAnsi" w:eastAsia="Cambria" w:hAnsiTheme="minorHAnsi" w:cstheme="minorHAnsi"/>
        </w:rPr>
      </w:pPr>
    </w:p>
    <w:p w:rsidR="008B17D0" w:rsidRPr="009B1C91" w:rsidRDefault="008B17D0" w:rsidP="00C61EA4">
      <w:pPr>
        <w:spacing w:after="0" w:line="240" w:lineRule="auto"/>
        <w:jc w:val="both"/>
        <w:rPr>
          <w:rFonts w:asciiTheme="minorHAnsi" w:eastAsia="Cambria" w:hAnsiTheme="minorHAnsi" w:cstheme="minorHAnsi"/>
        </w:rPr>
      </w:pPr>
      <w:r w:rsidRPr="009B1C91">
        <w:rPr>
          <w:rFonts w:asciiTheme="minorHAnsi" w:eastAsia="Cambria" w:hAnsiTheme="minorHAnsi" w:cstheme="minorHAnsi"/>
        </w:rPr>
        <w:t xml:space="preserve">The evaluation matrices were at the core of the data collection process and linked each of the criteria and related evaluation questions to data sources and data collection methods. This approach was followed to ensure a logical approach to using the evaluation criteria.  The evaluation team used a multi-level (UNDP and donors, national, district, upazila, union level governments, NGOs, CSOs, rural beneficiaries and non-beneficiaries), mixed-method approach to collect data. The required data for this evaluation were procured chiefly from the following primary and secondary sources, using various data collection methods: </w:t>
      </w:r>
    </w:p>
    <w:p w:rsidR="003254EA" w:rsidRPr="009B1C91" w:rsidRDefault="003254EA" w:rsidP="00C61EA4">
      <w:pPr>
        <w:spacing w:after="0" w:line="240" w:lineRule="auto"/>
        <w:jc w:val="both"/>
        <w:rPr>
          <w:rFonts w:asciiTheme="minorHAnsi" w:eastAsia="Cambria" w:hAnsiTheme="minorHAnsi" w:cstheme="minorHAnsi"/>
        </w:rPr>
      </w:pPr>
    </w:p>
    <w:p w:rsidR="008B17D0" w:rsidRPr="009B1C91" w:rsidRDefault="008B17D0" w:rsidP="00C61EA4">
      <w:pPr>
        <w:numPr>
          <w:ilvl w:val="0"/>
          <w:numId w:val="12"/>
        </w:numPr>
        <w:spacing w:after="0" w:line="240" w:lineRule="auto"/>
        <w:ind w:left="1080" w:hanging="720"/>
        <w:jc w:val="both"/>
        <w:rPr>
          <w:rFonts w:asciiTheme="minorHAnsi" w:hAnsiTheme="minorHAnsi" w:cstheme="minorHAnsi"/>
        </w:rPr>
      </w:pPr>
      <w:r w:rsidRPr="009B1C91">
        <w:rPr>
          <w:rFonts w:asciiTheme="minorHAnsi" w:eastAsia="Cambria" w:hAnsiTheme="minorHAnsi" w:cstheme="minorHAnsi"/>
        </w:rPr>
        <w:t xml:space="preserve">Data concerning national-level strategic plans (e.g. Sixth Five Year Plan), sectoral strategic plans, UNDP facilitated documents, UNDP Country Program Document, and other relevant reports and documents related to national strategic plans were procured to determine Bangladesh’s position, capacity and efforts in climate change adaptation, natural disasters risk reduction (DRR), improved and sustainable natural resources management, and access to low-carbon energy, gender equality to respond to global initiatives, processes and needs.  </w:t>
      </w:r>
    </w:p>
    <w:p w:rsidR="008B17D0" w:rsidRPr="009B1C91" w:rsidRDefault="008B17D0" w:rsidP="00C61EA4">
      <w:pPr>
        <w:spacing w:after="0" w:line="240" w:lineRule="auto"/>
        <w:ind w:left="1080"/>
        <w:jc w:val="both"/>
        <w:rPr>
          <w:rFonts w:asciiTheme="minorHAnsi" w:eastAsia="Cambria" w:hAnsiTheme="minorHAnsi" w:cstheme="minorHAnsi"/>
        </w:rPr>
      </w:pPr>
    </w:p>
    <w:p w:rsidR="006E4582" w:rsidRPr="009B1C91" w:rsidRDefault="008B17D0" w:rsidP="00135E5E">
      <w:pPr>
        <w:numPr>
          <w:ilvl w:val="0"/>
          <w:numId w:val="12"/>
        </w:numPr>
        <w:spacing w:after="0" w:line="240" w:lineRule="auto"/>
        <w:ind w:left="1080" w:hanging="720"/>
        <w:jc w:val="both"/>
        <w:rPr>
          <w:rFonts w:asciiTheme="minorHAnsi" w:hAnsiTheme="minorHAnsi" w:cstheme="minorHAnsi"/>
        </w:rPr>
      </w:pPr>
      <w:r w:rsidRPr="009B1C91">
        <w:rPr>
          <w:rFonts w:asciiTheme="minorHAnsi" w:eastAsia="Cambria" w:hAnsiTheme="minorHAnsi" w:cstheme="minorHAnsi"/>
        </w:rPr>
        <w:t xml:space="preserve">Stakeholders’ responses, guided by the evaluation matrices, were collected by organizing </w:t>
      </w:r>
      <w:r w:rsidRPr="009B1C91">
        <w:rPr>
          <w:rFonts w:asciiTheme="minorHAnsi" w:eastAsia="Cambria" w:hAnsiTheme="minorHAnsi" w:cstheme="minorHAnsi"/>
          <w:i/>
          <w:iCs/>
        </w:rPr>
        <w:t>Focus Group Discussions</w:t>
      </w:r>
      <w:r w:rsidRPr="009B1C91">
        <w:rPr>
          <w:rFonts w:asciiTheme="minorHAnsi" w:eastAsia="Cambria" w:hAnsiTheme="minorHAnsi" w:cstheme="minorHAnsi"/>
        </w:rPr>
        <w:t xml:space="preserve"> with CCED cluster personnel, the Ministry of Disaster Management and Relief</w:t>
      </w:r>
      <w:r w:rsidR="00045549" w:rsidRPr="009B1C91">
        <w:rPr>
          <w:rFonts w:asciiTheme="minorHAnsi" w:eastAsia="Cambria" w:hAnsiTheme="minorHAnsi" w:cstheme="minorHAnsi"/>
        </w:rPr>
        <w:t>, the</w:t>
      </w:r>
      <w:r w:rsidRPr="009B1C91">
        <w:rPr>
          <w:rFonts w:asciiTheme="minorHAnsi" w:eastAsia="Cambria" w:hAnsiTheme="minorHAnsi" w:cstheme="minorHAnsi"/>
        </w:rPr>
        <w:t xml:space="preserve"> Planning Commission, the External Resource Division of the Ministry of Finance, the Ministry of Industry, and coastal village communities in four districts. Special emphasis was given to obtaining information on (a) their role in the ongoing transformational changes in both sectoral and inter-sectoral areas; (b) their perspectives on UNDP attribution in the relevant sectors, programs and projects; and (c) performance evaluation of UNDP projects on the ground.  </w:t>
      </w:r>
    </w:p>
    <w:p w:rsidR="008B17D0" w:rsidRPr="009B1C91" w:rsidRDefault="008B17D0" w:rsidP="00C61EA4">
      <w:pPr>
        <w:numPr>
          <w:ilvl w:val="0"/>
          <w:numId w:val="12"/>
        </w:numPr>
        <w:spacing w:after="0" w:line="240" w:lineRule="auto"/>
        <w:ind w:left="1080" w:hanging="720"/>
        <w:jc w:val="both"/>
        <w:rPr>
          <w:rFonts w:asciiTheme="minorHAnsi" w:hAnsiTheme="minorHAnsi" w:cstheme="minorHAnsi"/>
        </w:rPr>
      </w:pPr>
      <w:r w:rsidRPr="009B1C91">
        <w:rPr>
          <w:rFonts w:asciiTheme="minorHAnsi" w:eastAsia="Cambria" w:hAnsiTheme="minorHAnsi" w:cstheme="minorHAnsi"/>
        </w:rPr>
        <w:lastRenderedPageBreak/>
        <w:t xml:space="preserve">A </w:t>
      </w:r>
      <w:r w:rsidR="00CE15A1" w:rsidRPr="009B1C91">
        <w:rPr>
          <w:rFonts w:asciiTheme="minorHAnsi" w:eastAsia="Cambria" w:hAnsiTheme="minorHAnsi" w:cstheme="minorHAnsi"/>
          <w:i/>
          <w:iCs/>
        </w:rPr>
        <w:t>Conversational</w:t>
      </w:r>
      <w:r w:rsidRPr="009B1C91">
        <w:rPr>
          <w:rFonts w:asciiTheme="minorHAnsi" w:eastAsia="Cambria" w:hAnsiTheme="minorHAnsi" w:cstheme="minorHAnsi"/>
          <w:i/>
          <w:iCs/>
        </w:rPr>
        <w:t xml:space="preserve"> Session</w:t>
      </w:r>
      <w:r w:rsidRPr="009B1C91">
        <w:rPr>
          <w:rFonts w:asciiTheme="minorHAnsi" w:eastAsia="Cambria" w:hAnsiTheme="minorHAnsi" w:cstheme="minorHAnsi"/>
        </w:rPr>
        <w:t xml:space="preserve"> was organized on February 19, 2015 with </w:t>
      </w:r>
      <w:r w:rsidR="003254EA" w:rsidRPr="009B1C91">
        <w:rPr>
          <w:rFonts w:asciiTheme="minorHAnsi" w:eastAsia="Cambria" w:hAnsiTheme="minorHAnsi" w:cstheme="minorHAnsi"/>
        </w:rPr>
        <w:t>donors, senior GoB officials, development partners including</w:t>
      </w:r>
      <w:r w:rsidR="00CE15A1" w:rsidRPr="009B1C91">
        <w:rPr>
          <w:rFonts w:asciiTheme="minorHAnsi" w:eastAsia="Cambria" w:hAnsiTheme="minorHAnsi" w:cstheme="minorHAnsi"/>
        </w:rPr>
        <w:t xml:space="preserve"> international and</w:t>
      </w:r>
      <w:r w:rsidR="003C6762">
        <w:rPr>
          <w:rFonts w:asciiTheme="minorHAnsi" w:eastAsia="Cambria" w:hAnsiTheme="minorHAnsi" w:cstheme="minorHAnsi"/>
        </w:rPr>
        <w:t xml:space="preserve"> </w:t>
      </w:r>
      <w:r w:rsidRPr="009B1C91">
        <w:rPr>
          <w:rFonts w:asciiTheme="minorHAnsi" w:eastAsia="Cambria" w:hAnsiTheme="minorHAnsi" w:cstheme="minorHAnsi"/>
        </w:rPr>
        <w:t xml:space="preserve">national NGOs and Civil Society Organizations working in climate change, natural disasters, natural resources management, and low carbon energy areas to procure data on policy, implementation, and advocacy issues and to capture and assess diverse modalities of development thoughts and practices. </w:t>
      </w:r>
    </w:p>
    <w:p w:rsidR="008B17D0" w:rsidRPr="009B1C91" w:rsidRDefault="008B17D0" w:rsidP="00C61EA4">
      <w:pPr>
        <w:pStyle w:val="ListParagraph"/>
        <w:spacing w:after="0" w:line="240" w:lineRule="auto"/>
        <w:jc w:val="both"/>
        <w:rPr>
          <w:rFonts w:asciiTheme="minorHAnsi" w:eastAsia="Cambria" w:hAnsiTheme="minorHAnsi" w:cstheme="minorHAnsi"/>
        </w:rPr>
      </w:pPr>
    </w:p>
    <w:p w:rsidR="008B17D0" w:rsidRPr="009B1C91" w:rsidRDefault="008B17D0" w:rsidP="00C61EA4">
      <w:pPr>
        <w:numPr>
          <w:ilvl w:val="0"/>
          <w:numId w:val="12"/>
        </w:numPr>
        <w:spacing w:after="0" w:line="240" w:lineRule="auto"/>
        <w:ind w:left="1080" w:hanging="720"/>
        <w:jc w:val="both"/>
        <w:rPr>
          <w:rFonts w:asciiTheme="minorHAnsi" w:hAnsiTheme="minorHAnsi" w:cstheme="minorHAnsi"/>
        </w:rPr>
      </w:pPr>
      <w:r w:rsidRPr="009B1C91">
        <w:rPr>
          <w:rFonts w:asciiTheme="minorHAnsi" w:eastAsia="Cambria" w:hAnsiTheme="minorHAnsi" w:cstheme="minorHAnsi"/>
        </w:rPr>
        <w:t xml:space="preserve">A total of </w:t>
      </w:r>
      <w:r w:rsidR="00DF21E0" w:rsidRPr="009B1C91">
        <w:rPr>
          <w:rFonts w:asciiTheme="minorHAnsi" w:eastAsia="Cambria" w:hAnsiTheme="minorHAnsi" w:cstheme="minorHAnsi"/>
          <w:u w:color="FF0000"/>
        </w:rPr>
        <w:t>15</w:t>
      </w:r>
      <w:r w:rsidR="00FA469C">
        <w:rPr>
          <w:rFonts w:asciiTheme="minorHAnsi" w:eastAsia="Cambria" w:hAnsiTheme="minorHAnsi" w:cstheme="minorHAnsi"/>
          <w:u w:color="FF0000"/>
        </w:rPr>
        <w:t xml:space="preserve"> </w:t>
      </w:r>
      <w:r w:rsidRPr="009B1C91">
        <w:rPr>
          <w:rFonts w:asciiTheme="minorHAnsi" w:eastAsia="Cambria" w:hAnsiTheme="minorHAnsi" w:cstheme="minorHAnsi"/>
          <w:i/>
          <w:iCs/>
        </w:rPr>
        <w:t>Key Informants</w:t>
      </w:r>
      <w:r w:rsidRPr="009B1C91">
        <w:rPr>
          <w:rFonts w:asciiTheme="minorHAnsi" w:eastAsia="Cambria" w:hAnsiTheme="minorHAnsi" w:cstheme="minorHAnsi"/>
        </w:rPr>
        <w:t xml:space="preserve"> from the above stated stakeholders - including UNDP personnel, government department officials at the national, district and upazila levels, NGO and CSO representatives - were interviewed with a semi-structured questionnaire and evaluation matrices to collect data on sector specific expert opinion, experiential knowledge and lessons learned, and directives for broader development perspectives</w:t>
      </w:r>
      <w:r w:rsidR="00D50B11">
        <w:rPr>
          <w:rFonts w:asciiTheme="minorHAnsi" w:eastAsia="Cambria" w:hAnsiTheme="minorHAnsi" w:cstheme="minorHAnsi"/>
        </w:rPr>
        <w:t xml:space="preserve"> (Annex </w:t>
      </w:r>
      <w:r w:rsidR="00C63CB7">
        <w:rPr>
          <w:rFonts w:asciiTheme="minorHAnsi" w:eastAsia="Cambria" w:hAnsiTheme="minorHAnsi" w:cstheme="minorHAnsi"/>
        </w:rPr>
        <w:t>III</w:t>
      </w:r>
      <w:r w:rsidR="00CE15A1" w:rsidRPr="009B1C91">
        <w:rPr>
          <w:rFonts w:asciiTheme="minorHAnsi" w:eastAsia="Cambria" w:hAnsiTheme="minorHAnsi" w:cstheme="minorHAnsi"/>
        </w:rPr>
        <w:t>)</w:t>
      </w:r>
      <w:r w:rsidRPr="009B1C91">
        <w:rPr>
          <w:rFonts w:asciiTheme="minorHAnsi" w:eastAsia="Cambria" w:hAnsiTheme="minorHAnsi" w:cstheme="minorHAnsi"/>
        </w:rPr>
        <w:t>.</w:t>
      </w:r>
    </w:p>
    <w:p w:rsidR="008B17D0" w:rsidRPr="009B1C91" w:rsidRDefault="008B17D0" w:rsidP="00C61EA4">
      <w:pPr>
        <w:pStyle w:val="ListParagraph"/>
        <w:spacing w:after="0" w:line="240" w:lineRule="auto"/>
        <w:jc w:val="both"/>
        <w:rPr>
          <w:rFonts w:asciiTheme="minorHAnsi" w:eastAsia="Cambria" w:hAnsiTheme="minorHAnsi" w:cstheme="minorHAnsi"/>
          <w:i/>
          <w:iCs/>
        </w:rPr>
      </w:pPr>
    </w:p>
    <w:p w:rsidR="008B17D0" w:rsidRPr="009B1C91" w:rsidRDefault="008B17D0" w:rsidP="00C61EA4">
      <w:pPr>
        <w:numPr>
          <w:ilvl w:val="0"/>
          <w:numId w:val="12"/>
        </w:numPr>
        <w:spacing w:after="0" w:line="240" w:lineRule="auto"/>
        <w:ind w:left="1080" w:hanging="720"/>
        <w:jc w:val="both"/>
        <w:rPr>
          <w:rFonts w:asciiTheme="minorHAnsi" w:hAnsiTheme="minorHAnsi" w:cstheme="minorHAnsi"/>
        </w:rPr>
      </w:pPr>
      <w:r w:rsidRPr="009B1C91">
        <w:rPr>
          <w:rFonts w:asciiTheme="minorHAnsi" w:eastAsia="Cambria" w:hAnsiTheme="minorHAnsi" w:cstheme="minorHAnsi"/>
          <w:i/>
          <w:iCs/>
        </w:rPr>
        <w:t>Direct observations</w:t>
      </w:r>
      <w:r w:rsidRPr="009B1C91">
        <w:rPr>
          <w:rFonts w:asciiTheme="minorHAnsi" w:eastAsia="Cambria" w:hAnsiTheme="minorHAnsi" w:cstheme="minorHAnsi"/>
        </w:rPr>
        <w:t xml:space="preserve"> and </w:t>
      </w:r>
      <w:r w:rsidRPr="009B1C91">
        <w:rPr>
          <w:rFonts w:asciiTheme="minorHAnsi" w:eastAsia="Cambria" w:hAnsiTheme="minorHAnsi" w:cstheme="minorHAnsi"/>
          <w:i/>
          <w:iCs/>
        </w:rPr>
        <w:t>assessments</w:t>
      </w:r>
      <w:r w:rsidRPr="009B1C91">
        <w:rPr>
          <w:rFonts w:asciiTheme="minorHAnsi" w:eastAsia="Cambria" w:hAnsiTheme="minorHAnsi" w:cstheme="minorHAnsi"/>
        </w:rPr>
        <w:t xml:space="preserve"> of the programme/project implementation </w:t>
      </w:r>
      <w:r w:rsidR="00C06F0A" w:rsidRPr="009B1C91">
        <w:rPr>
          <w:rFonts w:asciiTheme="minorHAnsi" w:eastAsia="Cambria" w:hAnsiTheme="minorHAnsi" w:cstheme="minorHAnsi"/>
        </w:rPr>
        <w:t>outcomes were</w:t>
      </w:r>
      <w:r w:rsidRPr="009B1C91">
        <w:rPr>
          <w:rFonts w:asciiTheme="minorHAnsi" w:eastAsia="Cambria" w:hAnsiTheme="minorHAnsi" w:cstheme="minorHAnsi"/>
        </w:rPr>
        <w:t xml:space="preserve"> made through visits to national implementation partners and the four selected field sites in both coastal and urban areas. Following discussions with the CCED and RRMC clusters of UNDP, the evaluation team purposefully selected Kederbazard</w:t>
      </w:r>
      <w:r w:rsidR="003C6762">
        <w:rPr>
          <w:rFonts w:asciiTheme="minorHAnsi" w:eastAsia="Cambria" w:hAnsiTheme="minorHAnsi" w:cstheme="minorHAnsi"/>
        </w:rPr>
        <w:t xml:space="preserve"> </w:t>
      </w:r>
      <w:r w:rsidRPr="009B1C91">
        <w:rPr>
          <w:rFonts w:asciiTheme="minorHAnsi" w:eastAsia="Cambria" w:hAnsiTheme="minorHAnsi" w:cstheme="minorHAnsi"/>
        </w:rPr>
        <w:t xml:space="preserve">Adarsha Gram </w:t>
      </w:r>
      <w:r w:rsidR="00DF21E0" w:rsidRPr="009B1C91">
        <w:rPr>
          <w:rFonts w:asciiTheme="minorHAnsi" w:eastAsia="Cambria" w:hAnsiTheme="minorHAnsi" w:cstheme="minorHAnsi"/>
        </w:rPr>
        <w:t>in Shyamnagar</w:t>
      </w:r>
      <w:r w:rsidR="003C6762">
        <w:rPr>
          <w:rFonts w:asciiTheme="minorHAnsi" w:eastAsia="Cambria" w:hAnsiTheme="minorHAnsi" w:cstheme="minorHAnsi"/>
        </w:rPr>
        <w:t xml:space="preserve"> </w:t>
      </w:r>
      <w:r w:rsidR="00CE15A1" w:rsidRPr="00FA469C">
        <w:rPr>
          <w:rFonts w:asciiTheme="minorHAnsi" w:eastAsia="Cambria" w:hAnsiTheme="minorHAnsi" w:cstheme="minorHAnsi"/>
          <w:i/>
        </w:rPr>
        <w:t xml:space="preserve">Upazila </w:t>
      </w:r>
      <w:r w:rsidR="00CE15A1" w:rsidRPr="009B1C91">
        <w:rPr>
          <w:rFonts w:asciiTheme="minorHAnsi" w:eastAsia="Cambria" w:hAnsiTheme="minorHAnsi" w:cstheme="minorHAnsi"/>
        </w:rPr>
        <w:t>in Satkhira D</w:t>
      </w:r>
      <w:r w:rsidRPr="009B1C91">
        <w:rPr>
          <w:rFonts w:asciiTheme="minorHAnsi" w:eastAsia="Cambria" w:hAnsiTheme="minorHAnsi" w:cstheme="minorHAnsi"/>
        </w:rPr>
        <w:t>istrict, Baine Para Resi</w:t>
      </w:r>
      <w:r w:rsidR="00CE15A1" w:rsidRPr="009B1C91">
        <w:rPr>
          <w:rFonts w:asciiTheme="minorHAnsi" w:eastAsia="Cambria" w:hAnsiTheme="minorHAnsi" w:cstheme="minorHAnsi"/>
        </w:rPr>
        <w:t>lient Habitat under Sutarkhali U</w:t>
      </w:r>
      <w:r w:rsidRPr="009B1C91">
        <w:rPr>
          <w:rFonts w:asciiTheme="minorHAnsi" w:eastAsia="Cambria" w:hAnsiTheme="minorHAnsi" w:cstheme="minorHAnsi"/>
        </w:rPr>
        <w:t>nion of Dacope</w:t>
      </w:r>
      <w:r w:rsidR="00FA469C">
        <w:rPr>
          <w:rFonts w:asciiTheme="minorHAnsi" w:eastAsia="Cambria" w:hAnsiTheme="minorHAnsi" w:cstheme="minorHAnsi"/>
        </w:rPr>
        <w:t xml:space="preserve"> </w:t>
      </w:r>
      <w:r w:rsidRPr="00FA469C">
        <w:rPr>
          <w:rFonts w:asciiTheme="minorHAnsi" w:eastAsia="Cambria" w:hAnsiTheme="minorHAnsi" w:cstheme="minorHAnsi"/>
          <w:i/>
        </w:rPr>
        <w:t>Upazi</w:t>
      </w:r>
      <w:r w:rsidR="00CE15A1" w:rsidRPr="00FA469C">
        <w:rPr>
          <w:rFonts w:asciiTheme="minorHAnsi" w:eastAsia="Cambria" w:hAnsiTheme="minorHAnsi" w:cstheme="minorHAnsi"/>
          <w:i/>
        </w:rPr>
        <w:t>la</w:t>
      </w:r>
      <w:r w:rsidR="00CE15A1" w:rsidRPr="009B1C91">
        <w:rPr>
          <w:rFonts w:asciiTheme="minorHAnsi" w:eastAsia="Cambria" w:hAnsiTheme="minorHAnsi" w:cstheme="minorHAnsi"/>
        </w:rPr>
        <w:t xml:space="preserve"> in Khulna District, Naltona Union of Barguna</w:t>
      </w:r>
      <w:r w:rsidR="00FA469C">
        <w:rPr>
          <w:rFonts w:asciiTheme="minorHAnsi" w:eastAsia="Cambria" w:hAnsiTheme="minorHAnsi" w:cstheme="minorHAnsi"/>
        </w:rPr>
        <w:t xml:space="preserve"> </w:t>
      </w:r>
      <w:r w:rsidR="00CE15A1" w:rsidRPr="009B1C91">
        <w:rPr>
          <w:rFonts w:asciiTheme="minorHAnsi" w:eastAsia="Cambria" w:hAnsiTheme="minorHAnsi" w:cstheme="minorHAnsi"/>
        </w:rPr>
        <w:t>Sadar</w:t>
      </w:r>
      <w:r w:rsidR="003C6762">
        <w:rPr>
          <w:rFonts w:asciiTheme="minorHAnsi" w:eastAsia="Cambria" w:hAnsiTheme="minorHAnsi" w:cstheme="minorHAnsi"/>
        </w:rPr>
        <w:t xml:space="preserve"> </w:t>
      </w:r>
      <w:r w:rsidR="00CE15A1" w:rsidRPr="00FA469C">
        <w:rPr>
          <w:rFonts w:asciiTheme="minorHAnsi" w:eastAsia="Cambria" w:hAnsiTheme="minorHAnsi" w:cstheme="minorHAnsi"/>
          <w:i/>
        </w:rPr>
        <w:t>Upazila</w:t>
      </w:r>
      <w:r w:rsidR="00CE15A1" w:rsidRPr="009B1C91">
        <w:rPr>
          <w:rFonts w:asciiTheme="minorHAnsi" w:eastAsia="Cambria" w:hAnsiTheme="minorHAnsi" w:cstheme="minorHAnsi"/>
        </w:rPr>
        <w:t xml:space="preserve"> in Barguna D</w:t>
      </w:r>
      <w:r w:rsidRPr="009B1C91">
        <w:rPr>
          <w:rFonts w:asciiTheme="minorHAnsi" w:eastAsia="Cambria" w:hAnsiTheme="minorHAnsi" w:cstheme="minorHAnsi"/>
        </w:rPr>
        <w:t>istri</w:t>
      </w:r>
      <w:r w:rsidR="00CE15A1" w:rsidRPr="009B1C91">
        <w:rPr>
          <w:rFonts w:asciiTheme="minorHAnsi" w:eastAsia="Cambria" w:hAnsiTheme="minorHAnsi" w:cstheme="minorHAnsi"/>
        </w:rPr>
        <w:t>ct, and IKEMBI site at Dhamrai</w:t>
      </w:r>
      <w:r w:rsidR="003C6762">
        <w:rPr>
          <w:rFonts w:asciiTheme="minorHAnsi" w:eastAsia="Cambria" w:hAnsiTheme="minorHAnsi" w:cstheme="minorHAnsi"/>
        </w:rPr>
        <w:t xml:space="preserve"> </w:t>
      </w:r>
      <w:r w:rsidR="00CE15A1" w:rsidRPr="009B1C91">
        <w:rPr>
          <w:rFonts w:asciiTheme="minorHAnsi" w:eastAsia="Cambria" w:hAnsiTheme="minorHAnsi" w:cstheme="minorHAnsi"/>
        </w:rPr>
        <w:t>U</w:t>
      </w:r>
      <w:r w:rsidRPr="009B1C91">
        <w:rPr>
          <w:rFonts w:asciiTheme="minorHAnsi" w:eastAsia="Cambria" w:hAnsiTheme="minorHAnsi" w:cstheme="minorHAnsi"/>
        </w:rPr>
        <w:t xml:space="preserve">pazila, Dhaka, representing diverse intervention modalities (i.e., ERF, CDMP II, coastal afforestation, and IKEMBI). </w:t>
      </w:r>
    </w:p>
    <w:p w:rsidR="008B17D0" w:rsidRPr="009B1C91" w:rsidRDefault="008B17D0" w:rsidP="00C61EA4">
      <w:pPr>
        <w:pStyle w:val="ListParagraph"/>
        <w:spacing w:after="0" w:line="240" w:lineRule="auto"/>
        <w:jc w:val="both"/>
        <w:rPr>
          <w:rFonts w:asciiTheme="minorHAnsi" w:eastAsia="Cambria" w:hAnsiTheme="minorHAnsi" w:cstheme="minorHAnsi"/>
        </w:rPr>
      </w:pPr>
    </w:p>
    <w:p w:rsidR="008B17D0" w:rsidRPr="009B1C91" w:rsidRDefault="00A232E8" w:rsidP="00C61EA4">
      <w:pPr>
        <w:numPr>
          <w:ilvl w:val="0"/>
          <w:numId w:val="12"/>
        </w:numPr>
        <w:spacing w:after="0" w:line="240" w:lineRule="auto"/>
        <w:ind w:left="1080" w:hanging="720"/>
        <w:jc w:val="both"/>
        <w:rPr>
          <w:rFonts w:asciiTheme="minorHAnsi" w:hAnsiTheme="minorHAnsi" w:cstheme="minorHAnsi"/>
        </w:rPr>
      </w:pPr>
      <w:r w:rsidRPr="009B1C91">
        <w:rPr>
          <w:rFonts w:asciiTheme="minorHAnsi" w:eastAsia="Cambria" w:hAnsiTheme="minorHAnsi" w:cstheme="minorHAnsi"/>
        </w:rPr>
        <w:t xml:space="preserve">A total of eight FGDS were conducted. </w:t>
      </w:r>
      <w:r w:rsidR="008B17D0" w:rsidRPr="009B1C91">
        <w:rPr>
          <w:rFonts w:asciiTheme="minorHAnsi" w:eastAsia="Cambria" w:hAnsiTheme="minorHAnsi" w:cstheme="minorHAnsi"/>
        </w:rPr>
        <w:t xml:space="preserve">Two FGDs, one with men and women and another exclusively with women, were conducted in each selected site to generate overall as well as sex-disaggregated data and to capture perception and sense of ownership of the intervention by the local men and women. Local project managers and other staff were interviewed to </w:t>
      </w:r>
      <w:r w:rsidR="008B17D0" w:rsidRPr="009B1C91">
        <w:rPr>
          <w:rFonts w:asciiTheme="minorHAnsi" w:eastAsia="Cambria" w:hAnsiTheme="minorHAnsi" w:cstheme="minorHAnsi"/>
          <w:i/>
          <w:iCs/>
        </w:rPr>
        <w:t>triangulate</w:t>
      </w:r>
      <w:r w:rsidR="008B17D0" w:rsidRPr="009B1C91">
        <w:rPr>
          <w:rFonts w:asciiTheme="minorHAnsi" w:eastAsia="Cambria" w:hAnsiTheme="minorHAnsi" w:cstheme="minorHAnsi"/>
        </w:rPr>
        <w:t xml:space="preserve"> the FGDs outcome as well as to capture local perspectives on implementation challenges and sustainability. Key Informants including local officials, local government representatives, and local NGOs in various field sites were interviewed face-to-face with a semi-structured questionnaire. </w:t>
      </w:r>
      <w:r w:rsidR="008B17D0" w:rsidRPr="009B1C91">
        <w:rPr>
          <w:rFonts w:asciiTheme="minorHAnsi" w:eastAsia="Cambria" w:hAnsiTheme="minorHAnsi" w:cstheme="minorHAnsi"/>
          <w:i/>
          <w:iCs/>
        </w:rPr>
        <w:t>Life–histories</w:t>
      </w:r>
      <w:r w:rsidR="008B17D0" w:rsidRPr="009B1C91">
        <w:rPr>
          <w:rFonts w:asciiTheme="minorHAnsi" w:eastAsia="Cambria" w:hAnsiTheme="minorHAnsi" w:cstheme="minorHAnsi"/>
        </w:rPr>
        <w:t xml:space="preserve"> of individual beneficiaries in each field site were obtained. This combination of FDGs, Key Informant interviews, and life-history ‘case studies’ allowed data </w:t>
      </w:r>
      <w:r w:rsidR="008B17D0" w:rsidRPr="009B1C91">
        <w:rPr>
          <w:rFonts w:asciiTheme="minorHAnsi" w:eastAsia="Cambria" w:hAnsiTheme="minorHAnsi" w:cstheme="minorHAnsi"/>
          <w:i/>
          <w:iCs/>
        </w:rPr>
        <w:t>triangulation</w:t>
      </w:r>
      <w:r w:rsidR="008B17D0" w:rsidRPr="009B1C91">
        <w:rPr>
          <w:rFonts w:asciiTheme="minorHAnsi" w:eastAsia="Cambria" w:hAnsiTheme="minorHAnsi" w:cstheme="minorHAnsi"/>
        </w:rPr>
        <w:t xml:space="preserve"> and </w:t>
      </w:r>
      <w:r w:rsidR="008B17D0" w:rsidRPr="009B1C91">
        <w:rPr>
          <w:rFonts w:asciiTheme="minorHAnsi" w:eastAsia="Cambria" w:hAnsiTheme="minorHAnsi" w:cstheme="minorHAnsi"/>
          <w:i/>
          <w:iCs/>
        </w:rPr>
        <w:t>validation</w:t>
      </w:r>
      <w:r w:rsidR="003C6762">
        <w:rPr>
          <w:rFonts w:asciiTheme="minorHAnsi" w:eastAsia="Cambria" w:hAnsiTheme="minorHAnsi" w:cstheme="minorHAnsi"/>
          <w:i/>
          <w:iCs/>
        </w:rPr>
        <w:t xml:space="preserve"> </w:t>
      </w:r>
      <w:r w:rsidR="008B17D0" w:rsidRPr="009B1C91">
        <w:rPr>
          <w:rFonts w:asciiTheme="minorHAnsi" w:eastAsia="Cambria" w:hAnsiTheme="minorHAnsi" w:cstheme="minorHAnsi"/>
        </w:rPr>
        <w:t>that were</w:t>
      </w:r>
      <w:r w:rsidR="003C6762">
        <w:rPr>
          <w:rFonts w:asciiTheme="minorHAnsi" w:eastAsia="Cambria" w:hAnsiTheme="minorHAnsi" w:cstheme="minorHAnsi"/>
        </w:rPr>
        <w:t xml:space="preserve"> </w:t>
      </w:r>
      <w:r w:rsidR="008B17D0" w:rsidRPr="009B1C91">
        <w:rPr>
          <w:rFonts w:asciiTheme="minorHAnsi" w:eastAsia="Cambria" w:hAnsiTheme="minorHAnsi" w:cstheme="minorHAnsi"/>
        </w:rPr>
        <w:t xml:space="preserve">collected from national level stakeholders, on relevance, effectiveness, efficiency and sustainability of the UNDP interventions. </w:t>
      </w:r>
    </w:p>
    <w:p w:rsidR="008B17D0" w:rsidRPr="009B1C91" w:rsidRDefault="008B17D0" w:rsidP="00C61EA4">
      <w:pPr>
        <w:spacing w:after="0" w:line="240" w:lineRule="auto"/>
        <w:jc w:val="both"/>
        <w:rPr>
          <w:rFonts w:asciiTheme="minorHAnsi" w:eastAsia="Cambria" w:hAnsiTheme="minorHAnsi" w:cstheme="minorHAnsi"/>
        </w:rPr>
      </w:pPr>
    </w:p>
    <w:p w:rsidR="008B17D0" w:rsidRPr="009B1C91" w:rsidRDefault="008B17D0" w:rsidP="00C61EA4">
      <w:pPr>
        <w:spacing w:after="0" w:line="240" w:lineRule="auto"/>
        <w:jc w:val="both"/>
        <w:rPr>
          <w:rFonts w:asciiTheme="minorHAnsi" w:eastAsia="Cambria" w:hAnsiTheme="minorHAnsi" w:cstheme="minorHAnsi"/>
        </w:rPr>
      </w:pPr>
      <w:r w:rsidRPr="009B1C91">
        <w:rPr>
          <w:rFonts w:asciiTheme="minorHAnsi" w:eastAsia="Cambria" w:hAnsiTheme="minorHAnsi" w:cstheme="minorHAnsi"/>
        </w:rPr>
        <w:t>The initial desk review</w:t>
      </w:r>
      <w:r w:rsidR="001B22C0">
        <w:rPr>
          <w:rFonts w:asciiTheme="minorHAnsi" w:eastAsia="Cambria" w:hAnsiTheme="minorHAnsi" w:cstheme="minorHAnsi"/>
        </w:rPr>
        <w:t xml:space="preserve"> (Annex V</w:t>
      </w:r>
      <w:r w:rsidR="00D50B11">
        <w:rPr>
          <w:rFonts w:asciiTheme="minorHAnsi" w:eastAsia="Cambria" w:hAnsiTheme="minorHAnsi" w:cstheme="minorHAnsi"/>
        </w:rPr>
        <w:t>)</w:t>
      </w:r>
      <w:r w:rsidRPr="009B1C91">
        <w:rPr>
          <w:rFonts w:asciiTheme="minorHAnsi" w:eastAsia="Cambria" w:hAnsiTheme="minorHAnsi" w:cstheme="minorHAnsi"/>
        </w:rPr>
        <w:t xml:space="preserve"> and Inception Report preparation period was </w:t>
      </w:r>
      <w:r w:rsidR="00CE62A5" w:rsidRPr="009B1C91">
        <w:rPr>
          <w:rFonts w:asciiTheme="minorHAnsi" w:eastAsia="Cambria" w:hAnsiTheme="minorHAnsi" w:cstheme="minorHAnsi"/>
        </w:rPr>
        <w:t>from 8</w:t>
      </w:r>
      <w:r w:rsidR="00D626A5" w:rsidRPr="009B1C91">
        <w:rPr>
          <w:rFonts w:asciiTheme="minorHAnsi" w:eastAsia="Cambria" w:hAnsiTheme="minorHAnsi" w:cstheme="minorHAnsi"/>
        </w:rPr>
        <w:t xml:space="preserve"> December 2014 to </w:t>
      </w:r>
      <w:r w:rsidRPr="009B1C91">
        <w:rPr>
          <w:rFonts w:asciiTheme="minorHAnsi" w:eastAsia="Cambria" w:hAnsiTheme="minorHAnsi" w:cstheme="minorHAnsi"/>
        </w:rPr>
        <w:t>4 January 2015. Meetings,</w:t>
      </w:r>
      <w:r w:rsidR="00CB3F0D" w:rsidRPr="009B1C91">
        <w:rPr>
          <w:rFonts w:asciiTheme="minorHAnsi" w:eastAsia="Cambria" w:hAnsiTheme="minorHAnsi" w:cstheme="minorHAnsi"/>
        </w:rPr>
        <w:t xml:space="preserve"> consu</w:t>
      </w:r>
      <w:r w:rsidRPr="009B1C91">
        <w:rPr>
          <w:rFonts w:asciiTheme="minorHAnsi" w:eastAsia="Cambria" w:hAnsiTheme="minorHAnsi" w:cstheme="minorHAnsi"/>
        </w:rPr>
        <w:t>l</w:t>
      </w:r>
      <w:r w:rsidR="00CB3F0D" w:rsidRPr="009B1C91">
        <w:rPr>
          <w:rFonts w:asciiTheme="minorHAnsi" w:eastAsia="Cambria" w:hAnsiTheme="minorHAnsi" w:cstheme="minorHAnsi"/>
        </w:rPr>
        <w:t>t</w:t>
      </w:r>
      <w:r w:rsidRPr="009B1C91">
        <w:rPr>
          <w:rFonts w:asciiTheme="minorHAnsi" w:eastAsia="Cambria" w:hAnsiTheme="minorHAnsi" w:cstheme="minorHAnsi"/>
        </w:rPr>
        <w:t>ations, and group discussions were conducted during three ph</w:t>
      </w:r>
      <w:r w:rsidR="00D626A5" w:rsidRPr="009B1C91">
        <w:rPr>
          <w:rFonts w:asciiTheme="minorHAnsi" w:eastAsia="Cambria" w:hAnsiTheme="minorHAnsi" w:cstheme="minorHAnsi"/>
        </w:rPr>
        <w:t xml:space="preserve">ases: i) </w:t>
      </w:r>
      <w:r w:rsidR="00CB3F0D" w:rsidRPr="009B1C91">
        <w:rPr>
          <w:rFonts w:asciiTheme="minorHAnsi" w:eastAsia="Cambria" w:hAnsiTheme="minorHAnsi" w:cstheme="minorHAnsi"/>
          <w:u w:color="FF0000"/>
        </w:rPr>
        <w:t>15</w:t>
      </w:r>
      <w:r w:rsidR="00CB3F0D" w:rsidRPr="009B1C91">
        <w:rPr>
          <w:rFonts w:asciiTheme="minorHAnsi" w:eastAsia="Cambria" w:hAnsiTheme="minorHAnsi" w:cstheme="minorHAnsi"/>
        </w:rPr>
        <w:t xml:space="preserve"> December 2014 to</w:t>
      </w:r>
      <w:r w:rsidRPr="009B1C91">
        <w:rPr>
          <w:rFonts w:asciiTheme="minorHAnsi" w:eastAsia="Cambria" w:hAnsiTheme="minorHAnsi" w:cstheme="minorHAnsi"/>
        </w:rPr>
        <w:t xml:space="preserve"> 4 January, 2015; ii) </w:t>
      </w:r>
      <w:r w:rsidR="00CB3F0D" w:rsidRPr="009B1C91">
        <w:rPr>
          <w:rFonts w:asciiTheme="minorHAnsi" w:eastAsia="Cambria" w:hAnsiTheme="minorHAnsi" w:cstheme="minorHAnsi"/>
          <w:u w:color="FF0000"/>
        </w:rPr>
        <w:t>9</w:t>
      </w:r>
      <w:r w:rsidR="00CB3F0D" w:rsidRPr="009B1C91">
        <w:rPr>
          <w:rFonts w:asciiTheme="minorHAnsi" w:eastAsia="Cambria" w:hAnsiTheme="minorHAnsi" w:cstheme="minorHAnsi"/>
        </w:rPr>
        <w:t>- 22 February, 2015, and 8- 31</w:t>
      </w:r>
      <w:r w:rsidRPr="009B1C91">
        <w:rPr>
          <w:rFonts w:asciiTheme="minorHAnsi" w:eastAsia="Cambria" w:hAnsiTheme="minorHAnsi" w:cstheme="minorHAnsi"/>
        </w:rPr>
        <w:t xml:space="preserve"> May, 2015. Preliminary evaluation observations were presented to UNDP on </w:t>
      </w:r>
      <w:r w:rsidR="000B2831" w:rsidRPr="009B1C91">
        <w:rPr>
          <w:rFonts w:asciiTheme="minorHAnsi" w:eastAsia="Cambria" w:hAnsiTheme="minorHAnsi" w:cstheme="minorHAnsi"/>
          <w:u w:color="FF0000"/>
        </w:rPr>
        <w:t>15</w:t>
      </w:r>
      <w:r w:rsidRPr="009B1C91">
        <w:rPr>
          <w:rFonts w:asciiTheme="minorHAnsi" w:eastAsia="Cambria" w:hAnsiTheme="minorHAnsi" w:cstheme="minorHAnsi"/>
        </w:rPr>
        <w:t xml:space="preserve"> February, and </w:t>
      </w:r>
      <w:r w:rsidR="000B2831" w:rsidRPr="009B1C91">
        <w:rPr>
          <w:rFonts w:asciiTheme="minorHAnsi" w:eastAsia="Cambria" w:hAnsiTheme="minorHAnsi" w:cstheme="minorHAnsi"/>
        </w:rPr>
        <w:t>a debriefing session was organized on 31 May</w:t>
      </w:r>
      <w:r w:rsidRPr="009B1C91">
        <w:rPr>
          <w:rFonts w:asciiTheme="minorHAnsi" w:eastAsia="Cambria" w:hAnsiTheme="minorHAnsi" w:cstheme="minorHAnsi"/>
        </w:rPr>
        <w:t xml:space="preserve"> 2015</w:t>
      </w:r>
      <w:r w:rsidR="000B2831" w:rsidRPr="009B1C91">
        <w:rPr>
          <w:rFonts w:asciiTheme="minorHAnsi" w:eastAsia="Cambria" w:hAnsiTheme="minorHAnsi" w:cstheme="minorHAnsi"/>
        </w:rPr>
        <w:t>.</w:t>
      </w:r>
      <w:r w:rsidRPr="009B1C91">
        <w:rPr>
          <w:rFonts w:asciiTheme="minorHAnsi" w:eastAsia="Cambria" w:hAnsiTheme="minorHAnsi" w:cstheme="minorHAnsi"/>
        </w:rPr>
        <w:t xml:space="preserve"> The report was submitted to UNDP on 31 May, 2015. Annex</w:t>
      </w:r>
      <w:r w:rsidR="001B22C0">
        <w:rPr>
          <w:rFonts w:asciiTheme="minorHAnsi" w:eastAsia="Cambria" w:hAnsiTheme="minorHAnsi" w:cstheme="minorHAnsi"/>
        </w:rPr>
        <w:t xml:space="preserve"> IV</w:t>
      </w:r>
      <w:r w:rsidRPr="009B1C91">
        <w:rPr>
          <w:rFonts w:asciiTheme="minorHAnsi" w:eastAsia="Cambria" w:hAnsiTheme="minorHAnsi" w:cstheme="minorHAnsi"/>
        </w:rPr>
        <w:t xml:space="preserve"> depicts the evaluation schedule.</w:t>
      </w:r>
    </w:p>
    <w:p w:rsidR="008B17D0" w:rsidRPr="009B1C91" w:rsidRDefault="008B17D0" w:rsidP="00C61EA4">
      <w:pPr>
        <w:spacing w:after="0" w:line="240" w:lineRule="auto"/>
        <w:jc w:val="both"/>
        <w:rPr>
          <w:rFonts w:asciiTheme="minorHAnsi" w:eastAsia="Cambria" w:hAnsiTheme="minorHAnsi" w:cstheme="minorHAnsi"/>
        </w:rPr>
      </w:pPr>
    </w:p>
    <w:p w:rsidR="008B17D0" w:rsidRPr="009B1C91" w:rsidRDefault="008B17D0" w:rsidP="008B17D0">
      <w:pPr>
        <w:spacing w:after="0" w:line="240" w:lineRule="auto"/>
        <w:rPr>
          <w:rFonts w:asciiTheme="minorHAnsi" w:eastAsia="Cambria" w:hAnsiTheme="minorHAnsi" w:cstheme="minorHAnsi"/>
        </w:rPr>
      </w:pPr>
    </w:p>
    <w:p w:rsidR="008B17D0" w:rsidRPr="009B1C91" w:rsidRDefault="008B17D0" w:rsidP="008B17D0">
      <w:pPr>
        <w:spacing w:after="0" w:line="240" w:lineRule="auto"/>
        <w:rPr>
          <w:rFonts w:asciiTheme="minorHAnsi" w:hAnsiTheme="minorHAnsi" w:cstheme="minorHAnsi"/>
        </w:rPr>
      </w:pPr>
    </w:p>
    <w:p w:rsidR="008B17D0" w:rsidRPr="009B1C91" w:rsidRDefault="008B17D0" w:rsidP="008B17D0">
      <w:pPr>
        <w:spacing w:after="0" w:line="240" w:lineRule="auto"/>
        <w:rPr>
          <w:rFonts w:asciiTheme="minorHAnsi" w:eastAsia="Arial Unicode MS" w:hAnsiTheme="minorHAnsi" w:cstheme="minorHAnsi"/>
          <w:sz w:val="20"/>
          <w:szCs w:val="20"/>
          <w:lang w:val="en-US"/>
        </w:rPr>
      </w:pPr>
    </w:p>
    <w:p w:rsidR="004935AF" w:rsidRPr="009B1C91" w:rsidRDefault="004935AF" w:rsidP="008B17D0">
      <w:pPr>
        <w:spacing w:after="0" w:line="240" w:lineRule="auto"/>
        <w:rPr>
          <w:rFonts w:asciiTheme="minorHAnsi" w:eastAsia="Arial Unicode MS" w:hAnsiTheme="minorHAnsi" w:cstheme="minorHAnsi"/>
          <w:sz w:val="20"/>
          <w:szCs w:val="20"/>
          <w:lang w:val="en-US"/>
        </w:rPr>
      </w:pPr>
    </w:p>
    <w:p w:rsidR="004935AF" w:rsidRPr="009B1C91" w:rsidRDefault="004935AF" w:rsidP="008B17D0">
      <w:pPr>
        <w:spacing w:after="0" w:line="240" w:lineRule="auto"/>
        <w:rPr>
          <w:rFonts w:asciiTheme="minorHAnsi" w:eastAsia="Arial Unicode MS" w:hAnsiTheme="minorHAnsi" w:cstheme="minorHAnsi"/>
          <w:sz w:val="20"/>
          <w:szCs w:val="20"/>
          <w:lang w:val="en-US"/>
        </w:rPr>
      </w:pPr>
    </w:p>
    <w:p w:rsidR="00E032A7" w:rsidRPr="009B1C91" w:rsidRDefault="00E032A7" w:rsidP="003F3EA9">
      <w:pPr>
        <w:autoSpaceDE w:val="0"/>
        <w:autoSpaceDN w:val="0"/>
        <w:adjustRightInd w:val="0"/>
        <w:spacing w:after="0" w:line="240" w:lineRule="auto"/>
        <w:rPr>
          <w:rFonts w:asciiTheme="minorHAnsi" w:hAnsiTheme="minorHAnsi" w:cstheme="minorHAnsi"/>
        </w:rPr>
      </w:pPr>
    </w:p>
    <w:p w:rsidR="00135E5E" w:rsidRPr="009B1C91" w:rsidRDefault="00135E5E" w:rsidP="003F3EA9">
      <w:pPr>
        <w:autoSpaceDE w:val="0"/>
        <w:autoSpaceDN w:val="0"/>
        <w:adjustRightInd w:val="0"/>
        <w:spacing w:after="0" w:line="240" w:lineRule="auto"/>
        <w:rPr>
          <w:rFonts w:asciiTheme="minorHAnsi" w:hAnsiTheme="minorHAnsi" w:cstheme="minorHAnsi"/>
        </w:rPr>
      </w:pPr>
    </w:p>
    <w:p w:rsidR="006C1581" w:rsidRPr="009B1C91" w:rsidRDefault="006C1581" w:rsidP="006C1581">
      <w:pPr>
        <w:spacing w:after="0" w:line="240" w:lineRule="auto"/>
        <w:rPr>
          <w:rFonts w:asciiTheme="minorHAnsi" w:hAnsiTheme="minorHAnsi" w:cstheme="minorHAnsi"/>
          <w:b/>
          <w:bCs/>
        </w:rPr>
      </w:pPr>
      <w:r w:rsidRPr="009B1C91">
        <w:rPr>
          <w:rFonts w:asciiTheme="minorHAnsi" w:hAnsiTheme="minorHAnsi" w:cstheme="minorHAnsi"/>
          <w:b/>
          <w:bCs/>
        </w:rPr>
        <w:lastRenderedPageBreak/>
        <w:t>SECTION 2</w:t>
      </w:r>
    </w:p>
    <w:p w:rsidR="006C1581" w:rsidRPr="009B1C91" w:rsidRDefault="006C1581" w:rsidP="006C1581">
      <w:pPr>
        <w:spacing w:after="0" w:line="240" w:lineRule="auto"/>
        <w:rPr>
          <w:rFonts w:asciiTheme="minorHAnsi" w:hAnsiTheme="minorHAnsi" w:cstheme="minorHAnsi"/>
          <w:b/>
          <w:bCs/>
        </w:rPr>
      </w:pPr>
    </w:p>
    <w:p w:rsidR="006C1581" w:rsidRPr="009B1C91" w:rsidRDefault="006C1581" w:rsidP="006C1581">
      <w:pPr>
        <w:spacing w:after="0" w:line="240" w:lineRule="auto"/>
        <w:rPr>
          <w:rFonts w:asciiTheme="minorHAnsi" w:hAnsiTheme="minorHAnsi" w:cstheme="minorHAnsi"/>
          <w:b/>
          <w:bCs/>
          <w:sz w:val="44"/>
          <w:szCs w:val="44"/>
        </w:rPr>
      </w:pPr>
      <w:r w:rsidRPr="009B1C91">
        <w:rPr>
          <w:rFonts w:asciiTheme="minorHAnsi" w:hAnsiTheme="minorHAnsi" w:cstheme="minorHAnsi"/>
          <w:b/>
          <w:bCs/>
          <w:sz w:val="44"/>
          <w:szCs w:val="44"/>
        </w:rPr>
        <w:t xml:space="preserve">COUNTRY CONTEXT AND DEVELOPMENT CHALLENGES FOR CCED </w:t>
      </w:r>
    </w:p>
    <w:p w:rsidR="006C1581" w:rsidRPr="009B1C91" w:rsidRDefault="006C1581" w:rsidP="006C1581">
      <w:pPr>
        <w:spacing w:after="0" w:line="240" w:lineRule="auto"/>
        <w:rPr>
          <w:rFonts w:asciiTheme="minorHAnsi" w:hAnsiTheme="minorHAnsi" w:cstheme="minorHAnsi"/>
          <w:b/>
          <w:bCs/>
        </w:rPr>
      </w:pPr>
    </w:p>
    <w:p w:rsidR="006C1581" w:rsidRPr="009B1C91" w:rsidRDefault="006C1581" w:rsidP="006C1581">
      <w:pPr>
        <w:spacing w:after="0" w:line="240" w:lineRule="auto"/>
        <w:rPr>
          <w:rFonts w:asciiTheme="minorHAnsi" w:hAnsiTheme="minorHAnsi" w:cstheme="minorHAnsi"/>
          <w:b/>
          <w:bCs/>
        </w:rPr>
      </w:pPr>
    </w:p>
    <w:p w:rsidR="006C1581" w:rsidRPr="009B1C91" w:rsidRDefault="006C1581" w:rsidP="006C1581">
      <w:pPr>
        <w:spacing w:after="0" w:line="240" w:lineRule="auto"/>
        <w:rPr>
          <w:rFonts w:asciiTheme="minorHAnsi" w:eastAsia="Trebuchet MS" w:hAnsiTheme="minorHAnsi" w:cstheme="minorHAnsi"/>
          <w:b/>
          <w:bCs/>
        </w:rPr>
      </w:pPr>
      <w:r w:rsidRPr="009B1C91">
        <w:rPr>
          <w:rFonts w:asciiTheme="minorHAnsi" w:hAnsiTheme="minorHAnsi" w:cstheme="minorHAnsi"/>
          <w:b/>
          <w:bCs/>
        </w:rPr>
        <w:t xml:space="preserve">2.1 SITUATION AND CONTEXT </w:t>
      </w:r>
    </w:p>
    <w:p w:rsidR="006C1581" w:rsidRPr="009B1C91" w:rsidRDefault="006C1581" w:rsidP="006C1581">
      <w:pPr>
        <w:spacing w:after="0" w:line="240" w:lineRule="auto"/>
        <w:ind w:left="360"/>
        <w:rPr>
          <w:rFonts w:asciiTheme="minorHAnsi" w:hAnsiTheme="minorHAnsi" w:cstheme="minorHAnsi"/>
          <w:b/>
          <w:bCs/>
        </w:rPr>
      </w:pPr>
    </w:p>
    <w:p w:rsidR="006C1581" w:rsidRPr="009B1C91" w:rsidRDefault="006C1581" w:rsidP="00C61EA4">
      <w:pPr>
        <w:spacing w:after="0" w:line="240" w:lineRule="auto"/>
        <w:jc w:val="both"/>
        <w:rPr>
          <w:rFonts w:asciiTheme="minorHAnsi" w:hAnsiTheme="minorHAnsi" w:cstheme="minorHAnsi"/>
        </w:rPr>
      </w:pPr>
      <w:r w:rsidRPr="009B1C91">
        <w:rPr>
          <w:rFonts w:asciiTheme="minorHAnsi" w:hAnsiTheme="minorHAnsi" w:cstheme="minorHAnsi"/>
        </w:rPr>
        <w:t xml:space="preserve">Bangladesh is currently ranked by the </w:t>
      </w:r>
      <w:r w:rsidR="002E4A99" w:rsidRPr="009B1C91">
        <w:rPr>
          <w:rFonts w:asciiTheme="minorHAnsi" w:hAnsiTheme="minorHAnsi" w:cstheme="minorHAnsi"/>
        </w:rPr>
        <w:t>Maplecroft’s index</w:t>
      </w:r>
      <w:r w:rsidR="002E4A99" w:rsidRPr="009B1C91">
        <w:rPr>
          <w:rFonts w:asciiTheme="minorHAnsi" w:hAnsiTheme="minorHAnsi" w:cstheme="minorHAnsi"/>
          <w:vertAlign w:val="superscript"/>
        </w:rPr>
        <w:footnoteReference w:id="6"/>
      </w:r>
      <w:r w:rsidR="00C61C12">
        <w:rPr>
          <w:rFonts w:asciiTheme="minorHAnsi" w:hAnsiTheme="minorHAnsi" w:cstheme="minorHAnsi"/>
        </w:rPr>
        <w:t xml:space="preserve"> as the</w:t>
      </w:r>
      <w:r w:rsidRPr="009B1C91">
        <w:rPr>
          <w:rFonts w:asciiTheme="minorHAnsi" w:hAnsiTheme="minorHAnsi" w:cstheme="minorHAnsi"/>
        </w:rPr>
        <w:t xml:space="preserve"> most vulnerable country in the world to climate change. As a result of the effects of</w:t>
      </w:r>
      <w:r w:rsidR="00E96836">
        <w:rPr>
          <w:rFonts w:asciiTheme="minorHAnsi" w:hAnsiTheme="minorHAnsi" w:cstheme="minorHAnsi"/>
        </w:rPr>
        <w:t xml:space="preserve"> more than 2% growth rate</w:t>
      </w:r>
      <w:r w:rsidR="00531037">
        <w:rPr>
          <w:rFonts w:asciiTheme="minorHAnsi" w:hAnsiTheme="minorHAnsi" w:cstheme="minorHAnsi"/>
        </w:rPr>
        <w:t xml:space="preserve"> per annum</w:t>
      </w:r>
      <w:r w:rsidR="00E96836">
        <w:rPr>
          <w:rFonts w:asciiTheme="minorHAnsi" w:hAnsiTheme="minorHAnsi" w:cstheme="minorHAnsi"/>
        </w:rPr>
        <w:t xml:space="preserve"> during 2003-2008 and more than </w:t>
      </w:r>
      <w:r w:rsidR="002E4A99" w:rsidRPr="009B1C91">
        <w:rPr>
          <w:rFonts w:asciiTheme="minorHAnsi" w:hAnsiTheme="minorHAnsi" w:cstheme="minorHAnsi"/>
        </w:rPr>
        <w:t>1.2% growth per annum</w:t>
      </w:r>
      <w:r w:rsidR="00531037">
        <w:rPr>
          <w:rFonts w:asciiTheme="minorHAnsi" w:hAnsiTheme="minorHAnsi" w:cstheme="minorHAnsi"/>
        </w:rPr>
        <w:t xml:space="preserve"> during 2009-2014</w:t>
      </w:r>
      <w:r w:rsidR="002E4A99" w:rsidRPr="009B1C91">
        <w:rPr>
          <w:rFonts w:asciiTheme="minorHAnsi" w:hAnsiTheme="minorHAnsi" w:cstheme="minorHAnsi"/>
          <w:vertAlign w:val="superscript"/>
        </w:rPr>
        <w:footnoteReference w:id="7"/>
      </w:r>
      <w:r w:rsidRPr="009B1C91">
        <w:rPr>
          <w:rFonts w:asciiTheme="minorHAnsi" w:hAnsiTheme="minorHAnsi" w:cstheme="minorHAnsi"/>
        </w:rPr>
        <w:t>on a population base of 163 million and the increased frequency and severity of extreme weather events, the disaster and social vulnerability of t</w:t>
      </w:r>
      <w:r w:rsidR="00C61C12">
        <w:rPr>
          <w:rFonts w:asciiTheme="minorHAnsi" w:hAnsiTheme="minorHAnsi" w:cstheme="minorHAnsi"/>
        </w:rPr>
        <w:t>he country’s population has</w:t>
      </w:r>
      <w:r w:rsidRPr="009B1C91">
        <w:rPr>
          <w:rFonts w:asciiTheme="minorHAnsi" w:hAnsiTheme="minorHAnsi" w:cstheme="minorHAnsi"/>
        </w:rPr>
        <w:t xml:space="preserve"> increased. The findings of the Fifth Assessment Report of the IPCC suggested that the magnitude of sea level rise by the century’s end, even in a low-emissions scenario, implies considerably increased risk for the settlements, economy, culture, and ecosystems of coastal Bangladesh, particularly if combined with changes in cyclone and tidal surge frequency and intensity. This is because most of Bangladesh’s 147,570 sq. km territory consists of flat terrain, with 50% of the landmass lying only 10 m above sea level. The IPCC Report also claimed that the risk of urban and coastal flooding is highest in Bangladesh among South Asian nations. It observed that climate stress and shocks have begun to adversely affec</w:t>
      </w:r>
      <w:r w:rsidR="00C46A76" w:rsidRPr="009B1C91">
        <w:rPr>
          <w:rFonts w:asciiTheme="minorHAnsi" w:hAnsiTheme="minorHAnsi" w:cstheme="minorHAnsi"/>
        </w:rPr>
        <w:t>t coastal fishers’ livelihoods,</w:t>
      </w:r>
      <w:r w:rsidRPr="009B1C91">
        <w:rPr>
          <w:rFonts w:asciiTheme="minorHAnsi" w:hAnsiTheme="minorHAnsi" w:cstheme="minorHAnsi"/>
          <w:vertAlign w:val="superscript"/>
        </w:rPr>
        <w:footnoteReference w:id="8"/>
      </w:r>
      <w:r w:rsidRPr="009B1C91">
        <w:rPr>
          <w:rFonts w:asciiTheme="minorHAnsi" w:hAnsiTheme="minorHAnsi" w:cstheme="minorHAnsi"/>
        </w:rPr>
        <w:t>and trigger and accelerate large-scale population out-migration, which is emerging as a major development challenge given the difficulty of  adaptation to unfamiliar</w:t>
      </w:r>
      <w:r w:rsidR="00C46A76" w:rsidRPr="009B1C91">
        <w:rPr>
          <w:rFonts w:asciiTheme="minorHAnsi" w:hAnsiTheme="minorHAnsi" w:cstheme="minorHAnsi"/>
        </w:rPr>
        <w:t>, congested urban environments.</w:t>
      </w:r>
    </w:p>
    <w:p w:rsidR="006C1581" w:rsidRPr="009B1C91" w:rsidRDefault="006C1581" w:rsidP="00C61EA4">
      <w:pPr>
        <w:spacing w:after="0" w:line="240" w:lineRule="auto"/>
        <w:jc w:val="both"/>
        <w:rPr>
          <w:rFonts w:asciiTheme="minorHAnsi" w:hAnsiTheme="minorHAnsi" w:cstheme="minorHAnsi"/>
        </w:rPr>
      </w:pPr>
    </w:p>
    <w:p w:rsidR="006C1581" w:rsidRPr="009B1C91" w:rsidRDefault="006C1581" w:rsidP="00C61EA4">
      <w:pPr>
        <w:spacing w:after="0" w:line="240" w:lineRule="auto"/>
        <w:jc w:val="both"/>
        <w:rPr>
          <w:rFonts w:asciiTheme="minorHAnsi" w:hAnsiTheme="minorHAnsi" w:cstheme="minorHAnsi"/>
        </w:rPr>
      </w:pPr>
      <w:r w:rsidRPr="009B1C91">
        <w:rPr>
          <w:rFonts w:asciiTheme="minorHAnsi" w:hAnsiTheme="minorHAnsi" w:cstheme="minorHAnsi"/>
        </w:rPr>
        <w:t>Cyclones, floods, droughts, and heat stress adversely affect human safety and security, crop productivity, and infrastructure every year.  The combined effects of</w:t>
      </w:r>
      <w:r w:rsidR="007A290D">
        <w:rPr>
          <w:rFonts w:asciiTheme="minorHAnsi" w:hAnsiTheme="minorHAnsi" w:cstheme="minorHAnsi"/>
        </w:rPr>
        <w:t xml:space="preserve"> an estimated 40 million </w:t>
      </w:r>
      <w:r w:rsidR="002E4A99" w:rsidRPr="009B1C91">
        <w:rPr>
          <w:rFonts w:asciiTheme="minorHAnsi" w:hAnsiTheme="minorHAnsi" w:cstheme="minorHAnsi"/>
        </w:rPr>
        <w:t xml:space="preserve">people living in </w:t>
      </w:r>
      <w:r w:rsidR="007A290D">
        <w:rPr>
          <w:rFonts w:asciiTheme="minorHAnsi" w:hAnsiTheme="minorHAnsi" w:cstheme="minorHAnsi"/>
        </w:rPr>
        <w:t>a state of</w:t>
      </w:r>
      <w:r w:rsidR="002E4A99" w:rsidRPr="009B1C91">
        <w:rPr>
          <w:rFonts w:asciiTheme="minorHAnsi" w:hAnsiTheme="minorHAnsi" w:cstheme="minorHAnsi"/>
        </w:rPr>
        <w:t xml:space="preserve"> poverty</w:t>
      </w:r>
      <w:r w:rsidRPr="009B1C91">
        <w:rPr>
          <w:rFonts w:asciiTheme="minorHAnsi" w:hAnsiTheme="minorHAnsi" w:cstheme="minorHAnsi"/>
        </w:rPr>
        <w:t>, the vulnerability of coastal areas to cyclones, and high population density of population often lead extreme natural events into catastrophic disasters, causing severe often lead to great loss of life and economic capacity</w:t>
      </w:r>
      <w:r w:rsidR="00C46A76" w:rsidRPr="009B1C91">
        <w:rPr>
          <w:rFonts w:asciiTheme="minorHAnsi" w:hAnsiTheme="minorHAnsi" w:cstheme="minorHAnsi"/>
        </w:rPr>
        <w:t xml:space="preserve"> during severe weather events. </w:t>
      </w:r>
      <w:r w:rsidRPr="009B1C91">
        <w:rPr>
          <w:rFonts w:asciiTheme="minorHAnsi" w:hAnsiTheme="minorHAnsi" w:cstheme="minorHAnsi"/>
        </w:rPr>
        <w:t>Subject to the influence of the monsoon, excessive rainfall - which usually takes place during four summer months (June till September) - and associated runoff often causes devastating floods.</w:t>
      </w:r>
      <w:r w:rsidRPr="009B1C91">
        <w:rPr>
          <w:rFonts w:asciiTheme="minorHAnsi" w:hAnsiTheme="minorHAnsi" w:cstheme="minorHAnsi"/>
          <w:vertAlign w:val="superscript"/>
        </w:rPr>
        <w:footnoteReference w:id="9"/>
      </w:r>
      <w:r w:rsidRPr="009B1C91">
        <w:rPr>
          <w:rFonts w:asciiTheme="minorHAnsi" w:hAnsiTheme="minorHAnsi" w:cstheme="minorHAnsi"/>
        </w:rPr>
        <w:t xml:space="preserve"> During 1990-2008, the country lost US 2.2 billion (1.8% of annual GDP) to the effects of natural disasters.</w:t>
      </w:r>
      <w:r w:rsidRPr="009B1C91">
        <w:rPr>
          <w:rFonts w:asciiTheme="minorHAnsi" w:hAnsiTheme="minorHAnsi" w:cstheme="minorHAnsi"/>
          <w:vertAlign w:val="superscript"/>
        </w:rPr>
        <w:footnoteReference w:id="10"/>
      </w:r>
      <w:r w:rsidRPr="009B1C91">
        <w:rPr>
          <w:rFonts w:asciiTheme="minorHAnsi" w:hAnsiTheme="minorHAnsi" w:cstheme="minorHAnsi"/>
        </w:rPr>
        <w:t>The above mentioned geological, meteorological, and hydrological realities make Bangladesh a land highly prone to hazards and disasters. About 1.3 million ha of crop land has been delineated as highly flood-prone and about 5.1 million ha moderately flood-prone.</w:t>
      </w:r>
      <w:r w:rsidRPr="009B1C91">
        <w:rPr>
          <w:rFonts w:asciiTheme="minorHAnsi" w:hAnsiTheme="minorHAnsi" w:cstheme="minorHAnsi"/>
          <w:vertAlign w:val="superscript"/>
        </w:rPr>
        <w:footnoteReference w:id="11"/>
      </w:r>
      <w:r w:rsidRPr="009B1C91">
        <w:rPr>
          <w:rFonts w:asciiTheme="minorHAnsi" w:hAnsiTheme="minorHAnsi" w:cstheme="minorHAnsi"/>
        </w:rPr>
        <w:t xml:space="preserve"> Several studies have revealed coastal zone vulnerability to be ‘severe’ due to </w:t>
      </w:r>
      <w:r w:rsidRPr="009B1C91">
        <w:rPr>
          <w:rFonts w:asciiTheme="minorHAnsi" w:hAnsiTheme="minorHAnsi" w:cstheme="minorHAnsi"/>
        </w:rPr>
        <w:lastRenderedPageBreak/>
        <w:t>the combined effects of climate change, sea level rise, subsidence, changes in upstream river discharge, cyclones, and coastal embankment.</w:t>
      </w:r>
      <w:r w:rsidRPr="009B1C91">
        <w:rPr>
          <w:rFonts w:asciiTheme="minorHAnsi" w:hAnsiTheme="minorHAnsi" w:cstheme="minorHAnsi"/>
          <w:vertAlign w:val="superscript"/>
        </w:rPr>
        <w:footnoteReference w:id="12"/>
      </w:r>
      <w:r w:rsidRPr="009B1C91">
        <w:rPr>
          <w:rFonts w:asciiTheme="minorHAnsi" w:hAnsiTheme="minorHAnsi" w:cstheme="minorHAnsi"/>
        </w:rPr>
        <w:t xml:space="preserve">The adverse effects of climate variability and change and natural disasters thus pose a major challenge to the prosperity and development of Bangladesh, particularly in the context of relevant components of MDGs. </w:t>
      </w:r>
    </w:p>
    <w:p w:rsidR="006C1581" w:rsidRPr="009B1C91" w:rsidRDefault="006C1581" w:rsidP="00C61EA4">
      <w:pPr>
        <w:spacing w:after="0" w:line="240" w:lineRule="auto"/>
        <w:jc w:val="both"/>
        <w:rPr>
          <w:rFonts w:asciiTheme="minorHAnsi" w:hAnsiTheme="minorHAnsi" w:cstheme="minorHAnsi"/>
        </w:rPr>
      </w:pPr>
    </w:p>
    <w:p w:rsidR="006C1581" w:rsidRPr="009B1C91" w:rsidRDefault="006C1581" w:rsidP="00C61EA4">
      <w:pPr>
        <w:spacing w:after="0" w:line="240" w:lineRule="auto"/>
        <w:jc w:val="both"/>
        <w:rPr>
          <w:rFonts w:asciiTheme="minorHAnsi" w:hAnsiTheme="minorHAnsi" w:cstheme="minorHAnsi"/>
        </w:rPr>
      </w:pPr>
      <w:r w:rsidRPr="009B1C91">
        <w:rPr>
          <w:rFonts w:asciiTheme="minorHAnsi" w:hAnsiTheme="minorHAnsi" w:cstheme="minorHAnsi"/>
        </w:rPr>
        <w:t>The rural population of Bangladesh, particularly the poor, is highly dependent on access to natural resources (i.e., forests, land, wetlands, and water bodies) and their well-being. However, rampant encroachment and infringement upon natural resources are rapidly reducing the regeneration/rejuvenation potential of the remaining resource base. With increasing industrial activities and urbanization (the present rate is &gt;3%), surface water system is facing severe pollution. This in turn is threatening the vital open water fishery.  The ground water table is also being depleted at an alarming rate. While natural resource stocks (e.g. land and forests) are limited in the country, their declining per capita availability is posing serious developmental challenges. The extent of forest area is about 2.53 million ha</w:t>
      </w:r>
      <w:r w:rsidR="00C46A76" w:rsidRPr="009B1C91">
        <w:rPr>
          <w:rStyle w:val="FootnoteReference"/>
          <w:rFonts w:asciiTheme="minorHAnsi" w:hAnsiTheme="minorHAnsi" w:cstheme="minorHAnsi"/>
        </w:rPr>
        <w:footnoteReference w:id="13"/>
      </w:r>
      <w:r w:rsidRPr="009B1C91">
        <w:rPr>
          <w:rFonts w:asciiTheme="minorHAnsi" w:hAnsiTheme="minorHAnsi" w:cstheme="minorHAnsi"/>
          <w:u w:color="FF0000"/>
        </w:rPr>
        <w:t>,which was</w:t>
      </w:r>
      <w:r w:rsidRPr="009B1C91">
        <w:rPr>
          <w:rFonts w:asciiTheme="minorHAnsi" w:hAnsiTheme="minorHAnsi" w:cstheme="minorHAnsi"/>
        </w:rPr>
        <w:t xml:space="preserve"> reduced</w:t>
      </w:r>
      <w:r w:rsidR="002F5BD7" w:rsidRPr="009B1C91">
        <w:rPr>
          <w:rFonts w:asciiTheme="minorHAnsi" w:hAnsiTheme="minorHAnsi" w:cstheme="minorHAnsi"/>
        </w:rPr>
        <w:t xml:space="preserve"> from 10% </w:t>
      </w:r>
      <w:r w:rsidRPr="009B1C91">
        <w:rPr>
          <w:rFonts w:asciiTheme="minorHAnsi" w:hAnsiTheme="minorHAnsi" w:cstheme="minorHAnsi"/>
        </w:rPr>
        <w:t xml:space="preserve">of the country’s total area in the 1980s to 6% by </w:t>
      </w:r>
      <w:r w:rsidRPr="009B1C91">
        <w:rPr>
          <w:rFonts w:asciiTheme="minorHAnsi" w:hAnsiTheme="minorHAnsi" w:cstheme="minorHAnsi"/>
          <w:u w:color="FF0000"/>
        </w:rPr>
        <w:t>2005</w:t>
      </w:r>
      <w:r w:rsidR="002F5BD7" w:rsidRPr="009B1C91">
        <w:rPr>
          <w:rStyle w:val="FootnoteReference"/>
          <w:rFonts w:asciiTheme="minorHAnsi" w:hAnsiTheme="minorHAnsi" w:cstheme="minorHAnsi"/>
          <w:u w:color="FF0000"/>
        </w:rPr>
        <w:footnoteReference w:id="14"/>
      </w:r>
      <w:r w:rsidRPr="009B1C91">
        <w:rPr>
          <w:rFonts w:asciiTheme="minorHAnsi" w:hAnsiTheme="minorHAnsi" w:cstheme="minorHAnsi"/>
          <w:u w:color="FF0000"/>
        </w:rPr>
        <w:t>.</w:t>
      </w:r>
      <w:r w:rsidRPr="009B1C91">
        <w:rPr>
          <w:rFonts w:asciiTheme="minorHAnsi" w:hAnsiTheme="minorHAnsi" w:cstheme="minorHAnsi"/>
        </w:rPr>
        <w:t xml:space="preserve">  Presently, the arable land area is decreasing at a rate of 1% per year, out of only total 8.5 million ha</w:t>
      </w:r>
      <w:r w:rsidR="00ED4434" w:rsidRPr="009B1C91">
        <w:rPr>
          <w:rStyle w:val="FootnoteReference"/>
          <w:rFonts w:asciiTheme="minorHAnsi" w:hAnsiTheme="minorHAnsi" w:cstheme="minorHAnsi"/>
        </w:rPr>
        <w:footnoteReference w:id="15"/>
      </w:r>
      <w:r w:rsidR="00ED4434" w:rsidRPr="009B1C91">
        <w:rPr>
          <w:rFonts w:asciiTheme="minorHAnsi" w:hAnsiTheme="minorHAnsi" w:cstheme="minorHAnsi"/>
        </w:rPr>
        <w:t xml:space="preserve">. </w:t>
      </w:r>
      <w:r w:rsidRPr="009B1C91">
        <w:rPr>
          <w:rFonts w:asciiTheme="minorHAnsi" w:hAnsiTheme="minorHAnsi" w:cstheme="minorHAnsi"/>
        </w:rPr>
        <w:t>Bangladesh has one of the richest open-water fisheries in the world, producing more than 2.9 million metric tons per year (2009-2010); however, the fish stocks have been declining at an alarming rate due to overfishing, degradation and loss of fish, and water pollution - among other factors</w:t>
      </w:r>
      <w:r w:rsidR="007E5D53" w:rsidRPr="009B1C91">
        <w:rPr>
          <w:rStyle w:val="FootnoteReference"/>
          <w:rFonts w:asciiTheme="minorHAnsi" w:hAnsiTheme="minorHAnsi" w:cstheme="minorHAnsi"/>
        </w:rPr>
        <w:footnoteReference w:id="16"/>
      </w:r>
      <w:r w:rsidR="007E5D53" w:rsidRPr="009B1C91">
        <w:rPr>
          <w:rFonts w:asciiTheme="minorHAnsi" w:hAnsiTheme="minorHAnsi" w:cstheme="minorHAnsi"/>
        </w:rPr>
        <w:t>,</w:t>
      </w:r>
      <w:r w:rsidR="007E5D53" w:rsidRPr="009B1C91">
        <w:rPr>
          <w:rStyle w:val="FootnoteReference"/>
          <w:rFonts w:asciiTheme="minorHAnsi" w:hAnsiTheme="minorHAnsi" w:cstheme="minorHAnsi"/>
        </w:rPr>
        <w:footnoteReference w:id="17"/>
      </w:r>
      <w:r w:rsidR="00D55306" w:rsidRPr="009B1C91">
        <w:rPr>
          <w:rFonts w:asciiTheme="minorHAnsi" w:hAnsiTheme="minorHAnsi" w:cstheme="minorHAnsi"/>
        </w:rPr>
        <w:t>.</w:t>
      </w:r>
    </w:p>
    <w:p w:rsidR="00D55306" w:rsidRPr="009B1C91" w:rsidRDefault="00D55306" w:rsidP="00C61EA4">
      <w:pPr>
        <w:spacing w:after="0" w:line="240" w:lineRule="auto"/>
        <w:jc w:val="both"/>
        <w:rPr>
          <w:rFonts w:asciiTheme="minorHAnsi" w:hAnsiTheme="minorHAnsi" w:cstheme="minorHAnsi"/>
        </w:rPr>
      </w:pPr>
    </w:p>
    <w:p w:rsidR="006C1581" w:rsidRPr="009B1C91" w:rsidRDefault="006C1581" w:rsidP="00E828FC">
      <w:pPr>
        <w:spacing w:after="0" w:line="240" w:lineRule="auto"/>
        <w:jc w:val="both"/>
        <w:rPr>
          <w:rFonts w:asciiTheme="minorHAnsi" w:hAnsiTheme="minorHAnsi" w:cstheme="minorHAnsi"/>
          <w:i/>
          <w:iCs/>
        </w:rPr>
      </w:pPr>
      <w:r w:rsidRPr="009B1C91">
        <w:rPr>
          <w:rFonts w:asciiTheme="minorHAnsi" w:hAnsiTheme="minorHAnsi" w:cstheme="minorHAnsi"/>
        </w:rPr>
        <w:t>Despite a significant improvement in regulatory regimes on NRM in recent years, the implementation of policies and regulations on the ground has remained very weak. Recognizing the importance of protecting natural resources from environmental pollution, overexploitation, and socioeconomic and demographic pressures,</w:t>
      </w:r>
      <w:r w:rsidR="00135F19" w:rsidRPr="009B1C91">
        <w:rPr>
          <w:rFonts w:asciiTheme="minorHAnsi" w:hAnsiTheme="minorHAnsi" w:cstheme="minorHAnsi"/>
        </w:rPr>
        <w:t xml:space="preserve"> the Sixth FYP reaffirmed that </w:t>
      </w:r>
      <w:r w:rsidRPr="009B1C91">
        <w:rPr>
          <w:rFonts w:asciiTheme="minorHAnsi" w:hAnsiTheme="minorHAnsi" w:cstheme="minorHAnsi"/>
        </w:rPr>
        <w:t xml:space="preserve">the sustainability of natural resources is essential, and placed priority on this issue so that the poor and the vulnerable populations can continue to access these common property resources. </w:t>
      </w:r>
    </w:p>
    <w:p w:rsidR="006C1581" w:rsidRPr="009B1C91" w:rsidRDefault="006C1581" w:rsidP="00C61EA4">
      <w:pPr>
        <w:spacing w:after="0" w:line="240" w:lineRule="auto"/>
        <w:jc w:val="both"/>
        <w:rPr>
          <w:rFonts w:asciiTheme="minorHAnsi" w:hAnsiTheme="minorHAnsi" w:cstheme="minorHAnsi"/>
          <w:i/>
          <w:iCs/>
        </w:rPr>
      </w:pPr>
    </w:p>
    <w:p w:rsidR="006C1581" w:rsidRPr="009B1C91" w:rsidRDefault="006C1581" w:rsidP="00C61EA4">
      <w:pPr>
        <w:spacing w:after="0" w:line="240" w:lineRule="auto"/>
        <w:jc w:val="both"/>
        <w:rPr>
          <w:rFonts w:asciiTheme="minorHAnsi" w:hAnsiTheme="minorHAnsi" w:cstheme="minorHAnsi"/>
          <w:i/>
          <w:iCs/>
        </w:rPr>
      </w:pPr>
      <w:r w:rsidRPr="009B1C91">
        <w:rPr>
          <w:rFonts w:asciiTheme="minorHAnsi" w:hAnsiTheme="minorHAnsi" w:cstheme="minorHAnsi"/>
        </w:rPr>
        <w:t xml:space="preserve">With industrial development and </w:t>
      </w:r>
      <w:r w:rsidR="002E4A99" w:rsidRPr="009B1C91">
        <w:rPr>
          <w:rFonts w:asciiTheme="minorHAnsi" w:hAnsiTheme="minorHAnsi" w:cstheme="minorHAnsi"/>
        </w:rPr>
        <w:t>m</w:t>
      </w:r>
      <w:r w:rsidR="00CE331A">
        <w:rPr>
          <w:rFonts w:asciiTheme="minorHAnsi" w:hAnsiTheme="minorHAnsi" w:cstheme="minorHAnsi"/>
        </w:rPr>
        <w:t>ore than 6</w:t>
      </w:r>
      <w:r w:rsidR="002E4A99" w:rsidRPr="009B1C91">
        <w:rPr>
          <w:rFonts w:asciiTheme="minorHAnsi" w:hAnsiTheme="minorHAnsi" w:cstheme="minorHAnsi"/>
        </w:rPr>
        <w:t xml:space="preserve">% GDP growth rate per year in </w:t>
      </w:r>
      <w:r w:rsidR="00CE331A">
        <w:rPr>
          <w:rFonts w:asciiTheme="minorHAnsi" w:hAnsiTheme="minorHAnsi" w:cstheme="minorHAnsi"/>
        </w:rPr>
        <w:t>the past decade,</w:t>
      </w:r>
      <w:r w:rsidRPr="009B1C91">
        <w:rPr>
          <w:rFonts w:asciiTheme="minorHAnsi" w:hAnsiTheme="minorHAnsi" w:cstheme="minorHAnsi"/>
        </w:rPr>
        <w:t xml:space="preserve"> the use of commercial energy has been on the rise since the 1980s. Electricity is being generated primarily using natural gas, from domestic sources, although there has been a gradual shift in recent years towards imported liquid petroleum and coal. There is significant room for attaining a higher efficiency levels in lighting, since the majority of electric light is obtained with incandescent bulbs. It is worth noting, however, that more than 40% of Bangladesh’s population does not have access to power grid, and such inaccessibility is mor</w:t>
      </w:r>
      <w:r w:rsidR="00135F19" w:rsidRPr="009B1C91">
        <w:rPr>
          <w:rFonts w:asciiTheme="minorHAnsi" w:hAnsiTheme="minorHAnsi" w:cstheme="minorHAnsi"/>
        </w:rPr>
        <w:t>e acute in certain regions (e.g.</w:t>
      </w:r>
      <w:r w:rsidRPr="009B1C91">
        <w:rPr>
          <w:rFonts w:asciiTheme="minorHAnsi" w:hAnsiTheme="minorHAnsi" w:cstheme="minorHAnsi"/>
        </w:rPr>
        <w:t xml:space="preserve"> the </w:t>
      </w:r>
      <w:r w:rsidR="00135F19" w:rsidRPr="009B1C91">
        <w:rPr>
          <w:rFonts w:asciiTheme="minorHAnsi" w:hAnsiTheme="minorHAnsi" w:cstheme="minorHAnsi"/>
        </w:rPr>
        <w:t>north-eastern</w:t>
      </w:r>
      <w:r w:rsidRPr="009B1C91">
        <w:rPr>
          <w:rFonts w:asciiTheme="minorHAnsi" w:hAnsiTheme="minorHAnsi" w:cstheme="minorHAnsi"/>
        </w:rPr>
        <w:t xml:space="preserve"> and northern </w:t>
      </w:r>
      <w:r w:rsidRPr="009B1C91">
        <w:rPr>
          <w:rFonts w:asciiTheme="minorHAnsi" w:hAnsiTheme="minorHAnsi" w:cstheme="minorHAnsi"/>
          <w:i/>
          <w:iCs/>
        </w:rPr>
        <w:t>haor</w:t>
      </w:r>
      <w:r w:rsidRPr="009B1C91">
        <w:rPr>
          <w:rFonts w:asciiTheme="minorHAnsi" w:hAnsiTheme="minorHAnsi" w:cstheme="minorHAnsi"/>
        </w:rPr>
        <w:t xml:space="preserve"> areas and the hilly areas of the Chittagong Hill Tracts in the southeast</w:t>
      </w:r>
      <w:r w:rsidR="00135F19" w:rsidRPr="009B1C91">
        <w:rPr>
          <w:rStyle w:val="FootnoteReference"/>
          <w:rFonts w:asciiTheme="minorHAnsi" w:hAnsiTheme="minorHAnsi" w:cstheme="minorHAnsi"/>
        </w:rPr>
        <w:footnoteReference w:id="18"/>
      </w:r>
      <w:r w:rsidRPr="009B1C91">
        <w:rPr>
          <w:rFonts w:asciiTheme="minorHAnsi" w:hAnsiTheme="minorHAnsi" w:cstheme="minorHAnsi"/>
          <w:color w:val="FF0000"/>
          <w:u w:color="FF0000"/>
        </w:rPr>
        <w:t xml:space="preserve">.  </w:t>
      </w:r>
      <w:r w:rsidRPr="009B1C91">
        <w:rPr>
          <w:rFonts w:asciiTheme="minorHAnsi" w:hAnsiTheme="minorHAnsi" w:cstheme="minorHAnsi"/>
        </w:rPr>
        <w:t xml:space="preserve">Access to energy is an important precondition for lifting people out of abject poverty and providing opportunities for learning and income generation. Increasing the percentage share of renewables and providing vulnerable and poor populations more access to low carbon energy is therefore highly relevant to both the protection of natural resources and </w:t>
      </w:r>
      <w:r w:rsidRPr="009B1C91">
        <w:rPr>
          <w:rFonts w:asciiTheme="minorHAnsi" w:hAnsiTheme="minorHAnsi" w:cstheme="minorHAnsi"/>
        </w:rPr>
        <w:lastRenderedPageBreak/>
        <w:t xml:space="preserve">economic and social development. Recognizing the above situation, the GoB’s pro-poor Climate Change Management Strategy (BCCSAP) of 2009 identified </w:t>
      </w:r>
      <w:r w:rsidRPr="009B1C91">
        <w:rPr>
          <w:rFonts w:asciiTheme="minorHAnsi" w:hAnsiTheme="minorHAnsi" w:cstheme="minorHAnsi"/>
          <w:i/>
          <w:iCs/>
        </w:rPr>
        <w:t>“mitigation and low carbon development options and implementing these as the country’s economy grows over the coming decades and the demand for energy increases”</w:t>
      </w:r>
      <w:r w:rsidRPr="009B1C91">
        <w:rPr>
          <w:rFonts w:asciiTheme="minorHAnsi" w:hAnsiTheme="minorHAnsi" w:cstheme="minorHAnsi"/>
        </w:rPr>
        <w:t xml:space="preserve"> as one of the six pillars of the Plan.</w:t>
      </w:r>
    </w:p>
    <w:p w:rsidR="006C1581" w:rsidRPr="009B1C91" w:rsidRDefault="006C1581" w:rsidP="00C61EA4">
      <w:pPr>
        <w:spacing w:after="0" w:line="240" w:lineRule="auto"/>
        <w:jc w:val="both"/>
        <w:rPr>
          <w:rFonts w:asciiTheme="minorHAnsi" w:hAnsiTheme="minorHAnsi" w:cstheme="minorHAnsi"/>
        </w:rPr>
      </w:pPr>
    </w:p>
    <w:p w:rsidR="006C1581" w:rsidRPr="009B1C91" w:rsidRDefault="006C1581" w:rsidP="00C61EA4">
      <w:pPr>
        <w:spacing w:after="0" w:line="240" w:lineRule="auto"/>
        <w:jc w:val="both"/>
        <w:rPr>
          <w:rFonts w:asciiTheme="minorHAnsi" w:hAnsiTheme="minorHAnsi" w:cstheme="minorHAnsi"/>
        </w:rPr>
      </w:pPr>
      <w:r w:rsidRPr="009B1C91">
        <w:rPr>
          <w:rFonts w:asciiTheme="minorHAnsi" w:hAnsiTheme="minorHAnsi" w:cstheme="minorHAnsi"/>
        </w:rPr>
        <w:t>These scenarios reinforce the need for appropriate planning and budgeting and the building of institutional capacity for implementing relevant, effective, efficient, and sustainable interventions that can respond to regional and site-specific challenges throughout Bangladesh, with local government and community uptake and ownership.</w:t>
      </w:r>
    </w:p>
    <w:p w:rsidR="006C1581" w:rsidRPr="009B1C91" w:rsidRDefault="006C1581" w:rsidP="00C61EA4">
      <w:pPr>
        <w:spacing w:after="0" w:line="240" w:lineRule="auto"/>
        <w:jc w:val="both"/>
        <w:rPr>
          <w:rFonts w:asciiTheme="minorHAnsi" w:hAnsiTheme="minorHAnsi" w:cstheme="minorHAnsi"/>
        </w:rPr>
      </w:pPr>
    </w:p>
    <w:p w:rsidR="0000143A" w:rsidRPr="009B1C91" w:rsidRDefault="0000143A" w:rsidP="00C61EA4">
      <w:pPr>
        <w:spacing w:after="0" w:line="240" w:lineRule="auto"/>
        <w:jc w:val="both"/>
        <w:rPr>
          <w:rFonts w:asciiTheme="minorHAnsi" w:hAnsiTheme="minorHAnsi" w:cstheme="minorHAnsi"/>
        </w:rPr>
      </w:pPr>
    </w:p>
    <w:p w:rsidR="006C1581" w:rsidRPr="009B1C91" w:rsidRDefault="006C1581" w:rsidP="00C61EA4">
      <w:pPr>
        <w:spacing w:after="0" w:line="240" w:lineRule="auto"/>
        <w:jc w:val="both"/>
        <w:rPr>
          <w:rFonts w:asciiTheme="minorHAnsi" w:hAnsiTheme="minorHAnsi" w:cstheme="minorHAnsi"/>
          <w:b/>
          <w:bCs/>
        </w:rPr>
      </w:pPr>
      <w:r w:rsidRPr="009B1C91">
        <w:rPr>
          <w:rFonts w:asciiTheme="minorHAnsi" w:hAnsiTheme="minorHAnsi" w:cstheme="minorHAnsi"/>
          <w:b/>
          <w:bCs/>
        </w:rPr>
        <w:t xml:space="preserve">2.2 NATIONAL POLICY AND STRATEGY CONTEXT </w:t>
      </w:r>
    </w:p>
    <w:p w:rsidR="006C1581" w:rsidRPr="009B1C91" w:rsidRDefault="006C1581" w:rsidP="00C61EA4">
      <w:pPr>
        <w:spacing w:after="0" w:line="240" w:lineRule="auto"/>
        <w:ind w:left="360"/>
        <w:jc w:val="both"/>
        <w:rPr>
          <w:rFonts w:asciiTheme="minorHAnsi" w:eastAsia="Cambria" w:hAnsiTheme="minorHAnsi" w:cstheme="minorHAnsi"/>
        </w:rPr>
      </w:pPr>
    </w:p>
    <w:p w:rsidR="006C1581" w:rsidRPr="009B1C91" w:rsidRDefault="006C1581" w:rsidP="00C61EA4">
      <w:pPr>
        <w:spacing w:after="0" w:line="240" w:lineRule="auto"/>
        <w:jc w:val="both"/>
        <w:rPr>
          <w:rFonts w:asciiTheme="minorHAnsi" w:hAnsiTheme="minorHAnsi" w:cstheme="minorHAnsi"/>
        </w:rPr>
      </w:pPr>
      <w:r w:rsidRPr="009B1C91">
        <w:rPr>
          <w:rFonts w:asciiTheme="minorHAnsi" w:hAnsiTheme="minorHAnsi" w:cstheme="minorHAnsi"/>
        </w:rPr>
        <w:t xml:space="preserve">The above situational analysis involving natural disasters, climate change (CC), natural resource management (NRM) and low carbon energy access and usages provides a snapshot of the prevailing challenges that are being confronted by the nation towards achieving resilience and progress through social and economic transformation. </w:t>
      </w:r>
      <w:r w:rsidR="00FC31E4">
        <w:rPr>
          <w:rFonts w:asciiTheme="minorHAnsi" w:hAnsiTheme="minorHAnsi" w:cstheme="minorHAnsi"/>
        </w:rPr>
        <w:t>The Government of Bangladesh (Go</w:t>
      </w:r>
      <w:r w:rsidRPr="009B1C91">
        <w:rPr>
          <w:rFonts w:asciiTheme="minorHAnsi" w:hAnsiTheme="minorHAnsi" w:cstheme="minorHAnsi"/>
        </w:rPr>
        <w:t>B) has taken numerous policy steps on each of the stated four thematic areas, which are being complemented by UNDP and other development partners.</w:t>
      </w:r>
    </w:p>
    <w:p w:rsidR="006C1581" w:rsidRPr="009B1C91" w:rsidRDefault="006C1581" w:rsidP="00C61EA4">
      <w:pPr>
        <w:spacing w:after="0" w:line="240" w:lineRule="auto"/>
        <w:jc w:val="both"/>
        <w:rPr>
          <w:rFonts w:asciiTheme="minorHAnsi" w:hAnsiTheme="minorHAnsi" w:cstheme="minorHAnsi"/>
        </w:rPr>
      </w:pPr>
    </w:p>
    <w:p w:rsidR="006C1581" w:rsidRPr="009B1C91" w:rsidRDefault="006C1581" w:rsidP="00C61EA4">
      <w:pPr>
        <w:spacing w:after="0" w:line="240" w:lineRule="auto"/>
        <w:jc w:val="both"/>
        <w:rPr>
          <w:rFonts w:asciiTheme="minorHAnsi" w:hAnsiTheme="minorHAnsi" w:cstheme="minorHAnsi"/>
        </w:rPr>
      </w:pPr>
      <w:r w:rsidRPr="009B1C91">
        <w:rPr>
          <w:rFonts w:asciiTheme="minorHAnsi" w:hAnsiTheme="minorHAnsi" w:cstheme="minorHAnsi"/>
          <w:b/>
          <w:bCs/>
          <w:i/>
          <w:iCs/>
        </w:rPr>
        <w:t xml:space="preserve">2.2.1 Disaster Risk Reduction: </w:t>
      </w:r>
      <w:r w:rsidRPr="009B1C91">
        <w:rPr>
          <w:rFonts w:asciiTheme="minorHAnsi" w:hAnsiTheme="minorHAnsi" w:cstheme="minorHAnsi"/>
        </w:rPr>
        <w:t>Recognizing Bangladesh’s susceptibility to frequent environmental hazards, addressing the causes of hazards, primarily through structural interventions, has been amongst the top priority areas in national policy making. By the late 1960s, policy and programme interventions for building coastal embankments were implemented to reduce risks from tidal surges. Flood embankments were also constructed across floodplains to protect prime agricultural areas and urban centers throughout the 1970s and 1980s. Following the devastating 1987 and 1988 floods, a Flood Action P</w:t>
      </w:r>
      <w:r w:rsidR="00FC31E4">
        <w:rPr>
          <w:rFonts w:asciiTheme="minorHAnsi" w:hAnsiTheme="minorHAnsi" w:cstheme="minorHAnsi"/>
        </w:rPr>
        <w:t>lan (FAP) was launched by the Go</w:t>
      </w:r>
      <w:r w:rsidRPr="009B1C91">
        <w:rPr>
          <w:rFonts w:asciiTheme="minorHAnsi" w:hAnsiTheme="minorHAnsi" w:cstheme="minorHAnsi"/>
        </w:rPr>
        <w:t xml:space="preserve">B in the early 1990s, with the aim of implementing numerous infrastructural projects and engineering-based DRR solutions for the water sector. Due to the potential for adverse social and environmental consequences, numerous civil society organizations strongly opposed such a narrow, sector-based approach to DRR. </w:t>
      </w:r>
    </w:p>
    <w:p w:rsidR="006C1581" w:rsidRPr="009B1C91" w:rsidRDefault="006C1581" w:rsidP="00C61EA4">
      <w:pPr>
        <w:spacing w:after="0" w:line="240" w:lineRule="auto"/>
        <w:jc w:val="both"/>
        <w:rPr>
          <w:rFonts w:asciiTheme="minorHAnsi" w:hAnsiTheme="minorHAnsi" w:cstheme="minorHAnsi"/>
        </w:rPr>
      </w:pPr>
    </w:p>
    <w:p w:rsidR="006C1581" w:rsidRPr="009B1C91" w:rsidRDefault="006C1581" w:rsidP="00C61EA4">
      <w:pPr>
        <w:spacing w:after="0" w:line="240" w:lineRule="auto"/>
        <w:jc w:val="both"/>
        <w:rPr>
          <w:rFonts w:asciiTheme="minorHAnsi" w:hAnsiTheme="minorHAnsi" w:cstheme="minorHAnsi"/>
        </w:rPr>
      </w:pPr>
      <w:r w:rsidRPr="009B1C91">
        <w:rPr>
          <w:rFonts w:asciiTheme="minorHAnsi" w:hAnsiTheme="minorHAnsi" w:cstheme="minorHAnsi"/>
        </w:rPr>
        <w:t>Despite the lack of a disaster risk reduction (DRR)-specific statement, almost all the Five Year Plans (1 through to 6) and the poverty reduction strategy docum</w:t>
      </w:r>
      <w:r w:rsidR="00BE2569" w:rsidRPr="009B1C91">
        <w:rPr>
          <w:rFonts w:asciiTheme="minorHAnsi" w:hAnsiTheme="minorHAnsi" w:cstheme="minorHAnsi"/>
        </w:rPr>
        <w:t>ents of GoB</w:t>
      </w:r>
      <w:r w:rsidRPr="009B1C91">
        <w:rPr>
          <w:rFonts w:asciiTheme="minorHAnsi" w:hAnsiTheme="minorHAnsi" w:cstheme="minorHAnsi"/>
        </w:rPr>
        <w:t xml:space="preserve"> have given attention to DRR, specifically through the bu</w:t>
      </w:r>
      <w:r w:rsidR="00FC31E4">
        <w:rPr>
          <w:rFonts w:asciiTheme="minorHAnsi" w:hAnsiTheme="minorHAnsi" w:cstheme="minorHAnsi"/>
        </w:rPr>
        <w:t>dget statements. In 1998, the Go</w:t>
      </w:r>
      <w:r w:rsidRPr="009B1C91">
        <w:rPr>
          <w:rFonts w:asciiTheme="minorHAnsi" w:hAnsiTheme="minorHAnsi" w:cstheme="minorHAnsi"/>
        </w:rPr>
        <w:t>B has set an institutional arrangement for DRR with particular emphasis on floods and cyclones, and pronounced the Standing Orders on Disaster (SOD, DMB, 1998). With the assistance of UNDP, the government launched the Comprehensive Disaster Management Programme (2004) with the intention of broaden the scope of the DM approach by taking policy actions to the ground level. This initiative triggered a ‘Paradigm Shift’ from post-disaster relief and recovery to pre-disaster preparedness and risk reduction,</w:t>
      </w:r>
      <w:r w:rsidR="003C6762">
        <w:rPr>
          <w:rFonts w:asciiTheme="minorHAnsi" w:hAnsiTheme="minorHAnsi" w:cstheme="minorHAnsi"/>
        </w:rPr>
        <w:t xml:space="preserve"> </w:t>
      </w:r>
      <w:r w:rsidRPr="009B1C91">
        <w:rPr>
          <w:rFonts w:asciiTheme="minorHAnsi" w:hAnsiTheme="minorHAnsi" w:cstheme="minorHAnsi"/>
        </w:rPr>
        <w:t>including early warning systems, relocation to safer ground prior to cyclones, reducing sensitivity to environmental hazards, rescue, and - if necessary - provisionin</w:t>
      </w:r>
      <w:r w:rsidR="00207490">
        <w:rPr>
          <w:rFonts w:asciiTheme="minorHAnsi" w:hAnsiTheme="minorHAnsi" w:cstheme="minorHAnsi"/>
        </w:rPr>
        <w:t xml:space="preserve">g of relief and rehabilitation, which in turn strengthened resilience.  </w:t>
      </w:r>
      <w:r w:rsidRPr="009B1C91">
        <w:rPr>
          <w:rFonts w:asciiTheme="minorHAnsi" w:hAnsiTheme="minorHAnsi" w:cstheme="minorHAnsi"/>
        </w:rPr>
        <w:t>Subsequently, the SOD was revised in 2010 (MOFDM, 2010) to redefine roles of various institutions at different stages of known and frequently occurring hazards, applicable to all level</w:t>
      </w:r>
      <w:r w:rsidR="00FC31E4">
        <w:rPr>
          <w:rFonts w:asciiTheme="minorHAnsi" w:hAnsiTheme="minorHAnsi" w:cstheme="minorHAnsi"/>
        </w:rPr>
        <w:t>s of governance. In 2012, the Go</w:t>
      </w:r>
      <w:r w:rsidRPr="009B1C91">
        <w:rPr>
          <w:rFonts w:asciiTheme="minorHAnsi" w:hAnsiTheme="minorHAnsi" w:cstheme="minorHAnsi"/>
        </w:rPr>
        <w:t>B enacted the Disaster Management Act (MOL, 2012), which attempted to define the legal premises of</w:t>
      </w:r>
      <w:r w:rsidR="00DC314D">
        <w:rPr>
          <w:rFonts w:asciiTheme="minorHAnsi" w:hAnsiTheme="minorHAnsi" w:cstheme="minorHAnsi"/>
        </w:rPr>
        <w:t xml:space="preserve"> all actions at all levels with</w:t>
      </w:r>
      <w:r w:rsidRPr="009B1C91">
        <w:rPr>
          <w:rFonts w:asciiTheme="minorHAnsi" w:hAnsiTheme="minorHAnsi" w:cstheme="minorHAnsi"/>
        </w:rPr>
        <w:t xml:space="preserve"> a specific goal towards reducing environmental hazard-related risks and vulnerabilities. </w:t>
      </w:r>
    </w:p>
    <w:p w:rsidR="00E878E8" w:rsidRPr="009B1C91" w:rsidRDefault="00E878E8" w:rsidP="00C61EA4">
      <w:pPr>
        <w:spacing w:after="0" w:line="240" w:lineRule="auto"/>
        <w:jc w:val="both"/>
        <w:rPr>
          <w:rFonts w:asciiTheme="minorHAnsi" w:hAnsiTheme="minorHAnsi" w:cstheme="minorHAnsi"/>
        </w:rPr>
      </w:pPr>
    </w:p>
    <w:p w:rsidR="006C1581" w:rsidRPr="009B1C91" w:rsidRDefault="006C1581" w:rsidP="00C61EA4">
      <w:pPr>
        <w:spacing w:after="0" w:line="240" w:lineRule="auto"/>
        <w:jc w:val="both"/>
        <w:rPr>
          <w:rFonts w:asciiTheme="minorHAnsi" w:hAnsiTheme="minorHAnsi" w:cstheme="minorHAnsi"/>
        </w:rPr>
      </w:pPr>
      <w:r w:rsidRPr="009B1C91">
        <w:rPr>
          <w:rFonts w:asciiTheme="minorHAnsi" w:hAnsiTheme="minorHAnsi" w:cstheme="minorHAnsi"/>
          <w:b/>
          <w:bCs/>
          <w:i/>
          <w:iCs/>
        </w:rPr>
        <w:lastRenderedPageBreak/>
        <w:t xml:space="preserve">2.2.2 Adaptation to Climate Change: </w:t>
      </w:r>
      <w:r w:rsidRPr="009B1C91">
        <w:rPr>
          <w:rFonts w:asciiTheme="minorHAnsi" w:hAnsiTheme="minorHAnsi" w:cstheme="minorHAnsi"/>
        </w:rPr>
        <w:t xml:space="preserve"> Due to its complexities and uncertainties, policies regarding climate change are difficult to formulate</w:t>
      </w:r>
      <w:r w:rsidRPr="009B1C91">
        <w:rPr>
          <w:rFonts w:asciiTheme="minorHAnsi" w:hAnsiTheme="minorHAnsi" w:cstheme="minorHAnsi"/>
          <w:vertAlign w:val="superscript"/>
        </w:rPr>
        <w:footnoteReference w:id="19"/>
      </w:r>
      <w:r w:rsidRPr="009B1C91">
        <w:rPr>
          <w:rFonts w:asciiTheme="minorHAnsi" w:hAnsiTheme="minorHAnsi" w:cstheme="minorHAnsi"/>
        </w:rPr>
        <w:t>. In the UNFCCC-led climate negotiations, GoB therefore pronounced its commitment primarily to adaptation. In 2005, with the assistance of UNDP, the National Adaptation Programme for Action (NAPA), which was the first national policy document on CCA prepared,</w:t>
      </w:r>
      <w:r w:rsidRPr="009B1C91">
        <w:rPr>
          <w:rFonts w:asciiTheme="minorHAnsi" w:hAnsiTheme="minorHAnsi" w:cstheme="minorHAnsi"/>
          <w:vertAlign w:val="superscript"/>
        </w:rPr>
        <w:footnoteReference w:id="20"/>
      </w:r>
      <w:r w:rsidRPr="009B1C91">
        <w:rPr>
          <w:rFonts w:asciiTheme="minorHAnsi" w:hAnsiTheme="minorHAnsi" w:cstheme="minorHAnsi"/>
        </w:rPr>
        <w:t xml:space="preserve"> provided an account of the vulnerability of various important sectors and identified 15 pilot actions/areas/projects for immediate and urgent financing. Close scrutiny of relevant sectoral policies in connection with CCA revealed that most of the policies having strong linkages with CCA have specific elements to accommodate </w:t>
      </w:r>
      <w:r w:rsidRPr="009B1C91">
        <w:rPr>
          <w:rFonts w:asciiTheme="minorHAnsi" w:hAnsiTheme="minorHAnsi" w:cstheme="minorHAnsi"/>
          <w:i/>
          <w:iCs/>
        </w:rPr>
        <w:t>climate variability</w:t>
      </w:r>
      <w:r w:rsidRPr="009B1C91">
        <w:rPr>
          <w:rFonts w:asciiTheme="minorHAnsi" w:hAnsiTheme="minorHAnsi" w:cstheme="minorHAnsi"/>
        </w:rPr>
        <w:t>.</w:t>
      </w:r>
      <w:r w:rsidRPr="009B1C91">
        <w:rPr>
          <w:rFonts w:asciiTheme="minorHAnsi" w:hAnsiTheme="minorHAnsi" w:cstheme="minorHAnsi"/>
          <w:vertAlign w:val="superscript"/>
        </w:rPr>
        <w:footnoteReference w:id="21"/>
      </w:r>
      <w:r w:rsidRPr="009B1C91">
        <w:rPr>
          <w:rFonts w:asciiTheme="minorHAnsi" w:hAnsiTheme="minorHAnsi" w:cstheme="minorHAnsi"/>
        </w:rPr>
        <w:t xml:space="preserve"> Only two policies - namely, the Coastal Zone Policy and the Agricultural Policy - have specifically attempted to address climate change mitigation and adaptation issues. </w:t>
      </w:r>
      <w:r w:rsidR="00E828FC" w:rsidRPr="009B1C91">
        <w:rPr>
          <w:rFonts w:asciiTheme="minorHAnsi" w:hAnsiTheme="minorHAnsi" w:cstheme="minorHAnsi"/>
        </w:rPr>
        <w:t xml:space="preserve">Several NGOs with rich community level experience in dealing with disasters contributed to prescribe feasible actions for CCA. For example, a CARE Bangladesh project (i.e. reduced vulnerability to CC) developed globally known “Community-Based Adaptation” (CBA) approach. </w:t>
      </w:r>
      <w:r w:rsidRPr="009B1C91">
        <w:rPr>
          <w:rFonts w:asciiTheme="minorHAnsi" w:hAnsiTheme="minorHAnsi" w:cstheme="minorHAnsi"/>
        </w:rPr>
        <w:t>In 2009, the Ministry of the Environment and Forests (MOEF) -- which is the focal point of the GoB on climate change – formulated the BCCSAP to institutionalize the policy gap on climate change and offer a programmatic and institutional mosaic in order to address climate change in Bangladesh. It</w:t>
      </w:r>
      <w:r w:rsidR="00E828FC" w:rsidRPr="009B1C91">
        <w:rPr>
          <w:rFonts w:asciiTheme="minorHAnsi" w:hAnsiTheme="minorHAnsi" w:cstheme="minorHAnsi"/>
        </w:rPr>
        <w:t xml:space="preserve"> intended to address both </w:t>
      </w:r>
      <w:r w:rsidRPr="009B1C91">
        <w:rPr>
          <w:rFonts w:asciiTheme="minorHAnsi" w:hAnsiTheme="minorHAnsi" w:cstheme="minorHAnsi"/>
        </w:rPr>
        <w:t>CCA and low carbon development (L</w:t>
      </w:r>
      <w:r w:rsidR="00FC31E4">
        <w:rPr>
          <w:rFonts w:asciiTheme="minorHAnsi" w:hAnsiTheme="minorHAnsi" w:cstheme="minorHAnsi"/>
        </w:rPr>
        <w:t>CD) issues. Subsequently, the Go</w:t>
      </w:r>
      <w:r w:rsidRPr="009B1C91">
        <w:rPr>
          <w:rFonts w:asciiTheme="minorHAnsi" w:hAnsiTheme="minorHAnsi" w:cstheme="minorHAnsi"/>
        </w:rPr>
        <w:t>B established a Climate Change Cell (CCC) within t</w:t>
      </w:r>
      <w:r w:rsidR="00E878E8" w:rsidRPr="009B1C91">
        <w:rPr>
          <w:rFonts w:asciiTheme="minorHAnsi" w:hAnsiTheme="minorHAnsi" w:cstheme="minorHAnsi"/>
        </w:rPr>
        <w:t>he Department of Environment (Do</w:t>
      </w:r>
      <w:r w:rsidRPr="009B1C91">
        <w:rPr>
          <w:rFonts w:asciiTheme="minorHAnsi" w:hAnsiTheme="minorHAnsi" w:cstheme="minorHAnsi"/>
        </w:rPr>
        <w:t xml:space="preserve">E). The CCC was transformed into the Climate Change Trust to provide technical support towards managing the financing windows.  </w:t>
      </w:r>
    </w:p>
    <w:p w:rsidR="006C1581" w:rsidRPr="009B1C91" w:rsidRDefault="006C1581" w:rsidP="006C1581">
      <w:pPr>
        <w:spacing w:after="0" w:line="240" w:lineRule="auto"/>
        <w:jc w:val="both"/>
        <w:rPr>
          <w:rFonts w:asciiTheme="minorHAnsi" w:hAnsiTheme="minorHAnsi" w:cstheme="minorHAnsi"/>
        </w:rPr>
      </w:pPr>
    </w:p>
    <w:p w:rsidR="006C1581" w:rsidRPr="009B1C91" w:rsidRDefault="006C1581" w:rsidP="006C1581">
      <w:pPr>
        <w:spacing w:after="0" w:line="240" w:lineRule="auto"/>
        <w:jc w:val="both"/>
        <w:rPr>
          <w:rFonts w:asciiTheme="minorHAnsi" w:hAnsiTheme="minorHAnsi" w:cstheme="minorHAnsi"/>
        </w:rPr>
      </w:pPr>
      <w:r w:rsidRPr="009B1C91">
        <w:rPr>
          <w:rFonts w:asciiTheme="minorHAnsi" w:hAnsiTheme="minorHAnsi" w:cstheme="minorHAnsi"/>
          <w:b/>
          <w:bCs/>
          <w:i/>
          <w:iCs/>
        </w:rPr>
        <w:t xml:space="preserve">2.2.3 Natural Resources Management: </w:t>
      </w:r>
      <w:r w:rsidRPr="009B1C91">
        <w:rPr>
          <w:rFonts w:asciiTheme="minorHAnsi" w:hAnsiTheme="minorHAnsi" w:cstheme="minorHAnsi"/>
        </w:rPr>
        <w:t>The issues of environmental management, from a local to global scale, have been consolidated within the GoB system since the 1990s. The Environmental Management Policy and Action Plan was developed in 1992 to promote conservation of natural resources and arrest their degradation. By actively participating in the Earth Summit in 1992, the GoB signed the Earth Charter and the Agenda 21, the three multi-lateral environmental Conventions on Climate Change, Biodiversity and Desertification, and subsequently ratified them all. The GoB also became a signatory of the Montreal Protocol and Ramsar Convention.</w:t>
      </w:r>
      <w:r w:rsidR="003C6762">
        <w:rPr>
          <w:rFonts w:asciiTheme="minorHAnsi" w:hAnsiTheme="minorHAnsi" w:cstheme="minorHAnsi"/>
        </w:rPr>
        <w:t xml:space="preserve"> </w:t>
      </w:r>
      <w:r w:rsidRPr="009B1C91">
        <w:rPr>
          <w:rFonts w:asciiTheme="minorHAnsi" w:hAnsiTheme="minorHAnsi" w:cstheme="minorHAnsi"/>
        </w:rPr>
        <w:t>As a follow up to all these, the national policy domain has been shifting towards protection of ecological resources, programme development on conservation of wildlife and biodiversity, and the designation of Environmentally Critical Areas (ECA). The GoB has recently pronounced its strategy towards reforestation under the REDD opportunity. In order to arrest air quality degradation, taller smoke stacks have been made mandatory in brick fields. Burning wood is also prohibited by law in the brickmaking industry. In 1997, the GoB enacted and began enforcing environmental standards towards promoting conservation of nature. It developed guidelines for setting up industries and required Environmental Impact Assessment prior to setting up polluting industries. Effluent Treatment Plants have been made mandatory for polluting industries. However, implementation of these policies and regulations has remained weak and ineffective in many cases.</w:t>
      </w:r>
      <w:r w:rsidRPr="009B1C91">
        <w:rPr>
          <w:rFonts w:asciiTheme="minorHAnsi" w:hAnsiTheme="minorHAnsi" w:cstheme="minorHAnsi"/>
          <w:vertAlign w:val="superscript"/>
        </w:rPr>
        <w:footnoteReference w:id="22"/>
      </w:r>
    </w:p>
    <w:p w:rsidR="006C1581" w:rsidRPr="009B1C91" w:rsidRDefault="006C1581" w:rsidP="006C1581">
      <w:pPr>
        <w:spacing w:after="0" w:line="240" w:lineRule="auto"/>
        <w:jc w:val="both"/>
        <w:rPr>
          <w:rFonts w:asciiTheme="minorHAnsi" w:hAnsiTheme="minorHAnsi" w:cstheme="minorHAnsi"/>
        </w:rPr>
      </w:pPr>
    </w:p>
    <w:p w:rsidR="006C1581" w:rsidRPr="009B1C91" w:rsidRDefault="00E828FC" w:rsidP="006C1581">
      <w:pPr>
        <w:spacing w:after="0" w:line="240" w:lineRule="auto"/>
        <w:jc w:val="both"/>
        <w:rPr>
          <w:rFonts w:asciiTheme="minorHAnsi" w:hAnsiTheme="minorHAnsi" w:cstheme="minorHAnsi"/>
        </w:rPr>
      </w:pPr>
      <w:r w:rsidRPr="009B1C91">
        <w:rPr>
          <w:rFonts w:asciiTheme="minorHAnsi" w:hAnsiTheme="minorHAnsi" w:cstheme="minorHAnsi"/>
          <w:b/>
          <w:bCs/>
          <w:i/>
          <w:iCs/>
        </w:rPr>
        <w:t>2.2.4 Low</w:t>
      </w:r>
      <w:r w:rsidR="006C1581" w:rsidRPr="009B1C91">
        <w:rPr>
          <w:rFonts w:asciiTheme="minorHAnsi" w:hAnsiTheme="minorHAnsi" w:cstheme="minorHAnsi"/>
          <w:b/>
          <w:bCs/>
          <w:i/>
          <w:iCs/>
        </w:rPr>
        <w:t xml:space="preserve"> Carbon Energy: </w:t>
      </w:r>
      <w:r w:rsidR="006C1581" w:rsidRPr="009B1C91">
        <w:rPr>
          <w:rFonts w:asciiTheme="minorHAnsi" w:hAnsiTheme="minorHAnsi" w:cstheme="minorHAnsi"/>
        </w:rPr>
        <w:t xml:space="preserve">Considering the need for economic growth and energy demand and domestic and foreign sources of supply, the GoB decided to promote the use of natural gas as a primary source </w:t>
      </w:r>
      <w:r w:rsidR="009A2749" w:rsidRPr="009B1C91">
        <w:rPr>
          <w:rFonts w:asciiTheme="minorHAnsi" w:hAnsiTheme="minorHAnsi" w:cstheme="minorHAnsi"/>
        </w:rPr>
        <w:t>of fuel. In recent years, the Go</w:t>
      </w:r>
      <w:r w:rsidR="006C1581" w:rsidRPr="009B1C91">
        <w:rPr>
          <w:rFonts w:asciiTheme="minorHAnsi" w:hAnsiTheme="minorHAnsi" w:cstheme="minorHAnsi"/>
        </w:rPr>
        <w:t xml:space="preserve">B has also placed emphasis on renewable energy sources (e.g. solar and wind) as well as obtaining energy from recycling of wastes (e.g. urban refuse and animal wastes, bio-gas from manure). In the UNFCCC negotiations, the GoB accepted the global accord towards reducing carbon emissions and committed to playing its due role in achieving ‘Intended Nationally Determined </w:t>
      </w:r>
      <w:r w:rsidR="006C1581" w:rsidRPr="009B1C91">
        <w:rPr>
          <w:rFonts w:asciiTheme="minorHAnsi" w:hAnsiTheme="minorHAnsi" w:cstheme="minorHAnsi"/>
        </w:rPr>
        <w:lastRenderedPageBreak/>
        <w:t xml:space="preserve">Contribution (INDC)’ to reducing carbon, and endorsed Warsaw outcomes under UNFCCC regarding emission reduction. Using regulatory instruments, in 2014 the GoB adopted a green tax and relaxed tax regime on the import of higher efficiency hybrid cars. A policy for installing solar panels to supplement 5% of the estimated power demand of high rise buildings is also being implemented by the GoB. In sum, the future trend of an ever-increasing demand for energy due to urbanization and industrialization and the diminishing supply of natural gas from domestic sources is producing both challenges and opportunities for a “paradigm shift” in policy approach towards low carbon and renewable energy sources.  </w:t>
      </w:r>
    </w:p>
    <w:p w:rsidR="0000143A" w:rsidRPr="009B1C91" w:rsidRDefault="0000143A" w:rsidP="006C1581">
      <w:pPr>
        <w:spacing w:after="0" w:line="240" w:lineRule="auto"/>
        <w:jc w:val="both"/>
        <w:rPr>
          <w:rFonts w:asciiTheme="minorHAnsi" w:hAnsiTheme="minorHAnsi" w:cstheme="minorHAnsi"/>
        </w:rPr>
      </w:pPr>
    </w:p>
    <w:p w:rsidR="0000143A" w:rsidRPr="009B1C91" w:rsidRDefault="0000143A" w:rsidP="006C1581">
      <w:pPr>
        <w:spacing w:after="0" w:line="240" w:lineRule="auto"/>
        <w:jc w:val="both"/>
        <w:rPr>
          <w:rFonts w:asciiTheme="minorHAnsi" w:hAnsiTheme="minorHAnsi" w:cstheme="minorHAnsi"/>
          <w:b/>
          <w:bCs/>
          <w:i/>
          <w:iCs/>
        </w:rPr>
      </w:pPr>
    </w:p>
    <w:p w:rsidR="00E828FC" w:rsidRPr="009B1C91" w:rsidRDefault="00DF6F37" w:rsidP="00DF6F37">
      <w:pPr>
        <w:spacing w:after="0" w:line="240" w:lineRule="auto"/>
        <w:rPr>
          <w:rFonts w:asciiTheme="minorHAnsi" w:hAnsiTheme="minorHAnsi" w:cstheme="minorHAnsi"/>
          <w:b/>
          <w:bCs/>
        </w:rPr>
      </w:pPr>
      <w:r w:rsidRPr="009B1C91">
        <w:rPr>
          <w:rFonts w:asciiTheme="minorHAnsi" w:hAnsiTheme="minorHAnsi" w:cstheme="minorHAnsi"/>
          <w:b/>
          <w:bCs/>
        </w:rPr>
        <w:t xml:space="preserve">2.3 </w:t>
      </w:r>
      <w:r w:rsidR="006C1581" w:rsidRPr="009B1C91">
        <w:rPr>
          <w:rFonts w:asciiTheme="minorHAnsi" w:hAnsiTheme="minorHAnsi" w:cstheme="minorHAnsi"/>
          <w:b/>
          <w:bCs/>
        </w:rPr>
        <w:t xml:space="preserve">CURRENT STATUS AS BECOMING A MORE </w:t>
      </w:r>
      <w:r w:rsidR="006C1581" w:rsidRPr="009B1C91">
        <w:rPr>
          <w:rFonts w:asciiTheme="minorHAnsi" w:hAnsiTheme="minorHAnsi" w:cstheme="minorHAnsi"/>
          <w:b/>
          <w:bCs/>
          <w:i/>
          <w:iCs/>
        </w:rPr>
        <w:t>RESILIENT</w:t>
      </w:r>
      <w:r w:rsidR="006C1581" w:rsidRPr="009B1C91">
        <w:rPr>
          <w:rFonts w:asciiTheme="minorHAnsi" w:hAnsiTheme="minorHAnsi" w:cstheme="minorHAnsi"/>
          <w:b/>
          <w:bCs/>
        </w:rPr>
        <w:t xml:space="preserve"> AND </w:t>
      </w:r>
      <w:r w:rsidR="006C1581" w:rsidRPr="009B1C91">
        <w:rPr>
          <w:rFonts w:asciiTheme="minorHAnsi" w:hAnsiTheme="minorHAnsi" w:cstheme="minorHAnsi"/>
          <w:b/>
          <w:bCs/>
          <w:i/>
          <w:iCs/>
        </w:rPr>
        <w:t>GREENER</w:t>
      </w:r>
      <w:r w:rsidR="006C1581" w:rsidRPr="009B1C91">
        <w:rPr>
          <w:rFonts w:asciiTheme="minorHAnsi" w:hAnsiTheme="minorHAnsi" w:cstheme="minorHAnsi"/>
          <w:b/>
          <w:bCs/>
        </w:rPr>
        <w:t xml:space="preserve"> NATION:</w:t>
      </w:r>
    </w:p>
    <w:p w:rsidR="006C1581" w:rsidRPr="009B1C91" w:rsidRDefault="006C1581" w:rsidP="00DF6F37">
      <w:pPr>
        <w:spacing w:after="0" w:line="240" w:lineRule="auto"/>
        <w:rPr>
          <w:rFonts w:asciiTheme="minorHAnsi" w:eastAsia="Trebuchet MS" w:hAnsiTheme="minorHAnsi" w:cstheme="minorHAnsi"/>
          <w:b/>
          <w:bCs/>
        </w:rPr>
      </w:pPr>
      <w:r w:rsidRPr="009B1C91">
        <w:rPr>
          <w:rFonts w:asciiTheme="minorHAnsi" w:hAnsiTheme="minorHAnsi" w:cstheme="minorHAnsi"/>
          <w:b/>
          <w:bCs/>
        </w:rPr>
        <w:t xml:space="preserve">A TRANSFORMATION ON THE WAY  </w:t>
      </w:r>
    </w:p>
    <w:p w:rsidR="006C1581" w:rsidRPr="009B1C91" w:rsidRDefault="006C1581" w:rsidP="006C1581">
      <w:pPr>
        <w:tabs>
          <w:tab w:val="left" w:pos="360"/>
        </w:tabs>
        <w:spacing w:after="0" w:line="240" w:lineRule="auto"/>
        <w:jc w:val="both"/>
        <w:rPr>
          <w:rFonts w:asciiTheme="minorHAnsi" w:hAnsiTheme="minorHAnsi" w:cstheme="minorHAnsi"/>
        </w:rPr>
      </w:pPr>
    </w:p>
    <w:p w:rsidR="006C1581" w:rsidRPr="009B1C91" w:rsidRDefault="006C1581" w:rsidP="006C1581">
      <w:pPr>
        <w:tabs>
          <w:tab w:val="left" w:pos="360"/>
        </w:tabs>
        <w:spacing w:after="0" w:line="240" w:lineRule="auto"/>
        <w:jc w:val="both"/>
        <w:rPr>
          <w:rFonts w:asciiTheme="minorHAnsi" w:hAnsiTheme="minorHAnsi" w:cstheme="minorHAnsi"/>
        </w:rPr>
      </w:pPr>
      <w:r w:rsidRPr="009B1C91">
        <w:rPr>
          <w:rFonts w:asciiTheme="minorHAnsi" w:hAnsiTheme="minorHAnsi" w:cstheme="minorHAnsi"/>
        </w:rPr>
        <w:t>The noticeable progress that Bangladesh has achieved in the human development, economic growth, and environment sectors in recent decades. These reflect serious efforts made by the successive successful governments, the private sector and civil society organizations to tackle poverty, environment and other sustainable development challenges. The results positioned Bangladesh on course to pote</w:t>
      </w:r>
      <w:r w:rsidR="00E828FC" w:rsidRPr="009B1C91">
        <w:rPr>
          <w:rFonts w:asciiTheme="minorHAnsi" w:hAnsiTheme="minorHAnsi" w:cstheme="minorHAnsi"/>
        </w:rPr>
        <w:t>ntially attain most of the 8</w:t>
      </w:r>
      <w:r w:rsidRPr="009B1C91">
        <w:rPr>
          <w:rFonts w:asciiTheme="minorHAnsi" w:hAnsiTheme="minorHAnsi" w:cstheme="minorHAnsi"/>
        </w:rPr>
        <w:t xml:space="preserve"> Millennium Development Goals (MDG). Despite facing some challenges in some target areas, the strong overall economic and social development progress achieved has generated the momentum to help Bangladesh attain Middle-Income Country status by 2021. </w:t>
      </w:r>
    </w:p>
    <w:p w:rsidR="006C1581" w:rsidRPr="009B1C91" w:rsidRDefault="006C1581" w:rsidP="006C1581">
      <w:pPr>
        <w:tabs>
          <w:tab w:val="left" w:pos="360"/>
        </w:tabs>
        <w:spacing w:after="0" w:line="240" w:lineRule="auto"/>
        <w:jc w:val="both"/>
        <w:rPr>
          <w:rFonts w:asciiTheme="minorHAnsi" w:hAnsiTheme="minorHAnsi" w:cstheme="minorHAnsi"/>
        </w:rPr>
      </w:pPr>
    </w:p>
    <w:p w:rsidR="006C1581" w:rsidRPr="009B1C91" w:rsidRDefault="006C1581" w:rsidP="006C1581">
      <w:pPr>
        <w:tabs>
          <w:tab w:val="left" w:pos="360"/>
        </w:tabs>
        <w:spacing w:after="0" w:line="240" w:lineRule="auto"/>
        <w:jc w:val="both"/>
        <w:rPr>
          <w:rFonts w:asciiTheme="minorHAnsi" w:hAnsiTheme="minorHAnsi" w:cstheme="minorHAnsi"/>
        </w:rPr>
      </w:pPr>
      <w:r w:rsidRPr="009B1C91">
        <w:rPr>
          <w:rFonts w:asciiTheme="minorHAnsi" w:hAnsiTheme="minorHAnsi" w:cstheme="minorHAnsi"/>
        </w:rPr>
        <w:t>However, the country is presently suspected of being off-track in meeting MDG 7 (environment) with sub-par performance due to challenges stemming from deforestation, rapid growth of urban slums, rapid loss of biodiversity, and incremental increase in water and air pollution. Bangladesh’s latest MDG report noted several key challenges including efficient use of forest resources, development of water-efficient agricultural practices, and the  establishment of appropriate policies and regulatory frameworks. These threats to environmental health and natural resource sustainability, compounded by population pressure and institutional capacity constraints, can undermine its development potential as well as pose a reversal risk to hard-earned developmental gains.</w:t>
      </w:r>
      <w:r w:rsidRPr="009B1C91">
        <w:rPr>
          <w:rFonts w:asciiTheme="minorHAnsi" w:hAnsiTheme="minorHAnsi" w:cstheme="minorHAnsi"/>
          <w:vertAlign w:val="superscript"/>
        </w:rPr>
        <w:footnoteReference w:id="23"/>
      </w:r>
      <w:r w:rsidRPr="009B1C91">
        <w:rPr>
          <w:rFonts w:asciiTheme="minorHAnsi" w:hAnsiTheme="minorHAnsi" w:cstheme="minorHAnsi"/>
        </w:rPr>
        <w:t xml:space="preserve"> CCA and DRR, degradation of environmental health, and limited access to low-carbon energy are therefore still critical areas of concern for Bangladesh’s developmental challenges.  </w:t>
      </w:r>
    </w:p>
    <w:p w:rsidR="006C1581" w:rsidRPr="009B1C91" w:rsidRDefault="006C1581" w:rsidP="006C1581">
      <w:pPr>
        <w:spacing w:after="0" w:line="240" w:lineRule="auto"/>
        <w:jc w:val="both"/>
        <w:rPr>
          <w:rFonts w:asciiTheme="minorHAnsi" w:hAnsiTheme="minorHAnsi" w:cstheme="minorHAnsi"/>
        </w:rPr>
      </w:pPr>
    </w:p>
    <w:p w:rsidR="006C1581" w:rsidRPr="009B1C91" w:rsidRDefault="006C1581" w:rsidP="006C1581">
      <w:pPr>
        <w:spacing w:after="0" w:line="240" w:lineRule="auto"/>
        <w:jc w:val="both"/>
        <w:rPr>
          <w:rFonts w:asciiTheme="minorHAnsi" w:hAnsiTheme="minorHAnsi" w:cstheme="minorHAnsi"/>
        </w:rPr>
      </w:pPr>
      <w:r w:rsidRPr="009B1C91">
        <w:rPr>
          <w:rFonts w:asciiTheme="minorHAnsi" w:hAnsiTheme="minorHAnsi" w:cstheme="minorHAnsi"/>
        </w:rPr>
        <w:t xml:space="preserve">This mid-term CPD 2012-14 Outcome evaluation covers a very short duration – only 3 years – of UNDP CCED Cluster’s activities, which cannot be assessed in isolation without understanding the ‘big picture’ of Bangladesh’s development discourse. Since the liberalization of the global economy starting in the 1990s, Bangladesh’s population and society has undergone an unprecedented economic, social, and cultural transformation, within which certain CCED problems and issues exhibited a remarkable ‘paradigm shift’ - for example, from post-disaster response and relief to  pre-disaster risk reduction and early recovery provisions. Similar changes are underway in several other CCED areas, which are evidently generating more momentum to build a much more robust and resilient society to future uncertainties in the global economy, climate change and environmental impacts, sustainability of vital natural resources (e.g. surface and ground water, endangered species), and energy security. While the above stated changes provide the backdrop against which the relevance and effectiveness of the CCED </w:t>
      </w:r>
      <w:r w:rsidRPr="009B1C91">
        <w:rPr>
          <w:rFonts w:asciiTheme="minorHAnsi" w:hAnsiTheme="minorHAnsi" w:cstheme="minorHAnsi"/>
        </w:rPr>
        <w:lastRenderedPageBreak/>
        <w:t xml:space="preserve">activities are assessed in this report, they also underpin the new policy realities and new development challenges facing Bangladesh. The broader perspectives of transformational changes in Bangladesh’s economy and society at large can be highlighted under the following three themes: </w:t>
      </w:r>
    </w:p>
    <w:p w:rsidR="006C1581" w:rsidRPr="009B1C91" w:rsidRDefault="006C1581" w:rsidP="006C1581">
      <w:pPr>
        <w:spacing w:after="0" w:line="240" w:lineRule="auto"/>
        <w:jc w:val="both"/>
        <w:rPr>
          <w:rFonts w:asciiTheme="minorHAnsi" w:hAnsiTheme="minorHAnsi" w:cstheme="minorHAnsi"/>
        </w:rPr>
      </w:pPr>
    </w:p>
    <w:p w:rsidR="006C1581" w:rsidRPr="009B1C91" w:rsidRDefault="006C1581" w:rsidP="006C1581">
      <w:pPr>
        <w:spacing w:after="0" w:line="240" w:lineRule="auto"/>
        <w:jc w:val="both"/>
        <w:rPr>
          <w:rFonts w:asciiTheme="minorHAnsi" w:hAnsiTheme="minorHAnsi" w:cstheme="minorHAnsi"/>
        </w:rPr>
      </w:pPr>
      <w:r w:rsidRPr="009B1C91">
        <w:rPr>
          <w:rFonts w:asciiTheme="minorHAnsi" w:hAnsiTheme="minorHAnsi" w:cstheme="minorHAnsi"/>
          <w:b/>
          <w:bCs/>
        </w:rPr>
        <w:t>A miraculous success in economic and social development:</w:t>
      </w:r>
      <w:r w:rsidRPr="009B1C91">
        <w:rPr>
          <w:rFonts w:asciiTheme="minorHAnsi" w:hAnsiTheme="minorHAnsi" w:cstheme="minorHAnsi"/>
        </w:rPr>
        <w:t xml:space="preserve"> Bangladesh has achieved rapid and spectacular improvements in many economic and social development indicators during the last two decades. Within South Asia, real GDP growth estimates have revealed that Bangladesh grew by more than 6% per annum, which has surpassed - with the exception of Sri Lanka - all other South Asian coun</w:t>
      </w:r>
      <w:r w:rsidR="00C63CB7">
        <w:rPr>
          <w:rFonts w:asciiTheme="minorHAnsi" w:hAnsiTheme="minorHAnsi" w:cstheme="minorHAnsi"/>
        </w:rPr>
        <w:t xml:space="preserve">tries during 2011-2015 (Annex </w:t>
      </w:r>
      <w:r w:rsidR="00B237A5">
        <w:rPr>
          <w:rFonts w:asciiTheme="minorHAnsi" w:hAnsiTheme="minorHAnsi" w:cstheme="minorHAnsi"/>
        </w:rPr>
        <w:t xml:space="preserve">VI and </w:t>
      </w:r>
      <w:r w:rsidR="00C63CB7">
        <w:rPr>
          <w:rFonts w:asciiTheme="minorHAnsi" w:hAnsiTheme="minorHAnsi" w:cstheme="minorHAnsi"/>
        </w:rPr>
        <w:t>V</w:t>
      </w:r>
      <w:r w:rsidR="00B237A5">
        <w:rPr>
          <w:rFonts w:asciiTheme="minorHAnsi" w:hAnsiTheme="minorHAnsi" w:cstheme="minorHAnsi"/>
        </w:rPr>
        <w:t>II.a</w:t>
      </w:r>
      <w:r w:rsidR="00C63CB7">
        <w:rPr>
          <w:rFonts w:asciiTheme="minorHAnsi" w:hAnsiTheme="minorHAnsi" w:cstheme="minorHAnsi"/>
        </w:rPr>
        <w:t>)</w:t>
      </w:r>
      <w:r w:rsidRPr="009B1C91">
        <w:rPr>
          <w:rFonts w:asciiTheme="minorHAnsi" w:hAnsiTheme="minorHAnsi" w:cstheme="minorHAnsi"/>
        </w:rPr>
        <w:t xml:space="preserve">. World economic growth has been within the range of 3-3.6% during this time period. For the purpose this outcome evaluation, a comparative analysis of the major economic indicators, including GDP, per capita GDP, investment (public and private), savings, human poverty index (HPI), human development indices and school enrolment) for Bangladesh between 2000-2010 and 2010-2014 (the evaluation period being 2012-14) was performed. Though the per-capita GDP growth has slowed during 2010-14 relative to 2000-10, the domestic savings rate (as share of GDP) has been rising in recent years – from 20.1% of GDP in 2010 to 27.1% in 2014 </w:t>
      </w:r>
      <w:r w:rsidR="00B237A5">
        <w:rPr>
          <w:rFonts w:asciiTheme="minorHAnsi" w:hAnsiTheme="minorHAnsi" w:cstheme="minorHAnsi"/>
        </w:rPr>
        <w:t>(Annex</w:t>
      </w:r>
      <w:r w:rsidR="00F8033F">
        <w:rPr>
          <w:rFonts w:asciiTheme="minorHAnsi" w:hAnsiTheme="minorHAnsi" w:cstheme="minorHAnsi"/>
        </w:rPr>
        <w:t>es</w:t>
      </w:r>
      <w:r w:rsidR="00B237A5">
        <w:rPr>
          <w:rFonts w:asciiTheme="minorHAnsi" w:hAnsiTheme="minorHAnsi" w:cstheme="minorHAnsi"/>
        </w:rPr>
        <w:t xml:space="preserve"> VI and VII.a</w:t>
      </w:r>
      <w:r w:rsidRPr="009B1C91">
        <w:rPr>
          <w:rFonts w:asciiTheme="minorHAnsi" w:hAnsiTheme="minorHAnsi" w:cstheme="minorHAnsi"/>
        </w:rPr>
        <w:t xml:space="preserve">). Similarly, the overall investment growth rate increased from 11.7% to 15.7% in 2014; public investment growth rate during 2000-10 was 6.7% which has increased to 22.8% during 2010-14. The national head count ratio of poverty of 56.7% has been reduced by 25.2 % point in 2015, indicative of a rapid decline in poverty.   </w:t>
      </w:r>
    </w:p>
    <w:p w:rsidR="006C1581" w:rsidRPr="009B1C91" w:rsidRDefault="006C1581" w:rsidP="006C1581">
      <w:pPr>
        <w:spacing w:after="0" w:line="240" w:lineRule="auto"/>
        <w:jc w:val="both"/>
        <w:rPr>
          <w:rFonts w:asciiTheme="minorHAnsi" w:hAnsiTheme="minorHAnsi" w:cstheme="minorHAnsi"/>
        </w:rPr>
      </w:pPr>
    </w:p>
    <w:p w:rsidR="006C1581" w:rsidRPr="009B1C91" w:rsidRDefault="006C1581" w:rsidP="006C1581">
      <w:pPr>
        <w:spacing w:after="0" w:line="240" w:lineRule="auto"/>
        <w:jc w:val="both"/>
        <w:rPr>
          <w:rFonts w:asciiTheme="minorHAnsi" w:hAnsiTheme="minorHAnsi" w:cstheme="minorHAnsi"/>
          <w:b/>
          <w:bCs/>
        </w:rPr>
      </w:pPr>
      <w:r w:rsidRPr="009B1C91">
        <w:rPr>
          <w:rFonts w:asciiTheme="minorHAnsi" w:hAnsiTheme="minorHAnsi" w:cstheme="minorHAnsi"/>
        </w:rPr>
        <w:t xml:space="preserve">Since the early 1990s, infant and child mortality rates have declined significantly, population growth rate slowed significantly, and the gender disparity in primary and secondary school enrolment narrowed. Bangladesh has been labelled as a ‘development </w:t>
      </w:r>
      <w:r w:rsidR="008C059C">
        <w:rPr>
          <w:rFonts w:asciiTheme="minorHAnsi" w:hAnsiTheme="minorHAnsi" w:cstheme="minorHAnsi"/>
        </w:rPr>
        <w:t>puzzle’ by development analysts</w:t>
      </w:r>
      <w:r w:rsidRPr="009B1C91">
        <w:rPr>
          <w:rFonts w:asciiTheme="minorHAnsi" w:hAnsiTheme="minorHAnsi" w:cstheme="minorHAnsi"/>
          <w:vertAlign w:val="superscript"/>
        </w:rPr>
        <w:footnoteReference w:id="24"/>
      </w:r>
      <w:r w:rsidRPr="009B1C91">
        <w:rPr>
          <w:rFonts w:asciiTheme="minorHAnsi" w:hAnsiTheme="minorHAnsi" w:cstheme="minorHAnsi"/>
        </w:rPr>
        <w:t>because these social development achievements were made despite the country’s desperate initial conditions, widespread poverty, and weaker governance performance. Bangladesh’s public spending on health and education as a percentage of GDP has remained lower than other comparable low income countries</w:t>
      </w:r>
      <w:r w:rsidR="009A2749" w:rsidRPr="009B1C91">
        <w:rPr>
          <w:rStyle w:val="FootnoteReference"/>
          <w:rFonts w:asciiTheme="minorHAnsi" w:hAnsiTheme="minorHAnsi" w:cstheme="minorHAnsi"/>
        </w:rPr>
        <w:footnoteReference w:id="25"/>
      </w:r>
      <w:r w:rsidR="0045173C" w:rsidRPr="009B1C91">
        <w:rPr>
          <w:rFonts w:asciiTheme="minorHAnsi" w:hAnsiTheme="minorHAnsi" w:cstheme="minorHAnsi"/>
        </w:rPr>
        <w:t>.</w:t>
      </w:r>
    </w:p>
    <w:p w:rsidR="006C1581" w:rsidRPr="009B1C91" w:rsidRDefault="006C1581" w:rsidP="006C1581">
      <w:pPr>
        <w:spacing w:after="0" w:line="240" w:lineRule="auto"/>
        <w:jc w:val="both"/>
        <w:rPr>
          <w:rFonts w:asciiTheme="minorHAnsi" w:hAnsiTheme="minorHAnsi" w:cstheme="minorHAnsi"/>
          <w:b/>
          <w:bCs/>
        </w:rPr>
      </w:pPr>
    </w:p>
    <w:p w:rsidR="006C1581" w:rsidRPr="009B1C91" w:rsidRDefault="006C1581" w:rsidP="006C1581">
      <w:pPr>
        <w:spacing w:after="0" w:line="240" w:lineRule="auto"/>
        <w:jc w:val="both"/>
        <w:rPr>
          <w:rFonts w:asciiTheme="minorHAnsi" w:hAnsiTheme="minorHAnsi" w:cstheme="minorHAnsi"/>
        </w:rPr>
      </w:pPr>
      <w:r w:rsidRPr="009B1C91">
        <w:rPr>
          <w:rFonts w:asciiTheme="minorHAnsi" w:hAnsiTheme="minorHAnsi" w:cstheme="minorHAnsi"/>
          <w:b/>
          <w:bCs/>
        </w:rPr>
        <w:t>Population becoming more resilient to disaster vulnerability and risk</w:t>
      </w:r>
      <w:r w:rsidRPr="009B1C91">
        <w:rPr>
          <w:rFonts w:asciiTheme="minorHAnsi" w:hAnsiTheme="minorHAnsi" w:cstheme="minorHAnsi"/>
        </w:rPr>
        <w:t>:</w:t>
      </w:r>
    </w:p>
    <w:p w:rsidR="006C1581" w:rsidRPr="009B1C91" w:rsidRDefault="006C1581" w:rsidP="006C1581">
      <w:pPr>
        <w:spacing w:after="0" w:line="240" w:lineRule="auto"/>
        <w:jc w:val="both"/>
        <w:rPr>
          <w:rFonts w:asciiTheme="minorHAnsi" w:hAnsiTheme="minorHAnsi" w:cstheme="minorHAnsi"/>
        </w:rPr>
      </w:pPr>
    </w:p>
    <w:p w:rsidR="006C1581" w:rsidRPr="009B1C91" w:rsidRDefault="006C1581" w:rsidP="006C1581">
      <w:pPr>
        <w:spacing w:after="0" w:line="240" w:lineRule="auto"/>
        <w:jc w:val="both"/>
        <w:rPr>
          <w:rFonts w:asciiTheme="minorHAnsi" w:hAnsiTheme="minorHAnsi" w:cstheme="minorHAnsi"/>
        </w:rPr>
      </w:pPr>
      <w:r w:rsidRPr="009B1C91">
        <w:rPr>
          <w:rFonts w:asciiTheme="minorHAnsi" w:hAnsiTheme="minorHAnsi" w:cstheme="minorHAnsi"/>
        </w:rPr>
        <w:t>Bangladesh is one of the most vulnerable nations on earth to natural disasters, particularly cyclones, storm surges, and floods. South and Southeast Asian regional longitudinal data confirms this vulnerability (Table 2.1). The total number of people who were affected by disasters during 1994-2003 surpassed 50 million; during 2004-2013, the number was more than 76 million, revealing that Bangladesh still faces serious developmental challenges from disaster risk and vulnerability</w:t>
      </w:r>
      <w:r w:rsidR="00B237A5">
        <w:rPr>
          <w:rFonts w:asciiTheme="minorHAnsi" w:hAnsiTheme="minorHAnsi" w:cstheme="minorHAnsi"/>
        </w:rPr>
        <w:t xml:space="preserve"> (Annex VII.b</w:t>
      </w:r>
      <w:r w:rsidR="0045173C" w:rsidRPr="009B1C91">
        <w:rPr>
          <w:rFonts w:asciiTheme="minorHAnsi" w:hAnsiTheme="minorHAnsi" w:cstheme="minorHAnsi"/>
        </w:rPr>
        <w:t>)</w:t>
      </w:r>
      <w:r w:rsidRPr="009B1C91">
        <w:rPr>
          <w:rFonts w:asciiTheme="minorHAnsi" w:hAnsiTheme="minorHAnsi" w:cstheme="minorHAnsi"/>
        </w:rPr>
        <w:t xml:space="preserve">. </w:t>
      </w:r>
    </w:p>
    <w:p w:rsidR="006C1581" w:rsidRPr="009B1C91" w:rsidRDefault="006C1581" w:rsidP="006C1581">
      <w:pPr>
        <w:spacing w:after="0" w:line="240" w:lineRule="auto"/>
        <w:jc w:val="both"/>
        <w:rPr>
          <w:rFonts w:asciiTheme="minorHAnsi" w:hAnsiTheme="minorHAnsi" w:cstheme="minorHAnsi"/>
        </w:rPr>
      </w:pPr>
    </w:p>
    <w:p w:rsidR="00DF4CF3" w:rsidRPr="009B1C91" w:rsidRDefault="006C1581" w:rsidP="006C1581">
      <w:pPr>
        <w:spacing w:after="0" w:line="240" w:lineRule="auto"/>
        <w:jc w:val="both"/>
        <w:rPr>
          <w:rFonts w:asciiTheme="minorHAnsi" w:hAnsiTheme="minorHAnsi" w:cstheme="minorHAnsi"/>
        </w:rPr>
      </w:pPr>
      <w:r w:rsidRPr="009B1C91">
        <w:rPr>
          <w:rFonts w:asciiTheme="minorHAnsi" w:hAnsiTheme="minorHAnsi" w:cstheme="minorHAnsi"/>
        </w:rPr>
        <w:t>In the past (i.e. 1970, 1991), the country experienced loss of lives</w:t>
      </w:r>
      <w:r w:rsidR="00DF4CF3" w:rsidRPr="009B1C91">
        <w:rPr>
          <w:rFonts w:asciiTheme="minorHAnsi" w:hAnsiTheme="minorHAnsi" w:cstheme="minorHAnsi"/>
        </w:rPr>
        <w:t xml:space="preserve"> in hundreds of thousands (Annex</w:t>
      </w:r>
      <w:r w:rsidR="00B237A5">
        <w:rPr>
          <w:rFonts w:asciiTheme="minorHAnsi" w:hAnsiTheme="minorHAnsi" w:cstheme="minorHAnsi"/>
        </w:rPr>
        <w:t>VII.b</w:t>
      </w:r>
      <w:r w:rsidRPr="009B1C91">
        <w:rPr>
          <w:rFonts w:asciiTheme="minorHAnsi" w:hAnsiTheme="minorHAnsi" w:cstheme="minorHAnsi"/>
        </w:rPr>
        <w:t xml:space="preserve">), and such memories loom large in the minds of those who survived. Many expected similar loss of life and assets when Cyclone Sidr struck in 2007. The multi-donor driven Comprehensive Disaster Management Programme (CDMP), through the then Ministry of Food and Disaster Management, was being implement along the coastal Bangladesh since 2006. The interventions not only functioned as a catalyst for the transition from reactive response and relief to pre-disaster preparedness and risk </w:t>
      </w:r>
      <w:r w:rsidRPr="009B1C91">
        <w:rPr>
          <w:rFonts w:asciiTheme="minorHAnsi" w:hAnsiTheme="minorHAnsi" w:cstheme="minorHAnsi"/>
        </w:rPr>
        <w:lastRenderedPageBreak/>
        <w:t xml:space="preserve">reduction, but it also made a </w:t>
      </w:r>
      <w:r w:rsidR="0045173C" w:rsidRPr="009B1C91">
        <w:rPr>
          <w:rFonts w:asciiTheme="minorHAnsi" w:hAnsiTheme="minorHAnsi" w:cstheme="minorHAnsi"/>
        </w:rPr>
        <w:t xml:space="preserve">significant </w:t>
      </w:r>
      <w:r w:rsidRPr="009B1C91">
        <w:rPr>
          <w:rFonts w:asciiTheme="minorHAnsi" w:hAnsiTheme="minorHAnsi" w:cstheme="minorHAnsi"/>
        </w:rPr>
        <w:t>difference in saving lives, livelihoods and assets (unfortunately, more than three thousand people still died</w:t>
      </w:r>
      <w:r w:rsidR="00765390" w:rsidRPr="009B1C91">
        <w:rPr>
          <w:rFonts w:asciiTheme="minorHAnsi" w:hAnsiTheme="minorHAnsi" w:cstheme="minorHAnsi"/>
        </w:rPr>
        <w:t xml:space="preserve"> by the impact of Cyclone Sidr in</w:t>
      </w:r>
      <w:r w:rsidR="0045173C" w:rsidRPr="009B1C91">
        <w:rPr>
          <w:rFonts w:asciiTheme="minorHAnsi" w:hAnsiTheme="minorHAnsi" w:cstheme="minorHAnsi"/>
        </w:rPr>
        <w:t xml:space="preserve"> 2007</w:t>
      </w:r>
      <w:r w:rsidRPr="009B1C91">
        <w:rPr>
          <w:rFonts w:asciiTheme="minorHAnsi" w:hAnsiTheme="minorHAnsi" w:cstheme="minorHAnsi"/>
        </w:rPr>
        <w:t xml:space="preserve">). </w:t>
      </w:r>
    </w:p>
    <w:p w:rsidR="00DF4CF3" w:rsidRPr="009B1C91" w:rsidRDefault="00DF4CF3" w:rsidP="006C1581">
      <w:pPr>
        <w:spacing w:after="0" w:line="240" w:lineRule="auto"/>
        <w:jc w:val="both"/>
        <w:rPr>
          <w:rFonts w:asciiTheme="minorHAnsi" w:hAnsiTheme="minorHAnsi" w:cstheme="minorHAnsi"/>
        </w:rPr>
      </w:pPr>
    </w:p>
    <w:p w:rsidR="006C1581" w:rsidRPr="009B1C91" w:rsidRDefault="006C1581" w:rsidP="006C1581">
      <w:pPr>
        <w:spacing w:after="0" w:line="240" w:lineRule="auto"/>
        <w:jc w:val="both"/>
        <w:rPr>
          <w:rFonts w:asciiTheme="minorHAnsi" w:hAnsiTheme="minorHAnsi" w:cstheme="minorHAnsi"/>
        </w:rPr>
      </w:pPr>
      <w:r w:rsidRPr="009B1C91">
        <w:rPr>
          <w:rFonts w:asciiTheme="minorHAnsi" w:hAnsiTheme="minorHAnsi" w:cstheme="minorHAnsi"/>
        </w:rPr>
        <w:t>Today, in addition to pre-disaster preparedness, an early recovery facility is in place with the assistance of UNDP and other partners so that humanitarian assistance can be delivered with minimal delay to the disaster victims, and which supports their resiliency against all odds. Today, disaster risk reduction and climate change adaptation measures are being linked with livelihood improvement through linking family core shelter building with poultry, vegetable gardening, cow rearing (Resilient Habitat building Model), as well as link</w:t>
      </w:r>
      <w:r w:rsidR="00127A4D" w:rsidRPr="009B1C91">
        <w:rPr>
          <w:rFonts w:asciiTheme="minorHAnsi" w:hAnsiTheme="minorHAnsi" w:cstheme="minorHAnsi"/>
        </w:rPr>
        <w:t>ing Forest, Fish and Fruit</w:t>
      </w:r>
      <w:r w:rsidRPr="009B1C91">
        <w:rPr>
          <w:rFonts w:asciiTheme="minorHAnsi" w:hAnsiTheme="minorHAnsi" w:cstheme="minorHAnsi"/>
        </w:rPr>
        <w:t xml:space="preserve"> production (Triple F Model). These are possible elements for enhancing, with new tools and ideas, this century-old society’s resilience and adaptive capacity to risks from global climate and environmental changes. Successive governmental regimes, along with UNDP and other donors, have shown their commitment to helping Bangladesh’s population and society to transform their vulnerability and become more resilient.  </w:t>
      </w:r>
    </w:p>
    <w:p w:rsidR="00DF4CF3" w:rsidRPr="009B1C91" w:rsidRDefault="00DF4CF3" w:rsidP="006C1581">
      <w:pPr>
        <w:spacing w:after="0" w:line="240" w:lineRule="auto"/>
        <w:rPr>
          <w:rFonts w:asciiTheme="minorHAnsi" w:hAnsiTheme="minorHAnsi" w:cstheme="minorHAnsi"/>
          <w:b/>
          <w:bCs/>
        </w:rPr>
      </w:pPr>
    </w:p>
    <w:p w:rsidR="006C1581" w:rsidRPr="009B1C91" w:rsidRDefault="006C1581" w:rsidP="006C1581">
      <w:pPr>
        <w:spacing w:after="0" w:line="240" w:lineRule="auto"/>
        <w:rPr>
          <w:rFonts w:asciiTheme="minorHAnsi" w:hAnsiTheme="minorHAnsi" w:cstheme="minorHAnsi"/>
          <w:b/>
          <w:bCs/>
        </w:rPr>
      </w:pPr>
      <w:r w:rsidRPr="009B1C91">
        <w:rPr>
          <w:rFonts w:asciiTheme="minorHAnsi" w:hAnsiTheme="minorHAnsi" w:cstheme="minorHAnsi"/>
          <w:b/>
          <w:bCs/>
        </w:rPr>
        <w:t xml:space="preserve">Table </w:t>
      </w:r>
      <w:r w:rsidR="00DF4CF3" w:rsidRPr="009B1C91">
        <w:rPr>
          <w:rFonts w:asciiTheme="minorHAnsi" w:hAnsiTheme="minorHAnsi" w:cstheme="minorHAnsi"/>
          <w:b/>
          <w:bCs/>
        </w:rPr>
        <w:t>2.</w:t>
      </w:r>
      <w:r w:rsidRPr="009B1C91">
        <w:rPr>
          <w:rFonts w:asciiTheme="minorHAnsi" w:hAnsiTheme="minorHAnsi" w:cstheme="minorHAnsi"/>
          <w:b/>
          <w:bCs/>
        </w:rPr>
        <w:t>1: Major cyclones that hit the Bangladesh coast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059"/>
        <w:gridCol w:w="1412"/>
        <w:gridCol w:w="2178"/>
        <w:gridCol w:w="1882"/>
        <w:gridCol w:w="1881"/>
      </w:tblGrid>
      <w:tr w:rsidR="006C1581" w:rsidRPr="009B1C91" w:rsidTr="00DF6F37">
        <w:trPr>
          <w:cantSplit/>
          <w:trHeight w:val="20"/>
        </w:trPr>
        <w:tc>
          <w:tcPr>
            <w:tcW w:w="3528" w:type="dxa"/>
            <w:gridSpan w:val="2"/>
            <w:shd w:val="clear" w:color="auto" w:fill="B6DDE8"/>
            <w:tcMar>
              <w:top w:w="80" w:type="dxa"/>
              <w:left w:w="80" w:type="dxa"/>
              <w:bottom w:w="80" w:type="dxa"/>
              <w:right w:w="80" w:type="dxa"/>
            </w:tcMar>
          </w:tcPr>
          <w:p w:rsidR="006C1581" w:rsidRPr="009B1C91" w:rsidRDefault="006C1581" w:rsidP="00DF6F37">
            <w:pPr>
              <w:pStyle w:val="TableNormalParagraph"/>
              <w:jc w:val="center"/>
              <w:rPr>
                <w:rFonts w:asciiTheme="minorHAnsi" w:hAnsiTheme="minorHAnsi" w:cstheme="minorHAnsi"/>
                <w:b/>
                <w:bCs/>
              </w:rPr>
            </w:pPr>
            <w:r w:rsidRPr="009B1C91">
              <w:rPr>
                <w:rFonts w:asciiTheme="minorHAnsi" w:hAnsiTheme="minorHAnsi" w:cstheme="minorHAnsi"/>
                <w:b/>
                <w:bCs/>
              </w:rPr>
              <w:t>Date</w:t>
            </w:r>
          </w:p>
        </w:tc>
        <w:tc>
          <w:tcPr>
            <w:tcW w:w="2217" w:type="dxa"/>
            <w:shd w:val="clear" w:color="auto" w:fill="B6DDE8"/>
            <w:tcMar>
              <w:top w:w="80" w:type="dxa"/>
              <w:left w:w="80" w:type="dxa"/>
              <w:bottom w:w="80" w:type="dxa"/>
              <w:right w:w="80" w:type="dxa"/>
            </w:tcMar>
          </w:tcPr>
          <w:p w:rsidR="006C1581" w:rsidRPr="009B1C91" w:rsidRDefault="006C1581" w:rsidP="00DF6F37">
            <w:pPr>
              <w:pStyle w:val="TableNormalParagraph"/>
              <w:jc w:val="center"/>
              <w:rPr>
                <w:rFonts w:asciiTheme="minorHAnsi" w:hAnsiTheme="minorHAnsi" w:cstheme="minorHAnsi"/>
                <w:b/>
                <w:bCs/>
              </w:rPr>
            </w:pPr>
            <w:r w:rsidRPr="009B1C91">
              <w:rPr>
                <w:rFonts w:asciiTheme="minorHAnsi" w:hAnsiTheme="minorHAnsi" w:cstheme="minorHAnsi"/>
                <w:b/>
                <w:bCs/>
              </w:rPr>
              <w:t>Maximum Wind speed (km/hr)</w:t>
            </w:r>
          </w:p>
        </w:tc>
        <w:tc>
          <w:tcPr>
            <w:tcW w:w="1915" w:type="dxa"/>
            <w:shd w:val="clear" w:color="auto" w:fill="B6DDE8"/>
            <w:tcMar>
              <w:top w:w="80" w:type="dxa"/>
              <w:left w:w="80" w:type="dxa"/>
              <w:bottom w:w="80" w:type="dxa"/>
              <w:right w:w="80" w:type="dxa"/>
            </w:tcMar>
          </w:tcPr>
          <w:p w:rsidR="006C1581" w:rsidRPr="009B1C91" w:rsidRDefault="006C1581" w:rsidP="00DF6F37">
            <w:pPr>
              <w:pStyle w:val="TableNormalParagraph"/>
              <w:jc w:val="center"/>
              <w:rPr>
                <w:rFonts w:asciiTheme="minorHAnsi" w:hAnsiTheme="minorHAnsi" w:cstheme="minorHAnsi"/>
                <w:b/>
                <w:bCs/>
              </w:rPr>
            </w:pPr>
            <w:r w:rsidRPr="009B1C91">
              <w:rPr>
                <w:rFonts w:asciiTheme="minorHAnsi" w:hAnsiTheme="minorHAnsi" w:cstheme="minorHAnsi"/>
                <w:b/>
                <w:bCs/>
              </w:rPr>
              <w:t>Storm Surge height</w:t>
            </w:r>
          </w:p>
          <w:p w:rsidR="006C1581" w:rsidRPr="009B1C91" w:rsidRDefault="006C1581" w:rsidP="00DF6F37">
            <w:pPr>
              <w:pStyle w:val="TableNormalParagraph"/>
              <w:jc w:val="center"/>
              <w:rPr>
                <w:rFonts w:asciiTheme="minorHAnsi" w:hAnsiTheme="minorHAnsi" w:cstheme="minorHAnsi"/>
                <w:b/>
                <w:bCs/>
              </w:rPr>
            </w:pPr>
            <w:r w:rsidRPr="009B1C91">
              <w:rPr>
                <w:rFonts w:asciiTheme="minorHAnsi" w:hAnsiTheme="minorHAnsi" w:cstheme="minorHAnsi"/>
                <w:b/>
                <w:bCs/>
              </w:rPr>
              <w:t>(meters)</w:t>
            </w:r>
          </w:p>
        </w:tc>
        <w:tc>
          <w:tcPr>
            <w:tcW w:w="1916" w:type="dxa"/>
            <w:shd w:val="clear" w:color="auto" w:fill="B6DDE8"/>
            <w:tcMar>
              <w:top w:w="80" w:type="dxa"/>
              <w:left w:w="80" w:type="dxa"/>
              <w:bottom w:w="80" w:type="dxa"/>
              <w:right w:w="80" w:type="dxa"/>
            </w:tcMar>
          </w:tcPr>
          <w:p w:rsidR="006C1581" w:rsidRPr="009B1C91" w:rsidRDefault="006C1581" w:rsidP="00DF6F37">
            <w:pPr>
              <w:pStyle w:val="TableNormalParagraph"/>
              <w:jc w:val="center"/>
              <w:rPr>
                <w:rFonts w:asciiTheme="minorHAnsi" w:hAnsiTheme="minorHAnsi" w:cstheme="minorHAnsi"/>
                <w:b/>
                <w:bCs/>
              </w:rPr>
            </w:pPr>
            <w:r w:rsidRPr="009B1C91">
              <w:rPr>
                <w:rFonts w:asciiTheme="minorHAnsi" w:hAnsiTheme="minorHAnsi" w:cstheme="minorHAnsi"/>
                <w:b/>
                <w:bCs/>
              </w:rPr>
              <w:t>Death Toll</w:t>
            </w:r>
          </w:p>
        </w:tc>
      </w:tr>
      <w:tr w:rsidR="006C1581" w:rsidRPr="009B1C91" w:rsidTr="00DF6F37">
        <w:trPr>
          <w:cantSplit/>
          <w:trHeight w:val="20"/>
        </w:trPr>
        <w:tc>
          <w:tcPr>
            <w:tcW w:w="2088" w:type="dxa"/>
            <w:shd w:val="clear" w:color="auto" w:fill="B6DDE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b/>
                <w:bCs/>
              </w:rPr>
            </w:pPr>
            <w:r w:rsidRPr="009B1C91">
              <w:rPr>
                <w:rFonts w:asciiTheme="minorHAnsi" w:hAnsiTheme="minorHAnsi" w:cstheme="minorHAnsi"/>
                <w:b/>
                <w:bCs/>
              </w:rPr>
              <w:t>11 May</w:t>
            </w:r>
          </w:p>
        </w:tc>
        <w:tc>
          <w:tcPr>
            <w:tcW w:w="1440" w:type="dxa"/>
            <w:shd w:val="clear" w:color="auto" w:fill="B6DDE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1965</w:t>
            </w:r>
          </w:p>
        </w:tc>
        <w:tc>
          <w:tcPr>
            <w:tcW w:w="2217" w:type="dxa"/>
            <w:shd w:val="clear" w:color="auto" w:fill="D8D8D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161</w:t>
            </w:r>
          </w:p>
        </w:tc>
        <w:tc>
          <w:tcPr>
            <w:tcW w:w="1915" w:type="dxa"/>
            <w:shd w:val="clear" w:color="auto" w:fill="D8D8D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3.7-7.6</w:t>
            </w:r>
          </w:p>
        </w:tc>
        <w:tc>
          <w:tcPr>
            <w:tcW w:w="1916" w:type="dxa"/>
            <w:shd w:val="clear" w:color="auto" w:fill="D8D8D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19,279</w:t>
            </w:r>
          </w:p>
        </w:tc>
      </w:tr>
      <w:tr w:rsidR="006C1581" w:rsidRPr="009B1C91" w:rsidTr="00DF6F37">
        <w:trPr>
          <w:cantSplit/>
          <w:trHeight w:val="20"/>
        </w:trPr>
        <w:tc>
          <w:tcPr>
            <w:tcW w:w="2088" w:type="dxa"/>
            <w:shd w:val="clear" w:color="auto" w:fill="B6DDE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b/>
                <w:bCs/>
              </w:rPr>
            </w:pPr>
            <w:r w:rsidRPr="009B1C91">
              <w:rPr>
                <w:rFonts w:asciiTheme="minorHAnsi" w:hAnsiTheme="minorHAnsi" w:cstheme="minorHAnsi"/>
                <w:b/>
                <w:bCs/>
              </w:rPr>
              <w:t>15 December</w:t>
            </w:r>
          </w:p>
        </w:tc>
        <w:tc>
          <w:tcPr>
            <w:tcW w:w="1440" w:type="dxa"/>
            <w:shd w:val="clear" w:color="auto" w:fill="B6DDE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1965</w:t>
            </w:r>
          </w:p>
        </w:tc>
        <w:tc>
          <w:tcPr>
            <w:tcW w:w="2217" w:type="dxa"/>
            <w:shd w:val="clear" w:color="auto" w:fill="auto"/>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217</w:t>
            </w:r>
          </w:p>
        </w:tc>
        <w:tc>
          <w:tcPr>
            <w:tcW w:w="1915" w:type="dxa"/>
            <w:shd w:val="clear" w:color="auto" w:fill="auto"/>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2.4-3.6</w:t>
            </w:r>
          </w:p>
        </w:tc>
        <w:tc>
          <w:tcPr>
            <w:tcW w:w="1916" w:type="dxa"/>
            <w:shd w:val="clear" w:color="auto" w:fill="auto"/>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873</w:t>
            </w:r>
          </w:p>
        </w:tc>
      </w:tr>
      <w:tr w:rsidR="006C1581" w:rsidRPr="009B1C91" w:rsidTr="00DF6F37">
        <w:trPr>
          <w:cantSplit/>
          <w:trHeight w:val="20"/>
        </w:trPr>
        <w:tc>
          <w:tcPr>
            <w:tcW w:w="2088" w:type="dxa"/>
            <w:shd w:val="clear" w:color="auto" w:fill="B6DDE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b/>
                <w:bCs/>
              </w:rPr>
            </w:pPr>
            <w:r w:rsidRPr="009B1C91">
              <w:rPr>
                <w:rFonts w:asciiTheme="minorHAnsi" w:hAnsiTheme="minorHAnsi" w:cstheme="minorHAnsi"/>
                <w:b/>
                <w:bCs/>
              </w:rPr>
              <w:t>01 October</w:t>
            </w:r>
          </w:p>
        </w:tc>
        <w:tc>
          <w:tcPr>
            <w:tcW w:w="1440" w:type="dxa"/>
            <w:shd w:val="clear" w:color="auto" w:fill="B6DDE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1966</w:t>
            </w:r>
          </w:p>
        </w:tc>
        <w:tc>
          <w:tcPr>
            <w:tcW w:w="2217" w:type="dxa"/>
            <w:shd w:val="clear" w:color="auto" w:fill="D8D8D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139</w:t>
            </w:r>
          </w:p>
        </w:tc>
        <w:tc>
          <w:tcPr>
            <w:tcW w:w="1915" w:type="dxa"/>
            <w:shd w:val="clear" w:color="auto" w:fill="D8D8D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6.0-6.7</w:t>
            </w:r>
          </w:p>
        </w:tc>
        <w:tc>
          <w:tcPr>
            <w:tcW w:w="1916" w:type="dxa"/>
            <w:shd w:val="clear" w:color="auto" w:fill="D8D8D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850</w:t>
            </w:r>
          </w:p>
        </w:tc>
      </w:tr>
      <w:tr w:rsidR="006C1581" w:rsidRPr="009B1C91" w:rsidTr="00DF6F37">
        <w:trPr>
          <w:cantSplit/>
          <w:trHeight w:val="20"/>
        </w:trPr>
        <w:tc>
          <w:tcPr>
            <w:tcW w:w="2088" w:type="dxa"/>
            <w:shd w:val="clear" w:color="auto" w:fill="B6DDE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b/>
                <w:bCs/>
              </w:rPr>
            </w:pPr>
            <w:r w:rsidRPr="009B1C91">
              <w:rPr>
                <w:rFonts w:asciiTheme="minorHAnsi" w:hAnsiTheme="minorHAnsi" w:cstheme="minorHAnsi"/>
                <w:b/>
                <w:bCs/>
              </w:rPr>
              <w:t>12 November</w:t>
            </w:r>
          </w:p>
        </w:tc>
        <w:tc>
          <w:tcPr>
            <w:tcW w:w="1440" w:type="dxa"/>
            <w:shd w:val="clear" w:color="auto" w:fill="B6DDE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1970</w:t>
            </w:r>
          </w:p>
        </w:tc>
        <w:tc>
          <w:tcPr>
            <w:tcW w:w="2217" w:type="dxa"/>
            <w:shd w:val="clear" w:color="auto" w:fill="auto"/>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224</w:t>
            </w:r>
          </w:p>
        </w:tc>
        <w:tc>
          <w:tcPr>
            <w:tcW w:w="1915" w:type="dxa"/>
            <w:shd w:val="clear" w:color="auto" w:fill="auto"/>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6.0-10.0</w:t>
            </w:r>
          </w:p>
        </w:tc>
        <w:tc>
          <w:tcPr>
            <w:tcW w:w="1916" w:type="dxa"/>
            <w:shd w:val="clear" w:color="auto" w:fill="auto"/>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300,000</w:t>
            </w:r>
          </w:p>
        </w:tc>
      </w:tr>
      <w:tr w:rsidR="006C1581" w:rsidRPr="009B1C91" w:rsidTr="00DF6F37">
        <w:trPr>
          <w:cantSplit/>
          <w:trHeight w:val="20"/>
        </w:trPr>
        <w:tc>
          <w:tcPr>
            <w:tcW w:w="2088" w:type="dxa"/>
            <w:shd w:val="clear" w:color="auto" w:fill="B6DDE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b/>
                <w:bCs/>
              </w:rPr>
            </w:pPr>
            <w:r w:rsidRPr="009B1C91">
              <w:rPr>
                <w:rFonts w:asciiTheme="minorHAnsi" w:hAnsiTheme="minorHAnsi" w:cstheme="minorHAnsi"/>
                <w:b/>
                <w:bCs/>
              </w:rPr>
              <w:t>25 May</w:t>
            </w:r>
          </w:p>
        </w:tc>
        <w:tc>
          <w:tcPr>
            <w:tcW w:w="1440" w:type="dxa"/>
            <w:shd w:val="clear" w:color="auto" w:fill="B6DDE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1985</w:t>
            </w:r>
          </w:p>
        </w:tc>
        <w:tc>
          <w:tcPr>
            <w:tcW w:w="2217" w:type="dxa"/>
            <w:shd w:val="clear" w:color="auto" w:fill="D8D8D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154</w:t>
            </w:r>
          </w:p>
        </w:tc>
        <w:tc>
          <w:tcPr>
            <w:tcW w:w="1915" w:type="dxa"/>
            <w:shd w:val="clear" w:color="auto" w:fill="D8D8D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3.0-4.6</w:t>
            </w:r>
          </w:p>
        </w:tc>
        <w:tc>
          <w:tcPr>
            <w:tcW w:w="1916" w:type="dxa"/>
            <w:shd w:val="clear" w:color="auto" w:fill="D8D8D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11,069</w:t>
            </w:r>
          </w:p>
        </w:tc>
      </w:tr>
      <w:tr w:rsidR="006C1581" w:rsidRPr="009B1C91" w:rsidTr="00DF6F37">
        <w:trPr>
          <w:cantSplit/>
          <w:trHeight w:val="20"/>
        </w:trPr>
        <w:tc>
          <w:tcPr>
            <w:tcW w:w="2088" w:type="dxa"/>
            <w:shd w:val="clear" w:color="auto" w:fill="B6DDE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b/>
                <w:bCs/>
              </w:rPr>
            </w:pPr>
            <w:r w:rsidRPr="009B1C91">
              <w:rPr>
                <w:rFonts w:asciiTheme="minorHAnsi" w:hAnsiTheme="minorHAnsi" w:cstheme="minorHAnsi"/>
                <w:b/>
                <w:bCs/>
              </w:rPr>
              <w:t>29 April</w:t>
            </w:r>
          </w:p>
        </w:tc>
        <w:tc>
          <w:tcPr>
            <w:tcW w:w="1440" w:type="dxa"/>
            <w:shd w:val="clear" w:color="auto" w:fill="B6DDE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1991</w:t>
            </w:r>
          </w:p>
        </w:tc>
        <w:tc>
          <w:tcPr>
            <w:tcW w:w="2217" w:type="dxa"/>
            <w:shd w:val="clear" w:color="auto" w:fill="auto"/>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225</w:t>
            </w:r>
          </w:p>
        </w:tc>
        <w:tc>
          <w:tcPr>
            <w:tcW w:w="1915" w:type="dxa"/>
            <w:shd w:val="clear" w:color="auto" w:fill="auto"/>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6.0-7.6</w:t>
            </w:r>
          </w:p>
        </w:tc>
        <w:tc>
          <w:tcPr>
            <w:tcW w:w="1916" w:type="dxa"/>
            <w:shd w:val="clear" w:color="auto" w:fill="auto"/>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138,882</w:t>
            </w:r>
          </w:p>
        </w:tc>
      </w:tr>
      <w:tr w:rsidR="006C1581" w:rsidRPr="009B1C91" w:rsidTr="00DF6F37">
        <w:trPr>
          <w:cantSplit/>
          <w:trHeight w:val="20"/>
        </w:trPr>
        <w:tc>
          <w:tcPr>
            <w:tcW w:w="2088" w:type="dxa"/>
            <w:shd w:val="clear" w:color="auto" w:fill="B6DDE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b/>
                <w:bCs/>
              </w:rPr>
            </w:pPr>
            <w:r w:rsidRPr="009B1C91">
              <w:rPr>
                <w:rFonts w:asciiTheme="minorHAnsi" w:hAnsiTheme="minorHAnsi" w:cstheme="minorHAnsi"/>
                <w:b/>
                <w:bCs/>
              </w:rPr>
              <w:t>19 May</w:t>
            </w:r>
          </w:p>
        </w:tc>
        <w:tc>
          <w:tcPr>
            <w:tcW w:w="1440" w:type="dxa"/>
            <w:shd w:val="clear" w:color="auto" w:fill="B6DDE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1997</w:t>
            </w:r>
          </w:p>
        </w:tc>
        <w:tc>
          <w:tcPr>
            <w:tcW w:w="2217" w:type="dxa"/>
            <w:shd w:val="clear" w:color="auto" w:fill="D8D8D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232</w:t>
            </w:r>
          </w:p>
        </w:tc>
        <w:tc>
          <w:tcPr>
            <w:tcW w:w="1915" w:type="dxa"/>
            <w:shd w:val="clear" w:color="auto" w:fill="D8D8D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3.1-4.6</w:t>
            </w:r>
          </w:p>
        </w:tc>
        <w:tc>
          <w:tcPr>
            <w:tcW w:w="1916" w:type="dxa"/>
            <w:shd w:val="clear" w:color="auto" w:fill="D8D8D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155</w:t>
            </w:r>
          </w:p>
        </w:tc>
      </w:tr>
      <w:tr w:rsidR="006C1581" w:rsidRPr="009B1C91" w:rsidTr="00DF6F37">
        <w:trPr>
          <w:cantSplit/>
          <w:trHeight w:val="20"/>
        </w:trPr>
        <w:tc>
          <w:tcPr>
            <w:tcW w:w="2088" w:type="dxa"/>
            <w:shd w:val="clear" w:color="auto" w:fill="B6DDE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b/>
                <w:bCs/>
              </w:rPr>
            </w:pPr>
            <w:r w:rsidRPr="009B1C91">
              <w:rPr>
                <w:rFonts w:asciiTheme="minorHAnsi" w:hAnsiTheme="minorHAnsi" w:cstheme="minorHAnsi"/>
                <w:b/>
                <w:bCs/>
              </w:rPr>
              <w:t>15 November (SIDR)</w:t>
            </w:r>
          </w:p>
        </w:tc>
        <w:tc>
          <w:tcPr>
            <w:tcW w:w="1440" w:type="dxa"/>
            <w:shd w:val="clear" w:color="auto" w:fill="B6DDE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2007</w:t>
            </w:r>
          </w:p>
        </w:tc>
        <w:tc>
          <w:tcPr>
            <w:tcW w:w="2217" w:type="dxa"/>
            <w:shd w:val="clear" w:color="auto" w:fill="auto"/>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223</w:t>
            </w:r>
          </w:p>
        </w:tc>
        <w:tc>
          <w:tcPr>
            <w:tcW w:w="1915" w:type="dxa"/>
            <w:shd w:val="clear" w:color="auto" w:fill="auto"/>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4.5-5.5</w:t>
            </w:r>
          </w:p>
        </w:tc>
        <w:tc>
          <w:tcPr>
            <w:tcW w:w="1916" w:type="dxa"/>
            <w:shd w:val="clear" w:color="auto" w:fill="auto"/>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3363</w:t>
            </w:r>
          </w:p>
        </w:tc>
      </w:tr>
      <w:tr w:rsidR="006C1581" w:rsidRPr="009B1C91" w:rsidTr="00DF6F37">
        <w:trPr>
          <w:cantSplit/>
          <w:trHeight w:val="20"/>
        </w:trPr>
        <w:tc>
          <w:tcPr>
            <w:tcW w:w="2088" w:type="dxa"/>
            <w:shd w:val="clear" w:color="auto" w:fill="B6DDE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b/>
                <w:bCs/>
              </w:rPr>
            </w:pPr>
            <w:r w:rsidRPr="009B1C91">
              <w:rPr>
                <w:rFonts w:asciiTheme="minorHAnsi" w:hAnsiTheme="minorHAnsi" w:cstheme="minorHAnsi"/>
                <w:b/>
                <w:bCs/>
              </w:rPr>
              <w:t>25 May (AILA)</w:t>
            </w:r>
          </w:p>
        </w:tc>
        <w:tc>
          <w:tcPr>
            <w:tcW w:w="1440" w:type="dxa"/>
            <w:shd w:val="clear" w:color="auto" w:fill="B6DDE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2009</w:t>
            </w:r>
          </w:p>
        </w:tc>
        <w:tc>
          <w:tcPr>
            <w:tcW w:w="2217" w:type="dxa"/>
            <w:shd w:val="clear" w:color="auto" w:fill="D8D8D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92</w:t>
            </w:r>
          </w:p>
        </w:tc>
        <w:tc>
          <w:tcPr>
            <w:tcW w:w="1915" w:type="dxa"/>
            <w:shd w:val="clear" w:color="auto" w:fill="D8D8D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3.0-3.5</w:t>
            </w:r>
          </w:p>
        </w:tc>
        <w:tc>
          <w:tcPr>
            <w:tcW w:w="1916" w:type="dxa"/>
            <w:shd w:val="clear" w:color="auto" w:fill="D8D8D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190</w:t>
            </w:r>
          </w:p>
        </w:tc>
      </w:tr>
      <w:tr w:rsidR="006C1581" w:rsidRPr="009B1C91" w:rsidTr="00DF6F37">
        <w:trPr>
          <w:cantSplit/>
          <w:trHeight w:val="20"/>
        </w:trPr>
        <w:tc>
          <w:tcPr>
            <w:tcW w:w="2088" w:type="dxa"/>
            <w:shd w:val="clear" w:color="auto" w:fill="B6DDE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b/>
                <w:bCs/>
              </w:rPr>
            </w:pPr>
            <w:r w:rsidRPr="009B1C91">
              <w:rPr>
                <w:rFonts w:asciiTheme="minorHAnsi" w:hAnsiTheme="minorHAnsi" w:cstheme="minorHAnsi"/>
                <w:b/>
                <w:bCs/>
              </w:rPr>
              <w:t>16 May (MOHASEN)</w:t>
            </w:r>
          </w:p>
        </w:tc>
        <w:tc>
          <w:tcPr>
            <w:tcW w:w="1440" w:type="dxa"/>
            <w:shd w:val="clear" w:color="auto" w:fill="B6DDE8"/>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2013</w:t>
            </w:r>
          </w:p>
        </w:tc>
        <w:tc>
          <w:tcPr>
            <w:tcW w:w="2217" w:type="dxa"/>
            <w:shd w:val="clear" w:color="auto" w:fill="auto"/>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shd w:val="clear" w:color="auto" w:fill="FFFFFF"/>
              </w:rPr>
            </w:pPr>
            <w:r w:rsidRPr="009B1C91">
              <w:rPr>
                <w:rFonts w:asciiTheme="minorHAnsi" w:hAnsiTheme="minorHAnsi" w:cstheme="minorHAnsi"/>
                <w:shd w:val="clear" w:color="auto" w:fill="FFFFFF"/>
              </w:rPr>
              <w:t xml:space="preserve">85 </w:t>
            </w:r>
          </w:p>
        </w:tc>
        <w:tc>
          <w:tcPr>
            <w:tcW w:w="1915" w:type="dxa"/>
            <w:shd w:val="clear" w:color="auto" w:fill="auto"/>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1.0-1.5</w:t>
            </w:r>
          </w:p>
        </w:tc>
        <w:tc>
          <w:tcPr>
            <w:tcW w:w="1916" w:type="dxa"/>
            <w:shd w:val="clear" w:color="auto" w:fill="auto"/>
            <w:tcMar>
              <w:top w:w="80" w:type="dxa"/>
              <w:left w:w="80" w:type="dxa"/>
              <w:bottom w:w="80" w:type="dxa"/>
              <w:right w:w="80" w:type="dxa"/>
            </w:tcMar>
          </w:tcPr>
          <w:p w:rsidR="006C1581" w:rsidRPr="009B1C91" w:rsidRDefault="006C1581" w:rsidP="00DF6F37">
            <w:pPr>
              <w:pStyle w:val="TableNormalParagraph"/>
              <w:rPr>
                <w:rFonts w:asciiTheme="minorHAnsi" w:hAnsiTheme="minorHAnsi" w:cstheme="minorHAnsi"/>
              </w:rPr>
            </w:pPr>
            <w:r w:rsidRPr="009B1C91">
              <w:rPr>
                <w:rFonts w:asciiTheme="minorHAnsi" w:hAnsiTheme="minorHAnsi" w:cstheme="minorHAnsi"/>
              </w:rPr>
              <w:t>17</w:t>
            </w:r>
          </w:p>
        </w:tc>
      </w:tr>
    </w:tbl>
    <w:p w:rsidR="006C1581" w:rsidRPr="009B1C91" w:rsidRDefault="006C1581" w:rsidP="006C1581">
      <w:pPr>
        <w:rPr>
          <w:rFonts w:asciiTheme="minorHAnsi" w:hAnsiTheme="minorHAnsi" w:cstheme="minorHAnsi"/>
        </w:rPr>
      </w:pPr>
      <w:r w:rsidRPr="009B1C91">
        <w:rPr>
          <w:rFonts w:asciiTheme="minorHAnsi" w:hAnsiTheme="minorHAnsi" w:cstheme="minorHAnsi"/>
        </w:rPr>
        <w:t>Source: National Plan for Disaster Management</w:t>
      </w:r>
      <w:r w:rsidR="001800A0">
        <w:rPr>
          <w:rFonts w:asciiTheme="minorHAnsi" w:hAnsiTheme="minorHAnsi" w:cstheme="minorHAnsi"/>
        </w:rPr>
        <w:t>,</w:t>
      </w:r>
      <w:r w:rsidRPr="009B1C91">
        <w:rPr>
          <w:rFonts w:asciiTheme="minorHAnsi" w:hAnsiTheme="minorHAnsi" w:cstheme="minorHAnsi"/>
        </w:rPr>
        <w:t xml:space="preserve"> 2011-2015</w:t>
      </w:r>
      <w:r w:rsidR="001800A0">
        <w:rPr>
          <w:rFonts w:asciiTheme="minorHAnsi" w:hAnsiTheme="minorHAnsi" w:cstheme="minorHAnsi"/>
        </w:rPr>
        <w:t>.</w:t>
      </w:r>
    </w:p>
    <w:p w:rsidR="006C1581" w:rsidRPr="009B1C91" w:rsidRDefault="006C1581" w:rsidP="006C1581">
      <w:pPr>
        <w:spacing w:after="0" w:line="240" w:lineRule="auto"/>
        <w:jc w:val="both"/>
        <w:rPr>
          <w:rFonts w:asciiTheme="minorHAnsi" w:hAnsiTheme="minorHAnsi" w:cstheme="minorHAnsi"/>
        </w:rPr>
      </w:pPr>
      <w:r w:rsidRPr="009B1C91">
        <w:rPr>
          <w:rFonts w:asciiTheme="minorHAnsi" w:hAnsiTheme="minorHAnsi" w:cstheme="minorHAnsi"/>
          <w:b/>
          <w:bCs/>
        </w:rPr>
        <w:t>Steps toward a green economy and development are on the way:</w:t>
      </w:r>
    </w:p>
    <w:p w:rsidR="006C1581" w:rsidRPr="009B1C91" w:rsidRDefault="006C1581" w:rsidP="006C1581">
      <w:pPr>
        <w:spacing w:after="0" w:line="240" w:lineRule="auto"/>
        <w:rPr>
          <w:rFonts w:asciiTheme="minorHAnsi" w:hAnsiTheme="minorHAnsi" w:cstheme="minorHAnsi"/>
          <w:sz w:val="23"/>
          <w:szCs w:val="23"/>
        </w:rPr>
      </w:pPr>
    </w:p>
    <w:p w:rsidR="006C1581" w:rsidRPr="009B1C91" w:rsidRDefault="006C1581" w:rsidP="00F653F8">
      <w:pPr>
        <w:spacing w:after="0" w:line="240" w:lineRule="auto"/>
        <w:jc w:val="both"/>
        <w:rPr>
          <w:rFonts w:asciiTheme="minorHAnsi" w:hAnsiTheme="minorHAnsi" w:cstheme="minorHAnsi"/>
        </w:rPr>
      </w:pPr>
      <w:r w:rsidRPr="009B1C91">
        <w:rPr>
          <w:rFonts w:asciiTheme="minorHAnsi" w:hAnsiTheme="minorHAnsi" w:cstheme="minorHAnsi"/>
        </w:rPr>
        <w:t>As stated above, Bangladesh’s economy has grown by more than 5% in recent decades (more than 6% in recent years), with much promise for poverty reduction and sustainable development. Recognizing that the private sector is one of the key drivers behind such growth, the GoB policy direction is increasingly turning to for environmental-friendly paths to generate economic surplus and nurture a new, innovative model of s</w:t>
      </w:r>
      <w:r w:rsidR="003B57DF" w:rsidRPr="009B1C91">
        <w:rPr>
          <w:rFonts w:asciiTheme="minorHAnsi" w:hAnsiTheme="minorHAnsi" w:cstheme="minorHAnsi"/>
        </w:rPr>
        <w:t>ocial and economic development.</w:t>
      </w:r>
      <w:r w:rsidR="003B57DF" w:rsidRPr="009B1C91">
        <w:rPr>
          <w:rStyle w:val="FootnoteReference"/>
          <w:rFonts w:asciiTheme="minorHAnsi" w:hAnsiTheme="minorHAnsi" w:cstheme="minorHAnsi"/>
        </w:rPr>
        <w:footnoteReference w:id="26"/>
      </w:r>
      <w:r w:rsidRPr="009B1C91">
        <w:rPr>
          <w:rFonts w:asciiTheme="minorHAnsi" w:hAnsiTheme="minorHAnsi" w:cstheme="minorHAnsi"/>
        </w:rPr>
        <w:t xml:space="preserve">The GoB also has determined that without appropriate regulatory instruments and their effective implementation, environment and natural resource sustainability cannot be ensured. Therefore, since the launching of the concept of ‘green economy’ in the Rio+20 document “The Future We Want”,  which provides a list of green economy policies in the context of sustainable development and poverty eradication, the GoB pursued numerous policies that </w:t>
      </w:r>
      <w:r w:rsidRPr="009B1C91">
        <w:rPr>
          <w:rFonts w:asciiTheme="minorHAnsi" w:hAnsiTheme="minorHAnsi" w:cstheme="minorHAnsi"/>
        </w:rPr>
        <w:lastRenderedPageBreak/>
        <w:t xml:space="preserve">coincide with green economy strategies and policies. These aim at, for examples, promoting productive activities that contribute to eradication of poverty, improving the livelihoods and empowerment of the poor and vulnerable groups, enhancing the welfare of women, children, persons with disabilities, and encouraging existing and new partnerships including public private partnerships to mobilize financing for sustainable development. </w:t>
      </w:r>
    </w:p>
    <w:p w:rsidR="006C1581" w:rsidRPr="009B1C91" w:rsidRDefault="006C1581" w:rsidP="00F653F8">
      <w:pPr>
        <w:spacing w:after="0" w:line="240" w:lineRule="auto"/>
        <w:jc w:val="both"/>
        <w:rPr>
          <w:rFonts w:asciiTheme="minorHAnsi" w:hAnsiTheme="minorHAnsi" w:cstheme="minorHAnsi"/>
        </w:rPr>
      </w:pPr>
    </w:p>
    <w:p w:rsidR="006C1581" w:rsidRPr="009B1C91" w:rsidRDefault="006C1581" w:rsidP="00F653F8">
      <w:pPr>
        <w:spacing w:after="0" w:line="240" w:lineRule="auto"/>
        <w:jc w:val="both"/>
        <w:rPr>
          <w:rFonts w:asciiTheme="minorHAnsi" w:hAnsiTheme="minorHAnsi" w:cstheme="minorHAnsi"/>
        </w:rPr>
      </w:pPr>
      <w:r w:rsidRPr="009B1C91">
        <w:rPr>
          <w:rFonts w:asciiTheme="minorHAnsi" w:hAnsiTheme="minorHAnsi" w:cstheme="minorHAnsi"/>
        </w:rPr>
        <w:t>One of the core elements of the green economy is the adoption of a policy of energy transition from non-renewables to renewable energy sources to mitigate GHG emissions. From a South and Southeast Asian regional perspective, Bangladesh’s per capita CO</w:t>
      </w:r>
      <w:r w:rsidRPr="009B1C91">
        <w:rPr>
          <w:rFonts w:asciiTheme="minorHAnsi" w:hAnsiTheme="minorHAnsi" w:cstheme="minorHAnsi"/>
          <w:vertAlign w:val="subscript"/>
        </w:rPr>
        <w:t>2</w:t>
      </w:r>
      <w:r w:rsidR="00DF4CF3" w:rsidRPr="009B1C91">
        <w:rPr>
          <w:rFonts w:asciiTheme="minorHAnsi" w:hAnsiTheme="minorHAnsi" w:cstheme="minorHAnsi"/>
        </w:rPr>
        <w:t xml:space="preserve"> emissions are relatively low (0.4 Mt per person/year [2010]</w:t>
      </w:r>
      <w:r w:rsidR="00016BDD" w:rsidRPr="009B1C91">
        <w:rPr>
          <w:rStyle w:val="FootnoteReference"/>
          <w:rFonts w:asciiTheme="minorHAnsi" w:hAnsiTheme="minorHAnsi" w:cstheme="minorHAnsi"/>
        </w:rPr>
        <w:footnoteReference w:id="27"/>
      </w:r>
      <w:r w:rsidR="00DF4CF3" w:rsidRPr="009B1C91">
        <w:rPr>
          <w:rFonts w:asciiTheme="minorHAnsi" w:hAnsiTheme="minorHAnsi" w:cstheme="minorHAnsi"/>
        </w:rPr>
        <w:t>)</w:t>
      </w:r>
      <w:r w:rsidRPr="009B1C91">
        <w:rPr>
          <w:rFonts w:asciiTheme="minorHAnsi" w:hAnsiTheme="minorHAnsi" w:cstheme="minorHAnsi"/>
        </w:rPr>
        <w:t>. However, Bangladesh is making headway towards reducing its CO</w:t>
      </w:r>
      <w:r w:rsidRPr="00FC31E4">
        <w:rPr>
          <w:rFonts w:asciiTheme="minorHAnsi" w:hAnsiTheme="minorHAnsi" w:cstheme="minorHAnsi"/>
          <w:vertAlign w:val="subscript"/>
        </w:rPr>
        <w:t>2</w:t>
      </w:r>
      <w:r w:rsidRPr="009B1C91">
        <w:rPr>
          <w:rFonts w:asciiTheme="minorHAnsi" w:hAnsiTheme="minorHAnsi" w:cstheme="minorHAnsi"/>
        </w:rPr>
        <w:t xml:space="preserve"> emissions through opting for energy efficiency and generation of energy from renewable sources such as solar power. Currently, about 3,000,000 solar home systems exist in rural areas, with 40,000 to 50,000systems being added on average every month. The biggest project supporting this initiative, the WB’s REREDII programme, started in 2012 with the overall expectation of delivering 550,000 SHS. Worldwide, this is one of the most successful private sector provided off-grid electrification efforts, and offers numerous interesting lessons that can be transferred to other developing countries. </w:t>
      </w:r>
    </w:p>
    <w:p w:rsidR="006C1581" w:rsidRPr="009B1C91" w:rsidRDefault="003B2586" w:rsidP="00F653F8">
      <w:pPr>
        <w:spacing w:after="0" w:line="240" w:lineRule="auto"/>
        <w:jc w:val="both"/>
        <w:rPr>
          <w:rFonts w:asciiTheme="minorHAnsi" w:hAnsiTheme="minorHAnsi" w:cstheme="minorHAnsi"/>
        </w:rPr>
      </w:pPr>
      <w:r w:rsidRPr="009B1C91">
        <w:rPr>
          <w:rFonts w:asciiTheme="minorHAnsi" w:hAnsiTheme="minorHAnsi" w:cstheme="minorHAnsi"/>
          <w:noProof/>
          <w:lang w:val="en-US" w:eastAsia="en-US"/>
        </w:rPr>
        <w:drawing>
          <wp:anchor distT="0" distB="0" distL="114300" distR="114300" simplePos="0" relativeHeight="251659264" behindDoc="1" locked="0" layoutInCell="1" allowOverlap="1" wp14:anchorId="45C2DD13" wp14:editId="5FA7F84B">
            <wp:simplePos x="0" y="0"/>
            <wp:positionH relativeFrom="column">
              <wp:posOffset>314325</wp:posOffset>
            </wp:positionH>
            <wp:positionV relativeFrom="paragraph">
              <wp:posOffset>147955</wp:posOffset>
            </wp:positionV>
            <wp:extent cx="4400550" cy="2000250"/>
            <wp:effectExtent l="19050" t="19050" r="19050" b="19050"/>
            <wp:wrapTight wrapText="bothSides">
              <wp:wrapPolygon edited="0">
                <wp:start x="-94" y="-206"/>
                <wp:lineTo x="-94" y="21806"/>
                <wp:lineTo x="21694" y="21806"/>
                <wp:lineTo x="21694" y="-206"/>
                <wp:lineTo x="-94" y="-206"/>
              </wp:wrapPolygon>
            </wp:wrapTight>
            <wp:docPr id="2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0"/>
                    <a:srcRect b="-66"/>
                    <a:stretch>
                      <a:fillRect/>
                    </a:stretch>
                  </pic:blipFill>
                  <pic:spPr bwMode="auto">
                    <a:xfrm>
                      <a:off x="0" y="0"/>
                      <a:ext cx="4400550" cy="2000250"/>
                    </a:xfrm>
                    <a:prstGeom prst="rect">
                      <a:avLst/>
                    </a:prstGeom>
                    <a:noFill/>
                    <a:ln w="19050">
                      <a:solidFill>
                        <a:srgbClr val="000000"/>
                      </a:solidFill>
                      <a:miter lim="800000"/>
                      <a:headEnd/>
                      <a:tailEnd/>
                    </a:ln>
                  </pic:spPr>
                </pic:pic>
              </a:graphicData>
            </a:graphic>
          </wp:anchor>
        </w:drawing>
      </w:r>
    </w:p>
    <w:p w:rsidR="006C1581" w:rsidRPr="009B1C91" w:rsidRDefault="006C1581" w:rsidP="00F653F8">
      <w:pPr>
        <w:spacing w:after="0" w:line="240" w:lineRule="auto"/>
        <w:jc w:val="both"/>
        <w:rPr>
          <w:rFonts w:asciiTheme="minorHAnsi" w:hAnsiTheme="minorHAnsi" w:cstheme="minorHAnsi"/>
        </w:rPr>
      </w:pPr>
    </w:p>
    <w:p w:rsidR="00B81D5F" w:rsidRPr="009B1C91" w:rsidRDefault="00B81D5F" w:rsidP="00F653F8">
      <w:pPr>
        <w:spacing w:after="0" w:line="240" w:lineRule="auto"/>
        <w:jc w:val="both"/>
        <w:rPr>
          <w:rFonts w:asciiTheme="minorHAnsi" w:hAnsiTheme="minorHAnsi" w:cstheme="minorHAnsi"/>
        </w:rPr>
      </w:pPr>
    </w:p>
    <w:p w:rsidR="006C1581" w:rsidRPr="009B1C91" w:rsidRDefault="006C1581" w:rsidP="006C1581">
      <w:pPr>
        <w:spacing w:after="0" w:line="240" w:lineRule="auto"/>
        <w:jc w:val="both"/>
        <w:rPr>
          <w:rFonts w:asciiTheme="minorHAnsi" w:hAnsiTheme="minorHAnsi" w:cstheme="minorHAnsi"/>
        </w:rPr>
      </w:pPr>
    </w:p>
    <w:p w:rsidR="006C1581" w:rsidRPr="009B1C91" w:rsidRDefault="006C1581" w:rsidP="006C1581">
      <w:pPr>
        <w:spacing w:after="0" w:line="240" w:lineRule="auto"/>
        <w:jc w:val="both"/>
        <w:rPr>
          <w:rFonts w:asciiTheme="minorHAnsi" w:hAnsiTheme="minorHAnsi" w:cstheme="minorHAnsi"/>
        </w:rPr>
      </w:pPr>
    </w:p>
    <w:p w:rsidR="006C1581" w:rsidRPr="009B1C91" w:rsidRDefault="006C1581" w:rsidP="006C1581">
      <w:pPr>
        <w:spacing w:after="0" w:line="240" w:lineRule="auto"/>
        <w:jc w:val="both"/>
        <w:rPr>
          <w:rFonts w:asciiTheme="minorHAnsi" w:hAnsiTheme="minorHAnsi" w:cstheme="minorHAnsi"/>
        </w:rPr>
      </w:pPr>
    </w:p>
    <w:p w:rsidR="006C1581" w:rsidRPr="009B1C91" w:rsidRDefault="006C1581" w:rsidP="006C1581">
      <w:pPr>
        <w:spacing w:after="0" w:line="240" w:lineRule="auto"/>
        <w:jc w:val="both"/>
        <w:rPr>
          <w:rFonts w:asciiTheme="minorHAnsi" w:hAnsiTheme="minorHAnsi" w:cstheme="minorHAnsi"/>
        </w:rPr>
      </w:pPr>
    </w:p>
    <w:p w:rsidR="006C1581" w:rsidRPr="009B1C91" w:rsidRDefault="006C1581" w:rsidP="006C1581">
      <w:pPr>
        <w:spacing w:after="0" w:line="240" w:lineRule="auto"/>
        <w:rPr>
          <w:rFonts w:asciiTheme="minorHAnsi" w:eastAsia="Arial Unicode MS" w:hAnsiTheme="minorHAnsi" w:cstheme="minorHAnsi"/>
          <w:sz w:val="20"/>
          <w:szCs w:val="20"/>
        </w:rPr>
      </w:pPr>
    </w:p>
    <w:p w:rsidR="00786A43" w:rsidRPr="009B1C91" w:rsidRDefault="00786A43" w:rsidP="003F3EA9">
      <w:pPr>
        <w:autoSpaceDE w:val="0"/>
        <w:autoSpaceDN w:val="0"/>
        <w:adjustRightInd w:val="0"/>
        <w:spacing w:after="0" w:line="240" w:lineRule="auto"/>
        <w:rPr>
          <w:rFonts w:asciiTheme="minorHAnsi" w:hAnsiTheme="minorHAnsi" w:cstheme="minorHAnsi"/>
        </w:rPr>
      </w:pPr>
    </w:p>
    <w:p w:rsidR="006020FA" w:rsidRPr="009B1C91" w:rsidRDefault="006020FA" w:rsidP="003F3EA9">
      <w:pPr>
        <w:autoSpaceDE w:val="0"/>
        <w:autoSpaceDN w:val="0"/>
        <w:adjustRightInd w:val="0"/>
        <w:spacing w:after="0" w:line="240" w:lineRule="auto"/>
        <w:rPr>
          <w:rFonts w:asciiTheme="minorHAnsi" w:hAnsiTheme="minorHAnsi" w:cstheme="minorHAnsi"/>
        </w:rPr>
      </w:pPr>
    </w:p>
    <w:p w:rsidR="006020FA" w:rsidRPr="009B1C91" w:rsidRDefault="006020FA" w:rsidP="003F3EA9">
      <w:pPr>
        <w:autoSpaceDE w:val="0"/>
        <w:autoSpaceDN w:val="0"/>
        <w:adjustRightInd w:val="0"/>
        <w:spacing w:after="0" w:line="240" w:lineRule="auto"/>
        <w:rPr>
          <w:rFonts w:asciiTheme="minorHAnsi" w:hAnsiTheme="minorHAnsi" w:cstheme="minorHAnsi"/>
        </w:rPr>
      </w:pPr>
    </w:p>
    <w:p w:rsidR="006020FA" w:rsidRPr="009B1C91" w:rsidRDefault="006020FA" w:rsidP="003F3EA9">
      <w:pPr>
        <w:autoSpaceDE w:val="0"/>
        <w:autoSpaceDN w:val="0"/>
        <w:adjustRightInd w:val="0"/>
        <w:spacing w:after="0" w:line="240" w:lineRule="auto"/>
        <w:rPr>
          <w:rFonts w:asciiTheme="minorHAnsi" w:hAnsiTheme="minorHAnsi" w:cstheme="minorHAnsi"/>
        </w:rPr>
      </w:pPr>
    </w:p>
    <w:p w:rsidR="006020FA" w:rsidRPr="009B1C91" w:rsidRDefault="006020FA" w:rsidP="003F3EA9">
      <w:pPr>
        <w:autoSpaceDE w:val="0"/>
        <w:autoSpaceDN w:val="0"/>
        <w:adjustRightInd w:val="0"/>
        <w:spacing w:after="0" w:line="240" w:lineRule="auto"/>
        <w:rPr>
          <w:rFonts w:asciiTheme="minorHAnsi" w:hAnsiTheme="minorHAnsi" w:cstheme="minorHAnsi"/>
        </w:rPr>
      </w:pPr>
    </w:p>
    <w:p w:rsidR="009833F7" w:rsidRPr="003C6762" w:rsidRDefault="009833F7" w:rsidP="003C6762">
      <w:pPr>
        <w:spacing w:after="0" w:line="240" w:lineRule="auto"/>
        <w:jc w:val="center"/>
        <w:rPr>
          <w:rFonts w:asciiTheme="minorHAnsi" w:hAnsiTheme="minorHAnsi" w:cstheme="minorHAnsi"/>
          <w:color w:val="000000"/>
          <w:lang w:val="en-US" w:eastAsia="en-US"/>
        </w:rPr>
      </w:pPr>
      <w:r w:rsidRPr="009B1C91">
        <w:rPr>
          <w:rFonts w:asciiTheme="minorHAnsi" w:hAnsiTheme="minorHAnsi" w:cstheme="minorHAnsi"/>
          <w:color w:val="000000"/>
          <w:lang w:val="en-US" w:eastAsia="en-US"/>
        </w:rPr>
        <w:t>Sources: - CO</w:t>
      </w:r>
      <w:r w:rsidRPr="009B1C91">
        <w:rPr>
          <w:rFonts w:asciiTheme="minorHAnsi" w:hAnsiTheme="minorHAnsi" w:cstheme="minorHAnsi"/>
          <w:color w:val="000000"/>
          <w:vertAlign w:val="subscript"/>
          <w:lang w:val="en-US" w:eastAsia="en-US"/>
        </w:rPr>
        <w:t>2</w:t>
      </w:r>
      <w:r w:rsidRPr="009B1C91">
        <w:rPr>
          <w:rFonts w:asciiTheme="minorHAnsi" w:hAnsiTheme="minorHAnsi" w:cstheme="minorHAnsi"/>
          <w:color w:val="000000"/>
          <w:lang w:val="en-US" w:eastAsia="en-US"/>
        </w:rPr>
        <w:t xml:space="preserve"> emissions: http://data.worldbank.org/indicator/EN.ATM.CO2E.PC</w:t>
      </w:r>
    </w:p>
    <w:p w:rsidR="004F4D65" w:rsidRPr="009B1C91" w:rsidRDefault="004F4D65" w:rsidP="003F3EA9">
      <w:pPr>
        <w:autoSpaceDE w:val="0"/>
        <w:autoSpaceDN w:val="0"/>
        <w:adjustRightInd w:val="0"/>
        <w:spacing w:after="0" w:line="240" w:lineRule="auto"/>
        <w:rPr>
          <w:rFonts w:asciiTheme="minorHAnsi" w:hAnsiTheme="minorHAnsi" w:cstheme="minorHAnsi"/>
        </w:rPr>
      </w:pPr>
    </w:p>
    <w:p w:rsidR="006020FA" w:rsidRPr="009B1C91" w:rsidRDefault="003B2586" w:rsidP="003F3EA9">
      <w:pPr>
        <w:autoSpaceDE w:val="0"/>
        <w:autoSpaceDN w:val="0"/>
        <w:adjustRightInd w:val="0"/>
        <w:spacing w:after="0" w:line="240" w:lineRule="auto"/>
        <w:rPr>
          <w:rFonts w:asciiTheme="minorHAnsi" w:hAnsiTheme="minorHAnsi" w:cstheme="minorHAnsi"/>
        </w:rPr>
      </w:pPr>
      <w:r w:rsidRPr="009B1C91">
        <w:rPr>
          <w:rFonts w:asciiTheme="minorHAnsi" w:hAnsiTheme="minorHAnsi" w:cstheme="minorHAnsi"/>
          <w:noProof/>
          <w:lang w:val="en-US" w:eastAsia="en-US"/>
        </w:rPr>
        <w:drawing>
          <wp:anchor distT="0" distB="0" distL="114300" distR="114300" simplePos="0" relativeHeight="251660288" behindDoc="1" locked="0" layoutInCell="1" allowOverlap="1" wp14:anchorId="49ED3FA5" wp14:editId="2DAF7416">
            <wp:simplePos x="0" y="0"/>
            <wp:positionH relativeFrom="column">
              <wp:posOffset>314325</wp:posOffset>
            </wp:positionH>
            <wp:positionV relativeFrom="paragraph">
              <wp:posOffset>5715</wp:posOffset>
            </wp:positionV>
            <wp:extent cx="4352925" cy="1962150"/>
            <wp:effectExtent l="19050" t="19050" r="28575" b="19050"/>
            <wp:wrapTight wrapText="bothSides">
              <wp:wrapPolygon edited="0">
                <wp:start x="-95" y="-210"/>
                <wp:lineTo x="-95" y="21810"/>
                <wp:lineTo x="21742" y="21810"/>
                <wp:lineTo x="21742" y="-210"/>
                <wp:lineTo x="-95" y="-210"/>
              </wp:wrapPolygon>
            </wp:wrapTight>
            <wp:docPr id="25"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1"/>
                    <a:srcRect b="-31"/>
                    <a:stretch>
                      <a:fillRect/>
                    </a:stretch>
                  </pic:blipFill>
                  <pic:spPr bwMode="auto">
                    <a:xfrm>
                      <a:off x="0" y="0"/>
                      <a:ext cx="4352925" cy="1962150"/>
                    </a:xfrm>
                    <a:prstGeom prst="rect">
                      <a:avLst/>
                    </a:prstGeom>
                    <a:noFill/>
                    <a:ln w="19050">
                      <a:solidFill>
                        <a:srgbClr val="000000"/>
                      </a:solidFill>
                      <a:miter lim="800000"/>
                      <a:headEnd/>
                      <a:tailEnd/>
                    </a:ln>
                  </pic:spPr>
                </pic:pic>
              </a:graphicData>
            </a:graphic>
          </wp:anchor>
        </w:drawing>
      </w:r>
    </w:p>
    <w:p w:rsidR="006020FA" w:rsidRPr="009B1C91" w:rsidRDefault="006020FA" w:rsidP="003F3EA9">
      <w:pPr>
        <w:autoSpaceDE w:val="0"/>
        <w:autoSpaceDN w:val="0"/>
        <w:adjustRightInd w:val="0"/>
        <w:spacing w:after="0" w:line="240" w:lineRule="auto"/>
        <w:rPr>
          <w:rFonts w:asciiTheme="minorHAnsi" w:hAnsiTheme="minorHAnsi" w:cstheme="minorHAnsi"/>
        </w:rPr>
      </w:pPr>
    </w:p>
    <w:p w:rsidR="006020FA" w:rsidRPr="009B1C91" w:rsidRDefault="006020FA" w:rsidP="003F3EA9">
      <w:pPr>
        <w:autoSpaceDE w:val="0"/>
        <w:autoSpaceDN w:val="0"/>
        <w:adjustRightInd w:val="0"/>
        <w:spacing w:after="0" w:line="240" w:lineRule="auto"/>
        <w:rPr>
          <w:rFonts w:asciiTheme="minorHAnsi" w:hAnsiTheme="minorHAnsi" w:cstheme="minorHAnsi"/>
        </w:rPr>
      </w:pPr>
    </w:p>
    <w:p w:rsidR="006020FA" w:rsidRPr="009B1C91" w:rsidRDefault="006020FA" w:rsidP="003F3EA9">
      <w:pPr>
        <w:autoSpaceDE w:val="0"/>
        <w:autoSpaceDN w:val="0"/>
        <w:adjustRightInd w:val="0"/>
        <w:spacing w:after="0" w:line="240" w:lineRule="auto"/>
        <w:rPr>
          <w:rFonts w:asciiTheme="minorHAnsi" w:hAnsiTheme="minorHAnsi" w:cstheme="minorHAnsi"/>
        </w:rPr>
      </w:pPr>
    </w:p>
    <w:p w:rsidR="006020FA" w:rsidRPr="009B1C91" w:rsidRDefault="006020FA" w:rsidP="003F3EA9">
      <w:pPr>
        <w:autoSpaceDE w:val="0"/>
        <w:autoSpaceDN w:val="0"/>
        <w:adjustRightInd w:val="0"/>
        <w:spacing w:after="0" w:line="240" w:lineRule="auto"/>
        <w:rPr>
          <w:rFonts w:asciiTheme="minorHAnsi" w:hAnsiTheme="minorHAnsi" w:cstheme="minorHAnsi"/>
        </w:rPr>
      </w:pPr>
    </w:p>
    <w:p w:rsidR="006020FA" w:rsidRPr="009B1C91" w:rsidRDefault="006020FA" w:rsidP="003F3EA9">
      <w:pPr>
        <w:autoSpaceDE w:val="0"/>
        <w:autoSpaceDN w:val="0"/>
        <w:adjustRightInd w:val="0"/>
        <w:spacing w:after="0" w:line="240" w:lineRule="auto"/>
        <w:rPr>
          <w:rFonts w:asciiTheme="minorHAnsi" w:hAnsiTheme="minorHAnsi" w:cstheme="minorHAnsi"/>
        </w:rPr>
      </w:pPr>
    </w:p>
    <w:p w:rsidR="006020FA" w:rsidRPr="009B1C91" w:rsidRDefault="006020FA" w:rsidP="003F3EA9">
      <w:pPr>
        <w:autoSpaceDE w:val="0"/>
        <w:autoSpaceDN w:val="0"/>
        <w:adjustRightInd w:val="0"/>
        <w:spacing w:after="0" w:line="240" w:lineRule="auto"/>
        <w:rPr>
          <w:rFonts w:asciiTheme="minorHAnsi" w:hAnsiTheme="minorHAnsi" w:cstheme="minorHAnsi"/>
        </w:rPr>
      </w:pPr>
    </w:p>
    <w:p w:rsidR="00786A43" w:rsidRPr="009B1C91" w:rsidRDefault="00786A43" w:rsidP="003F3EA9">
      <w:pPr>
        <w:autoSpaceDE w:val="0"/>
        <w:autoSpaceDN w:val="0"/>
        <w:adjustRightInd w:val="0"/>
        <w:spacing w:after="0" w:line="240" w:lineRule="auto"/>
        <w:rPr>
          <w:rFonts w:asciiTheme="minorHAnsi" w:hAnsiTheme="minorHAnsi" w:cstheme="minorHAnsi"/>
        </w:rPr>
      </w:pPr>
    </w:p>
    <w:p w:rsidR="00F653F8" w:rsidRPr="009B1C91" w:rsidRDefault="00F653F8" w:rsidP="006C1581">
      <w:pPr>
        <w:spacing w:after="0" w:line="240" w:lineRule="auto"/>
        <w:rPr>
          <w:rFonts w:asciiTheme="minorHAnsi" w:hAnsiTheme="minorHAnsi" w:cstheme="minorHAnsi"/>
        </w:rPr>
      </w:pPr>
    </w:p>
    <w:p w:rsidR="004F4D65" w:rsidRPr="009B1C91" w:rsidRDefault="004F4D65" w:rsidP="006C1581">
      <w:pPr>
        <w:spacing w:after="0" w:line="240" w:lineRule="auto"/>
        <w:rPr>
          <w:rFonts w:asciiTheme="minorHAnsi" w:hAnsiTheme="minorHAnsi" w:cstheme="minorHAnsi"/>
        </w:rPr>
      </w:pPr>
    </w:p>
    <w:p w:rsidR="004F4D65" w:rsidRPr="009B1C91" w:rsidRDefault="004F4D65" w:rsidP="006C1581">
      <w:pPr>
        <w:spacing w:after="0" w:line="240" w:lineRule="auto"/>
        <w:rPr>
          <w:rFonts w:asciiTheme="minorHAnsi" w:hAnsiTheme="minorHAnsi" w:cstheme="minorHAnsi"/>
        </w:rPr>
      </w:pPr>
    </w:p>
    <w:p w:rsidR="004F4D65" w:rsidRPr="009B1C91" w:rsidRDefault="004F4D65" w:rsidP="006C1581">
      <w:pPr>
        <w:spacing w:after="0" w:line="240" w:lineRule="auto"/>
        <w:rPr>
          <w:rFonts w:asciiTheme="minorHAnsi" w:hAnsiTheme="minorHAnsi" w:cstheme="minorHAnsi"/>
        </w:rPr>
      </w:pPr>
    </w:p>
    <w:p w:rsidR="0000143A" w:rsidRPr="009B1C91" w:rsidRDefault="009833F7" w:rsidP="003C6762">
      <w:pPr>
        <w:spacing w:after="0" w:line="240" w:lineRule="auto"/>
        <w:jc w:val="center"/>
        <w:rPr>
          <w:rFonts w:asciiTheme="minorHAnsi" w:hAnsiTheme="minorHAnsi" w:cstheme="minorHAnsi"/>
          <w:color w:val="000000"/>
          <w:lang w:val="en-US" w:eastAsia="en-US"/>
        </w:rPr>
      </w:pPr>
      <w:r w:rsidRPr="009B1C91">
        <w:rPr>
          <w:rFonts w:asciiTheme="minorHAnsi" w:hAnsiTheme="minorHAnsi" w:cstheme="minorHAnsi"/>
          <w:color w:val="000000"/>
          <w:lang w:val="en-US" w:eastAsia="en-US"/>
        </w:rPr>
        <w:t>Sources: - CO</w:t>
      </w:r>
      <w:r w:rsidRPr="009B1C91">
        <w:rPr>
          <w:rFonts w:asciiTheme="minorHAnsi" w:hAnsiTheme="minorHAnsi" w:cstheme="minorHAnsi"/>
          <w:color w:val="000000"/>
          <w:vertAlign w:val="subscript"/>
          <w:lang w:val="en-US" w:eastAsia="en-US"/>
        </w:rPr>
        <w:t>2</w:t>
      </w:r>
      <w:r w:rsidRPr="009B1C91">
        <w:rPr>
          <w:rFonts w:asciiTheme="minorHAnsi" w:hAnsiTheme="minorHAnsi" w:cstheme="minorHAnsi"/>
          <w:color w:val="000000"/>
          <w:lang w:val="en-US" w:eastAsia="en-US"/>
        </w:rPr>
        <w:t xml:space="preserve"> emissions: </w:t>
      </w:r>
      <w:r w:rsidR="0000143A" w:rsidRPr="009B1C91">
        <w:rPr>
          <w:rFonts w:asciiTheme="minorHAnsi" w:hAnsiTheme="minorHAnsi" w:cstheme="minorHAnsi"/>
          <w:color w:val="000000"/>
          <w:lang w:val="en-US" w:eastAsia="en-US"/>
        </w:rPr>
        <w:t>http://data.worldbank.org/indicator/EN.ATM.CO2E.PC</w:t>
      </w:r>
    </w:p>
    <w:p w:rsidR="003C6762" w:rsidRDefault="003C6762" w:rsidP="006C1581">
      <w:pPr>
        <w:spacing w:after="0" w:line="240" w:lineRule="auto"/>
        <w:rPr>
          <w:rFonts w:asciiTheme="minorHAnsi" w:hAnsiTheme="minorHAnsi" w:cstheme="minorHAnsi"/>
          <w:b/>
          <w:bCs/>
        </w:rPr>
      </w:pPr>
    </w:p>
    <w:p w:rsidR="006C1581" w:rsidRPr="009B1C91" w:rsidRDefault="006C1581" w:rsidP="006C1581">
      <w:pPr>
        <w:spacing w:after="0" w:line="240" w:lineRule="auto"/>
        <w:rPr>
          <w:rFonts w:asciiTheme="minorHAnsi" w:hAnsiTheme="minorHAnsi" w:cstheme="minorHAnsi"/>
          <w:color w:val="000000"/>
          <w:lang w:val="en-US" w:eastAsia="en-US"/>
        </w:rPr>
      </w:pPr>
      <w:r w:rsidRPr="009B1C91">
        <w:rPr>
          <w:rFonts w:asciiTheme="minorHAnsi" w:hAnsiTheme="minorHAnsi" w:cstheme="minorHAnsi"/>
          <w:b/>
          <w:bCs/>
        </w:rPr>
        <w:lastRenderedPageBreak/>
        <w:t>SECTION 3</w:t>
      </w:r>
    </w:p>
    <w:p w:rsidR="006C1581" w:rsidRPr="009B1C91" w:rsidRDefault="006C1581" w:rsidP="006C1581">
      <w:pPr>
        <w:spacing w:after="0" w:line="240" w:lineRule="auto"/>
        <w:rPr>
          <w:rFonts w:asciiTheme="minorHAnsi" w:hAnsiTheme="minorHAnsi" w:cstheme="minorHAnsi"/>
          <w:b/>
          <w:bCs/>
        </w:rPr>
      </w:pPr>
    </w:p>
    <w:p w:rsidR="006C1581" w:rsidRPr="009B1C91" w:rsidRDefault="006C1581" w:rsidP="006C1581">
      <w:pPr>
        <w:spacing w:after="0" w:line="240" w:lineRule="auto"/>
        <w:rPr>
          <w:rFonts w:asciiTheme="minorHAnsi" w:hAnsiTheme="minorHAnsi" w:cstheme="minorHAnsi"/>
          <w:b/>
          <w:bCs/>
          <w:sz w:val="44"/>
          <w:szCs w:val="44"/>
        </w:rPr>
      </w:pPr>
      <w:r w:rsidRPr="009B1C91">
        <w:rPr>
          <w:rFonts w:asciiTheme="minorHAnsi" w:hAnsiTheme="minorHAnsi" w:cstheme="minorHAnsi"/>
          <w:b/>
          <w:bCs/>
          <w:sz w:val="44"/>
          <w:szCs w:val="44"/>
        </w:rPr>
        <w:t>UNDP RESPONSES AND STRATEGIES</w:t>
      </w:r>
    </w:p>
    <w:p w:rsidR="006C1581" w:rsidRPr="009B1C91" w:rsidRDefault="006C1581" w:rsidP="006C1581">
      <w:pPr>
        <w:spacing w:after="0" w:line="240" w:lineRule="auto"/>
        <w:rPr>
          <w:rFonts w:asciiTheme="minorHAnsi" w:hAnsiTheme="minorHAnsi" w:cstheme="minorHAnsi"/>
          <w:b/>
          <w:bCs/>
        </w:rPr>
      </w:pPr>
    </w:p>
    <w:p w:rsidR="006C1581" w:rsidRPr="009B1C91" w:rsidRDefault="006C1581" w:rsidP="006C1581">
      <w:pPr>
        <w:spacing w:after="0" w:line="240" w:lineRule="auto"/>
        <w:rPr>
          <w:rFonts w:asciiTheme="minorHAnsi" w:eastAsia="Trebuchet MS" w:hAnsiTheme="minorHAnsi" w:cstheme="minorHAnsi"/>
          <w:b/>
          <w:bCs/>
        </w:rPr>
      </w:pPr>
      <w:r w:rsidRPr="009B1C91">
        <w:rPr>
          <w:rFonts w:asciiTheme="minorHAnsi" w:hAnsiTheme="minorHAnsi" w:cstheme="minorHAnsi"/>
          <w:b/>
          <w:bCs/>
        </w:rPr>
        <w:t>3.1 THE UNDP COUNTRY PROGRAMME FOR BANGLADESH 2012-2016</w:t>
      </w:r>
    </w:p>
    <w:p w:rsidR="006C1581" w:rsidRPr="009B1C91" w:rsidRDefault="006C1581" w:rsidP="006C1581">
      <w:pPr>
        <w:spacing w:after="0" w:line="240" w:lineRule="auto"/>
        <w:ind w:left="360"/>
        <w:rPr>
          <w:rFonts w:asciiTheme="minorHAnsi" w:hAnsiTheme="minorHAnsi" w:cstheme="minorHAnsi"/>
        </w:rPr>
      </w:pPr>
    </w:p>
    <w:p w:rsidR="006C1581" w:rsidRPr="009B1C91" w:rsidRDefault="006C1581" w:rsidP="006C1581">
      <w:pPr>
        <w:spacing w:after="0" w:line="240" w:lineRule="auto"/>
        <w:jc w:val="both"/>
        <w:rPr>
          <w:rFonts w:asciiTheme="minorHAnsi" w:hAnsiTheme="minorHAnsi" w:cstheme="minorHAnsi"/>
        </w:rPr>
      </w:pPr>
      <w:r w:rsidRPr="009B1C91">
        <w:rPr>
          <w:rFonts w:asciiTheme="minorHAnsi" w:hAnsiTheme="minorHAnsi" w:cstheme="minorHAnsi"/>
        </w:rPr>
        <w:t>The partnership between the United Nations and Bangladesh dates back to the country’s independence in 1971; since then, UNDP has been supporting Bangladesh’s national development efforts as a trusting and dependable partner. In the past decade, UNDP’s strategic alignments with the country priorities and its positive contributions to the achievement of transformational changes have been noted in several quarters</w:t>
      </w:r>
      <w:r w:rsidR="001E6740" w:rsidRPr="009B1C91">
        <w:rPr>
          <w:rStyle w:val="FootnoteReference"/>
          <w:rFonts w:asciiTheme="minorHAnsi" w:hAnsiTheme="minorHAnsi" w:cstheme="minorHAnsi"/>
        </w:rPr>
        <w:footnoteReference w:id="28"/>
      </w:r>
      <w:r w:rsidR="001E6740" w:rsidRPr="009B1C91">
        <w:rPr>
          <w:rFonts w:asciiTheme="minorHAnsi" w:hAnsiTheme="minorHAnsi" w:cstheme="minorHAnsi"/>
        </w:rPr>
        <w:t xml:space="preserve">. One </w:t>
      </w:r>
      <w:r w:rsidRPr="009B1C91">
        <w:rPr>
          <w:rFonts w:asciiTheme="minorHAnsi" w:hAnsiTheme="minorHAnsi" w:cstheme="minorHAnsi"/>
        </w:rPr>
        <w:t>such areas where transformational changes occurred is in disaster management, “where [UNDP] policy advice on the national disaster framework and support for development of early warning systems resulted in a paradigm shift from emergency response to risk reduction, and the mainstreaming of disaster risk reduction in all line agencies”</w:t>
      </w:r>
      <w:r w:rsidR="001E6740" w:rsidRPr="009B1C91">
        <w:rPr>
          <w:rStyle w:val="FootnoteReference"/>
          <w:rFonts w:asciiTheme="minorHAnsi" w:hAnsiTheme="minorHAnsi" w:cstheme="minorHAnsi"/>
        </w:rPr>
        <w:footnoteReference w:id="29"/>
      </w:r>
      <w:r w:rsidRPr="009B1C91">
        <w:rPr>
          <w:rFonts w:asciiTheme="minorHAnsi" w:hAnsiTheme="minorHAnsi" w:cstheme="minorHAnsi"/>
        </w:rPr>
        <w:t xml:space="preserve">. </w:t>
      </w:r>
    </w:p>
    <w:p w:rsidR="006C1581" w:rsidRPr="009B1C91" w:rsidRDefault="006C1581" w:rsidP="006C1581">
      <w:pPr>
        <w:spacing w:after="0" w:line="240" w:lineRule="auto"/>
        <w:jc w:val="both"/>
        <w:rPr>
          <w:rFonts w:asciiTheme="minorHAnsi" w:hAnsiTheme="minorHAnsi" w:cstheme="minorHAnsi"/>
        </w:rPr>
      </w:pPr>
    </w:p>
    <w:p w:rsidR="006C1581" w:rsidRPr="009B1C91" w:rsidRDefault="006C1581" w:rsidP="006C1581">
      <w:pPr>
        <w:spacing w:after="0" w:line="240" w:lineRule="auto"/>
        <w:jc w:val="both"/>
        <w:rPr>
          <w:rFonts w:asciiTheme="minorHAnsi" w:hAnsiTheme="minorHAnsi" w:cstheme="minorHAnsi"/>
        </w:rPr>
      </w:pPr>
      <w:r w:rsidRPr="009B1C91">
        <w:rPr>
          <w:rFonts w:asciiTheme="minorHAnsi" w:hAnsiTheme="minorHAnsi" w:cstheme="minorHAnsi"/>
        </w:rPr>
        <w:t xml:space="preserve">Building on this recognition, the UNDP Bangladesh </w:t>
      </w:r>
      <w:r w:rsidRPr="009B1C91">
        <w:rPr>
          <w:rFonts w:asciiTheme="minorHAnsi" w:hAnsiTheme="minorHAnsi" w:cstheme="minorHAnsi"/>
          <w:b/>
          <w:bCs/>
        </w:rPr>
        <w:t xml:space="preserve">Country Programme </w:t>
      </w:r>
      <w:r w:rsidRPr="009B1C91">
        <w:rPr>
          <w:rFonts w:asciiTheme="minorHAnsi" w:hAnsiTheme="minorHAnsi" w:cstheme="minorHAnsi"/>
        </w:rPr>
        <w:t>(CP)</w:t>
      </w:r>
      <w:r w:rsidR="00EC2B17" w:rsidRPr="009B1C91">
        <w:rPr>
          <w:rStyle w:val="FootnoteReference"/>
          <w:rFonts w:asciiTheme="minorHAnsi" w:hAnsiTheme="minorHAnsi" w:cstheme="minorHAnsi"/>
        </w:rPr>
        <w:footnoteReference w:id="30"/>
      </w:r>
      <w:r w:rsidRPr="009B1C91">
        <w:rPr>
          <w:rFonts w:asciiTheme="minorHAnsi" w:hAnsiTheme="minorHAnsi" w:cstheme="minorHAnsi"/>
        </w:rPr>
        <w:t xml:space="preserve">2012-2016 was formulated to respond to the Government of Bangladesh’s development priorities and vision of attaining the status of a middle-income country by 2021, as stated in the Outline Perspective Plan 2010-2021 and ongoing Sixth FYP (2011-2015). UNDP developed its programme within the framework of the UNDAF, linking its outcomes with the ones of UNDAF </w:t>
      </w:r>
      <w:r w:rsidR="00C63CB7">
        <w:rPr>
          <w:rFonts w:asciiTheme="minorHAnsi" w:hAnsiTheme="minorHAnsi" w:cstheme="minorHAnsi"/>
          <w:u w:color="FF0000"/>
        </w:rPr>
        <w:t>(Annex</w:t>
      </w:r>
      <w:r w:rsidR="00E84BAD">
        <w:rPr>
          <w:rFonts w:asciiTheme="minorHAnsi" w:hAnsiTheme="minorHAnsi" w:cstheme="minorHAnsi"/>
          <w:u w:color="FF0000"/>
        </w:rPr>
        <w:t xml:space="preserve"> </w:t>
      </w:r>
      <w:r w:rsidR="00C63CB7">
        <w:rPr>
          <w:rFonts w:asciiTheme="minorHAnsi" w:hAnsiTheme="minorHAnsi" w:cstheme="minorHAnsi"/>
          <w:u w:color="FF0000"/>
        </w:rPr>
        <w:t>VIII</w:t>
      </w:r>
      <w:r w:rsidRPr="009B1C91">
        <w:rPr>
          <w:rFonts w:asciiTheme="minorHAnsi" w:hAnsiTheme="minorHAnsi" w:cstheme="minorHAnsi"/>
          <w:u w:color="FF0000"/>
        </w:rPr>
        <w:t>).</w:t>
      </w:r>
      <w:r w:rsidRPr="009B1C91">
        <w:rPr>
          <w:rFonts w:asciiTheme="minorHAnsi" w:hAnsiTheme="minorHAnsi" w:cstheme="minorHAnsi"/>
        </w:rPr>
        <w:t xml:space="preserve"> Three key areas for intervention were identified in the CPD 2012-16: i)  democratic governance and human rights, ii) pro-poor growth with equality, and iii) climate change, the environment, disaster risk reduction and response (CCED). Country Programme also included gender equality and women’s advancement as priority thematic areas, revealing UNDP Bangladesh’s strong commitment to expanding the scale of adaptation and mitigation efforts conforming to Bangladesh’s Climate Change Strategy and Action Plan</w:t>
      </w:r>
      <w:r w:rsidR="000E59F6" w:rsidRPr="009B1C91">
        <w:rPr>
          <w:rFonts w:asciiTheme="minorHAnsi" w:hAnsiTheme="minorHAnsi" w:cstheme="minorHAnsi"/>
        </w:rPr>
        <w:t xml:space="preserve"> (BCCSAP)</w:t>
      </w:r>
      <w:r w:rsidRPr="009B1C91">
        <w:rPr>
          <w:rFonts w:asciiTheme="minorHAnsi" w:hAnsiTheme="minorHAnsi" w:cstheme="minorHAnsi"/>
        </w:rPr>
        <w:t xml:space="preserve">. </w:t>
      </w:r>
    </w:p>
    <w:p w:rsidR="006C1581" w:rsidRPr="009B1C91" w:rsidRDefault="006C1581" w:rsidP="006C1581">
      <w:pPr>
        <w:spacing w:after="0" w:line="240" w:lineRule="auto"/>
        <w:jc w:val="both"/>
        <w:rPr>
          <w:rFonts w:asciiTheme="minorHAnsi" w:hAnsiTheme="minorHAnsi" w:cstheme="minorHAnsi"/>
        </w:rPr>
      </w:pPr>
    </w:p>
    <w:p w:rsidR="006C1581" w:rsidRPr="009B1C91" w:rsidRDefault="006C1581" w:rsidP="006C1581">
      <w:pPr>
        <w:spacing w:after="0" w:line="240" w:lineRule="auto"/>
        <w:jc w:val="both"/>
        <w:rPr>
          <w:rFonts w:asciiTheme="minorHAnsi" w:hAnsiTheme="minorHAnsi" w:cstheme="minorHAnsi"/>
        </w:rPr>
      </w:pPr>
      <w:r w:rsidRPr="009B1C91">
        <w:rPr>
          <w:rFonts w:asciiTheme="minorHAnsi" w:hAnsiTheme="minorHAnsi" w:cstheme="minorHAnsi"/>
        </w:rPr>
        <w:t>Because UNDP programmes are usually designed to remain flexible to respond to emerging challenges, changes in the context of country demand, and global changes, the interventions evolved over several years. As noted in Section 1, the CPD 2012-16 formulated two specific outcomes (Outcome 3.1 and Outcome 3.2) in the CCED areas. The programme to achieve these UNDAF/CPD outcomes is centered on the CCED Cluster of UNDP Bangladesh, and for the period being assessed (2012-14) comprises 28initiatives of which 8 are ongoing (6 of which were examined in-depth by the evaluation team) (</w:t>
      </w:r>
      <w:r w:rsidR="009B301C">
        <w:rPr>
          <w:rFonts w:asciiTheme="minorHAnsi" w:hAnsiTheme="minorHAnsi" w:cstheme="minorHAnsi"/>
        </w:rPr>
        <w:t>Annex I</w:t>
      </w:r>
      <w:r w:rsidRPr="009B1C91">
        <w:rPr>
          <w:rFonts w:asciiTheme="minorHAnsi" w:hAnsiTheme="minorHAnsi" w:cstheme="minorHAnsi"/>
        </w:rPr>
        <w:t>). Although only 6 initiatives were undertaken under outcome 3.1 relative to 22 initiatives under outcome 3.2, due to the significance in the country context more than 80% of the budget was allocated to projects under Outcome 3.1. The overall mandate of the CCED Cluster encompasses a wide range of thematic areas including enhancing climate change adaptation capacity among vulnerable populations, reduction of disaster risk and development of an early recovery mechanism, mainstreaming the poverty-environment-climate nexus, implementing innovative solutions for meeting challenges posed by climate change, increasing variability and threats to natural resources from degrading biodiversity, environmental pollution and deteriorating environmental health, designing and implementing renewable and efficient energy, and related advocacy.</w:t>
      </w:r>
    </w:p>
    <w:p w:rsidR="006C1581" w:rsidRPr="009B1C91" w:rsidRDefault="006C1581" w:rsidP="003B5AA8">
      <w:pPr>
        <w:spacing w:after="0" w:line="240" w:lineRule="auto"/>
        <w:rPr>
          <w:rFonts w:asciiTheme="minorHAnsi" w:hAnsiTheme="minorHAnsi" w:cstheme="minorHAnsi"/>
          <w:b/>
          <w:bCs/>
        </w:rPr>
      </w:pPr>
    </w:p>
    <w:p w:rsidR="006C1581" w:rsidRPr="009B1C91" w:rsidRDefault="006C1581" w:rsidP="006C1581">
      <w:pPr>
        <w:spacing w:after="0" w:line="240" w:lineRule="auto"/>
        <w:rPr>
          <w:rFonts w:asciiTheme="minorHAnsi" w:hAnsiTheme="minorHAnsi" w:cstheme="minorHAnsi"/>
          <w:b/>
          <w:bCs/>
        </w:rPr>
      </w:pPr>
      <w:r w:rsidRPr="009B1C91">
        <w:rPr>
          <w:rFonts w:asciiTheme="minorHAnsi" w:hAnsiTheme="minorHAnsi" w:cstheme="minorHAnsi"/>
          <w:b/>
          <w:bCs/>
        </w:rPr>
        <w:t>3.2 CURRENT UNDP CLIMATE CHANGE, ENVIRONMENT, DISASTER RISK REDUCTION AND REPONSE PROGRAMMES</w:t>
      </w:r>
    </w:p>
    <w:p w:rsidR="006C1581" w:rsidRPr="009B1C91" w:rsidRDefault="006C1581" w:rsidP="006C1581">
      <w:pPr>
        <w:spacing w:after="0" w:line="240" w:lineRule="auto"/>
        <w:ind w:left="360"/>
        <w:rPr>
          <w:rFonts w:asciiTheme="minorHAnsi" w:eastAsia="Cambria" w:hAnsiTheme="minorHAnsi" w:cstheme="minorHAnsi"/>
        </w:rPr>
      </w:pPr>
    </w:p>
    <w:p w:rsidR="006C1581" w:rsidRPr="009B1C91" w:rsidRDefault="006C1581" w:rsidP="006C1581">
      <w:pPr>
        <w:spacing w:after="0" w:line="240" w:lineRule="auto"/>
        <w:jc w:val="both"/>
        <w:rPr>
          <w:rFonts w:asciiTheme="minorHAnsi" w:eastAsia="Cambria" w:hAnsiTheme="minorHAnsi" w:cstheme="minorHAnsi"/>
        </w:rPr>
      </w:pPr>
      <w:r w:rsidRPr="009B1C91">
        <w:rPr>
          <w:rFonts w:asciiTheme="minorHAnsi" w:eastAsia="Cambria" w:hAnsiTheme="minorHAnsi" w:cstheme="minorHAnsi"/>
        </w:rPr>
        <w:t>The current CCED programmes are generally aligned with UNDAF/CPD 2012-2016 outcomes. The assessment of the UNDP strategies and relevant interventions is therefore presented below following the CPD Outcome structure.</w:t>
      </w:r>
    </w:p>
    <w:p w:rsidR="006C1581" w:rsidRPr="009B1C91" w:rsidRDefault="006C1581" w:rsidP="006C1581">
      <w:pPr>
        <w:spacing w:after="0" w:line="240" w:lineRule="auto"/>
        <w:rPr>
          <w:rFonts w:asciiTheme="minorHAnsi" w:hAnsiTheme="minorHAnsi" w:cstheme="minorHAnsi"/>
          <w:b/>
          <w:bCs/>
        </w:rPr>
      </w:pPr>
    </w:p>
    <w:p w:rsidR="006C1581" w:rsidRPr="009B1C91" w:rsidRDefault="006C1581" w:rsidP="006C1581">
      <w:pPr>
        <w:spacing w:after="0" w:line="240" w:lineRule="auto"/>
        <w:rPr>
          <w:rFonts w:asciiTheme="minorHAnsi" w:hAnsiTheme="minorHAnsi" w:cstheme="minorHAnsi"/>
          <w:b/>
          <w:bCs/>
          <w:i/>
          <w:iCs/>
        </w:rPr>
      </w:pPr>
      <w:r w:rsidRPr="009B1C91">
        <w:rPr>
          <w:rFonts w:asciiTheme="minorHAnsi" w:hAnsiTheme="minorHAnsi" w:cstheme="minorHAnsi"/>
          <w:b/>
          <w:bCs/>
          <w:i/>
          <w:iCs/>
        </w:rPr>
        <w:t>3.2.1 Climate Change, Environment, and Natural Disasters</w:t>
      </w:r>
    </w:p>
    <w:p w:rsidR="006C1581" w:rsidRPr="009B1C91" w:rsidRDefault="006C1581" w:rsidP="006C1581">
      <w:pPr>
        <w:spacing w:after="0" w:line="240" w:lineRule="auto"/>
        <w:rPr>
          <w:rFonts w:asciiTheme="minorHAnsi" w:hAnsiTheme="minorHAnsi" w:cstheme="minorHAnsi"/>
          <w:b/>
          <w:bCs/>
        </w:rPr>
      </w:pPr>
    </w:p>
    <w:p w:rsidR="006C1581" w:rsidRPr="009B1C91" w:rsidRDefault="006C1581" w:rsidP="006C1581">
      <w:pPr>
        <w:spacing w:after="0" w:line="240" w:lineRule="auto"/>
        <w:rPr>
          <w:rFonts w:asciiTheme="minorHAnsi" w:hAnsiTheme="minorHAnsi" w:cstheme="minorHAnsi"/>
          <w:b/>
          <w:bCs/>
        </w:rPr>
      </w:pPr>
      <w:r w:rsidRPr="009B1C91">
        <w:rPr>
          <w:rFonts w:asciiTheme="minorHAnsi" w:hAnsiTheme="minorHAnsi" w:cstheme="minorHAnsi"/>
          <w:b/>
          <w:bCs/>
        </w:rPr>
        <w:t xml:space="preserve">UNDP strategy </w:t>
      </w:r>
    </w:p>
    <w:p w:rsidR="006C1581" w:rsidRPr="009B1C91" w:rsidRDefault="006C1581" w:rsidP="006C1581">
      <w:pPr>
        <w:spacing w:after="0" w:line="240" w:lineRule="auto"/>
        <w:rPr>
          <w:rFonts w:asciiTheme="minorHAnsi" w:hAnsiTheme="minorHAnsi" w:cstheme="minorHAnsi"/>
        </w:rPr>
      </w:pPr>
    </w:p>
    <w:p w:rsidR="006C1581" w:rsidRPr="009B1C91" w:rsidRDefault="006C1581" w:rsidP="00F653F8">
      <w:pPr>
        <w:spacing w:after="0" w:line="240" w:lineRule="auto"/>
        <w:jc w:val="both"/>
        <w:rPr>
          <w:rFonts w:asciiTheme="minorHAnsi" w:hAnsiTheme="minorHAnsi" w:cstheme="minorHAnsi"/>
        </w:rPr>
      </w:pPr>
      <w:r w:rsidRPr="009B1C91">
        <w:rPr>
          <w:rFonts w:asciiTheme="minorHAnsi" w:hAnsiTheme="minorHAnsi" w:cstheme="minorHAnsi"/>
        </w:rPr>
        <w:t xml:space="preserve">Recognizing that climate change, environmental protection and disaster risk reduction are critical areas of concern in the CPD, 2012-16, UNDP’s vision was to expand on wider adaptation and mitigation efforts that are </w:t>
      </w:r>
      <w:r w:rsidR="00894D25" w:rsidRPr="009B1C91">
        <w:rPr>
          <w:rFonts w:asciiTheme="minorHAnsi" w:hAnsiTheme="minorHAnsi" w:cstheme="minorHAnsi"/>
        </w:rPr>
        <w:t xml:space="preserve">also stipulated in the BCCSAP. </w:t>
      </w:r>
      <w:r w:rsidRPr="009B1C91">
        <w:rPr>
          <w:rFonts w:asciiTheme="minorHAnsi" w:hAnsiTheme="minorHAnsi" w:cstheme="minorHAnsi"/>
        </w:rPr>
        <w:t>Through the broader development lens, UNDP emphasized enhancing resilience of vulnerable communities and institutions to adapt to climate and disaster risks, and buildin</w:t>
      </w:r>
      <w:r w:rsidR="00894D25" w:rsidRPr="009B1C91">
        <w:rPr>
          <w:rFonts w:asciiTheme="minorHAnsi" w:hAnsiTheme="minorHAnsi" w:cstheme="minorHAnsi"/>
        </w:rPr>
        <w:t xml:space="preserve">g further capacity of the GoB. </w:t>
      </w:r>
      <w:r w:rsidRPr="009B1C91">
        <w:rPr>
          <w:rFonts w:asciiTheme="minorHAnsi" w:hAnsiTheme="minorHAnsi" w:cstheme="minorHAnsi"/>
        </w:rPr>
        <w:t>The focused areas were to mainstream the climate-environment-poverty nexus into policy and planning frameworks across ministries, while strengthening community-based risk reduction and adaptation capacities. While changes in the frequency and intensity of various types of natural disasters, such as floods, cyclones and pests is often causally linked with climate change, it is difficult to separate the perspectives of resilience to risks from climate</w:t>
      </w:r>
      <w:r w:rsidR="00894D25" w:rsidRPr="009B1C91">
        <w:rPr>
          <w:rFonts w:asciiTheme="minorHAnsi" w:hAnsiTheme="minorHAnsi" w:cstheme="minorHAnsi"/>
        </w:rPr>
        <w:t xml:space="preserve"> change and natural disasters. </w:t>
      </w:r>
      <w:r w:rsidRPr="009B1C91">
        <w:rPr>
          <w:rFonts w:asciiTheme="minorHAnsi" w:hAnsiTheme="minorHAnsi" w:cstheme="minorHAnsi"/>
        </w:rPr>
        <w:t xml:space="preserve">Instead of engaging with the conceptual complexities of climate change and natural disaster linkages, UNDP initiatives have appropriately undertaken an </w:t>
      </w:r>
      <w:r w:rsidRPr="009B1C91">
        <w:rPr>
          <w:rFonts w:asciiTheme="minorHAnsi" w:hAnsiTheme="minorHAnsi" w:cstheme="minorHAnsi"/>
          <w:i/>
          <w:iCs/>
        </w:rPr>
        <w:t xml:space="preserve">integrative </w:t>
      </w:r>
      <w:r w:rsidRPr="009B1C91">
        <w:rPr>
          <w:rFonts w:asciiTheme="minorHAnsi" w:hAnsiTheme="minorHAnsi" w:cstheme="minorHAnsi"/>
        </w:rPr>
        <w:t xml:space="preserve">CC effects-change in natural disaster patterns approach, which is reflected in the identification of CPD thematic areas and the formulation of outcomes. </w:t>
      </w:r>
    </w:p>
    <w:p w:rsidR="006C1581" w:rsidRPr="009B1C91" w:rsidRDefault="006C1581" w:rsidP="00F653F8">
      <w:pPr>
        <w:spacing w:after="0" w:line="240" w:lineRule="auto"/>
        <w:jc w:val="both"/>
        <w:rPr>
          <w:rFonts w:asciiTheme="minorHAnsi" w:hAnsiTheme="minorHAnsi" w:cstheme="minorHAnsi"/>
        </w:rPr>
      </w:pPr>
    </w:p>
    <w:p w:rsidR="006C1581" w:rsidRPr="009B1C91" w:rsidRDefault="006C1581" w:rsidP="00F653F8">
      <w:pPr>
        <w:spacing w:after="0" w:line="240" w:lineRule="auto"/>
        <w:jc w:val="both"/>
        <w:rPr>
          <w:rFonts w:asciiTheme="minorHAnsi" w:hAnsiTheme="minorHAnsi" w:cstheme="minorHAnsi"/>
        </w:rPr>
      </w:pPr>
      <w:r w:rsidRPr="009B1C91">
        <w:rPr>
          <w:rFonts w:asciiTheme="minorHAnsi" w:hAnsiTheme="minorHAnsi" w:cstheme="minorHAnsi"/>
        </w:rPr>
        <w:t>In the above backdrop and context, the UNDP country office, by building upon the experience and success of CDMP I in launching the ‘paradigm shift’ in approaches from post-disaster relief and rehabilitation to comprehensive disaster management (prevention, mitigation, preparedness, response, recovery and development), with active participation of DFID, EU, Norway, AusAid, and SIDA, UNDP led the formulation of</w:t>
      </w:r>
      <w:r w:rsidR="00894D25" w:rsidRPr="009B1C91">
        <w:rPr>
          <w:rFonts w:asciiTheme="minorHAnsi" w:hAnsiTheme="minorHAnsi" w:cstheme="minorHAnsi"/>
        </w:rPr>
        <w:t xml:space="preserve"> the CDMP II project proposal. </w:t>
      </w:r>
      <w:r w:rsidRPr="009B1C91">
        <w:rPr>
          <w:rFonts w:asciiTheme="minorHAnsi" w:hAnsiTheme="minorHAnsi" w:cstheme="minorHAnsi"/>
        </w:rPr>
        <w:t>In 2010, the Government of Bangladesh signed an agreement with UNDP and launched the CDMP II project. Following the devastating socioeconomic loss from the impact of Cyclone Sidr in 2007 and Cyclone Aila in 2009, and severe flood affecting 46 districts in 2007, the conceptualization of comprehensive disaster management was required to broaden its scope and adopt a multi-hazard approach to disasters and to shift from disaster event management to risk reduction. The foundation for engaging local governmental and non-government agencies, and other local stakeholders in pre and post-disaster interventions was strongly laid out by the 1997 Standing Order. CDMP II was envisioned within the leadership of UNDP to materialize the Second Tier of a ‘paradigm shift’ in disaster management in Bangladesh.</w:t>
      </w:r>
    </w:p>
    <w:p w:rsidR="006C1581" w:rsidRPr="009B1C91" w:rsidRDefault="006C1581" w:rsidP="00F653F8">
      <w:pPr>
        <w:spacing w:after="0" w:line="240" w:lineRule="auto"/>
        <w:jc w:val="both"/>
        <w:rPr>
          <w:rFonts w:asciiTheme="minorHAnsi" w:hAnsiTheme="minorHAnsi" w:cstheme="minorHAnsi"/>
        </w:rPr>
      </w:pPr>
    </w:p>
    <w:p w:rsidR="006C1581" w:rsidRPr="009B1C91" w:rsidRDefault="006C1581" w:rsidP="00F653F8">
      <w:pPr>
        <w:spacing w:after="0" w:line="240" w:lineRule="auto"/>
        <w:jc w:val="both"/>
        <w:rPr>
          <w:rFonts w:asciiTheme="minorHAnsi" w:hAnsiTheme="minorHAnsi" w:cstheme="minorHAnsi"/>
        </w:rPr>
      </w:pPr>
      <w:r w:rsidRPr="009B1C91">
        <w:rPr>
          <w:rFonts w:asciiTheme="minorHAnsi" w:hAnsiTheme="minorHAnsi" w:cstheme="minorHAnsi"/>
        </w:rPr>
        <w:t xml:space="preserve">In the face of the emerging global realities of humanitarian and recovery assistance, UNDP Bangladesh has become a ‘dependable last resort’ for the GoB, donors, and development partners.  Relying on the successful coordination and delivery of ‘first phase’ (size of $32 million) resources through the Disaster Relief and Response Facility (DRRF), and with the introduction of the ER concept of adopting the ‘building back better’ through the ‘second phase’, following Cyclone Sidr, a Third Phase was launched under the banner of Early Recovery Facility (ERF) to focus more on policy and programmatic support for the GoB, in addition to mobilizing and delivering early recovery interventions. In partnership with SDC, AusAid, and BCPR, UNDP Bangladesh intended to promote the adoption of early recovery planning so </w:t>
      </w:r>
      <w:r w:rsidRPr="009B1C91">
        <w:rPr>
          <w:rFonts w:asciiTheme="minorHAnsi" w:hAnsiTheme="minorHAnsi" w:cstheme="minorHAnsi"/>
        </w:rPr>
        <w:lastRenderedPageBreak/>
        <w:t xml:space="preserve">that development programmes can minimize the gap between the end of relief and start of longer-term </w:t>
      </w:r>
      <w:r w:rsidR="00894D25" w:rsidRPr="009B1C91">
        <w:rPr>
          <w:rFonts w:asciiTheme="minorHAnsi" w:hAnsiTheme="minorHAnsi" w:cstheme="minorHAnsi"/>
        </w:rPr>
        <w:t xml:space="preserve">recovery. </w:t>
      </w:r>
      <w:r w:rsidRPr="009B1C91">
        <w:rPr>
          <w:rFonts w:asciiTheme="minorHAnsi" w:hAnsiTheme="minorHAnsi" w:cstheme="minorHAnsi"/>
        </w:rPr>
        <w:t xml:space="preserve">This initiative was launched in February 2011 and implemented throughout the 2011-15 period.  </w:t>
      </w:r>
    </w:p>
    <w:p w:rsidR="006C1581" w:rsidRPr="009B1C91" w:rsidRDefault="006C1581" w:rsidP="00F653F8">
      <w:pPr>
        <w:spacing w:after="0" w:line="240" w:lineRule="auto"/>
        <w:jc w:val="both"/>
        <w:rPr>
          <w:rFonts w:asciiTheme="minorHAnsi" w:hAnsiTheme="minorHAnsi" w:cstheme="minorHAnsi"/>
        </w:rPr>
      </w:pPr>
    </w:p>
    <w:p w:rsidR="006C1581" w:rsidRPr="009B1C91" w:rsidRDefault="006C1581" w:rsidP="00F653F8">
      <w:pPr>
        <w:spacing w:after="0" w:line="240" w:lineRule="auto"/>
        <w:jc w:val="both"/>
        <w:rPr>
          <w:rFonts w:asciiTheme="minorHAnsi" w:hAnsiTheme="minorHAnsi" w:cstheme="minorHAnsi"/>
          <w:b/>
          <w:bCs/>
        </w:rPr>
      </w:pPr>
      <w:r w:rsidRPr="009B1C91">
        <w:rPr>
          <w:rFonts w:asciiTheme="minorHAnsi" w:hAnsiTheme="minorHAnsi" w:cstheme="minorHAnsi"/>
          <w:b/>
          <w:bCs/>
        </w:rPr>
        <w:t>Interventions</w:t>
      </w:r>
    </w:p>
    <w:p w:rsidR="006C1581" w:rsidRPr="009B1C91" w:rsidRDefault="006C1581" w:rsidP="00F653F8">
      <w:pPr>
        <w:spacing w:after="0" w:line="240" w:lineRule="auto"/>
        <w:jc w:val="both"/>
        <w:rPr>
          <w:rFonts w:asciiTheme="minorHAnsi" w:hAnsiTheme="minorHAnsi" w:cstheme="minorHAnsi"/>
          <w:b/>
          <w:bCs/>
        </w:rPr>
      </w:pPr>
    </w:p>
    <w:p w:rsidR="00894D25" w:rsidRPr="009B1C91" w:rsidRDefault="006C1581" w:rsidP="00F653F8">
      <w:pPr>
        <w:spacing w:after="0" w:line="240" w:lineRule="auto"/>
        <w:jc w:val="both"/>
        <w:rPr>
          <w:rFonts w:asciiTheme="minorHAnsi" w:hAnsiTheme="minorHAnsi" w:cstheme="minorHAnsi"/>
        </w:rPr>
      </w:pPr>
      <w:r w:rsidRPr="009B1C91">
        <w:rPr>
          <w:rFonts w:asciiTheme="minorHAnsi" w:hAnsiTheme="minorHAnsi" w:cstheme="minorHAnsi"/>
        </w:rPr>
        <w:t>The Evaluators found two broad categories of project interventions towards CDP Outcome 3.1, which support the population’s resiliency to adapt to climate and natural disaster risks:</w:t>
      </w:r>
    </w:p>
    <w:p w:rsidR="006C1581" w:rsidRPr="009B1C91" w:rsidRDefault="006C1581" w:rsidP="00F653F8">
      <w:pPr>
        <w:spacing w:after="0" w:line="240" w:lineRule="auto"/>
        <w:jc w:val="both"/>
        <w:rPr>
          <w:rFonts w:asciiTheme="minorHAnsi" w:hAnsiTheme="minorHAnsi" w:cstheme="minorHAnsi"/>
        </w:rPr>
      </w:pPr>
    </w:p>
    <w:p w:rsidR="006C1581" w:rsidRPr="009B1C91" w:rsidRDefault="006C1581" w:rsidP="00F653F8">
      <w:pPr>
        <w:numPr>
          <w:ilvl w:val="0"/>
          <w:numId w:val="5"/>
        </w:numPr>
        <w:spacing w:after="0" w:line="240" w:lineRule="auto"/>
        <w:ind w:left="709" w:hanging="349"/>
        <w:jc w:val="both"/>
        <w:rPr>
          <w:rFonts w:asciiTheme="minorHAnsi" w:hAnsiTheme="minorHAnsi" w:cstheme="minorHAnsi"/>
        </w:rPr>
      </w:pPr>
      <w:r w:rsidRPr="009B1C91">
        <w:rPr>
          <w:rFonts w:asciiTheme="minorHAnsi" w:hAnsiTheme="minorHAnsi" w:cstheme="minorHAnsi"/>
        </w:rPr>
        <w:t xml:space="preserve">institutionalizing comprehensive disaster management, risk reduction, early recovery from disasters, and climate change adaptation at national, sub-national and local community levels, and promoting a coupled DRR and CCA approach; and </w:t>
      </w:r>
    </w:p>
    <w:p w:rsidR="00DA1149" w:rsidRPr="009B1C91" w:rsidRDefault="00B652A0" w:rsidP="00DA1149">
      <w:pPr>
        <w:numPr>
          <w:ilvl w:val="0"/>
          <w:numId w:val="5"/>
        </w:numPr>
        <w:spacing w:after="0" w:line="240" w:lineRule="auto"/>
        <w:ind w:left="709" w:hanging="349"/>
        <w:jc w:val="both"/>
        <w:rPr>
          <w:rFonts w:asciiTheme="minorHAnsi" w:hAnsiTheme="minorHAnsi" w:cstheme="minorHAnsi"/>
        </w:rPr>
      </w:pPr>
      <w:r>
        <w:rPr>
          <w:rFonts w:asciiTheme="minorHAnsi" w:hAnsiTheme="minorHAnsi" w:cstheme="minorHAnsi"/>
          <w:noProof/>
          <w:lang w:val="en-US" w:eastAsia="en-US"/>
        </w:rPr>
        <mc:AlternateContent>
          <mc:Choice Requires="wpc">
            <w:drawing>
              <wp:anchor distT="0" distB="0" distL="114300" distR="114300" simplePos="0" relativeHeight="251666432" behindDoc="1" locked="0" layoutInCell="1" allowOverlap="1" wp14:anchorId="3F052CFC" wp14:editId="449B93D7">
                <wp:simplePos x="0" y="0"/>
                <wp:positionH relativeFrom="column">
                  <wp:posOffset>5080</wp:posOffset>
                </wp:positionH>
                <wp:positionV relativeFrom="paragraph">
                  <wp:posOffset>357505</wp:posOffset>
                </wp:positionV>
                <wp:extent cx="6169660" cy="4105275"/>
                <wp:effectExtent l="0" t="0" r="40640" b="28575"/>
                <wp:wrapTight wrapText="bothSides">
                  <wp:wrapPolygon edited="0">
                    <wp:start x="0" y="0"/>
                    <wp:lineTo x="0" y="21650"/>
                    <wp:lineTo x="21676" y="21650"/>
                    <wp:lineTo x="21676" y="0"/>
                    <wp:lineTo x="0" y="0"/>
                  </wp:wrapPolygon>
                </wp:wrapTight>
                <wp:docPr id="74" name="Canvas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s:wsp>
                        <wps:cNvPr id="48" name="AutoShape 65"/>
                        <wps:cNvCnPr>
                          <a:cxnSpLocks noChangeShapeType="1"/>
                        </wps:cNvCnPr>
                        <wps:spPr bwMode="auto">
                          <a:xfrm>
                            <a:off x="5680075" y="914400"/>
                            <a:ext cx="3175"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64"/>
                        <wps:cNvCnPr>
                          <a:cxnSpLocks noChangeShapeType="1"/>
                        </wps:cNvCnPr>
                        <wps:spPr bwMode="auto">
                          <a:xfrm>
                            <a:off x="3702050" y="894080"/>
                            <a:ext cx="3175"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66"/>
                        <wps:cNvCnPr>
                          <a:cxnSpLocks noChangeShapeType="1"/>
                        </wps:cNvCnPr>
                        <wps:spPr bwMode="auto">
                          <a:xfrm>
                            <a:off x="800100" y="887095"/>
                            <a:ext cx="3175"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51" name="Group 70"/>
                        <wpg:cNvGrpSpPr>
                          <a:grpSpLocks/>
                        </wpg:cNvGrpSpPr>
                        <wpg:grpSpPr bwMode="auto">
                          <a:xfrm>
                            <a:off x="0" y="2540"/>
                            <a:ext cx="6169660" cy="4010025"/>
                            <a:chOff x="1440" y="1444"/>
                            <a:chExt cx="9716" cy="6315"/>
                          </a:xfrm>
                        </wpg:grpSpPr>
                        <wpg:grpSp>
                          <wpg:cNvPr id="52" name="Group 43"/>
                          <wpg:cNvGrpSpPr>
                            <a:grpSpLocks/>
                          </wpg:cNvGrpSpPr>
                          <wpg:grpSpPr bwMode="auto">
                            <a:xfrm>
                              <a:off x="1556" y="4189"/>
                              <a:ext cx="9510" cy="3570"/>
                              <a:chOff x="1545" y="4200"/>
                              <a:chExt cx="9510" cy="3570"/>
                            </a:xfrm>
                          </wpg:grpSpPr>
                          <wpg:grpSp>
                            <wpg:cNvPr id="53" name="Group 44"/>
                            <wpg:cNvGrpSpPr>
                              <a:grpSpLocks/>
                            </wpg:cNvGrpSpPr>
                            <wpg:grpSpPr bwMode="auto">
                              <a:xfrm>
                                <a:off x="1575" y="5955"/>
                                <a:ext cx="9480" cy="1815"/>
                                <a:chOff x="1575" y="5955"/>
                                <a:chExt cx="9480" cy="1815"/>
                              </a:xfrm>
                            </wpg:grpSpPr>
                            <wps:wsp>
                              <wps:cNvPr id="54" name="Text Box 45"/>
                              <wps:cNvSpPr txBox="1">
                                <a:spLocks noChangeArrowheads="1"/>
                              </wps:cNvSpPr>
                              <wps:spPr bwMode="auto">
                                <a:xfrm>
                                  <a:off x="1575" y="5955"/>
                                  <a:ext cx="2025" cy="181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EA3B8B" w:rsidRPr="007C6CAE" w:rsidRDefault="00EA3B8B" w:rsidP="00B624E7">
                                    <w:pPr>
                                      <w:spacing w:after="0" w:line="240" w:lineRule="auto"/>
                                      <w:rPr>
                                        <w:b/>
                                        <w:i/>
                                      </w:rPr>
                                    </w:pPr>
                                    <w:r w:rsidRPr="007C6CAE">
                                      <w:rPr>
                                        <w:b/>
                                        <w:i/>
                                      </w:rPr>
                                      <w:t>Key Milestones:</w:t>
                                    </w:r>
                                  </w:p>
                                  <w:p w:rsidR="00EA3B8B" w:rsidRPr="00995EC0" w:rsidRDefault="00EA3B8B" w:rsidP="00B624E7">
                                    <w:pPr>
                                      <w:spacing w:after="0" w:line="240" w:lineRule="auto"/>
                                      <w:rPr>
                                        <w:i/>
                                        <w:sz w:val="20"/>
                                        <w:szCs w:val="20"/>
                                      </w:rPr>
                                    </w:pPr>
                                    <w:r w:rsidRPr="00995EC0">
                                      <w:rPr>
                                        <w:i/>
                                        <w:sz w:val="20"/>
                                        <w:szCs w:val="20"/>
                                      </w:rPr>
                                      <w:t xml:space="preserve">1. GoB revised DPP/ </w:t>
                                    </w:r>
                                  </w:p>
                                  <w:p w:rsidR="00EA3B8B" w:rsidRPr="00995EC0" w:rsidRDefault="00EA3B8B" w:rsidP="00B624E7">
                                    <w:pPr>
                                      <w:spacing w:after="0" w:line="240" w:lineRule="auto"/>
                                      <w:rPr>
                                        <w:i/>
                                        <w:sz w:val="20"/>
                                        <w:szCs w:val="20"/>
                                      </w:rPr>
                                    </w:pPr>
                                    <w:r w:rsidRPr="00995EC0">
                                      <w:rPr>
                                        <w:i/>
                                        <w:sz w:val="20"/>
                                        <w:szCs w:val="20"/>
                                      </w:rPr>
                                      <w:t xml:space="preserve">    TAPP</w:t>
                                    </w:r>
                                  </w:p>
                                  <w:p w:rsidR="00EA3B8B" w:rsidRPr="00995EC0" w:rsidRDefault="00EA3B8B" w:rsidP="00B624E7">
                                    <w:pPr>
                                      <w:spacing w:after="0" w:line="240" w:lineRule="auto"/>
                                      <w:rPr>
                                        <w:i/>
                                        <w:sz w:val="20"/>
                                        <w:szCs w:val="20"/>
                                      </w:rPr>
                                    </w:pPr>
                                    <w:r w:rsidRPr="00995EC0">
                                      <w:rPr>
                                        <w:i/>
                                        <w:sz w:val="20"/>
                                        <w:szCs w:val="20"/>
                                      </w:rPr>
                                      <w:t xml:space="preserve">2. Climate Fiscal </w:t>
                                    </w:r>
                                  </w:p>
                                  <w:p w:rsidR="00EA3B8B" w:rsidRPr="00995EC0" w:rsidRDefault="00EA3B8B" w:rsidP="00B624E7">
                                    <w:pPr>
                                      <w:spacing w:after="0" w:line="240" w:lineRule="auto"/>
                                      <w:rPr>
                                        <w:i/>
                                        <w:sz w:val="20"/>
                                        <w:szCs w:val="20"/>
                                      </w:rPr>
                                    </w:pPr>
                                    <w:r w:rsidRPr="00995EC0">
                                      <w:rPr>
                                        <w:i/>
                                        <w:sz w:val="20"/>
                                        <w:szCs w:val="20"/>
                                      </w:rPr>
                                      <w:t xml:space="preserve">     Framework</w:t>
                                    </w:r>
                                  </w:p>
                                </w:txbxContent>
                              </wps:txbx>
                              <wps:bodyPr rot="0" vert="horz" wrap="square" lIns="91440" tIns="45720" rIns="91440" bIns="45720" anchor="t" anchorCtr="0" upright="1">
                                <a:noAutofit/>
                              </wps:bodyPr>
                            </wps:wsp>
                            <wps:wsp>
                              <wps:cNvPr id="55" name="Text Box 46"/>
                              <wps:cNvSpPr txBox="1">
                                <a:spLocks noChangeArrowheads="1"/>
                              </wps:cNvSpPr>
                              <wps:spPr bwMode="auto">
                                <a:xfrm>
                                  <a:off x="3765" y="5955"/>
                                  <a:ext cx="2325" cy="181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EA3B8B" w:rsidRPr="007C6CAE" w:rsidRDefault="00EA3B8B" w:rsidP="00B624E7">
                                    <w:pPr>
                                      <w:spacing w:after="0" w:line="240" w:lineRule="auto"/>
                                      <w:rPr>
                                        <w:b/>
                                        <w:i/>
                                      </w:rPr>
                                    </w:pPr>
                                    <w:r w:rsidRPr="007C6CAE">
                                      <w:rPr>
                                        <w:b/>
                                        <w:i/>
                                      </w:rPr>
                                      <w:t>Key Milestones:</w:t>
                                    </w:r>
                                  </w:p>
                                  <w:p w:rsidR="00EA3B8B" w:rsidRPr="00995EC0" w:rsidRDefault="00EA3B8B" w:rsidP="00B624E7">
                                    <w:pPr>
                                      <w:spacing w:after="0" w:line="240" w:lineRule="auto"/>
                                      <w:rPr>
                                        <w:i/>
                                        <w:sz w:val="16"/>
                                        <w:szCs w:val="16"/>
                                      </w:rPr>
                                    </w:pPr>
                                    <w:r w:rsidRPr="00995EC0">
                                      <w:rPr>
                                        <w:i/>
                                        <w:sz w:val="16"/>
                                        <w:szCs w:val="16"/>
                                      </w:rPr>
                                      <w:t>LDCF supported ‘integrating community based adaptation into afforestation and reforestation programmes’ by up-scaling and replicating lessons from CBA through coastal afforestation project.</w:t>
                                    </w:r>
                                  </w:p>
                                </w:txbxContent>
                              </wps:txbx>
                              <wps:bodyPr rot="0" vert="horz" wrap="square" lIns="91440" tIns="45720" rIns="91440" bIns="45720" anchor="t" anchorCtr="0" upright="1">
                                <a:noAutofit/>
                              </wps:bodyPr>
                            </wps:wsp>
                            <wps:wsp>
                              <wps:cNvPr id="56" name="Text Box 47"/>
                              <wps:cNvSpPr txBox="1">
                                <a:spLocks noChangeArrowheads="1"/>
                              </wps:cNvSpPr>
                              <wps:spPr bwMode="auto">
                                <a:xfrm>
                                  <a:off x="6240" y="5955"/>
                                  <a:ext cx="2325" cy="181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EA3B8B" w:rsidRPr="007C6CAE" w:rsidRDefault="00EA3B8B" w:rsidP="00B624E7">
                                    <w:pPr>
                                      <w:spacing w:after="0" w:line="240" w:lineRule="auto"/>
                                      <w:rPr>
                                        <w:b/>
                                        <w:i/>
                                      </w:rPr>
                                    </w:pPr>
                                    <w:r w:rsidRPr="007C6CAE">
                                      <w:rPr>
                                        <w:b/>
                                        <w:i/>
                                      </w:rPr>
                                      <w:t>Key Milestones:</w:t>
                                    </w:r>
                                  </w:p>
                                  <w:p w:rsidR="00EA3B8B" w:rsidRPr="00995EC0" w:rsidRDefault="00EA3B8B" w:rsidP="00B624E7">
                                    <w:pPr>
                                      <w:spacing w:after="0" w:line="240" w:lineRule="auto"/>
                                      <w:rPr>
                                        <w:i/>
                                        <w:sz w:val="20"/>
                                        <w:szCs w:val="20"/>
                                      </w:rPr>
                                    </w:pPr>
                                    <w:r w:rsidRPr="00995EC0">
                                      <w:rPr>
                                        <w:i/>
                                        <w:sz w:val="20"/>
                                        <w:szCs w:val="20"/>
                                      </w:rPr>
                                      <w:t>Effective Humanitarian architecture adopted and in operation by stakeholders</w:t>
                                    </w:r>
                                  </w:p>
                                </w:txbxContent>
                              </wps:txbx>
                              <wps:bodyPr rot="0" vert="horz" wrap="square" lIns="91440" tIns="45720" rIns="91440" bIns="45720" anchor="t" anchorCtr="0" upright="1">
                                <a:noAutofit/>
                              </wps:bodyPr>
                            </wps:wsp>
                            <wps:wsp>
                              <wps:cNvPr id="57" name="Text Box 48"/>
                              <wps:cNvSpPr txBox="1">
                                <a:spLocks noChangeArrowheads="1"/>
                              </wps:cNvSpPr>
                              <wps:spPr bwMode="auto">
                                <a:xfrm>
                                  <a:off x="8730" y="5955"/>
                                  <a:ext cx="2325" cy="181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EA3B8B" w:rsidRPr="007C6CAE" w:rsidRDefault="00EA3B8B" w:rsidP="00B624E7">
                                    <w:pPr>
                                      <w:spacing w:after="0" w:line="240" w:lineRule="auto"/>
                                      <w:rPr>
                                        <w:b/>
                                        <w:i/>
                                      </w:rPr>
                                    </w:pPr>
                                    <w:r w:rsidRPr="007C6CAE">
                                      <w:rPr>
                                        <w:b/>
                                        <w:i/>
                                      </w:rPr>
                                      <w:t>Key Milestones:</w:t>
                                    </w:r>
                                  </w:p>
                                  <w:p w:rsidR="00EA3B8B" w:rsidRPr="00995EC0" w:rsidRDefault="00EA3B8B" w:rsidP="00B624E7">
                                    <w:pPr>
                                      <w:spacing w:after="0" w:line="240" w:lineRule="auto"/>
                                      <w:rPr>
                                        <w:i/>
                                        <w:sz w:val="20"/>
                                        <w:szCs w:val="20"/>
                                      </w:rPr>
                                    </w:pPr>
                                    <w:r w:rsidRPr="00995EC0">
                                      <w:rPr>
                                        <w:i/>
                                        <w:sz w:val="20"/>
                                        <w:szCs w:val="20"/>
                                      </w:rPr>
                                      <w:t xml:space="preserve">1. Climate &amp; Disaster </w:t>
                                    </w:r>
                                  </w:p>
                                  <w:p w:rsidR="00EA3B8B" w:rsidRPr="00995EC0" w:rsidRDefault="00EA3B8B" w:rsidP="00B624E7">
                                    <w:pPr>
                                      <w:spacing w:after="0" w:line="240" w:lineRule="auto"/>
                                      <w:rPr>
                                        <w:i/>
                                        <w:sz w:val="20"/>
                                        <w:szCs w:val="20"/>
                                      </w:rPr>
                                    </w:pPr>
                                    <w:r w:rsidRPr="00995EC0">
                                      <w:rPr>
                                        <w:i/>
                                        <w:sz w:val="20"/>
                                        <w:szCs w:val="20"/>
                                      </w:rPr>
                                      <w:t xml:space="preserve">    Vulnerability Index</w:t>
                                    </w:r>
                                  </w:p>
                                  <w:p w:rsidR="00EA3B8B" w:rsidRPr="00995EC0" w:rsidRDefault="00EA3B8B" w:rsidP="00B624E7">
                                    <w:pPr>
                                      <w:spacing w:after="0" w:line="240" w:lineRule="auto"/>
                                      <w:rPr>
                                        <w:i/>
                                        <w:sz w:val="20"/>
                                        <w:szCs w:val="20"/>
                                      </w:rPr>
                                    </w:pPr>
                                    <w:r w:rsidRPr="00995EC0">
                                      <w:rPr>
                                        <w:i/>
                                        <w:sz w:val="20"/>
                                        <w:szCs w:val="20"/>
                                      </w:rPr>
                                      <w:t>2. Resilience Framework</w:t>
                                    </w:r>
                                  </w:p>
                                  <w:p w:rsidR="00EA3B8B" w:rsidRPr="00995EC0" w:rsidRDefault="00EA3B8B" w:rsidP="00B624E7">
                                    <w:pPr>
                                      <w:spacing w:after="0" w:line="240" w:lineRule="auto"/>
                                      <w:rPr>
                                        <w:i/>
                                        <w:sz w:val="20"/>
                                        <w:szCs w:val="20"/>
                                      </w:rPr>
                                    </w:pPr>
                                    <w:r w:rsidRPr="00995EC0">
                                      <w:rPr>
                                        <w:i/>
                                        <w:sz w:val="20"/>
                                        <w:szCs w:val="20"/>
                                      </w:rPr>
                                      <w:t>3. Knowledge products</w:t>
                                    </w:r>
                                  </w:p>
                                </w:txbxContent>
                              </wps:txbx>
                              <wps:bodyPr rot="0" vert="horz" wrap="square" lIns="91440" tIns="45720" rIns="91440" bIns="45720" anchor="t" anchorCtr="0" upright="1">
                                <a:noAutofit/>
                              </wps:bodyPr>
                            </wps:wsp>
                          </wpg:grpSp>
                          <wpg:grpSp>
                            <wpg:cNvPr id="58" name="Group 49"/>
                            <wpg:cNvGrpSpPr>
                              <a:grpSpLocks/>
                            </wpg:cNvGrpSpPr>
                            <wpg:grpSpPr bwMode="auto">
                              <a:xfrm>
                                <a:off x="1545" y="4200"/>
                                <a:ext cx="9510" cy="1425"/>
                                <a:chOff x="1545" y="4200"/>
                                <a:chExt cx="9510" cy="1425"/>
                              </a:xfrm>
                            </wpg:grpSpPr>
                            <wps:wsp>
                              <wps:cNvPr id="59" name="Text Box 50"/>
                              <wps:cNvSpPr txBox="1">
                                <a:spLocks noChangeArrowheads="1"/>
                              </wps:cNvSpPr>
                              <wps:spPr bwMode="auto">
                                <a:xfrm>
                                  <a:off x="1545" y="4200"/>
                                  <a:ext cx="2055" cy="14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A3B8B" w:rsidRDefault="00EA3B8B" w:rsidP="00B624E7">
                                    <w:pPr>
                                      <w:spacing w:after="0" w:line="240" w:lineRule="auto"/>
                                      <w:rPr>
                                        <w:b/>
                                        <w:sz w:val="20"/>
                                        <w:szCs w:val="20"/>
                                      </w:rPr>
                                    </w:pPr>
                                    <w:r>
                                      <w:rPr>
                                        <w:b/>
                                        <w:sz w:val="20"/>
                                        <w:szCs w:val="20"/>
                                      </w:rPr>
                                      <w:t>Ongoing Projects:</w:t>
                                    </w:r>
                                  </w:p>
                                  <w:p w:rsidR="00EA3B8B" w:rsidRDefault="00EA3B8B" w:rsidP="00B624E7">
                                    <w:pPr>
                                      <w:spacing w:after="0" w:line="240" w:lineRule="auto"/>
                                      <w:rPr>
                                        <w:sz w:val="20"/>
                                        <w:szCs w:val="20"/>
                                      </w:rPr>
                                    </w:pPr>
                                    <w:r w:rsidRPr="003E0B62">
                                      <w:rPr>
                                        <w:sz w:val="20"/>
                                        <w:szCs w:val="20"/>
                                      </w:rPr>
                                      <w:t>1</w:t>
                                    </w:r>
                                    <w:r>
                                      <w:rPr>
                                        <w:sz w:val="20"/>
                                        <w:szCs w:val="20"/>
                                      </w:rPr>
                                      <w:t>. CDMP</w:t>
                                    </w:r>
                                  </w:p>
                                  <w:p w:rsidR="00EA3B8B" w:rsidRDefault="00EA3B8B" w:rsidP="00B624E7">
                                    <w:pPr>
                                      <w:spacing w:after="0" w:line="240" w:lineRule="auto"/>
                                      <w:rPr>
                                        <w:sz w:val="20"/>
                                        <w:szCs w:val="20"/>
                                      </w:rPr>
                                    </w:pPr>
                                    <w:r>
                                      <w:rPr>
                                        <w:sz w:val="20"/>
                                        <w:szCs w:val="20"/>
                                      </w:rPr>
                                      <w:t>2. PECM</w:t>
                                    </w:r>
                                  </w:p>
                                  <w:p w:rsidR="00EA3B8B" w:rsidRDefault="00EA3B8B" w:rsidP="00B624E7">
                                    <w:pPr>
                                      <w:spacing w:after="0" w:line="240" w:lineRule="auto"/>
                                      <w:rPr>
                                        <w:sz w:val="20"/>
                                        <w:szCs w:val="20"/>
                                      </w:rPr>
                                    </w:pPr>
                                    <w:r>
                                      <w:rPr>
                                        <w:sz w:val="20"/>
                                        <w:szCs w:val="20"/>
                                      </w:rPr>
                                      <w:t xml:space="preserve">3. Coastal </w:t>
                                    </w:r>
                                  </w:p>
                                  <w:p w:rsidR="00EA3B8B" w:rsidRPr="003E0B62" w:rsidRDefault="00EA3B8B" w:rsidP="00B624E7">
                                    <w:pPr>
                                      <w:spacing w:after="0" w:line="240" w:lineRule="auto"/>
                                      <w:rPr>
                                        <w:sz w:val="20"/>
                                        <w:szCs w:val="20"/>
                                      </w:rPr>
                                    </w:pPr>
                                    <w:r>
                                      <w:rPr>
                                        <w:sz w:val="20"/>
                                        <w:szCs w:val="20"/>
                                      </w:rPr>
                                      <w:t xml:space="preserve">    Afforestation</w:t>
                                    </w:r>
                                  </w:p>
                                </w:txbxContent>
                              </wps:txbx>
                              <wps:bodyPr rot="0" vert="horz" wrap="square" lIns="91440" tIns="45720" rIns="91440" bIns="45720" anchor="t" anchorCtr="0" upright="1">
                                <a:noAutofit/>
                              </wps:bodyPr>
                            </wps:wsp>
                            <wps:wsp>
                              <wps:cNvPr id="60" name="Text Box 51"/>
                              <wps:cNvSpPr txBox="1">
                                <a:spLocks noChangeArrowheads="1"/>
                              </wps:cNvSpPr>
                              <wps:spPr bwMode="auto">
                                <a:xfrm>
                                  <a:off x="3735" y="4215"/>
                                  <a:ext cx="2355" cy="141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A3B8B" w:rsidRDefault="00EA3B8B" w:rsidP="00B624E7">
                                    <w:pPr>
                                      <w:spacing w:after="0" w:line="240" w:lineRule="auto"/>
                                      <w:rPr>
                                        <w:b/>
                                        <w:sz w:val="20"/>
                                        <w:szCs w:val="20"/>
                                      </w:rPr>
                                    </w:pPr>
                                    <w:r>
                                      <w:rPr>
                                        <w:b/>
                                        <w:sz w:val="20"/>
                                        <w:szCs w:val="20"/>
                                      </w:rPr>
                                      <w:t>Ongoing Projects:</w:t>
                                    </w:r>
                                  </w:p>
                                  <w:p w:rsidR="00EA3B8B" w:rsidRDefault="00EA3B8B" w:rsidP="00B624E7">
                                    <w:pPr>
                                      <w:spacing w:after="0" w:line="240" w:lineRule="auto"/>
                                      <w:rPr>
                                        <w:sz w:val="20"/>
                                        <w:szCs w:val="20"/>
                                      </w:rPr>
                                    </w:pPr>
                                    <w:r w:rsidRPr="003E0B62">
                                      <w:rPr>
                                        <w:sz w:val="20"/>
                                        <w:szCs w:val="20"/>
                                      </w:rPr>
                                      <w:t>1</w:t>
                                    </w:r>
                                    <w:r>
                                      <w:rPr>
                                        <w:sz w:val="20"/>
                                        <w:szCs w:val="20"/>
                                      </w:rPr>
                                      <w:t>. CDMP</w:t>
                                    </w:r>
                                  </w:p>
                                  <w:p w:rsidR="00EA3B8B" w:rsidRDefault="00EA3B8B" w:rsidP="00B624E7">
                                    <w:pPr>
                                      <w:spacing w:after="0" w:line="240" w:lineRule="auto"/>
                                      <w:rPr>
                                        <w:sz w:val="20"/>
                                        <w:szCs w:val="20"/>
                                      </w:rPr>
                                    </w:pPr>
                                    <w:r>
                                      <w:rPr>
                                        <w:sz w:val="20"/>
                                        <w:szCs w:val="20"/>
                                      </w:rPr>
                                      <w:t>2. PECM</w:t>
                                    </w:r>
                                  </w:p>
                                  <w:p w:rsidR="00EA3B8B" w:rsidRDefault="00EA3B8B" w:rsidP="00B624E7">
                                    <w:pPr>
                                      <w:spacing w:after="0" w:line="240" w:lineRule="auto"/>
                                      <w:rPr>
                                        <w:sz w:val="20"/>
                                        <w:szCs w:val="20"/>
                                      </w:rPr>
                                    </w:pPr>
                                    <w:r>
                                      <w:rPr>
                                        <w:sz w:val="20"/>
                                        <w:szCs w:val="20"/>
                                      </w:rPr>
                                      <w:t xml:space="preserve">3. Community-Based </w:t>
                                    </w:r>
                                  </w:p>
                                  <w:p w:rsidR="00EA3B8B" w:rsidRPr="003E0B62" w:rsidRDefault="00EA3B8B" w:rsidP="00B624E7">
                                    <w:pPr>
                                      <w:spacing w:after="0" w:line="240" w:lineRule="auto"/>
                                      <w:rPr>
                                        <w:sz w:val="20"/>
                                        <w:szCs w:val="20"/>
                                      </w:rPr>
                                    </w:pPr>
                                    <w:r>
                                      <w:rPr>
                                        <w:sz w:val="20"/>
                                        <w:szCs w:val="20"/>
                                      </w:rPr>
                                      <w:t xml:space="preserve">    Coastal Afforestation</w:t>
                                    </w:r>
                                  </w:p>
                                </w:txbxContent>
                              </wps:txbx>
                              <wps:bodyPr rot="0" vert="horz" wrap="square" lIns="91440" tIns="45720" rIns="91440" bIns="45720" anchor="t" anchorCtr="0" upright="1">
                                <a:noAutofit/>
                              </wps:bodyPr>
                            </wps:wsp>
                            <wps:wsp>
                              <wps:cNvPr id="61" name="Text Box 52"/>
                              <wps:cNvSpPr txBox="1">
                                <a:spLocks noChangeArrowheads="1"/>
                              </wps:cNvSpPr>
                              <wps:spPr bwMode="auto">
                                <a:xfrm>
                                  <a:off x="6240" y="4215"/>
                                  <a:ext cx="2355" cy="141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A3B8B" w:rsidRDefault="00EA3B8B" w:rsidP="00B624E7">
                                    <w:pPr>
                                      <w:spacing w:after="0" w:line="240" w:lineRule="auto"/>
                                      <w:rPr>
                                        <w:b/>
                                        <w:sz w:val="20"/>
                                        <w:szCs w:val="20"/>
                                      </w:rPr>
                                    </w:pPr>
                                    <w:r>
                                      <w:rPr>
                                        <w:b/>
                                        <w:sz w:val="20"/>
                                        <w:szCs w:val="20"/>
                                      </w:rPr>
                                      <w:t>Ongoing Projects:</w:t>
                                    </w:r>
                                  </w:p>
                                  <w:p w:rsidR="00EA3B8B" w:rsidRDefault="00EA3B8B" w:rsidP="00B624E7">
                                    <w:pPr>
                                      <w:spacing w:after="0" w:line="240" w:lineRule="auto"/>
                                      <w:rPr>
                                        <w:sz w:val="20"/>
                                        <w:szCs w:val="20"/>
                                      </w:rPr>
                                    </w:pPr>
                                    <w:r w:rsidRPr="003E0B62">
                                      <w:rPr>
                                        <w:sz w:val="20"/>
                                        <w:szCs w:val="20"/>
                                      </w:rPr>
                                      <w:t>1</w:t>
                                    </w:r>
                                    <w:r>
                                      <w:rPr>
                                        <w:sz w:val="20"/>
                                        <w:szCs w:val="20"/>
                                      </w:rPr>
                                      <w:t>. Early Recovery Facility</w:t>
                                    </w:r>
                                  </w:p>
                                  <w:p w:rsidR="00EA3B8B" w:rsidRDefault="00EA3B8B" w:rsidP="00B624E7">
                                    <w:pPr>
                                      <w:spacing w:after="0" w:line="240" w:lineRule="auto"/>
                                      <w:rPr>
                                        <w:sz w:val="20"/>
                                        <w:szCs w:val="20"/>
                                      </w:rPr>
                                    </w:pPr>
                                    <w:r>
                                      <w:rPr>
                                        <w:sz w:val="20"/>
                                        <w:szCs w:val="20"/>
                                      </w:rPr>
                                      <w:t>2. CDMP</w:t>
                                    </w:r>
                                  </w:p>
                                  <w:p w:rsidR="00EA3B8B" w:rsidRPr="003E0B62" w:rsidRDefault="00EA3B8B" w:rsidP="00B624E7">
                                    <w:pPr>
                                      <w:spacing w:after="0" w:line="240" w:lineRule="auto"/>
                                      <w:rPr>
                                        <w:sz w:val="20"/>
                                        <w:szCs w:val="20"/>
                                      </w:rPr>
                                    </w:pPr>
                                  </w:p>
                                </w:txbxContent>
                              </wps:txbx>
                              <wps:bodyPr rot="0" vert="horz" wrap="square" lIns="91440" tIns="45720" rIns="91440" bIns="45720" anchor="t" anchorCtr="0" upright="1">
                                <a:noAutofit/>
                              </wps:bodyPr>
                            </wps:wsp>
                            <wps:wsp>
                              <wps:cNvPr id="62" name="Text Box 53"/>
                              <wps:cNvSpPr txBox="1">
                                <a:spLocks noChangeArrowheads="1"/>
                              </wps:cNvSpPr>
                              <wps:spPr bwMode="auto">
                                <a:xfrm>
                                  <a:off x="8700" y="4215"/>
                                  <a:ext cx="2355" cy="141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A3B8B" w:rsidRDefault="00EA3B8B" w:rsidP="00B624E7">
                                    <w:pPr>
                                      <w:spacing w:after="0" w:line="240" w:lineRule="auto"/>
                                      <w:rPr>
                                        <w:b/>
                                        <w:sz w:val="20"/>
                                        <w:szCs w:val="20"/>
                                      </w:rPr>
                                    </w:pPr>
                                    <w:r>
                                      <w:rPr>
                                        <w:b/>
                                        <w:sz w:val="20"/>
                                        <w:szCs w:val="20"/>
                                      </w:rPr>
                                      <w:t>Ongoing Projects:</w:t>
                                    </w:r>
                                  </w:p>
                                  <w:p w:rsidR="00EA3B8B" w:rsidRDefault="00EA3B8B" w:rsidP="00B624E7">
                                    <w:pPr>
                                      <w:spacing w:after="0" w:line="240" w:lineRule="auto"/>
                                      <w:rPr>
                                        <w:sz w:val="20"/>
                                        <w:szCs w:val="20"/>
                                      </w:rPr>
                                    </w:pPr>
                                    <w:r w:rsidRPr="003E0B62">
                                      <w:rPr>
                                        <w:sz w:val="20"/>
                                        <w:szCs w:val="20"/>
                                      </w:rPr>
                                      <w:t>1</w:t>
                                    </w:r>
                                    <w:r>
                                      <w:rPr>
                                        <w:sz w:val="20"/>
                                        <w:szCs w:val="20"/>
                                      </w:rPr>
                                      <w:t>. PECM</w:t>
                                    </w:r>
                                  </w:p>
                                  <w:p w:rsidR="00EA3B8B" w:rsidRDefault="00EA3B8B" w:rsidP="00B624E7">
                                    <w:pPr>
                                      <w:spacing w:after="0" w:line="240" w:lineRule="auto"/>
                                      <w:rPr>
                                        <w:sz w:val="20"/>
                                        <w:szCs w:val="20"/>
                                      </w:rPr>
                                    </w:pPr>
                                    <w:r>
                                      <w:rPr>
                                        <w:sz w:val="20"/>
                                        <w:szCs w:val="20"/>
                                      </w:rPr>
                                      <w:t>2. CDMP</w:t>
                                    </w:r>
                                  </w:p>
                                  <w:p w:rsidR="00EA3B8B" w:rsidRDefault="00EA3B8B" w:rsidP="00B624E7">
                                    <w:pPr>
                                      <w:spacing w:after="0" w:line="240" w:lineRule="auto"/>
                                      <w:rPr>
                                        <w:sz w:val="20"/>
                                        <w:szCs w:val="20"/>
                                      </w:rPr>
                                    </w:pPr>
                                    <w:r>
                                      <w:rPr>
                                        <w:sz w:val="20"/>
                                        <w:szCs w:val="20"/>
                                      </w:rPr>
                                      <w:t>3. Early Recovery Facility</w:t>
                                    </w:r>
                                  </w:p>
                                  <w:p w:rsidR="00EA3B8B" w:rsidRPr="003E0B62" w:rsidRDefault="00EA3B8B" w:rsidP="00B624E7">
                                    <w:pPr>
                                      <w:spacing w:after="0" w:line="240" w:lineRule="auto"/>
                                      <w:rPr>
                                        <w:sz w:val="20"/>
                                        <w:szCs w:val="20"/>
                                      </w:rPr>
                                    </w:pPr>
                                  </w:p>
                                </w:txbxContent>
                              </wps:txbx>
                              <wps:bodyPr rot="0" vert="horz" wrap="square" lIns="91440" tIns="45720" rIns="91440" bIns="45720" anchor="t" anchorCtr="0" upright="1">
                                <a:noAutofit/>
                              </wps:bodyPr>
                            </wps:wsp>
                          </wpg:grpSp>
                        </wpg:grpSp>
                        <wpg:grpSp>
                          <wpg:cNvPr id="63" name="Group 69"/>
                          <wpg:cNvGrpSpPr>
                            <a:grpSpLocks/>
                          </wpg:cNvGrpSpPr>
                          <wpg:grpSpPr bwMode="auto">
                            <a:xfrm>
                              <a:off x="1440" y="1444"/>
                              <a:ext cx="9716" cy="2760"/>
                              <a:chOff x="1849" y="4946"/>
                              <a:chExt cx="9780" cy="2760"/>
                            </a:xfrm>
                          </wpg:grpSpPr>
                          <wpg:grpSp>
                            <wpg:cNvPr id="64" name="Group 68"/>
                            <wpg:cNvGrpSpPr>
                              <a:grpSpLocks/>
                            </wpg:cNvGrpSpPr>
                            <wpg:grpSpPr bwMode="auto">
                              <a:xfrm>
                                <a:off x="1849" y="4946"/>
                                <a:ext cx="9780" cy="2760"/>
                                <a:chOff x="1849" y="4946"/>
                                <a:chExt cx="9780" cy="2760"/>
                              </a:xfrm>
                            </wpg:grpSpPr>
                            <wps:wsp>
                              <wps:cNvPr id="65" name="Text Box 55"/>
                              <wps:cNvSpPr txBox="1">
                                <a:spLocks noChangeArrowheads="1"/>
                              </wps:cNvSpPr>
                              <wps:spPr bwMode="auto">
                                <a:xfrm>
                                  <a:off x="1849" y="4946"/>
                                  <a:ext cx="9780" cy="61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EA3B8B" w:rsidRPr="0019723E" w:rsidRDefault="00EA3B8B" w:rsidP="00B624E7">
                                    <w:pPr>
                                      <w:jc w:val="center"/>
                                      <w:rPr>
                                        <w:b/>
                                        <w:sz w:val="32"/>
                                        <w:szCs w:val="32"/>
                                      </w:rPr>
                                    </w:pPr>
                                    <w:r w:rsidRPr="0019723E">
                                      <w:rPr>
                                        <w:b/>
                                        <w:sz w:val="32"/>
                                        <w:szCs w:val="32"/>
                                      </w:rPr>
                                      <w:t>Country Programme: DRR - CCA</w:t>
                                    </w:r>
                                  </w:p>
                                </w:txbxContent>
                              </wps:txbx>
                              <wps:bodyPr rot="0" vert="horz" wrap="square" lIns="91440" tIns="45720" rIns="91440" bIns="45720" anchor="t" anchorCtr="0" upright="1">
                                <a:noAutofit/>
                              </wps:bodyPr>
                            </wps:wsp>
                            <wps:wsp>
                              <wps:cNvPr id="66" name="AutoShape 56"/>
                              <wps:cNvSpPr>
                                <a:spLocks noChangeArrowheads="1"/>
                              </wps:cNvSpPr>
                              <wps:spPr bwMode="auto">
                                <a:xfrm>
                                  <a:off x="1984" y="5576"/>
                                  <a:ext cx="9210" cy="585"/>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EA3B8B" w:rsidRPr="0019723E" w:rsidRDefault="00EA3B8B" w:rsidP="00B624E7">
                                    <w:pPr>
                                      <w:jc w:val="center"/>
                                      <w:rPr>
                                        <w:sz w:val="28"/>
                                        <w:szCs w:val="28"/>
                                      </w:rPr>
                                    </w:pPr>
                                    <w:r>
                                      <w:rPr>
                                        <w:b/>
                                      </w:rPr>
                                      <w:t>Outcome 1: Vulnerable Populations are Resilient to A</w:t>
                                    </w:r>
                                    <w:r w:rsidRPr="0075441A">
                                      <w:rPr>
                                        <w:b/>
                                      </w:rPr>
                                      <w:t>daptwith the Disaster and Climate</w:t>
                                    </w:r>
                                    <w:r>
                                      <w:rPr>
                                        <w:b/>
                                      </w:rPr>
                                      <w:t>R</w:t>
                                    </w:r>
                                    <w:r w:rsidRPr="0075441A">
                                      <w:rPr>
                                        <w:b/>
                                      </w:rPr>
                                      <w:t>isk</w:t>
                                    </w:r>
                                  </w:p>
                                </w:txbxContent>
                              </wps:txbx>
                              <wps:bodyPr rot="0" vert="horz" wrap="square" lIns="91440" tIns="45720" rIns="91440" bIns="45720" anchor="t" anchorCtr="0" upright="1">
                                <a:noAutofit/>
                              </wps:bodyPr>
                            </wps:wsp>
                            <wps:wsp>
                              <wps:cNvPr id="67" name="Text Box 57"/>
                              <wps:cNvSpPr txBox="1">
                                <a:spLocks noChangeArrowheads="1"/>
                              </wps:cNvSpPr>
                              <wps:spPr bwMode="auto">
                                <a:xfrm>
                                  <a:off x="1954" y="6521"/>
                                  <a:ext cx="2143" cy="117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A3B8B" w:rsidRPr="00BB12E2" w:rsidRDefault="00EA3B8B" w:rsidP="00B624E7">
                                    <w:pPr>
                                      <w:spacing w:after="0" w:line="240" w:lineRule="auto"/>
                                      <w:jc w:val="center"/>
                                      <w:rPr>
                                        <w:b/>
                                        <w:sz w:val="20"/>
                                        <w:szCs w:val="20"/>
                                      </w:rPr>
                                    </w:pPr>
                                    <w:r w:rsidRPr="00BB12E2">
                                      <w:rPr>
                                        <w:b/>
                                        <w:sz w:val="20"/>
                                        <w:szCs w:val="20"/>
                                      </w:rPr>
                                      <w:t xml:space="preserve">Output 1.1: </w:t>
                                    </w:r>
                                  </w:p>
                                  <w:p w:rsidR="00EA3B8B" w:rsidRPr="00BB12E2" w:rsidRDefault="00EA3B8B" w:rsidP="00B624E7">
                                    <w:pPr>
                                      <w:spacing w:after="0" w:line="240" w:lineRule="auto"/>
                                      <w:jc w:val="center"/>
                                      <w:rPr>
                                        <w:b/>
                                        <w:sz w:val="20"/>
                                        <w:szCs w:val="20"/>
                                      </w:rPr>
                                    </w:pPr>
                                    <w:r w:rsidRPr="00BB12E2">
                                      <w:rPr>
                                        <w:b/>
                                        <w:sz w:val="20"/>
                                        <w:szCs w:val="20"/>
                                      </w:rPr>
                                      <w:t>DRR-CCA integrated into sectoral policies</w:t>
                                    </w:r>
                                  </w:p>
                                </w:txbxContent>
                              </wps:txbx>
                              <wps:bodyPr rot="0" vert="horz" wrap="square" lIns="91440" tIns="45720" rIns="91440" bIns="45720" anchor="t" anchorCtr="0" upright="1">
                                <a:noAutofit/>
                              </wps:bodyPr>
                            </wps:wsp>
                            <wps:wsp>
                              <wps:cNvPr id="68" name="Text Box 58"/>
                              <wps:cNvSpPr txBox="1">
                                <a:spLocks noChangeArrowheads="1"/>
                              </wps:cNvSpPr>
                              <wps:spPr bwMode="auto">
                                <a:xfrm>
                                  <a:off x="4097" y="6536"/>
                                  <a:ext cx="2503" cy="117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A3B8B" w:rsidRPr="00BB12E2" w:rsidRDefault="00EA3B8B" w:rsidP="00B624E7">
                                    <w:pPr>
                                      <w:spacing w:after="0" w:line="240" w:lineRule="auto"/>
                                      <w:jc w:val="center"/>
                                      <w:rPr>
                                        <w:b/>
                                        <w:sz w:val="20"/>
                                        <w:szCs w:val="20"/>
                                      </w:rPr>
                                    </w:pPr>
                                    <w:r w:rsidRPr="00BB12E2">
                                      <w:rPr>
                                        <w:b/>
                                        <w:sz w:val="20"/>
                                        <w:szCs w:val="20"/>
                                      </w:rPr>
                                      <w:t xml:space="preserve">Output 1.2: </w:t>
                                    </w:r>
                                  </w:p>
                                  <w:p w:rsidR="00EA3B8B" w:rsidRPr="00BB12E2" w:rsidRDefault="00EA3B8B" w:rsidP="00B624E7">
                                    <w:pPr>
                                      <w:spacing w:after="0" w:line="240" w:lineRule="auto"/>
                                      <w:jc w:val="center"/>
                                      <w:rPr>
                                        <w:b/>
                                        <w:sz w:val="20"/>
                                        <w:szCs w:val="20"/>
                                      </w:rPr>
                                    </w:pPr>
                                    <w:r w:rsidRPr="00BB12E2">
                                      <w:rPr>
                                        <w:b/>
                                        <w:sz w:val="20"/>
                                        <w:szCs w:val="20"/>
                                      </w:rPr>
                                      <w:t>Community have greater capacity on DRR-CCA</w:t>
                                    </w:r>
                                  </w:p>
                                </w:txbxContent>
                              </wps:txbx>
                              <wps:bodyPr rot="0" vert="horz" wrap="square" lIns="91440" tIns="45720" rIns="91440" bIns="45720" anchor="t" anchorCtr="0" upright="1">
                                <a:noAutofit/>
                              </wps:bodyPr>
                            </wps:wsp>
                            <wps:wsp>
                              <wps:cNvPr id="69" name="Text Box 59"/>
                              <wps:cNvSpPr txBox="1">
                                <a:spLocks noChangeArrowheads="1"/>
                              </wps:cNvSpPr>
                              <wps:spPr bwMode="auto">
                                <a:xfrm>
                                  <a:off x="6499" y="6536"/>
                                  <a:ext cx="2606" cy="117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A3B8B" w:rsidRPr="00BB12E2" w:rsidRDefault="00EA3B8B" w:rsidP="00B624E7">
                                    <w:pPr>
                                      <w:spacing w:after="0" w:line="240" w:lineRule="auto"/>
                                      <w:jc w:val="center"/>
                                      <w:rPr>
                                        <w:b/>
                                        <w:sz w:val="20"/>
                                        <w:szCs w:val="20"/>
                                      </w:rPr>
                                    </w:pPr>
                                    <w:r w:rsidRPr="00BB12E2">
                                      <w:rPr>
                                        <w:b/>
                                        <w:sz w:val="20"/>
                                        <w:szCs w:val="20"/>
                                      </w:rPr>
                                      <w:t xml:space="preserve">Output 1.3: </w:t>
                                    </w:r>
                                  </w:p>
                                  <w:p w:rsidR="00EA3B8B" w:rsidRPr="00BB12E2" w:rsidRDefault="00EA3B8B" w:rsidP="00B624E7">
                                    <w:pPr>
                                      <w:spacing w:after="0" w:line="240" w:lineRule="auto"/>
                                      <w:jc w:val="center"/>
                                      <w:rPr>
                                        <w:b/>
                                        <w:sz w:val="20"/>
                                        <w:szCs w:val="20"/>
                                      </w:rPr>
                                    </w:pPr>
                                    <w:r w:rsidRPr="00BB12E2">
                                      <w:rPr>
                                        <w:b/>
                                        <w:sz w:val="20"/>
                                        <w:szCs w:val="20"/>
                                      </w:rPr>
                                      <w:t>Capacity enhanced to respond emergencies &amp; early recovery</w:t>
                                    </w:r>
                                  </w:p>
                                </w:txbxContent>
                              </wps:txbx>
                              <wps:bodyPr rot="0" vert="horz" wrap="square" lIns="91440" tIns="45720" rIns="91440" bIns="45720" anchor="t" anchorCtr="0" upright="1">
                                <a:noAutofit/>
                              </wps:bodyPr>
                            </wps:wsp>
                            <wps:wsp>
                              <wps:cNvPr id="70" name="Text Box 60"/>
                              <wps:cNvSpPr txBox="1">
                                <a:spLocks noChangeArrowheads="1"/>
                              </wps:cNvSpPr>
                              <wps:spPr bwMode="auto">
                                <a:xfrm>
                                  <a:off x="8974" y="6536"/>
                                  <a:ext cx="2591" cy="117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A3B8B" w:rsidRPr="00BB12E2" w:rsidRDefault="00EA3B8B" w:rsidP="00B624E7">
                                    <w:pPr>
                                      <w:spacing w:after="0" w:line="240" w:lineRule="auto"/>
                                      <w:jc w:val="center"/>
                                      <w:rPr>
                                        <w:b/>
                                        <w:sz w:val="20"/>
                                        <w:szCs w:val="20"/>
                                      </w:rPr>
                                    </w:pPr>
                                    <w:r w:rsidRPr="00BB12E2">
                                      <w:rPr>
                                        <w:b/>
                                        <w:sz w:val="20"/>
                                        <w:szCs w:val="20"/>
                                      </w:rPr>
                                      <w:t xml:space="preserve">Output 1.3: </w:t>
                                    </w:r>
                                  </w:p>
                                  <w:p w:rsidR="00EA3B8B" w:rsidRPr="00BB12E2" w:rsidRDefault="00EA3B8B" w:rsidP="00B624E7">
                                    <w:pPr>
                                      <w:spacing w:after="0" w:line="240" w:lineRule="auto"/>
                                      <w:jc w:val="center"/>
                                      <w:rPr>
                                        <w:b/>
                                        <w:sz w:val="20"/>
                                        <w:szCs w:val="20"/>
                                      </w:rPr>
                                    </w:pPr>
                                    <w:r>
                                      <w:rPr>
                                        <w:b/>
                                        <w:sz w:val="20"/>
                                        <w:szCs w:val="20"/>
                                      </w:rPr>
                                      <w:t>Access to knowledge for decision making</w:t>
                                    </w:r>
                                  </w:p>
                                </w:txbxContent>
                              </wps:txbx>
                              <wps:bodyPr rot="0" vert="horz" wrap="square" lIns="91440" tIns="45720" rIns="91440" bIns="45720" anchor="t" anchorCtr="0" upright="1">
                                <a:noAutofit/>
                              </wps:bodyPr>
                            </wps:wsp>
                            <wps:wsp>
                              <wps:cNvPr id="71" name="AutoShape 61"/>
                              <wps:cNvCnPr>
                                <a:cxnSpLocks noChangeShapeType="1"/>
                              </wps:cNvCnPr>
                              <wps:spPr bwMode="auto">
                                <a:xfrm>
                                  <a:off x="1849" y="6369"/>
                                  <a:ext cx="895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62"/>
                              <wps:cNvCnPr>
                                <a:cxnSpLocks noChangeShapeType="1"/>
                                <a:stCxn id="58" idx="2"/>
                              </wps:cNvCnPr>
                              <wps:spPr bwMode="auto">
                                <a:xfrm>
                                  <a:off x="6589" y="6161"/>
                                  <a:ext cx="5" cy="1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63"/>
                              <wps:cNvCnPr>
                                <a:cxnSpLocks noChangeShapeType="1"/>
                                <a:endCxn id="60" idx="0"/>
                              </wps:cNvCnPr>
                              <wps:spPr bwMode="auto">
                                <a:xfrm flipH="1">
                                  <a:off x="5349" y="6369"/>
                                  <a:ext cx="10" cy="1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wpc:wpc>
                  </a:graphicData>
                </a:graphic>
                <wp14:sizeRelH relativeFrom="page">
                  <wp14:pctWidth>0</wp14:pctWidth>
                </wp14:sizeRelH>
                <wp14:sizeRelV relativeFrom="page">
                  <wp14:pctHeight>0</wp14:pctHeight>
                </wp14:sizeRelV>
              </wp:anchor>
            </w:drawing>
          </mc:Choice>
          <mc:Fallback>
            <w:pict>
              <v:group w14:anchorId="3F052CFC" id="Canvas 40" o:spid="_x0000_s1027" editas="canvas" style="position:absolute;left:0;text-align:left;margin-left:.4pt;margin-top:28.15pt;width:485.8pt;height:323.25pt;z-index:-251650048" coordsize="61696,4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iFDgoAANJgAAAOAAAAZHJzL2Uyb0RvYy54bWzsXd9zo8gRfk9V/geKd6/Eb1Ct9mpP9m5S&#10;dZdsZTeV5zEgiQQBAWxpL5X/Pd09MIBG8kqOheyr8YMtAcP09PR80/1Nz/j9T7tNqj3GZZXk2Vw3&#10;3k11Lc7CPEqy1Vz/+7dPN76uVTXLIpbmWTzXv8eV/tOHP/7h/baYxWa+ztMoLjV4SVbNtsVcX9d1&#10;MZtMqnAdb1j1Li/iDG4u83LDavhariZRybbw9k06MadTd7LNy6go8zCuKrh6y2/qH+j9y2Uc1n9d&#10;Lqu41tK5DrLV9Luk3/f4e/LhPZutSlask7ARgz1Dig1LMqhUvOqW1Ux7KBPpVZskLPMqX9bvwnwz&#10;yZfLJIypDdAaY7rXmgXLHllFjQlBO62A8OkF33u/Qrmz/FOSpqCNCbx9htfw7xb6J8bbaaZtoXuD&#10;qQNKDBl01DJlNXzcFNFcr7KVrrF0BRYQ1iXpocrTJMJXYumqXN0v0lJ7ZNgL9IOKn8Cd/mNFWdW3&#10;rFrz5+gW759NUoORpMlmrvuiNJutYxbdZZFWfy/AsjKwLx2l3MSRrqUxCIOfqINrlqSnPAkSpVmj&#10;g6bt2wIMsyqEiVb/n+q/rlkRU49Ws/Avj19KLQEF2jBKMraBVnx8qHN6RnMdlB2rh+cW2ZcSNRnu&#10;sq/FL3n4r0rL8sWaZauYnv5GKjBIq4Mi+KUqoJr77a95BBUwqIB6aLcsN/hKsEFtN9cdF1TrObr2&#10;fa4Hhm1Pm7ER72othPuWgTdDuGuYpuOQcKCu9i3Yd5/jfKPhB7CIumTJal0v8iyDMZiXBtXJHn+p&#10;at7zbQEUQRhfa2iBYzpUYGAfJ5pRmT9kEXV7YyAHTKAuE9BdesRgGjNgM2g8CIwiohpoPP8nmAZ3&#10;/p1v39ime3djT29vbz5+Wtg37ifQ0K11u1jcGv9F4Q17tk6iKM5wGLTYYtin2U+DchwVBLoIRU2G&#10;b6exBCK2f0loGMm877kV3efR9y8lKh+vg0nzy5e37eCAbduj2rblTU1CLrBeP7CnvrJtZdvvzpqK&#10;D+M2zoYSbruj2jagtgFYjbDt+940IGDmeKVg+/cK26vZdtW5JOBp77nNZ5n2Z5gwC5iwtsWq55I4&#10;RmvadF/zCDObZz6XxVdwKnBiXOFH8kj41ELvEPfxeXriBA+EG7Hp2Hvo7Bpu4Lrod4KN22jt4BzQ&#10;nB6uwblH5wX9FRoC8IGmFvCU1neN5xJ4hssLu5Yx9FtgKhTycQWQsJIuzKEubIsP8WFbX1IXhuOA&#10;zNheww94Y9EDwREdOEajC8vhnYKNbRXh2NyFsyE4apUkFCGVFA7cqYqw9hTRzOOXVETjkzoB9zk7&#10;aAtsmMe5R+rzfh0oQirXswip5FFFjOD8O3ar1G/Yxz/nOw06EQy8ceRxpGn1Dq6DoXOveC8E+FiW&#10;+RadXQhOBjEAH6StH/jDGMBwJKW1VmfioBsoW6iMzVpfvnH+S/D4Sc4j7v7QqcdIPxbRIQvDOKst&#10;Kp4+bCBm4dEgjHr44RYN19HceTSJl0AUIgzwNfxbP6zksavl4zSJiPVU9WnNNdyvOnCeW/PTcStB&#10;WBOZ8kZg7An2TbRFE3fkDxD6fl1HWy1KMLAyfSuAYDFKgMOw/Kk7Dbx+6K2Vef2PpF6Tu4L8BjX4&#10;NBVjM49pmM1YWqwZ17l4UNK7kJYHIl1D9mKRene/o8CXrBXtk0cnKD5KjYwSfFjn5W8Q0gM7AxHl&#10;vx9YCfFa+ucMrJwiVKBz6IvteCaUKft37vt3WBbCq+Y6EBb846LmFNBDUWKU2o6rLMfwe5lQiNpJ&#10;NXrIBEjXuJUdIvS9yvEQwfKAhsB5SIZf01KIAHzFeVikEAHmhkPshEAEs535FCL0vXHwBnmg2SGC&#10;12oK+MHxEME1G1dbIULPPVE+Ajoal/ERmmBL+QjgJnVLBg74ffuI4F8FEXzPAu9L+QjkDIiARSHC&#10;5RBBrB68FR+ho1eeYpnEIiBn3Gwifi7JuBkyW9TG+x3LZNgy3SaX65ErgmVqSwqmoFMDcocYYG0v&#10;vbLqiNUn4TgBaX8dckWi5lplw+JUS640yhYqO5tcgVwGWnc/yASsqoZWWFVakUMc/QRBIBMh7mGC&#10;AJaKOW8g0QGrCjGgrYvTBkcJCbk+oDAPERKUAoBd+IP6GsrojAqf1UCQQqg1TTJgGICPB9YWhYd5&#10;sQpZGkctL4ccMe8fFKvJqjA9eJDE7NNWgtHipAsnxmQlnS3zgP56zfGo3FZBPB2Iuy/lfQom9q3M&#10;NaPAKi7H7HmfsGB0DVi1PIszVLbZLgIIWLU6WIU1E44YRxJWfsRZt8NWwaqC1YNzj4JVWqY4lfgX&#10;dLaC1V5Q74pF985bFYTodWg+BasnOmLKW5WWcWUPTnmrEHKBI3Ipb1WsCShY7cOqyN/pYFWwyqPC&#10;KmToca5UwaqCVb45QpEA57FQ1yABxMLKW4HVjmml5JUmyfEJ8tndy+xzL08+yzmbbeDeZWyaHjAN&#10;NF92KY4+EOOUGhnYFEUMcz3bnMC2pGBSO5Vw8nmgk25dzRXZeJyFd5u+v2CKo9ygThH7zemnOMrl&#10;eiy8t1/yqCJGYOExiWifLhLE2qgTsCErTVa2u5cmfD0Snu+C6mcjnu1Bn0XCy/VdOKyRK3xWA0cl&#10;4V9A5jfDFsltvcb820xGKgVkkALiiqSwbtcobBsYsvC0rnSpfPHAh9kSMz8cr5mKBZia7S4Fxx/u&#10;uZDBFPdr/m2QM45Cr6JmymDRP3VtuUlhXzakfGuG67oU5sKYpwRzohzbFHQq+VJLoC6tyo2HvnJ9&#10;F0ZfucLXj74vIPMAfZ/cLszXjMbMy5ebdw3A5ctlXQq8Ssyn7QoAPJIfKyi3cf3YALcNAfS6jkkL&#10;r92+KNOA/Wl8q47BN4gJ11/G3gHscmu/CJTKO3qehTQnZ5PI9V0YSuUKn9XAUR3ZF5B5AKWvOZtE&#10;butVcFUkSbwVJmmcdBKR+tgR9IJzGxVXbdpQR7hq7bm0pjNVuCoPI4Wr0rqnrKSz5wKFq2elkxgi&#10;S0Lhan/h80D2s+BSRsVV1w44a+86Eq660+Z8BkP5q92Od4WrCldxe7HYUXQVf1WkSShc7eEqhNX7&#10;PABfp0RveVRc9QOv5QEkXHUCSCekE/sUrnbDSOGqwtXr4+qb28I4Cg/gifznbkULcqK7Fa3Ln4Mq&#10;EgRci+fAdMSqD3t6G0BFkY6zqq/29NPBcoY62/SMo5gPn//oicTSnr2KUBQcgTPsFQ6mqhe7jNYZ&#10;HODDkgjO+6J3QeZS7xBg/FKdcqKv68DRcbREYPAx1Flyu9s0IPfuDRpyc+azOsZ3tGN8PZEg2DN1&#10;ER2ca+pxFrW2jlsJydb5Dr0zbF1bpknxp/bwrvYca6tJD5Txu81IMET+wJHNgK8Wv5XZ906v7hI6&#10;hzmudB3OR6WrIZ6bT3M17ODEQ/7xZP7+d3pqFrf/iuDD/wAAAP//AwBQSwMEFAAGAAgAAAAhAAzN&#10;8iHgAAAABwEAAA8AAABkcnMvZG93bnJldi54bWxMzs1OwzAQBOA7Eu9gLRI3ahOgPyGbCoEQB6q2&#10;tCBxdOMliYjXUewm6dtjTnBczWrmy5ajbURPna8dI1xPFAjiwpmaS4T3/fPVHIQPmo1uHBPCiTws&#10;8/OzTKfGDfxG/S6UIpawTzVCFUKbSumLiqz2E9cSx+zLdVaHeHalNJ0eYrltZKLUVFpdc1yodEuP&#10;FRXfu6NF2Hyunz5et5tqq4bVaf/SF3K9WCFeXowP9yACjeHvGX75kQ55NB3ckY0XDUJ0B4S76Q2I&#10;mC5myS2IA8JMJXOQeSb/+/MfAAAA//8DAFBLAQItABQABgAIAAAAIQC2gziS/gAAAOEBAAATAAAA&#10;AAAAAAAAAAAAAAAAAABbQ29udGVudF9UeXBlc10ueG1sUEsBAi0AFAAGAAgAAAAhADj9If/WAAAA&#10;lAEAAAsAAAAAAAAAAAAAAAAALwEAAF9yZWxzLy5yZWxzUEsBAi0AFAAGAAgAAAAhAFYteIUOCgAA&#10;0mAAAA4AAAAAAAAAAAAAAAAALgIAAGRycy9lMm9Eb2MueG1sUEsBAi0AFAAGAAgAAAAhAAzN8iHg&#10;AAAABwEAAA8AAAAAAAAAAAAAAAAAaAwAAGRycy9kb3ducmV2LnhtbFBLBQYAAAAABAAEAPMAAAB1&#10;DQAAAAA=&#10;">
                <v:shape id="_x0000_s1028" type="#_x0000_t75" style="position:absolute;width:61696;height:41052;visibility:visible;mso-wrap-style:square" stroked="t" strokeweight="1.5pt">
                  <v:fill o:detectmouseclick="t"/>
                  <v:path o:connecttype="none"/>
                </v:shape>
                <v:shapetype id="_x0000_t32" coordsize="21600,21600" o:spt="32" o:oned="t" path="m,l21600,21600e" filled="f">
                  <v:path arrowok="t" fillok="f" o:connecttype="none"/>
                  <o:lock v:ext="edit" shapetype="t"/>
                </v:shapetype>
                <v:shape id="AutoShape 65" o:spid="_x0000_s1029" type="#_x0000_t32" style="position:absolute;left:56800;top:9144;width:32;height:1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64" o:spid="_x0000_s1030" type="#_x0000_t32" style="position:absolute;left:37020;top:8940;width:32;height:1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66" o:spid="_x0000_s1031" type="#_x0000_t32" style="position:absolute;left:8001;top:8870;width:31;height:1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group id="Group 70" o:spid="_x0000_s1032" style="position:absolute;top:25;width:61696;height:40100" coordorigin="1440,1444" coordsize="9716,6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43" o:spid="_x0000_s1033" style="position:absolute;left:1556;top:4189;width:9510;height:3570" coordorigin="1545,4200" coordsize="9510,3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44" o:spid="_x0000_s1034" style="position:absolute;left:1575;top:5955;width:9480;height:1815" coordorigin="1575,5955" coordsize="9480,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45" o:spid="_x0000_s1035" type="#_x0000_t202" style="position:absolute;left:1575;top:5955;width:2025;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5e8cA&#10;AADbAAAADwAAAGRycy9kb3ducmV2LnhtbESPQWvCQBSE74L/YXlCL0U3tlUkdRUpbSm0PdQo9vjM&#10;PrPR7NuQ3Zr477uFgsdhZr5h5svOVuJMjS8dKxiPEhDEudMlFwo22ctwBsIHZI2VY1JwIQ/LRb83&#10;x1S7lr/ovA6FiBD2KSowIdSplD43ZNGPXE0cvYNrLIYom0LqBtsIt5W8S5KptFhyXDBY05Oh/LT+&#10;sQqyV9N+nPbbz/fn++NtMdkdL/o7U+pm0K0eQQTqwjX8337TCiYP8Pcl/gC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cuXvHAAAA2wAAAA8AAAAAAAAAAAAAAAAAmAIAAGRy&#10;cy9kb3ducmV2LnhtbFBLBQYAAAAABAAEAPUAAACMAwAAAAA=&#10;" fillcolor="#9bbb59 [3206]" strokecolor="#f2f2f2 [3041]" strokeweight="3pt">
                        <v:shadow on="t" color="#4e6128 [1606]" opacity=".5" offset="1pt"/>
                        <v:textbox>
                          <w:txbxContent>
                            <w:p w:rsidR="00EA3B8B" w:rsidRPr="007C6CAE" w:rsidRDefault="00EA3B8B" w:rsidP="00B624E7">
                              <w:pPr>
                                <w:spacing w:after="0" w:line="240" w:lineRule="auto"/>
                                <w:rPr>
                                  <w:b/>
                                  <w:i/>
                                </w:rPr>
                              </w:pPr>
                              <w:r w:rsidRPr="007C6CAE">
                                <w:rPr>
                                  <w:b/>
                                  <w:i/>
                                </w:rPr>
                                <w:t>Key Milestones:</w:t>
                              </w:r>
                            </w:p>
                            <w:p w:rsidR="00EA3B8B" w:rsidRPr="00995EC0" w:rsidRDefault="00EA3B8B" w:rsidP="00B624E7">
                              <w:pPr>
                                <w:spacing w:after="0" w:line="240" w:lineRule="auto"/>
                                <w:rPr>
                                  <w:i/>
                                  <w:sz w:val="20"/>
                                  <w:szCs w:val="20"/>
                                </w:rPr>
                              </w:pPr>
                              <w:r w:rsidRPr="00995EC0">
                                <w:rPr>
                                  <w:i/>
                                  <w:sz w:val="20"/>
                                  <w:szCs w:val="20"/>
                                </w:rPr>
                                <w:t xml:space="preserve">1. GoB revised DPP/ </w:t>
                              </w:r>
                            </w:p>
                            <w:p w:rsidR="00EA3B8B" w:rsidRPr="00995EC0" w:rsidRDefault="00EA3B8B" w:rsidP="00B624E7">
                              <w:pPr>
                                <w:spacing w:after="0" w:line="240" w:lineRule="auto"/>
                                <w:rPr>
                                  <w:i/>
                                  <w:sz w:val="20"/>
                                  <w:szCs w:val="20"/>
                                </w:rPr>
                              </w:pPr>
                              <w:r w:rsidRPr="00995EC0">
                                <w:rPr>
                                  <w:i/>
                                  <w:sz w:val="20"/>
                                  <w:szCs w:val="20"/>
                                </w:rPr>
                                <w:t xml:space="preserve">    TAPP</w:t>
                              </w:r>
                            </w:p>
                            <w:p w:rsidR="00EA3B8B" w:rsidRPr="00995EC0" w:rsidRDefault="00EA3B8B" w:rsidP="00B624E7">
                              <w:pPr>
                                <w:spacing w:after="0" w:line="240" w:lineRule="auto"/>
                                <w:rPr>
                                  <w:i/>
                                  <w:sz w:val="20"/>
                                  <w:szCs w:val="20"/>
                                </w:rPr>
                              </w:pPr>
                              <w:r w:rsidRPr="00995EC0">
                                <w:rPr>
                                  <w:i/>
                                  <w:sz w:val="20"/>
                                  <w:szCs w:val="20"/>
                                </w:rPr>
                                <w:t xml:space="preserve">2. Climate Fiscal </w:t>
                              </w:r>
                            </w:p>
                            <w:p w:rsidR="00EA3B8B" w:rsidRPr="00995EC0" w:rsidRDefault="00EA3B8B" w:rsidP="00B624E7">
                              <w:pPr>
                                <w:spacing w:after="0" w:line="240" w:lineRule="auto"/>
                                <w:rPr>
                                  <w:i/>
                                  <w:sz w:val="20"/>
                                  <w:szCs w:val="20"/>
                                </w:rPr>
                              </w:pPr>
                              <w:r w:rsidRPr="00995EC0">
                                <w:rPr>
                                  <w:i/>
                                  <w:sz w:val="20"/>
                                  <w:szCs w:val="20"/>
                                </w:rPr>
                                <w:t xml:space="preserve">     Framework</w:t>
                              </w:r>
                            </w:p>
                          </w:txbxContent>
                        </v:textbox>
                      </v:shape>
                      <v:shape id="Text Box 46" o:spid="_x0000_s1036" type="#_x0000_t202" style="position:absolute;left:3765;top:5955;width:2325;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Ac4McA&#10;AADbAAAADwAAAGRycy9kb3ducmV2LnhtbESPQWvCQBSE74L/YXlCL1I3WlJKdJVStBSsh5qWenzN&#10;vmaj2bchuzXx33eFQo/DzHzDLFa9rcWZWl85VjCdJCCIC6crLhW855vbBxA+IGusHZOCC3lYLYeD&#10;BWbadfxG530oRYSwz1CBCaHJpPSFIYt+4hri6H271mKIsi2lbrGLcFvLWZLcS4sVxwWDDT0ZKk77&#10;H6sgfzbd6+nrY7dd3x3HZfp5vOhDrtTNqH+cgwjUh//wX/tFK0hTuH6JP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QHODHAAAA2wAAAA8AAAAAAAAAAAAAAAAAmAIAAGRy&#10;cy9kb3ducmV2LnhtbFBLBQYAAAAABAAEAPUAAACMAwAAAAA=&#10;" fillcolor="#9bbb59 [3206]" strokecolor="#f2f2f2 [3041]" strokeweight="3pt">
                        <v:shadow on="t" color="#4e6128 [1606]" opacity=".5" offset="1pt"/>
                        <v:textbox>
                          <w:txbxContent>
                            <w:p w:rsidR="00EA3B8B" w:rsidRPr="007C6CAE" w:rsidRDefault="00EA3B8B" w:rsidP="00B624E7">
                              <w:pPr>
                                <w:spacing w:after="0" w:line="240" w:lineRule="auto"/>
                                <w:rPr>
                                  <w:b/>
                                  <w:i/>
                                </w:rPr>
                              </w:pPr>
                              <w:r w:rsidRPr="007C6CAE">
                                <w:rPr>
                                  <w:b/>
                                  <w:i/>
                                </w:rPr>
                                <w:t>Key Milestones:</w:t>
                              </w:r>
                            </w:p>
                            <w:p w:rsidR="00EA3B8B" w:rsidRPr="00995EC0" w:rsidRDefault="00EA3B8B" w:rsidP="00B624E7">
                              <w:pPr>
                                <w:spacing w:after="0" w:line="240" w:lineRule="auto"/>
                                <w:rPr>
                                  <w:i/>
                                  <w:sz w:val="16"/>
                                  <w:szCs w:val="16"/>
                                </w:rPr>
                              </w:pPr>
                              <w:r w:rsidRPr="00995EC0">
                                <w:rPr>
                                  <w:i/>
                                  <w:sz w:val="16"/>
                                  <w:szCs w:val="16"/>
                                </w:rPr>
                                <w:t>LDCF supported ‘integrating community based adaptation into afforestation and reforestation programmes’ by up-scaling and replicating lessons from CBA through coastal afforestation project.</w:t>
                              </w:r>
                            </w:p>
                          </w:txbxContent>
                        </v:textbox>
                      </v:shape>
                      <v:shape id="Text Box 47" o:spid="_x0000_s1037" type="#_x0000_t202" style="position:absolute;left:6240;top:5955;width:2325;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Cl8cA&#10;AADbAAAADwAAAGRycy9kb3ducmV2LnhtbESPQWvCQBSE7wX/w/IKvRTdtEWR1FWktEXQHjSKHl+z&#10;r9lo9m3Irib++26h4HGYmW+YyayzlbhQ40vHCp4GCQji3OmSCwXb7KM/BuEDssbKMSm4kofZtHc3&#10;wVS7ltd02YRCRAj7FBWYEOpUSp8bsugHriaO3o9rLIYom0LqBtsIt5V8TpKRtFhyXDBY05uh/LQ5&#10;WwXZp2lXp+/d1/L95fhYDPfHqz5kSj3cd/NXEIG6cAv/txdawXAEf1/iD5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CgpfHAAAA2wAAAA8AAAAAAAAAAAAAAAAAmAIAAGRy&#10;cy9kb3ducmV2LnhtbFBLBQYAAAAABAAEAPUAAACMAwAAAAA=&#10;" fillcolor="#9bbb59 [3206]" strokecolor="#f2f2f2 [3041]" strokeweight="3pt">
                        <v:shadow on="t" color="#4e6128 [1606]" opacity=".5" offset="1pt"/>
                        <v:textbox>
                          <w:txbxContent>
                            <w:p w:rsidR="00EA3B8B" w:rsidRPr="007C6CAE" w:rsidRDefault="00EA3B8B" w:rsidP="00B624E7">
                              <w:pPr>
                                <w:spacing w:after="0" w:line="240" w:lineRule="auto"/>
                                <w:rPr>
                                  <w:b/>
                                  <w:i/>
                                </w:rPr>
                              </w:pPr>
                              <w:r w:rsidRPr="007C6CAE">
                                <w:rPr>
                                  <w:b/>
                                  <w:i/>
                                </w:rPr>
                                <w:t>Key Milestones:</w:t>
                              </w:r>
                            </w:p>
                            <w:p w:rsidR="00EA3B8B" w:rsidRPr="00995EC0" w:rsidRDefault="00EA3B8B" w:rsidP="00B624E7">
                              <w:pPr>
                                <w:spacing w:after="0" w:line="240" w:lineRule="auto"/>
                                <w:rPr>
                                  <w:i/>
                                  <w:sz w:val="20"/>
                                  <w:szCs w:val="20"/>
                                </w:rPr>
                              </w:pPr>
                              <w:r w:rsidRPr="00995EC0">
                                <w:rPr>
                                  <w:i/>
                                  <w:sz w:val="20"/>
                                  <w:szCs w:val="20"/>
                                </w:rPr>
                                <w:t>Effective Humanitarian architecture adopted and in operation by stakeholders</w:t>
                              </w:r>
                            </w:p>
                          </w:txbxContent>
                        </v:textbox>
                      </v:shape>
                      <v:shape id="Text Box 48" o:spid="_x0000_s1038" type="#_x0000_t202" style="position:absolute;left:8730;top:5955;width:2325;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4nDMcA&#10;AADbAAAADwAAAGRycy9kb3ducmV2LnhtbESPQWvCQBSE7wX/w/IEL6VutNhK6ipS2iLYHmos7fGZ&#10;fWaj2bchu5r477tCocdhZr5hZovOVuJMjS8dKxgNExDEudMlFwq22evdFIQPyBorx6TgQh4W897N&#10;DFPtWv6k8yYUIkLYp6jAhFCnUvrckEU/dDVx9PausRiibAqpG2wj3FZynCQP0mLJccFgTc+G8uPm&#10;ZBVkb6Z9P+6+PtYv94fbYvJ9uOifTKlBv1s+gQjUhf/wX3ulFUwe4fol/gA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OJwzHAAAA2wAAAA8AAAAAAAAAAAAAAAAAmAIAAGRy&#10;cy9kb3ducmV2LnhtbFBLBQYAAAAABAAEAPUAAACMAwAAAAA=&#10;" fillcolor="#9bbb59 [3206]" strokecolor="#f2f2f2 [3041]" strokeweight="3pt">
                        <v:shadow on="t" color="#4e6128 [1606]" opacity=".5" offset="1pt"/>
                        <v:textbox>
                          <w:txbxContent>
                            <w:p w:rsidR="00EA3B8B" w:rsidRPr="007C6CAE" w:rsidRDefault="00EA3B8B" w:rsidP="00B624E7">
                              <w:pPr>
                                <w:spacing w:after="0" w:line="240" w:lineRule="auto"/>
                                <w:rPr>
                                  <w:b/>
                                  <w:i/>
                                </w:rPr>
                              </w:pPr>
                              <w:r w:rsidRPr="007C6CAE">
                                <w:rPr>
                                  <w:b/>
                                  <w:i/>
                                </w:rPr>
                                <w:t>Key Milestones:</w:t>
                              </w:r>
                            </w:p>
                            <w:p w:rsidR="00EA3B8B" w:rsidRPr="00995EC0" w:rsidRDefault="00EA3B8B" w:rsidP="00B624E7">
                              <w:pPr>
                                <w:spacing w:after="0" w:line="240" w:lineRule="auto"/>
                                <w:rPr>
                                  <w:i/>
                                  <w:sz w:val="20"/>
                                  <w:szCs w:val="20"/>
                                </w:rPr>
                              </w:pPr>
                              <w:r w:rsidRPr="00995EC0">
                                <w:rPr>
                                  <w:i/>
                                  <w:sz w:val="20"/>
                                  <w:szCs w:val="20"/>
                                </w:rPr>
                                <w:t xml:space="preserve">1. Climate &amp; Disaster </w:t>
                              </w:r>
                            </w:p>
                            <w:p w:rsidR="00EA3B8B" w:rsidRPr="00995EC0" w:rsidRDefault="00EA3B8B" w:rsidP="00B624E7">
                              <w:pPr>
                                <w:spacing w:after="0" w:line="240" w:lineRule="auto"/>
                                <w:rPr>
                                  <w:i/>
                                  <w:sz w:val="20"/>
                                  <w:szCs w:val="20"/>
                                </w:rPr>
                              </w:pPr>
                              <w:r w:rsidRPr="00995EC0">
                                <w:rPr>
                                  <w:i/>
                                  <w:sz w:val="20"/>
                                  <w:szCs w:val="20"/>
                                </w:rPr>
                                <w:t xml:space="preserve">    Vulnerability Index</w:t>
                              </w:r>
                            </w:p>
                            <w:p w:rsidR="00EA3B8B" w:rsidRPr="00995EC0" w:rsidRDefault="00EA3B8B" w:rsidP="00B624E7">
                              <w:pPr>
                                <w:spacing w:after="0" w:line="240" w:lineRule="auto"/>
                                <w:rPr>
                                  <w:i/>
                                  <w:sz w:val="20"/>
                                  <w:szCs w:val="20"/>
                                </w:rPr>
                              </w:pPr>
                              <w:r w:rsidRPr="00995EC0">
                                <w:rPr>
                                  <w:i/>
                                  <w:sz w:val="20"/>
                                  <w:szCs w:val="20"/>
                                </w:rPr>
                                <w:t>2. Resilience Framework</w:t>
                              </w:r>
                            </w:p>
                            <w:p w:rsidR="00EA3B8B" w:rsidRPr="00995EC0" w:rsidRDefault="00EA3B8B" w:rsidP="00B624E7">
                              <w:pPr>
                                <w:spacing w:after="0" w:line="240" w:lineRule="auto"/>
                                <w:rPr>
                                  <w:i/>
                                  <w:sz w:val="20"/>
                                  <w:szCs w:val="20"/>
                                </w:rPr>
                              </w:pPr>
                              <w:r w:rsidRPr="00995EC0">
                                <w:rPr>
                                  <w:i/>
                                  <w:sz w:val="20"/>
                                  <w:szCs w:val="20"/>
                                </w:rPr>
                                <w:t>3. Knowledge products</w:t>
                              </w:r>
                            </w:p>
                          </w:txbxContent>
                        </v:textbox>
                      </v:shape>
                    </v:group>
                    <v:group id="Group 49" o:spid="_x0000_s1039" style="position:absolute;left:1545;top:4200;width:9510;height:1425" coordorigin="1545,4200" coordsize="9510,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50" o:spid="_x0000_s1040" type="#_x0000_t202" style="position:absolute;left:1545;top:4200;width:2055;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lq8YA&#10;AADbAAAADwAAAGRycy9kb3ducmV2LnhtbESP3WoCMRSE7wXfIRyhd5qtoK1bo5SCWLAV6h/17nRz&#10;3F3cnGyTqNu3NwXBy2FmvmHG08ZU4kzOl5YVPPYSEMSZ1SXnCjbrWfcZhA/IGivLpOCPPEwn7dYY&#10;U20v/EXnVchFhLBPUUERQp1K6bOCDPqerYmjd7DOYIjS5VI7vES4qWQ/SYbSYMlxocCa3grKjquT&#10;UbDdjfj7Y5nMnWn48+n3sF/8HPdKPXSa1xcQgZpwD9/a71rBYAT/X+IP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flq8YAAADbAAAADwAAAAAAAAAAAAAAAACYAgAAZHJz&#10;L2Rvd25yZXYueG1sUEsFBgAAAAAEAAQA9QAAAIsDAAAAAA==&#10;" fillcolor="#95b3d7 [1940]" strokecolor="#95b3d7 [1940]" strokeweight="1pt">
                        <v:fill color2="#dbe5f1 [660]" angle="135" focus="50%" type="gradient"/>
                        <v:shadow on="t" color="#243f60 [1604]" opacity=".5" offset="1pt"/>
                        <v:textbox>
                          <w:txbxContent>
                            <w:p w:rsidR="00EA3B8B" w:rsidRDefault="00EA3B8B" w:rsidP="00B624E7">
                              <w:pPr>
                                <w:spacing w:after="0" w:line="240" w:lineRule="auto"/>
                                <w:rPr>
                                  <w:b/>
                                  <w:sz w:val="20"/>
                                  <w:szCs w:val="20"/>
                                </w:rPr>
                              </w:pPr>
                              <w:r>
                                <w:rPr>
                                  <w:b/>
                                  <w:sz w:val="20"/>
                                  <w:szCs w:val="20"/>
                                </w:rPr>
                                <w:t>Ongoing Projects:</w:t>
                              </w:r>
                            </w:p>
                            <w:p w:rsidR="00EA3B8B" w:rsidRDefault="00EA3B8B" w:rsidP="00B624E7">
                              <w:pPr>
                                <w:spacing w:after="0" w:line="240" w:lineRule="auto"/>
                                <w:rPr>
                                  <w:sz w:val="20"/>
                                  <w:szCs w:val="20"/>
                                </w:rPr>
                              </w:pPr>
                              <w:r w:rsidRPr="003E0B62">
                                <w:rPr>
                                  <w:sz w:val="20"/>
                                  <w:szCs w:val="20"/>
                                </w:rPr>
                                <w:t>1</w:t>
                              </w:r>
                              <w:r>
                                <w:rPr>
                                  <w:sz w:val="20"/>
                                  <w:szCs w:val="20"/>
                                </w:rPr>
                                <w:t>. CDMP</w:t>
                              </w:r>
                            </w:p>
                            <w:p w:rsidR="00EA3B8B" w:rsidRDefault="00EA3B8B" w:rsidP="00B624E7">
                              <w:pPr>
                                <w:spacing w:after="0" w:line="240" w:lineRule="auto"/>
                                <w:rPr>
                                  <w:sz w:val="20"/>
                                  <w:szCs w:val="20"/>
                                </w:rPr>
                              </w:pPr>
                              <w:r>
                                <w:rPr>
                                  <w:sz w:val="20"/>
                                  <w:szCs w:val="20"/>
                                </w:rPr>
                                <w:t>2. PECM</w:t>
                              </w:r>
                            </w:p>
                            <w:p w:rsidR="00EA3B8B" w:rsidRDefault="00EA3B8B" w:rsidP="00B624E7">
                              <w:pPr>
                                <w:spacing w:after="0" w:line="240" w:lineRule="auto"/>
                                <w:rPr>
                                  <w:sz w:val="20"/>
                                  <w:szCs w:val="20"/>
                                </w:rPr>
                              </w:pPr>
                              <w:r>
                                <w:rPr>
                                  <w:sz w:val="20"/>
                                  <w:szCs w:val="20"/>
                                </w:rPr>
                                <w:t xml:space="preserve">3. Coastal </w:t>
                              </w:r>
                            </w:p>
                            <w:p w:rsidR="00EA3B8B" w:rsidRPr="003E0B62" w:rsidRDefault="00EA3B8B" w:rsidP="00B624E7">
                              <w:pPr>
                                <w:spacing w:after="0" w:line="240" w:lineRule="auto"/>
                                <w:rPr>
                                  <w:sz w:val="20"/>
                                  <w:szCs w:val="20"/>
                                </w:rPr>
                              </w:pPr>
                              <w:r>
                                <w:rPr>
                                  <w:sz w:val="20"/>
                                  <w:szCs w:val="20"/>
                                </w:rPr>
                                <w:t xml:space="preserve">    Afforestation</w:t>
                              </w:r>
                            </w:p>
                          </w:txbxContent>
                        </v:textbox>
                      </v:shape>
                      <v:shape id="Text Box 51" o:spid="_x0000_s1041" type="#_x0000_t202" style="position:absolute;left:3735;top:4215;width:235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i8IA&#10;AADbAAAADwAAAGRycy9kb3ducmV2LnhtbERPy2oCMRTdF/yHcIXuakYXto5GEUEstBV8orvr5Doz&#10;OLkZk1THv28WBZeH8x5NGlOJGzlfWlbQ7SQgiDOrS84VbDfztw8QPiBrrCyTggd5mIxbLyNMtb3z&#10;im7rkIsYwj5FBUUIdSqlzwoy6Du2Jo7c2TqDIUKXS+3wHsNNJXtJ0pcGS44NBdY0Kyi7rH+Ngt1+&#10;wIfvZbJwpuGf9+v5+HW6HJV6bTfTIYhATXiK/92fWkE/ro9f4g+Q4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8YaLwgAAANsAAAAPAAAAAAAAAAAAAAAAAJgCAABkcnMvZG93&#10;bnJldi54bWxQSwUGAAAAAAQABAD1AAAAhwMAAAAA&#10;" fillcolor="#95b3d7 [1940]" strokecolor="#95b3d7 [1940]" strokeweight="1pt">
                        <v:fill color2="#dbe5f1 [660]" angle="135" focus="50%" type="gradient"/>
                        <v:shadow on="t" color="#243f60 [1604]" opacity=".5" offset="1pt"/>
                        <v:textbox>
                          <w:txbxContent>
                            <w:p w:rsidR="00EA3B8B" w:rsidRDefault="00EA3B8B" w:rsidP="00B624E7">
                              <w:pPr>
                                <w:spacing w:after="0" w:line="240" w:lineRule="auto"/>
                                <w:rPr>
                                  <w:b/>
                                  <w:sz w:val="20"/>
                                  <w:szCs w:val="20"/>
                                </w:rPr>
                              </w:pPr>
                              <w:r>
                                <w:rPr>
                                  <w:b/>
                                  <w:sz w:val="20"/>
                                  <w:szCs w:val="20"/>
                                </w:rPr>
                                <w:t>Ongoing Projects:</w:t>
                              </w:r>
                            </w:p>
                            <w:p w:rsidR="00EA3B8B" w:rsidRDefault="00EA3B8B" w:rsidP="00B624E7">
                              <w:pPr>
                                <w:spacing w:after="0" w:line="240" w:lineRule="auto"/>
                                <w:rPr>
                                  <w:sz w:val="20"/>
                                  <w:szCs w:val="20"/>
                                </w:rPr>
                              </w:pPr>
                              <w:r w:rsidRPr="003E0B62">
                                <w:rPr>
                                  <w:sz w:val="20"/>
                                  <w:szCs w:val="20"/>
                                </w:rPr>
                                <w:t>1</w:t>
                              </w:r>
                              <w:r>
                                <w:rPr>
                                  <w:sz w:val="20"/>
                                  <w:szCs w:val="20"/>
                                </w:rPr>
                                <w:t>. CDMP</w:t>
                              </w:r>
                            </w:p>
                            <w:p w:rsidR="00EA3B8B" w:rsidRDefault="00EA3B8B" w:rsidP="00B624E7">
                              <w:pPr>
                                <w:spacing w:after="0" w:line="240" w:lineRule="auto"/>
                                <w:rPr>
                                  <w:sz w:val="20"/>
                                  <w:szCs w:val="20"/>
                                </w:rPr>
                              </w:pPr>
                              <w:r>
                                <w:rPr>
                                  <w:sz w:val="20"/>
                                  <w:szCs w:val="20"/>
                                </w:rPr>
                                <w:t>2. PECM</w:t>
                              </w:r>
                            </w:p>
                            <w:p w:rsidR="00EA3B8B" w:rsidRDefault="00EA3B8B" w:rsidP="00B624E7">
                              <w:pPr>
                                <w:spacing w:after="0" w:line="240" w:lineRule="auto"/>
                                <w:rPr>
                                  <w:sz w:val="20"/>
                                  <w:szCs w:val="20"/>
                                </w:rPr>
                              </w:pPr>
                              <w:r>
                                <w:rPr>
                                  <w:sz w:val="20"/>
                                  <w:szCs w:val="20"/>
                                </w:rPr>
                                <w:t xml:space="preserve">3. Community-Based </w:t>
                              </w:r>
                            </w:p>
                            <w:p w:rsidR="00EA3B8B" w:rsidRPr="003E0B62" w:rsidRDefault="00EA3B8B" w:rsidP="00B624E7">
                              <w:pPr>
                                <w:spacing w:after="0" w:line="240" w:lineRule="auto"/>
                                <w:rPr>
                                  <w:sz w:val="20"/>
                                  <w:szCs w:val="20"/>
                                </w:rPr>
                              </w:pPr>
                              <w:r>
                                <w:rPr>
                                  <w:sz w:val="20"/>
                                  <w:szCs w:val="20"/>
                                </w:rPr>
                                <w:t xml:space="preserve">    Coastal Afforestation</w:t>
                              </w:r>
                            </w:p>
                          </w:txbxContent>
                        </v:textbox>
                      </v:shape>
                      <v:shape id="Text Box 52" o:spid="_x0000_s1042" type="#_x0000_t202" style="position:absolute;left:6240;top:4215;width:235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0jEMUA&#10;AADbAAAADwAAAGRycy9kb3ducmV2LnhtbESPQWsCMRSE74L/IbyCN83ag9XtRilCUagVtFrq7XXz&#10;3F3cvKxJqtt/bwpCj8PMfMNks9bU4kLOV5YVDAcJCOLc6ooLBbuP1/4YhA/IGmvLpOCXPMym3U6G&#10;qbZX3tBlGwoRIexTVFCG0KRS+rwkg35gG+LoHa0zGKJ0hdQOrxFuavmYJCNpsOK4UGJD85Ly0/bH&#10;KNh/TvhrtU4WzrT8/nQ+Ht6+Tweleg/tyzOIQG34D9/bS61gNIS/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SMQxQAAANsAAAAPAAAAAAAAAAAAAAAAAJgCAABkcnMv&#10;ZG93bnJldi54bWxQSwUGAAAAAAQABAD1AAAAigMAAAAA&#10;" fillcolor="#95b3d7 [1940]" strokecolor="#95b3d7 [1940]" strokeweight="1pt">
                        <v:fill color2="#dbe5f1 [660]" angle="135" focus="50%" type="gradient"/>
                        <v:shadow on="t" color="#243f60 [1604]" opacity=".5" offset="1pt"/>
                        <v:textbox>
                          <w:txbxContent>
                            <w:p w:rsidR="00EA3B8B" w:rsidRDefault="00EA3B8B" w:rsidP="00B624E7">
                              <w:pPr>
                                <w:spacing w:after="0" w:line="240" w:lineRule="auto"/>
                                <w:rPr>
                                  <w:b/>
                                  <w:sz w:val="20"/>
                                  <w:szCs w:val="20"/>
                                </w:rPr>
                              </w:pPr>
                              <w:r>
                                <w:rPr>
                                  <w:b/>
                                  <w:sz w:val="20"/>
                                  <w:szCs w:val="20"/>
                                </w:rPr>
                                <w:t>Ongoing Projects:</w:t>
                              </w:r>
                            </w:p>
                            <w:p w:rsidR="00EA3B8B" w:rsidRDefault="00EA3B8B" w:rsidP="00B624E7">
                              <w:pPr>
                                <w:spacing w:after="0" w:line="240" w:lineRule="auto"/>
                                <w:rPr>
                                  <w:sz w:val="20"/>
                                  <w:szCs w:val="20"/>
                                </w:rPr>
                              </w:pPr>
                              <w:r w:rsidRPr="003E0B62">
                                <w:rPr>
                                  <w:sz w:val="20"/>
                                  <w:szCs w:val="20"/>
                                </w:rPr>
                                <w:t>1</w:t>
                              </w:r>
                              <w:r>
                                <w:rPr>
                                  <w:sz w:val="20"/>
                                  <w:szCs w:val="20"/>
                                </w:rPr>
                                <w:t>. Early Recovery Facility</w:t>
                              </w:r>
                            </w:p>
                            <w:p w:rsidR="00EA3B8B" w:rsidRDefault="00EA3B8B" w:rsidP="00B624E7">
                              <w:pPr>
                                <w:spacing w:after="0" w:line="240" w:lineRule="auto"/>
                                <w:rPr>
                                  <w:sz w:val="20"/>
                                  <w:szCs w:val="20"/>
                                </w:rPr>
                              </w:pPr>
                              <w:r>
                                <w:rPr>
                                  <w:sz w:val="20"/>
                                  <w:szCs w:val="20"/>
                                </w:rPr>
                                <w:t>2. CDMP</w:t>
                              </w:r>
                            </w:p>
                            <w:p w:rsidR="00EA3B8B" w:rsidRPr="003E0B62" w:rsidRDefault="00EA3B8B" w:rsidP="00B624E7">
                              <w:pPr>
                                <w:spacing w:after="0" w:line="240" w:lineRule="auto"/>
                                <w:rPr>
                                  <w:sz w:val="20"/>
                                  <w:szCs w:val="20"/>
                                </w:rPr>
                              </w:pPr>
                            </w:p>
                          </w:txbxContent>
                        </v:textbox>
                      </v:shape>
                      <v:shape id="Text Box 53" o:spid="_x0000_s1043" type="#_x0000_t202" style="position:absolute;left:8700;top:4215;width:235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Z8UA&#10;AADbAAAADwAAAGRycy9kb3ducmV2LnhtbESPQWsCMRSE70L/Q3gFb5qtB61boxRBFKwFrZZ6e908&#10;dxc3L2sSdf33jSD0OMzMN8xo0phKXMj50rKCl24CgjizuuRcwfZr1nkF4QOyxsoyKbiRh8n4qTXC&#10;VNsrr+myCbmIEPYpKihCqFMpfVaQQd+1NXH0DtYZDFG6XGqH1wg3lewlSV8aLDkuFFjTtKDsuDkb&#10;BbvvIf98fCZzZxpeDU6H/fL3uFeq/dy8v4EI1IT/8KO90Ar6Pbh/iT9Aj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71nxQAAANsAAAAPAAAAAAAAAAAAAAAAAJgCAABkcnMv&#10;ZG93bnJldi54bWxQSwUGAAAAAAQABAD1AAAAigMAAAAA&#10;" fillcolor="#95b3d7 [1940]" strokecolor="#95b3d7 [1940]" strokeweight="1pt">
                        <v:fill color2="#dbe5f1 [660]" angle="135" focus="50%" type="gradient"/>
                        <v:shadow on="t" color="#243f60 [1604]" opacity=".5" offset="1pt"/>
                        <v:textbox>
                          <w:txbxContent>
                            <w:p w:rsidR="00EA3B8B" w:rsidRDefault="00EA3B8B" w:rsidP="00B624E7">
                              <w:pPr>
                                <w:spacing w:after="0" w:line="240" w:lineRule="auto"/>
                                <w:rPr>
                                  <w:b/>
                                  <w:sz w:val="20"/>
                                  <w:szCs w:val="20"/>
                                </w:rPr>
                              </w:pPr>
                              <w:r>
                                <w:rPr>
                                  <w:b/>
                                  <w:sz w:val="20"/>
                                  <w:szCs w:val="20"/>
                                </w:rPr>
                                <w:t>Ongoing Projects:</w:t>
                              </w:r>
                            </w:p>
                            <w:p w:rsidR="00EA3B8B" w:rsidRDefault="00EA3B8B" w:rsidP="00B624E7">
                              <w:pPr>
                                <w:spacing w:after="0" w:line="240" w:lineRule="auto"/>
                                <w:rPr>
                                  <w:sz w:val="20"/>
                                  <w:szCs w:val="20"/>
                                </w:rPr>
                              </w:pPr>
                              <w:r w:rsidRPr="003E0B62">
                                <w:rPr>
                                  <w:sz w:val="20"/>
                                  <w:szCs w:val="20"/>
                                </w:rPr>
                                <w:t>1</w:t>
                              </w:r>
                              <w:r>
                                <w:rPr>
                                  <w:sz w:val="20"/>
                                  <w:szCs w:val="20"/>
                                </w:rPr>
                                <w:t>. PECM</w:t>
                              </w:r>
                            </w:p>
                            <w:p w:rsidR="00EA3B8B" w:rsidRDefault="00EA3B8B" w:rsidP="00B624E7">
                              <w:pPr>
                                <w:spacing w:after="0" w:line="240" w:lineRule="auto"/>
                                <w:rPr>
                                  <w:sz w:val="20"/>
                                  <w:szCs w:val="20"/>
                                </w:rPr>
                              </w:pPr>
                              <w:r>
                                <w:rPr>
                                  <w:sz w:val="20"/>
                                  <w:szCs w:val="20"/>
                                </w:rPr>
                                <w:t>2. CDMP</w:t>
                              </w:r>
                            </w:p>
                            <w:p w:rsidR="00EA3B8B" w:rsidRDefault="00EA3B8B" w:rsidP="00B624E7">
                              <w:pPr>
                                <w:spacing w:after="0" w:line="240" w:lineRule="auto"/>
                                <w:rPr>
                                  <w:sz w:val="20"/>
                                  <w:szCs w:val="20"/>
                                </w:rPr>
                              </w:pPr>
                              <w:r>
                                <w:rPr>
                                  <w:sz w:val="20"/>
                                  <w:szCs w:val="20"/>
                                </w:rPr>
                                <w:t>3. Early Recovery Facility</w:t>
                              </w:r>
                            </w:p>
                            <w:p w:rsidR="00EA3B8B" w:rsidRPr="003E0B62" w:rsidRDefault="00EA3B8B" w:rsidP="00B624E7">
                              <w:pPr>
                                <w:spacing w:after="0" w:line="240" w:lineRule="auto"/>
                                <w:rPr>
                                  <w:sz w:val="20"/>
                                  <w:szCs w:val="20"/>
                                </w:rPr>
                              </w:pPr>
                            </w:p>
                          </w:txbxContent>
                        </v:textbox>
                      </v:shape>
                    </v:group>
                  </v:group>
                  <v:group id="Group 69" o:spid="_x0000_s1044" style="position:absolute;left:1440;top:1444;width:9716;height:2760" coordorigin="1849,4946" coordsize="9780,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68" o:spid="_x0000_s1045" style="position:absolute;left:1849;top:4946;width:9780;height:2760" coordorigin="1849,4946" coordsize="9780,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 Box 55" o:spid="_x0000_s1046" type="#_x0000_t202" style="position:absolute;left:1849;top:4946;width:978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gVMQA&#10;AADbAAAADwAAAGRycy9kb3ducmV2LnhtbESPQWvCQBSE7wX/w/KE3urGUsVGN0Fail5EtNXzI/tM&#10;gtm36e5Wo7/eFYQeh5n5hpnlnWnEiZyvLSsYDhIQxIXVNZcKfr6/XiYgfEDW2FgmBRfykGe9pxmm&#10;2p55Q6dtKEWEsE9RQRVCm0rpi4oM+oFtiaN3sM5giNKVUjs8R7hp5GuSjKXBmuNChS19VFQct39G&#10;gZ1cV8375264W3S0l+F3nbi3g1LP/W4+BRGoC//hR3upFYxHcP8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GYFTEAAAA2wAAAA8AAAAAAAAAAAAAAAAAmAIAAGRycy9k&#10;b3ducmV2LnhtbFBLBQYAAAAABAAEAPUAAACJAwAAAAA=&#10;" fillcolor="#92cddc [1944]" strokecolor="#92cddc [1944]" strokeweight="1pt">
                        <v:fill color2="#daeef3 [664]" angle="135" focus="50%" type="gradient"/>
                        <v:shadow on="t" color="#205867 [1608]" opacity=".5" offset="1pt"/>
                        <v:textbox>
                          <w:txbxContent>
                            <w:p w:rsidR="00EA3B8B" w:rsidRPr="0019723E" w:rsidRDefault="00EA3B8B" w:rsidP="00B624E7">
                              <w:pPr>
                                <w:jc w:val="center"/>
                                <w:rPr>
                                  <w:b/>
                                  <w:sz w:val="32"/>
                                  <w:szCs w:val="32"/>
                                </w:rPr>
                              </w:pPr>
                              <w:r w:rsidRPr="0019723E">
                                <w:rPr>
                                  <w:b/>
                                  <w:sz w:val="32"/>
                                  <w:szCs w:val="32"/>
                                </w:rPr>
                                <w:t>Country Programme: DRR - CCA</w:t>
                              </w:r>
                            </w:p>
                          </w:txbxContent>
                        </v:textbox>
                      </v:shape>
                      <v:roundrect id="AutoShape 56" o:spid="_x0000_s1047" style="position:absolute;left:1984;top:5576;width:9210;height: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LucUA&#10;AADbAAAADwAAAGRycy9kb3ducmV2LnhtbESPT2sCMRTE74LfIbxCb5qth62sRhFR8FBaqq3s8bF5&#10;+weTl+0m1a2fvhEEj8PM/IaZL3trxJk63zhW8DJOQBAXTjdcKfg6bEdTED4gazSOScEfeVguhoM5&#10;Ztpd+JPO+1CJCGGfoYI6hDaT0hc1WfRj1xJHr3SdxRBlV0nd4SXCrZGTJEmlxYbjQo0trWsqTvtf&#10;qyB/N9fy7foxef3O1z/b42ZnqjJX6vmpX81ABOrDI3xv77SCNIXbl/g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wu5xQAAANsAAAAPAAAAAAAAAAAAAAAAAJgCAABkcnMv&#10;ZG93bnJldi54bWxQSwUGAAAAAAQABAD1AAAAigMAAAAA&#10;" fillcolor="#fabf8f [1945]" strokecolor="#fabf8f [1945]" strokeweight="1pt">
                        <v:fill color2="#fde9d9 [665]" angle="135" focus="50%" type="gradient"/>
                        <v:shadow on="t" color="#974706 [1609]" opacity=".5" offset="1pt"/>
                        <v:textbox>
                          <w:txbxContent>
                            <w:p w:rsidR="00EA3B8B" w:rsidRPr="0019723E" w:rsidRDefault="00EA3B8B" w:rsidP="00B624E7">
                              <w:pPr>
                                <w:jc w:val="center"/>
                                <w:rPr>
                                  <w:sz w:val="28"/>
                                  <w:szCs w:val="28"/>
                                </w:rPr>
                              </w:pPr>
                              <w:r>
                                <w:rPr>
                                  <w:b/>
                                </w:rPr>
                                <w:t>Outcome 1: Vulnerable Populations are Resilient to A</w:t>
                              </w:r>
                              <w:r w:rsidRPr="0075441A">
                                <w:rPr>
                                  <w:b/>
                                </w:rPr>
                                <w:t>daptwith the Disaster and Climate</w:t>
                              </w:r>
                              <w:r>
                                <w:rPr>
                                  <w:b/>
                                </w:rPr>
                                <w:t>R</w:t>
                              </w:r>
                              <w:r w:rsidRPr="0075441A">
                                <w:rPr>
                                  <w:b/>
                                </w:rPr>
                                <w:t>isk</w:t>
                              </w:r>
                            </w:p>
                          </w:txbxContent>
                        </v:textbox>
                      </v:roundrect>
                      <v:shape id="Text Box 57" o:spid="_x0000_s1048" type="#_x0000_t202" style="position:absolute;left:1954;top:6521;width:2143;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5a3sIA&#10;AADbAAAADwAAAGRycy9kb3ducmV2LnhtbESPwWrDMBBE74H+g9hCb4mcHpzUjRKCaaGH5FCnH7BY&#10;W9tEWhlJtdW/rwKBHoeZecPsDskaMZEPg2MF61UBgrh1euBOwdflfbkFESKyRuOYFPxSgMP+YbHD&#10;SruZP2lqYicyhEOFCvoYx0rK0PZkMazcSJy9b+ctxix9J7XHOcOtkc9FUUqLA+eFHkeqe2qvzY9V&#10;kN4ivyRztZdTYerOnF07e6fU02M6voKIlOJ/+N7+0ArKDdy+5B8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lrewgAAANsAAAAPAAAAAAAAAAAAAAAAAJgCAABkcnMvZG93&#10;bnJldi54bWxQSwUGAAAAAAQABAD1AAAAhwMAAAAA&#10;" fillcolor="#c2d69b [1942]" strokecolor="#c2d69b [1942]" strokeweight="1pt">
                        <v:fill color2="#eaf1dd [662]" angle="135" focus="50%" type="gradient"/>
                        <v:shadow on="t" color="#4e6128 [1606]" opacity=".5" offset="1pt"/>
                        <v:textbox>
                          <w:txbxContent>
                            <w:p w:rsidR="00EA3B8B" w:rsidRPr="00BB12E2" w:rsidRDefault="00EA3B8B" w:rsidP="00B624E7">
                              <w:pPr>
                                <w:spacing w:after="0" w:line="240" w:lineRule="auto"/>
                                <w:jc w:val="center"/>
                                <w:rPr>
                                  <w:b/>
                                  <w:sz w:val="20"/>
                                  <w:szCs w:val="20"/>
                                </w:rPr>
                              </w:pPr>
                              <w:r w:rsidRPr="00BB12E2">
                                <w:rPr>
                                  <w:b/>
                                  <w:sz w:val="20"/>
                                  <w:szCs w:val="20"/>
                                </w:rPr>
                                <w:t xml:space="preserve">Output 1.1: </w:t>
                              </w:r>
                            </w:p>
                            <w:p w:rsidR="00EA3B8B" w:rsidRPr="00BB12E2" w:rsidRDefault="00EA3B8B" w:rsidP="00B624E7">
                              <w:pPr>
                                <w:spacing w:after="0" w:line="240" w:lineRule="auto"/>
                                <w:jc w:val="center"/>
                                <w:rPr>
                                  <w:b/>
                                  <w:sz w:val="20"/>
                                  <w:szCs w:val="20"/>
                                </w:rPr>
                              </w:pPr>
                              <w:r w:rsidRPr="00BB12E2">
                                <w:rPr>
                                  <w:b/>
                                  <w:sz w:val="20"/>
                                  <w:szCs w:val="20"/>
                                </w:rPr>
                                <w:t>DRR-CCA integrated into sectoral policies</w:t>
                              </w:r>
                            </w:p>
                          </w:txbxContent>
                        </v:textbox>
                      </v:shape>
                      <v:shape id="Text Box 58" o:spid="_x0000_s1049" type="#_x0000_t202" style="position:absolute;left:4097;top:6536;width:2503;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OrLwA&#10;AADbAAAADwAAAGRycy9kb3ducmV2LnhtbERPy4rCMBTdC/5DuAPuNB0XotUogyi40IWPD7g0d9pi&#10;clOSaOPfm4Xg8nDeq02yRjzJh9axgt9JAYK4crrlWsHtuh/PQYSIrNE4JgUvCrBZDwcrLLXr+UzP&#10;S6xFDuFQooImxq6UMlQNWQwT1xFn7t95izFDX0vtsc/h1shpUcykxZZzQ4MdbRuq7peHVZB2kRfJ&#10;3O31WJhtbU6u6r1TavST/pYgIqX4FX/cB61glsfmL/kHyP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gc6svAAAANsAAAAPAAAAAAAAAAAAAAAAAJgCAABkcnMvZG93bnJldi54&#10;bWxQSwUGAAAAAAQABAD1AAAAgQMAAAAA&#10;" fillcolor="#c2d69b [1942]" strokecolor="#c2d69b [1942]" strokeweight="1pt">
                        <v:fill color2="#eaf1dd [662]" angle="135" focus="50%" type="gradient"/>
                        <v:shadow on="t" color="#4e6128 [1606]" opacity=".5" offset="1pt"/>
                        <v:textbox>
                          <w:txbxContent>
                            <w:p w:rsidR="00EA3B8B" w:rsidRPr="00BB12E2" w:rsidRDefault="00EA3B8B" w:rsidP="00B624E7">
                              <w:pPr>
                                <w:spacing w:after="0" w:line="240" w:lineRule="auto"/>
                                <w:jc w:val="center"/>
                                <w:rPr>
                                  <w:b/>
                                  <w:sz w:val="20"/>
                                  <w:szCs w:val="20"/>
                                </w:rPr>
                              </w:pPr>
                              <w:r w:rsidRPr="00BB12E2">
                                <w:rPr>
                                  <w:b/>
                                  <w:sz w:val="20"/>
                                  <w:szCs w:val="20"/>
                                </w:rPr>
                                <w:t xml:space="preserve">Output 1.2: </w:t>
                              </w:r>
                            </w:p>
                            <w:p w:rsidR="00EA3B8B" w:rsidRPr="00BB12E2" w:rsidRDefault="00EA3B8B" w:rsidP="00B624E7">
                              <w:pPr>
                                <w:spacing w:after="0" w:line="240" w:lineRule="auto"/>
                                <w:jc w:val="center"/>
                                <w:rPr>
                                  <w:b/>
                                  <w:sz w:val="20"/>
                                  <w:szCs w:val="20"/>
                                </w:rPr>
                              </w:pPr>
                              <w:r w:rsidRPr="00BB12E2">
                                <w:rPr>
                                  <w:b/>
                                  <w:sz w:val="20"/>
                                  <w:szCs w:val="20"/>
                                </w:rPr>
                                <w:t>Community have greater capacity on DRR-CCA</w:t>
                              </w:r>
                            </w:p>
                          </w:txbxContent>
                        </v:textbox>
                      </v:shape>
                      <v:shape id="Text Box 59" o:spid="_x0000_s1050" type="#_x0000_t202" style="position:absolute;left:6499;top:6536;width:2606;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1rN8EA&#10;AADbAAAADwAAAGRycy9kb3ducmV2LnhtbESPwWrDMBBE74X8g9hAb42cHELtWgkhpJBDe2jcD1is&#10;jW0srYykxsrfR4VCj8PMvGHqfbJG3MiHwbGC9aoAQdw6PXCn4Lt5f3kFESKyRuOYFNwpwH63eKqx&#10;0m7mL7pdYicyhEOFCvoYp0rK0PZkMazcRJy9q/MWY5a+k9rjnOHWyE1RbKXFgfNCjxMde2rHy49V&#10;kE6Ry2RG23wU5tiZT9fO3in1vEyHNxCRUvwP/7XPWsG2hN8v+Q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NazfBAAAA2wAAAA8AAAAAAAAAAAAAAAAAmAIAAGRycy9kb3du&#10;cmV2LnhtbFBLBQYAAAAABAAEAPUAAACGAwAAAAA=&#10;" fillcolor="#c2d69b [1942]" strokecolor="#c2d69b [1942]" strokeweight="1pt">
                        <v:fill color2="#eaf1dd [662]" angle="135" focus="50%" type="gradient"/>
                        <v:shadow on="t" color="#4e6128 [1606]" opacity=".5" offset="1pt"/>
                        <v:textbox>
                          <w:txbxContent>
                            <w:p w:rsidR="00EA3B8B" w:rsidRPr="00BB12E2" w:rsidRDefault="00EA3B8B" w:rsidP="00B624E7">
                              <w:pPr>
                                <w:spacing w:after="0" w:line="240" w:lineRule="auto"/>
                                <w:jc w:val="center"/>
                                <w:rPr>
                                  <w:b/>
                                  <w:sz w:val="20"/>
                                  <w:szCs w:val="20"/>
                                </w:rPr>
                              </w:pPr>
                              <w:r w:rsidRPr="00BB12E2">
                                <w:rPr>
                                  <w:b/>
                                  <w:sz w:val="20"/>
                                  <w:szCs w:val="20"/>
                                </w:rPr>
                                <w:t xml:space="preserve">Output 1.3: </w:t>
                              </w:r>
                            </w:p>
                            <w:p w:rsidR="00EA3B8B" w:rsidRPr="00BB12E2" w:rsidRDefault="00EA3B8B" w:rsidP="00B624E7">
                              <w:pPr>
                                <w:spacing w:after="0" w:line="240" w:lineRule="auto"/>
                                <w:jc w:val="center"/>
                                <w:rPr>
                                  <w:b/>
                                  <w:sz w:val="20"/>
                                  <w:szCs w:val="20"/>
                                </w:rPr>
                              </w:pPr>
                              <w:r w:rsidRPr="00BB12E2">
                                <w:rPr>
                                  <w:b/>
                                  <w:sz w:val="20"/>
                                  <w:szCs w:val="20"/>
                                </w:rPr>
                                <w:t>Capacity enhanced to respond emergencies &amp; early recovery</w:t>
                              </w:r>
                            </w:p>
                          </w:txbxContent>
                        </v:textbox>
                      </v:shape>
                      <v:shape id="Text Box 60" o:spid="_x0000_s1051" type="#_x0000_t202" style="position:absolute;left:8974;top:6536;width:2591;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5Ud78A&#10;AADbAAAADwAAAGRycy9kb3ducmV2LnhtbERPS27CMBDdI3EHa5DYEadd9JPGoApRqQu6aOgBRvE0&#10;ibDHkW0Sc3u8QGL59P71LlkjJvJhcKzgqShBELdOD9wp+Dt9bd5AhIis0TgmBVcKsNsuFzVW2s38&#10;S1MTO5FDOFSooI9xrKQMbU8WQ+FG4sz9O28xZug7qT3OOdwa+VyWL9LiwLmhx5H2PbXn5mIVpEPk&#10;92TO9nQszb4zP66dvVNqvUqfHyAipfgQ393fWsFrXp+/5B8gt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LlR3vwAAANsAAAAPAAAAAAAAAAAAAAAAAJgCAABkcnMvZG93bnJl&#10;di54bWxQSwUGAAAAAAQABAD1AAAAhAMAAAAA&#10;" fillcolor="#c2d69b [1942]" strokecolor="#c2d69b [1942]" strokeweight="1pt">
                        <v:fill color2="#eaf1dd [662]" angle="135" focus="50%" type="gradient"/>
                        <v:shadow on="t" color="#4e6128 [1606]" opacity=".5" offset="1pt"/>
                        <v:textbox>
                          <w:txbxContent>
                            <w:p w:rsidR="00EA3B8B" w:rsidRPr="00BB12E2" w:rsidRDefault="00EA3B8B" w:rsidP="00B624E7">
                              <w:pPr>
                                <w:spacing w:after="0" w:line="240" w:lineRule="auto"/>
                                <w:jc w:val="center"/>
                                <w:rPr>
                                  <w:b/>
                                  <w:sz w:val="20"/>
                                  <w:szCs w:val="20"/>
                                </w:rPr>
                              </w:pPr>
                              <w:r w:rsidRPr="00BB12E2">
                                <w:rPr>
                                  <w:b/>
                                  <w:sz w:val="20"/>
                                  <w:szCs w:val="20"/>
                                </w:rPr>
                                <w:t xml:space="preserve">Output 1.3: </w:t>
                              </w:r>
                            </w:p>
                            <w:p w:rsidR="00EA3B8B" w:rsidRPr="00BB12E2" w:rsidRDefault="00EA3B8B" w:rsidP="00B624E7">
                              <w:pPr>
                                <w:spacing w:after="0" w:line="240" w:lineRule="auto"/>
                                <w:jc w:val="center"/>
                                <w:rPr>
                                  <w:b/>
                                  <w:sz w:val="20"/>
                                  <w:szCs w:val="20"/>
                                </w:rPr>
                              </w:pPr>
                              <w:r>
                                <w:rPr>
                                  <w:b/>
                                  <w:sz w:val="20"/>
                                  <w:szCs w:val="20"/>
                                </w:rPr>
                                <w:t>Access to knowledge for decision making</w:t>
                              </w:r>
                            </w:p>
                          </w:txbxContent>
                        </v:textbox>
                      </v:shape>
                      <v:shape id="AutoShape 61" o:spid="_x0000_s1052" type="#_x0000_t32" style="position:absolute;left:1849;top:6369;width:89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62" o:spid="_x0000_s1053" type="#_x0000_t32" style="position:absolute;left:6589;top:6161;width:5;height:1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63" o:spid="_x0000_s1054" type="#_x0000_t32" style="position:absolute;left:5349;top:6369;width:10;height:1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group>
                  </v:group>
                </v:group>
                <w10:wrap type="tight"/>
              </v:group>
            </w:pict>
          </mc:Fallback>
        </mc:AlternateContent>
      </w:r>
      <w:r w:rsidR="006C1581" w:rsidRPr="009B1C91">
        <w:rPr>
          <w:rFonts w:asciiTheme="minorHAnsi" w:hAnsiTheme="minorHAnsi" w:cstheme="minorHAnsi"/>
        </w:rPr>
        <w:t xml:space="preserve">mainstreaming the poverty-environment-climate nexus in the planning and budgeting system.  </w:t>
      </w:r>
    </w:p>
    <w:p w:rsidR="00DA1149" w:rsidRPr="009B1C91" w:rsidRDefault="00DA1149" w:rsidP="00DA1149">
      <w:pPr>
        <w:spacing w:after="0" w:line="240" w:lineRule="auto"/>
        <w:jc w:val="both"/>
        <w:rPr>
          <w:rFonts w:asciiTheme="minorHAnsi" w:hAnsiTheme="minorHAnsi" w:cstheme="minorHAnsi"/>
        </w:rPr>
      </w:pPr>
      <w:r w:rsidRPr="009B1C91">
        <w:rPr>
          <w:rFonts w:asciiTheme="minorHAnsi" w:hAnsiTheme="minorHAnsi" w:cstheme="minorHAnsi"/>
        </w:rPr>
        <w:t>Source: UNDP CCED Cluster 2014</w:t>
      </w:r>
    </w:p>
    <w:p w:rsidR="00DA1149" w:rsidRPr="009B1C91" w:rsidRDefault="00DA1149" w:rsidP="00F653F8">
      <w:pPr>
        <w:spacing w:after="0" w:line="240" w:lineRule="auto"/>
        <w:jc w:val="both"/>
        <w:rPr>
          <w:rFonts w:asciiTheme="minorHAnsi" w:hAnsiTheme="minorHAnsi" w:cstheme="minorHAnsi"/>
        </w:rPr>
      </w:pPr>
    </w:p>
    <w:p w:rsidR="006C1581" w:rsidRPr="009B1C91" w:rsidRDefault="006C1581" w:rsidP="00F653F8">
      <w:pPr>
        <w:spacing w:after="0" w:line="240" w:lineRule="auto"/>
        <w:jc w:val="both"/>
        <w:rPr>
          <w:rFonts w:asciiTheme="minorHAnsi" w:hAnsiTheme="minorHAnsi" w:cstheme="minorHAnsi"/>
        </w:rPr>
      </w:pPr>
      <w:r w:rsidRPr="009B1C91">
        <w:rPr>
          <w:rFonts w:asciiTheme="minorHAnsi" w:hAnsiTheme="minorHAnsi" w:cstheme="minorHAnsi"/>
        </w:rPr>
        <w:t xml:space="preserve">Building and enhancing community resilience for adapting to climate and natural disaster risks, through institutionalizing climate and disaster risk reduction into the national development planning, is the largest thematic area in the UNDP CCED Cluster budgetary allocation </w:t>
      </w:r>
      <w:r w:rsidR="00C63CB7">
        <w:rPr>
          <w:rFonts w:asciiTheme="minorHAnsi" w:hAnsiTheme="minorHAnsi" w:cstheme="minorHAnsi"/>
          <w:u w:color="FF0000"/>
        </w:rPr>
        <w:t>(Annex I</w:t>
      </w:r>
      <w:r w:rsidRPr="009B1C91">
        <w:rPr>
          <w:rFonts w:asciiTheme="minorHAnsi" w:hAnsiTheme="minorHAnsi" w:cstheme="minorHAnsi"/>
          <w:u w:color="FF0000"/>
        </w:rPr>
        <w:t>).</w:t>
      </w:r>
      <w:r w:rsidRPr="009B1C91">
        <w:rPr>
          <w:rFonts w:asciiTheme="minorHAnsi" w:hAnsiTheme="minorHAnsi" w:cstheme="minorHAnsi"/>
        </w:rPr>
        <w:t xml:space="preserve"> Within this area, interventions through projects include sub-areas of CDMP –Phase II, and ERF, and PECM.  CDMP II was built upon the foundations of an earlier phase of a highly successful programme for establishing a national disaster management framework.  </w:t>
      </w:r>
    </w:p>
    <w:p w:rsidR="006C1581" w:rsidRPr="009B1C91" w:rsidRDefault="006C1581" w:rsidP="00F653F8">
      <w:pPr>
        <w:spacing w:after="0" w:line="240" w:lineRule="auto"/>
        <w:jc w:val="both"/>
        <w:rPr>
          <w:rFonts w:asciiTheme="minorHAnsi" w:hAnsiTheme="minorHAnsi" w:cstheme="minorHAnsi"/>
        </w:rPr>
      </w:pPr>
    </w:p>
    <w:p w:rsidR="006C1581" w:rsidRPr="009B1C91" w:rsidRDefault="006C1581" w:rsidP="00F653F8">
      <w:pPr>
        <w:spacing w:after="0" w:line="240" w:lineRule="auto"/>
        <w:jc w:val="both"/>
        <w:rPr>
          <w:rFonts w:asciiTheme="minorHAnsi" w:hAnsiTheme="minorHAnsi" w:cstheme="minorHAnsi"/>
        </w:rPr>
      </w:pPr>
      <w:r w:rsidRPr="009B1C91">
        <w:rPr>
          <w:rFonts w:asciiTheme="minorHAnsi" w:hAnsiTheme="minorHAnsi" w:cstheme="minorHAnsi"/>
        </w:rPr>
        <w:lastRenderedPageBreak/>
        <w:t xml:space="preserve">By aiming to further institutionalize DRR, climate risk, and CCA across GoB ministries and departments to mainstream the conception, planning and budgeting, the UNDP-initiated CDMP II interventions demonstrated a ‘thought leadership’ in addressing coupled or linked climate-change and disaster risk reduction issues. CDMP II encompassed both structural and non-structural interventions in reducing risks to both rural and urban populations, trained volunteers to respond fast-onset hazards such as earthquakes, developed pilot contingency plans for earthquakes, and developed CCA and DRR at the household level in rural communities by integrating with livelihood reconstruction and enhancement interventions. In sum, it has institutionalized and mainstreamed DRR and some aspects of CCA within the government machinery, and laid the groundwork for DM and CCA through community and stakeholders’ participation and ownership.  </w:t>
      </w:r>
    </w:p>
    <w:p w:rsidR="006C1581" w:rsidRPr="009B1C91" w:rsidRDefault="006C1581" w:rsidP="006C1581">
      <w:pPr>
        <w:spacing w:after="0" w:line="240" w:lineRule="auto"/>
        <w:rPr>
          <w:rFonts w:asciiTheme="minorHAnsi" w:hAnsiTheme="minorHAnsi" w:cstheme="minorHAnsi"/>
        </w:rPr>
      </w:pPr>
    </w:p>
    <w:p w:rsidR="006C1581" w:rsidRPr="009B1C91" w:rsidRDefault="006C1581" w:rsidP="00F653F8">
      <w:pPr>
        <w:spacing w:after="0" w:line="240" w:lineRule="auto"/>
        <w:jc w:val="both"/>
        <w:rPr>
          <w:rFonts w:asciiTheme="minorHAnsi" w:hAnsiTheme="minorHAnsi" w:cstheme="minorHAnsi"/>
        </w:rPr>
      </w:pPr>
      <w:r w:rsidRPr="009B1C91">
        <w:rPr>
          <w:rFonts w:asciiTheme="minorHAnsi" w:hAnsiTheme="minorHAnsi" w:cstheme="minorHAnsi"/>
        </w:rPr>
        <w:t xml:space="preserve">In order to complement CDMP II and address the full cycle of disaster management, interventions through the ERF were designed to establish a coordinated early recovery mechanism, capacity building of GoB’s disaster management personnel, and networking of DM volunteers ready to respond during the onset of disasters. In light of GoB’s commitment to achieving the MDGs in the following areas the PECM interventions were formulated: poverty reduction and environmental sustainability, improve natural resource management and environment outcomes for the poor, mainstreaming pro-poor and gender sensitive environment and climate change issues into the design and implementation of national development processes, and budget and economic decision-making for the PCE areas. The technical tools and guidelines are therefore being developed and institutionalized to direct public sector investment towards CC responsive and effective in reducing the vulnerability of citizens at risk. The PECM interventions are providing technical inputs through the General Economic Division (GED) of the Planning Commission to incorporate the PEC nexus approach into the Seventh FYP, 2016-2021. </w:t>
      </w:r>
    </w:p>
    <w:p w:rsidR="00894D25" w:rsidRPr="009B1C91" w:rsidRDefault="00894D25" w:rsidP="00F653F8">
      <w:pPr>
        <w:spacing w:after="0" w:line="240" w:lineRule="auto"/>
        <w:jc w:val="both"/>
        <w:rPr>
          <w:rFonts w:asciiTheme="minorHAnsi" w:hAnsiTheme="minorHAnsi" w:cstheme="minorHAnsi"/>
        </w:rPr>
      </w:pPr>
    </w:p>
    <w:p w:rsidR="00DA1149" w:rsidRPr="009B1C91" w:rsidRDefault="00DA1149" w:rsidP="00F653F8">
      <w:pPr>
        <w:spacing w:after="0" w:line="240" w:lineRule="auto"/>
        <w:jc w:val="both"/>
        <w:rPr>
          <w:rFonts w:asciiTheme="minorHAnsi" w:hAnsiTheme="minorHAnsi" w:cstheme="minorHAnsi"/>
        </w:rPr>
      </w:pPr>
    </w:p>
    <w:p w:rsidR="006C1581" w:rsidRPr="009B1C91" w:rsidRDefault="006C1581" w:rsidP="00F653F8">
      <w:pPr>
        <w:spacing w:after="0" w:line="240" w:lineRule="auto"/>
        <w:jc w:val="both"/>
        <w:rPr>
          <w:rFonts w:asciiTheme="minorHAnsi" w:hAnsiTheme="minorHAnsi" w:cstheme="minorHAnsi"/>
          <w:b/>
          <w:bCs/>
          <w:i/>
          <w:iCs/>
        </w:rPr>
      </w:pPr>
      <w:r w:rsidRPr="009B1C91">
        <w:rPr>
          <w:rFonts w:asciiTheme="minorHAnsi" w:hAnsiTheme="minorHAnsi" w:cstheme="minorHAnsi"/>
          <w:b/>
          <w:bCs/>
          <w:i/>
          <w:iCs/>
        </w:rPr>
        <w:t xml:space="preserve">3.2.2 Natural Resources Management and Access to Low Carbon Energy </w:t>
      </w:r>
    </w:p>
    <w:p w:rsidR="006C1581" w:rsidRPr="009B1C91" w:rsidRDefault="006C1581" w:rsidP="00F653F8">
      <w:pPr>
        <w:spacing w:after="0" w:line="240" w:lineRule="auto"/>
        <w:jc w:val="both"/>
        <w:rPr>
          <w:rFonts w:asciiTheme="minorHAnsi" w:eastAsia="Cambria" w:hAnsiTheme="minorHAnsi" w:cstheme="minorHAnsi"/>
        </w:rPr>
      </w:pPr>
    </w:p>
    <w:p w:rsidR="006C1581" w:rsidRPr="009B1C91" w:rsidRDefault="006C1581" w:rsidP="00F653F8">
      <w:pPr>
        <w:spacing w:after="0" w:line="240" w:lineRule="auto"/>
        <w:jc w:val="both"/>
        <w:rPr>
          <w:rFonts w:asciiTheme="minorHAnsi" w:hAnsiTheme="minorHAnsi" w:cstheme="minorHAnsi"/>
          <w:b/>
          <w:bCs/>
        </w:rPr>
      </w:pPr>
      <w:r w:rsidRPr="009B1C91">
        <w:rPr>
          <w:rFonts w:asciiTheme="minorHAnsi" w:hAnsiTheme="minorHAnsi" w:cstheme="minorHAnsi"/>
          <w:b/>
          <w:bCs/>
        </w:rPr>
        <w:t xml:space="preserve">UNDP strategy </w:t>
      </w:r>
    </w:p>
    <w:p w:rsidR="006C1581" w:rsidRPr="009B1C91" w:rsidRDefault="006C1581" w:rsidP="00F653F8">
      <w:pPr>
        <w:spacing w:after="0" w:line="240" w:lineRule="auto"/>
        <w:jc w:val="both"/>
        <w:rPr>
          <w:rFonts w:asciiTheme="minorHAnsi" w:hAnsiTheme="minorHAnsi" w:cstheme="minorHAnsi"/>
        </w:rPr>
      </w:pPr>
    </w:p>
    <w:p w:rsidR="00B43D41" w:rsidRDefault="006C1581" w:rsidP="00B43D41">
      <w:pPr>
        <w:spacing w:after="0" w:line="240" w:lineRule="auto"/>
        <w:jc w:val="both"/>
        <w:rPr>
          <w:rFonts w:asciiTheme="minorHAnsi" w:hAnsiTheme="minorHAnsi" w:cstheme="minorHAnsi"/>
        </w:rPr>
      </w:pPr>
      <w:r w:rsidRPr="009B1C91">
        <w:rPr>
          <w:rFonts w:asciiTheme="minorHAnsi" w:hAnsiTheme="minorHAnsi" w:cstheme="minorHAnsi"/>
        </w:rPr>
        <w:t>In light of the country p</w:t>
      </w:r>
      <w:r w:rsidR="00AD6ECE" w:rsidRPr="009B1C91">
        <w:rPr>
          <w:rFonts w:asciiTheme="minorHAnsi" w:hAnsiTheme="minorHAnsi" w:cstheme="minorHAnsi"/>
        </w:rPr>
        <w:t>riorities outlined in Section 2</w:t>
      </w:r>
      <w:r w:rsidRPr="009B1C91">
        <w:rPr>
          <w:rFonts w:asciiTheme="minorHAnsi" w:hAnsiTheme="minorHAnsi" w:cstheme="minorHAnsi"/>
          <w:u w:color="FF0000"/>
        </w:rPr>
        <w:t>,</w:t>
      </w:r>
      <w:r w:rsidRPr="009B1C91">
        <w:rPr>
          <w:rFonts w:asciiTheme="minorHAnsi" w:hAnsiTheme="minorHAnsi" w:cstheme="minorHAnsi"/>
        </w:rPr>
        <w:t xml:space="preserve"> Outcome 3.2 of the Country Programme has as its objective that the poor and vulnerable population benefit from better management of natural resources and access to low carbon energy. UNDP planned to “focus on building climate and environmental governance capacity at the national and local levels, specifically in the area of policy compliance and the implementation of conservation plans and regulations to protect the natural resource base of the poor while at the same time supporting Bangladesh’s policy objective to promote low-emission growth, the spread of green technologies, and affordable energy access for the poor”</w:t>
      </w:r>
      <w:r w:rsidR="00AD6ECE" w:rsidRPr="009B1C91">
        <w:rPr>
          <w:rStyle w:val="FootnoteReference"/>
          <w:rFonts w:asciiTheme="minorHAnsi" w:hAnsiTheme="minorHAnsi" w:cstheme="minorHAnsi"/>
        </w:rPr>
        <w:footnoteReference w:id="31"/>
      </w:r>
      <w:r w:rsidR="00894D25" w:rsidRPr="009B1C91">
        <w:rPr>
          <w:rFonts w:asciiTheme="minorHAnsi" w:hAnsiTheme="minorHAnsi" w:cstheme="minorHAnsi"/>
        </w:rPr>
        <w:t xml:space="preserve">. </w:t>
      </w:r>
      <w:r w:rsidRPr="009B1C91">
        <w:rPr>
          <w:rFonts w:asciiTheme="minorHAnsi" w:hAnsiTheme="minorHAnsi" w:cstheme="minorHAnsi"/>
        </w:rPr>
        <w:t xml:space="preserve">UNDP formulated two particular priorities under Outcome 3.2: </w:t>
      </w:r>
    </w:p>
    <w:p w:rsidR="00B43D41" w:rsidRDefault="00B43D41" w:rsidP="00B43D41">
      <w:pPr>
        <w:spacing w:after="0" w:line="240" w:lineRule="auto"/>
        <w:jc w:val="both"/>
        <w:rPr>
          <w:rFonts w:asciiTheme="minorHAnsi" w:hAnsiTheme="minorHAnsi" w:cstheme="minorHAnsi"/>
        </w:rPr>
      </w:pPr>
    </w:p>
    <w:p w:rsidR="00B43D41" w:rsidRPr="00555A20" w:rsidRDefault="00B43D41" w:rsidP="00555A20">
      <w:pPr>
        <w:spacing w:after="0" w:line="240" w:lineRule="auto"/>
        <w:ind w:left="720"/>
        <w:jc w:val="both"/>
        <w:rPr>
          <w:rFonts w:asciiTheme="minorHAnsi" w:hAnsiTheme="minorHAnsi" w:cstheme="minorHAnsi"/>
        </w:rPr>
      </w:pPr>
      <w:r>
        <w:rPr>
          <w:rFonts w:asciiTheme="minorHAnsi" w:hAnsiTheme="minorHAnsi" w:cstheme="minorHAnsi"/>
        </w:rPr>
        <w:t xml:space="preserve">i) </w:t>
      </w:r>
      <w:r w:rsidR="006C1581" w:rsidRPr="009B1C91">
        <w:rPr>
          <w:rFonts w:asciiTheme="minorHAnsi" w:hAnsiTheme="minorHAnsi" w:cstheme="minorHAnsi"/>
        </w:rPr>
        <w:t xml:space="preserve">providing afforestation, as a component of NRM strategy, in order to enhance the resilience of the local, coastal communities who are most vulnerable to cyclones, storm and tidal surges, sea level rise, intrusion of salinity – which are associated with CC and extreme natural events (either as coupled or independent phenomenon); and </w:t>
      </w:r>
      <w:r w:rsidRPr="00555A20">
        <w:rPr>
          <w:rFonts w:asciiTheme="minorHAnsi" w:hAnsiTheme="minorHAnsi" w:cstheme="minorHAnsi"/>
        </w:rPr>
        <w:t xml:space="preserve">ii) </w:t>
      </w:r>
      <w:r w:rsidR="00FA469C" w:rsidRPr="00555A20">
        <w:rPr>
          <w:rFonts w:asciiTheme="minorHAnsi" w:hAnsiTheme="minorHAnsi" w:cstheme="minorHAnsi"/>
        </w:rPr>
        <w:t xml:space="preserve">low </w:t>
      </w:r>
      <w:r w:rsidR="006C1581" w:rsidRPr="00555A20">
        <w:rPr>
          <w:rFonts w:asciiTheme="minorHAnsi" w:hAnsiTheme="minorHAnsi" w:cstheme="minorHAnsi"/>
        </w:rPr>
        <w:t xml:space="preserve">carbon energy access for disadvantaged populations. It was envisioned that, by 2016, as result of UNDP’s interventions and outputs, “the </w:t>
      </w:r>
      <w:r w:rsidR="006C1581" w:rsidRPr="00555A20">
        <w:rPr>
          <w:rFonts w:asciiTheme="minorHAnsi" w:hAnsiTheme="minorHAnsi" w:cstheme="minorHAnsi"/>
        </w:rPr>
        <w:lastRenderedPageBreak/>
        <w:t>poor and vulnerable [would] benefit from better management of natural resources and access to low carbon energy”</w:t>
      </w:r>
      <w:r w:rsidR="00894D25" w:rsidRPr="009B1C91">
        <w:rPr>
          <w:rStyle w:val="FootnoteReference"/>
          <w:rFonts w:asciiTheme="minorHAnsi" w:hAnsiTheme="minorHAnsi" w:cstheme="minorHAnsi"/>
        </w:rPr>
        <w:footnoteReference w:id="32"/>
      </w:r>
      <w:r w:rsidR="006C1581" w:rsidRPr="00555A20">
        <w:rPr>
          <w:rFonts w:asciiTheme="minorHAnsi" w:hAnsiTheme="minorHAnsi" w:cstheme="minorHAnsi"/>
        </w:rPr>
        <w:t xml:space="preserve">. </w:t>
      </w:r>
    </w:p>
    <w:p w:rsidR="00B43D41" w:rsidRDefault="00B43D41" w:rsidP="00B43D41">
      <w:pPr>
        <w:spacing w:after="0" w:line="240" w:lineRule="auto"/>
        <w:jc w:val="both"/>
        <w:rPr>
          <w:rFonts w:asciiTheme="minorHAnsi" w:hAnsiTheme="minorHAnsi" w:cstheme="minorHAnsi"/>
        </w:rPr>
      </w:pPr>
    </w:p>
    <w:p w:rsidR="006C1581" w:rsidRPr="00B43D41" w:rsidRDefault="006C1581" w:rsidP="00B43D41">
      <w:pPr>
        <w:spacing w:after="0" w:line="240" w:lineRule="auto"/>
        <w:jc w:val="both"/>
        <w:rPr>
          <w:rFonts w:asciiTheme="minorHAnsi" w:hAnsiTheme="minorHAnsi" w:cstheme="minorHAnsi"/>
        </w:rPr>
      </w:pPr>
      <w:r w:rsidRPr="00B43D41">
        <w:rPr>
          <w:rFonts w:asciiTheme="minorHAnsi" w:hAnsiTheme="minorHAnsi" w:cstheme="minorHAnsi"/>
        </w:rPr>
        <w:t>Under this outcome, UNDP intended to focus on building climate and environmental governance capacity at the national and local levels, specifically on policy compliance and the implementa</w:t>
      </w:r>
      <w:r w:rsidR="00894D25" w:rsidRPr="00B43D41">
        <w:rPr>
          <w:rFonts w:asciiTheme="minorHAnsi" w:hAnsiTheme="minorHAnsi" w:cstheme="minorHAnsi"/>
        </w:rPr>
        <w:t xml:space="preserve">tion of conservation plans and </w:t>
      </w:r>
      <w:r w:rsidRPr="00B43D41">
        <w:rPr>
          <w:rFonts w:asciiTheme="minorHAnsi" w:hAnsiTheme="minorHAnsi" w:cstheme="minorHAnsi"/>
        </w:rPr>
        <w:t>regulations to protect the natural resource base of the poor, including biodiversity, while at the same time supporting Bangladesh’s policy objective to promote low emission growth, the spread of green technologies, and affordable energy access for the poor</w:t>
      </w:r>
      <w:r w:rsidR="00A27871" w:rsidRPr="00B43D41">
        <w:rPr>
          <w:rFonts w:asciiTheme="minorHAnsi" w:hAnsiTheme="minorHAnsi" w:cstheme="minorHAnsi"/>
          <w:u w:color="FF0000"/>
        </w:rPr>
        <w:t>.</w:t>
      </w:r>
    </w:p>
    <w:p w:rsidR="006C1581" w:rsidRPr="009B1C91" w:rsidRDefault="006C1581" w:rsidP="00F653F8">
      <w:pPr>
        <w:spacing w:after="0" w:line="240" w:lineRule="auto"/>
        <w:jc w:val="both"/>
        <w:rPr>
          <w:rFonts w:asciiTheme="minorHAnsi" w:hAnsiTheme="minorHAnsi" w:cstheme="minorHAnsi"/>
        </w:rPr>
      </w:pPr>
    </w:p>
    <w:p w:rsidR="006C1581" w:rsidRPr="009B1C91" w:rsidRDefault="006C1581" w:rsidP="00F653F8">
      <w:pPr>
        <w:spacing w:after="0" w:line="240" w:lineRule="auto"/>
        <w:jc w:val="both"/>
        <w:rPr>
          <w:rFonts w:asciiTheme="minorHAnsi" w:hAnsiTheme="minorHAnsi" w:cstheme="minorHAnsi"/>
        </w:rPr>
      </w:pPr>
      <w:r w:rsidRPr="009B1C91">
        <w:rPr>
          <w:rFonts w:asciiTheme="minorHAnsi" w:hAnsiTheme="minorHAnsi" w:cstheme="minorHAnsi"/>
        </w:rPr>
        <w:t>Adopting an overarching sustainable development lens, in the recent past UNDP Bangladesh focused on sensitization and building awareness of conservation needs, and capacity building at all levels – local, sub-national and national – with particular emphasis on empowering the marginalized and the vulnerable population. Under the rubric of ‘environmental management’, NRM-related strategies were formulated with an intention not only to improve their better access to natural resources but also to build their capacity in protecting and preserving these resources (i.e. by banning fishing during spawning season). In this regard, several components of the Sustainable Environment Management Programme (SEMP) laid the foundation of conceptualizing poverty-environment linkages and the need for specific attention to vulnerable population in intervention design</w:t>
      </w:r>
      <w:r w:rsidR="00102EB2" w:rsidRPr="009B1C91">
        <w:rPr>
          <w:rStyle w:val="FootnoteReference"/>
          <w:rFonts w:asciiTheme="minorHAnsi" w:hAnsiTheme="minorHAnsi" w:cstheme="minorHAnsi"/>
        </w:rPr>
        <w:footnoteReference w:id="33"/>
      </w:r>
      <w:r w:rsidR="00102EB2" w:rsidRPr="009B1C91">
        <w:rPr>
          <w:rFonts w:asciiTheme="minorHAnsi" w:hAnsiTheme="minorHAnsi" w:cstheme="minorHAnsi"/>
        </w:rPr>
        <w:t>.</w:t>
      </w:r>
      <w:r w:rsidRPr="009B1C91">
        <w:rPr>
          <w:rFonts w:asciiTheme="minorHAnsi" w:hAnsiTheme="minorHAnsi" w:cstheme="minorHAnsi"/>
        </w:rPr>
        <w:t>The effects of IUCN, USAID, UNDP and other development partners’ strategy and sensitization work highlighting the significance of biodiversity and conservation were reflected in a number of national policy changes in this area. For example, in 1995, GoB declared 20 protected areas and 12 Ecologically Critical Areas to provide special protection for biodiversity and cultural heritage. UNDP supported Coastal and Wetland Biodiversity Management Programme (CWBMP) in assisting marginal population, which has been largely dependent on degrading natural resources, to transform into stewards protecting natural resources.</w:t>
      </w:r>
    </w:p>
    <w:p w:rsidR="00AE2F5F" w:rsidRPr="009B1C91" w:rsidRDefault="00AE2F5F" w:rsidP="00F653F8">
      <w:pPr>
        <w:spacing w:after="0" w:line="240" w:lineRule="auto"/>
        <w:jc w:val="both"/>
        <w:rPr>
          <w:rFonts w:asciiTheme="minorHAnsi" w:hAnsiTheme="minorHAnsi" w:cstheme="minorHAnsi"/>
          <w:b/>
          <w:bCs/>
        </w:rPr>
      </w:pPr>
    </w:p>
    <w:p w:rsidR="006C1581" w:rsidRPr="009B1C91" w:rsidRDefault="006C1581" w:rsidP="00F653F8">
      <w:pPr>
        <w:spacing w:after="0" w:line="240" w:lineRule="auto"/>
        <w:jc w:val="both"/>
        <w:rPr>
          <w:rFonts w:asciiTheme="minorHAnsi" w:hAnsiTheme="minorHAnsi" w:cstheme="minorHAnsi"/>
          <w:b/>
          <w:bCs/>
        </w:rPr>
      </w:pPr>
      <w:r w:rsidRPr="009B1C91">
        <w:rPr>
          <w:rFonts w:asciiTheme="minorHAnsi" w:hAnsiTheme="minorHAnsi" w:cstheme="minorHAnsi"/>
          <w:b/>
          <w:bCs/>
        </w:rPr>
        <w:t>Interventions</w:t>
      </w:r>
    </w:p>
    <w:p w:rsidR="006C1581" w:rsidRPr="009B1C91" w:rsidRDefault="006C1581" w:rsidP="00F653F8">
      <w:pPr>
        <w:spacing w:after="0" w:line="240" w:lineRule="auto"/>
        <w:jc w:val="both"/>
        <w:rPr>
          <w:rFonts w:asciiTheme="minorHAnsi" w:hAnsiTheme="minorHAnsi" w:cstheme="minorHAnsi"/>
          <w:b/>
          <w:bCs/>
        </w:rPr>
      </w:pPr>
    </w:p>
    <w:p w:rsidR="006C1581" w:rsidRPr="009B1C91" w:rsidRDefault="006C1581" w:rsidP="00F653F8">
      <w:pPr>
        <w:spacing w:after="0" w:line="240" w:lineRule="auto"/>
        <w:jc w:val="both"/>
        <w:rPr>
          <w:rFonts w:asciiTheme="minorHAnsi" w:hAnsiTheme="minorHAnsi" w:cstheme="minorHAnsi"/>
        </w:rPr>
      </w:pPr>
      <w:r w:rsidRPr="009B1C91">
        <w:rPr>
          <w:rFonts w:asciiTheme="minorHAnsi" w:hAnsiTheme="minorHAnsi" w:cstheme="minorHAnsi"/>
        </w:rPr>
        <w:t>The CCED Cluster portfolio under Outcome 3.2 consists of several distinct groups. A number of projects focus on the management of natural resources (REDD+ Roadmap,CBAFF, Integrating CBA into Afforestation and Reforestation Programmes). Another set of projects focuses on environmental governance and policy (SEGP, Expanding PAs, National Capacity Development for Rio Conventio</w:t>
      </w:r>
      <w:r w:rsidR="00C63CB7">
        <w:rPr>
          <w:rFonts w:asciiTheme="minorHAnsi" w:hAnsiTheme="minorHAnsi" w:cstheme="minorHAnsi"/>
        </w:rPr>
        <w:t>ns, UNFCCC TNC, PECM)</w:t>
      </w:r>
      <w:r w:rsidRPr="009B1C91">
        <w:rPr>
          <w:rFonts w:asciiTheme="minorHAnsi" w:hAnsiTheme="minorHAnsi" w:cstheme="minorHAnsi"/>
        </w:rPr>
        <w:t xml:space="preserve">. Three projects focus on ODS phase out, and another three projects are active in the sustainable energy field (BRESL, IKEBMI, SREPGen). An internal project initiation effort focuses on the development of a Green Development Programme for Bangladesh. For ODS, a number of opportunities were captured in these projects. However, there are a number of other multilateral environmental agreements, some with higher relevance for the areas of NRM and governance that have not received much attention from UNDP in this portfolio. </w:t>
      </w:r>
    </w:p>
    <w:p w:rsidR="00DA1149" w:rsidRPr="009B1C91" w:rsidRDefault="00DA1149" w:rsidP="00DA1149">
      <w:pPr>
        <w:spacing w:after="0" w:line="240" w:lineRule="auto"/>
        <w:jc w:val="both"/>
        <w:rPr>
          <w:rFonts w:asciiTheme="minorHAnsi" w:hAnsiTheme="minorHAnsi" w:cstheme="minorHAnsi"/>
        </w:rPr>
      </w:pPr>
    </w:p>
    <w:p w:rsidR="00DA1149" w:rsidRPr="009B1C91" w:rsidRDefault="00DA1149" w:rsidP="00DA1149">
      <w:pPr>
        <w:spacing w:after="0" w:line="240" w:lineRule="auto"/>
        <w:jc w:val="both"/>
        <w:rPr>
          <w:rFonts w:asciiTheme="minorHAnsi" w:hAnsiTheme="minorHAnsi" w:cstheme="minorHAnsi"/>
        </w:rPr>
      </w:pPr>
      <w:r w:rsidRPr="009B1C91">
        <w:rPr>
          <w:rFonts w:asciiTheme="minorHAnsi" w:hAnsiTheme="minorHAnsi" w:cstheme="minorHAnsi"/>
        </w:rPr>
        <w:t xml:space="preserve">During the current Country Programme period, aligning with the BCCSAP, and the Coastal Development Strategy and Coastal Development Policy, UNDP appropriately continued to keep its focus on </w:t>
      </w:r>
      <w:r w:rsidRPr="009B1C91">
        <w:rPr>
          <w:rFonts w:asciiTheme="minorHAnsi" w:hAnsiTheme="minorHAnsi" w:cstheme="minorHAnsi"/>
          <w:i/>
          <w:iCs/>
        </w:rPr>
        <w:t>local community capacity building</w:t>
      </w:r>
      <w:r w:rsidRPr="009B1C91">
        <w:rPr>
          <w:rFonts w:asciiTheme="minorHAnsi" w:hAnsiTheme="minorHAnsi" w:cstheme="minorHAnsi"/>
        </w:rPr>
        <w:t xml:space="preserve">. For example, the CBACC-CF project </w:t>
      </w:r>
      <w:r w:rsidR="00235FF0">
        <w:rPr>
          <w:rFonts w:asciiTheme="minorHAnsi" w:hAnsiTheme="minorHAnsi" w:cstheme="minorHAnsi"/>
        </w:rPr>
        <w:t>is supporting GoB’s policy needs</w:t>
      </w:r>
      <w:r w:rsidR="00235FF0">
        <w:rPr>
          <w:rStyle w:val="FootnoteReference"/>
          <w:rFonts w:asciiTheme="minorHAnsi" w:hAnsiTheme="minorHAnsi" w:cstheme="minorHAnsi"/>
        </w:rPr>
        <w:footnoteReference w:id="34"/>
      </w:r>
      <w:r w:rsidRPr="009B1C91">
        <w:rPr>
          <w:rFonts w:asciiTheme="minorHAnsi" w:hAnsiTheme="minorHAnsi" w:cstheme="minorHAnsi"/>
        </w:rPr>
        <w:t xml:space="preserve">and </w:t>
      </w:r>
      <w:r w:rsidRPr="009B1C91">
        <w:rPr>
          <w:rFonts w:asciiTheme="minorHAnsi" w:hAnsiTheme="minorHAnsi" w:cstheme="minorHAnsi"/>
        </w:rPr>
        <w:lastRenderedPageBreak/>
        <w:t xml:space="preserve">developmental priorities in areas of climate change resilience, livelihoods adaptation and storm surge risk reduction, as well as UNDP policies and priorities of global initiatives. </w:t>
      </w:r>
    </w:p>
    <w:p w:rsidR="006C1581" w:rsidRPr="009B1C91" w:rsidRDefault="006C1581" w:rsidP="00F653F8">
      <w:pPr>
        <w:spacing w:after="0" w:line="240" w:lineRule="auto"/>
        <w:jc w:val="both"/>
        <w:rPr>
          <w:rFonts w:asciiTheme="minorHAnsi" w:hAnsiTheme="minorHAnsi" w:cstheme="minorHAnsi"/>
        </w:rPr>
      </w:pPr>
    </w:p>
    <w:p w:rsidR="00DA1149" w:rsidRPr="009B1C91" w:rsidRDefault="00B652A0" w:rsidP="00F653F8">
      <w:pPr>
        <w:spacing w:after="0" w:line="240" w:lineRule="auto"/>
        <w:jc w:val="both"/>
        <w:rPr>
          <w:rFonts w:asciiTheme="minorHAnsi" w:hAnsiTheme="minorHAnsi" w:cstheme="minorHAnsi"/>
        </w:rPr>
      </w:pPr>
      <w:r>
        <w:rPr>
          <w:rFonts w:asciiTheme="minorHAnsi" w:hAnsiTheme="minorHAnsi" w:cstheme="minorHAnsi"/>
          <w:noProof/>
          <w:lang w:val="en-US" w:eastAsia="en-US"/>
        </w:rPr>
        <mc:AlternateContent>
          <mc:Choice Requires="wpc">
            <w:drawing>
              <wp:inline distT="0" distB="0" distL="0" distR="0" wp14:anchorId="1F838636" wp14:editId="13C076B3">
                <wp:extent cx="6076950" cy="4601845"/>
                <wp:effectExtent l="28575" t="28575" r="38100" b="27305"/>
                <wp:docPr id="47" name="Canvas 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g:wgp>
                        <wpg:cNvPr id="22" name="Group 94"/>
                        <wpg:cNvGrpSpPr>
                          <a:grpSpLocks/>
                        </wpg:cNvGrpSpPr>
                        <wpg:grpSpPr bwMode="auto">
                          <a:xfrm>
                            <a:off x="28500" y="2418024"/>
                            <a:ext cx="6038950" cy="1049110"/>
                            <a:chOff x="1620" y="4976"/>
                            <a:chExt cx="9510" cy="1652"/>
                          </a:xfrm>
                        </wpg:grpSpPr>
                        <wps:wsp>
                          <wps:cNvPr id="23" name="Text Box 95"/>
                          <wps:cNvSpPr txBox="1">
                            <a:spLocks noChangeArrowheads="1"/>
                          </wps:cNvSpPr>
                          <wps:spPr bwMode="auto">
                            <a:xfrm>
                              <a:off x="1620" y="5021"/>
                              <a:ext cx="2233" cy="1607"/>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A3B8B" w:rsidRDefault="00EA3B8B" w:rsidP="00DA1149">
                                <w:pPr>
                                  <w:spacing w:after="0" w:line="240" w:lineRule="auto"/>
                                  <w:rPr>
                                    <w:b/>
                                    <w:sz w:val="20"/>
                                    <w:szCs w:val="20"/>
                                  </w:rPr>
                                </w:pPr>
                                <w:r>
                                  <w:rPr>
                                    <w:b/>
                                    <w:sz w:val="20"/>
                                    <w:szCs w:val="20"/>
                                  </w:rPr>
                                  <w:t>Ongoing Projects:</w:t>
                                </w:r>
                              </w:p>
                              <w:p w:rsidR="00EA3B8B" w:rsidRPr="00114DA5" w:rsidRDefault="00EA3B8B" w:rsidP="00DA1149">
                                <w:pPr>
                                  <w:spacing w:after="0" w:line="240" w:lineRule="auto"/>
                                  <w:rPr>
                                    <w:rFonts w:cstheme="minorHAnsi"/>
                                    <w:sz w:val="18"/>
                                    <w:szCs w:val="18"/>
                                  </w:rPr>
                                </w:pPr>
                                <w:r w:rsidRPr="00114DA5">
                                  <w:rPr>
                                    <w:rFonts w:cstheme="minorHAnsi"/>
                                    <w:sz w:val="18"/>
                                    <w:szCs w:val="18"/>
                                  </w:rPr>
                                  <w:t xml:space="preserve">1. Climate change adaptation through coastal afforestation </w:t>
                                </w:r>
                              </w:p>
                              <w:p w:rsidR="00EA3B8B" w:rsidRPr="00114DA5" w:rsidRDefault="00EA3B8B" w:rsidP="00DA1149">
                                <w:pPr>
                                  <w:spacing w:after="0" w:line="240" w:lineRule="auto"/>
                                  <w:rPr>
                                    <w:rFonts w:cstheme="minorHAnsi"/>
                                    <w:sz w:val="18"/>
                                    <w:szCs w:val="18"/>
                                  </w:rPr>
                                </w:pPr>
                              </w:p>
                            </w:txbxContent>
                          </wps:txbx>
                          <wps:bodyPr rot="0" vert="horz" wrap="square" lIns="91440" tIns="45720" rIns="91440" bIns="45720" anchor="t" anchorCtr="0" upright="1">
                            <a:noAutofit/>
                          </wps:bodyPr>
                        </wps:wsp>
                        <wps:wsp>
                          <wps:cNvPr id="26" name="Text Box 96"/>
                          <wps:cNvSpPr txBox="1">
                            <a:spLocks noChangeArrowheads="1"/>
                          </wps:cNvSpPr>
                          <wps:spPr bwMode="auto">
                            <a:xfrm>
                              <a:off x="3960" y="5021"/>
                              <a:ext cx="2430" cy="159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A3B8B" w:rsidRDefault="00EA3B8B" w:rsidP="00DA1149">
                                <w:pPr>
                                  <w:spacing w:after="0" w:line="240" w:lineRule="auto"/>
                                  <w:rPr>
                                    <w:b/>
                                    <w:sz w:val="20"/>
                                    <w:szCs w:val="20"/>
                                  </w:rPr>
                                </w:pPr>
                                <w:r>
                                  <w:rPr>
                                    <w:b/>
                                    <w:sz w:val="20"/>
                                    <w:szCs w:val="20"/>
                                  </w:rPr>
                                  <w:t>Ongoing Projects:</w:t>
                                </w:r>
                              </w:p>
                              <w:p w:rsidR="00EA3B8B" w:rsidRPr="006A7422" w:rsidRDefault="00EA3B8B" w:rsidP="001E161B">
                                <w:pPr>
                                  <w:numPr>
                                    <w:ilvl w:val="0"/>
                                    <w:numId w:val="27"/>
                                  </w:numPr>
                                  <w:spacing w:after="0" w:line="240" w:lineRule="auto"/>
                                  <w:rPr>
                                    <w:sz w:val="18"/>
                                    <w:szCs w:val="18"/>
                                  </w:rPr>
                                </w:pPr>
                                <w:r w:rsidRPr="006A7422">
                                  <w:rPr>
                                    <w:sz w:val="18"/>
                                    <w:szCs w:val="18"/>
                                  </w:rPr>
                                  <w:t>PECM</w:t>
                                </w:r>
                              </w:p>
                              <w:p w:rsidR="00EA3B8B" w:rsidRPr="006A7422" w:rsidRDefault="00EA3B8B" w:rsidP="001E161B">
                                <w:pPr>
                                  <w:numPr>
                                    <w:ilvl w:val="0"/>
                                    <w:numId w:val="27"/>
                                  </w:numPr>
                                  <w:spacing w:after="0" w:line="240" w:lineRule="auto"/>
                                  <w:rPr>
                                    <w:sz w:val="18"/>
                                    <w:szCs w:val="18"/>
                                  </w:rPr>
                                </w:pPr>
                                <w:r w:rsidRPr="006A7422">
                                  <w:rPr>
                                    <w:sz w:val="18"/>
                                    <w:szCs w:val="18"/>
                                  </w:rPr>
                                  <w:t>SLMP</w:t>
                                </w:r>
                              </w:p>
                              <w:p w:rsidR="00EA3B8B" w:rsidRPr="006A7422" w:rsidRDefault="00EA3B8B" w:rsidP="001E161B">
                                <w:pPr>
                                  <w:numPr>
                                    <w:ilvl w:val="0"/>
                                    <w:numId w:val="27"/>
                                  </w:numPr>
                                  <w:spacing w:after="0" w:line="240" w:lineRule="auto"/>
                                  <w:rPr>
                                    <w:sz w:val="18"/>
                                    <w:szCs w:val="18"/>
                                  </w:rPr>
                                </w:pPr>
                                <w:r w:rsidRPr="006A7422">
                                  <w:rPr>
                                    <w:sz w:val="18"/>
                                    <w:szCs w:val="18"/>
                                  </w:rPr>
                                  <w:t>BRESL</w:t>
                                </w:r>
                              </w:p>
                            </w:txbxContent>
                          </wps:txbx>
                          <wps:bodyPr rot="0" vert="horz" wrap="square" lIns="91440" tIns="45720" rIns="91440" bIns="45720" anchor="t" anchorCtr="0" upright="1">
                            <a:noAutofit/>
                          </wps:bodyPr>
                        </wps:wsp>
                        <wps:wsp>
                          <wps:cNvPr id="27" name="Text Box 97"/>
                          <wps:cNvSpPr txBox="1">
                            <a:spLocks noChangeArrowheads="1"/>
                          </wps:cNvSpPr>
                          <wps:spPr bwMode="auto">
                            <a:xfrm>
                              <a:off x="6480" y="4976"/>
                              <a:ext cx="2233" cy="159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A3B8B" w:rsidRDefault="00EA3B8B" w:rsidP="00DA1149">
                                <w:pPr>
                                  <w:spacing w:after="0" w:line="240" w:lineRule="auto"/>
                                  <w:rPr>
                                    <w:rFonts w:ascii="Arial" w:eastAsia="+mn-ea" w:hAnsi="Arial" w:cs="Arial"/>
                                    <w:color w:val="000000"/>
                                    <w:kern w:val="24"/>
                                    <w:sz w:val="20"/>
                                    <w:szCs w:val="20"/>
                                  </w:rPr>
                                </w:pPr>
                                <w:r>
                                  <w:rPr>
                                    <w:b/>
                                    <w:sz w:val="20"/>
                                    <w:szCs w:val="20"/>
                                  </w:rPr>
                                  <w:t>Ongoing Projects:</w:t>
                                </w:r>
                              </w:p>
                              <w:p w:rsidR="00EA3B8B" w:rsidRDefault="00EA3B8B" w:rsidP="001E161B">
                                <w:pPr>
                                  <w:pStyle w:val="ListParagraph"/>
                                  <w:numPr>
                                    <w:ilvl w:val="0"/>
                                    <w:numId w:val="28"/>
                                  </w:numPr>
                                  <w:spacing w:after="0" w:line="240" w:lineRule="auto"/>
                                  <w:rPr>
                                    <w:rFonts w:asciiTheme="minorHAnsi" w:eastAsiaTheme="minorEastAsia" w:hAnsiTheme="minorHAnsi" w:cstheme="minorHAnsi"/>
                                    <w:sz w:val="18"/>
                                    <w:szCs w:val="18"/>
                                  </w:rPr>
                                </w:pPr>
                                <w:r w:rsidRPr="006A7422">
                                  <w:rPr>
                                    <w:rFonts w:asciiTheme="minorHAnsi" w:eastAsiaTheme="minorEastAsia" w:hAnsiTheme="minorHAnsi" w:cstheme="minorHAnsi"/>
                                    <w:sz w:val="18"/>
                                    <w:szCs w:val="18"/>
                                  </w:rPr>
                                  <w:t>Brick Kiln</w:t>
                                </w:r>
                              </w:p>
                              <w:p w:rsidR="00EA3B8B" w:rsidRPr="008B79CD" w:rsidRDefault="00EA3B8B" w:rsidP="001E161B">
                                <w:pPr>
                                  <w:pStyle w:val="ListParagraph"/>
                                  <w:numPr>
                                    <w:ilvl w:val="0"/>
                                    <w:numId w:val="28"/>
                                  </w:numPr>
                                  <w:spacing w:after="0" w:line="240" w:lineRule="auto"/>
                                  <w:rPr>
                                    <w:rFonts w:asciiTheme="minorHAnsi" w:eastAsiaTheme="minorEastAsia" w:hAnsiTheme="minorHAnsi" w:cstheme="minorHAnsi"/>
                                    <w:sz w:val="18"/>
                                    <w:szCs w:val="18"/>
                                  </w:rPr>
                                </w:pPr>
                                <w:r w:rsidRPr="008B79CD">
                                  <w:rPr>
                                    <w:rFonts w:asciiTheme="minorHAnsi" w:eastAsia="+mn-ea" w:hAnsiTheme="minorHAnsi" w:cstheme="minorHAnsi"/>
                                    <w:sz w:val="18"/>
                                    <w:szCs w:val="18"/>
                                  </w:rPr>
                                  <w:t>MDI</w:t>
                                </w:r>
                              </w:p>
                              <w:p w:rsidR="00EA3B8B" w:rsidRPr="008B79CD" w:rsidRDefault="00EA3B8B" w:rsidP="001E161B">
                                <w:pPr>
                                  <w:pStyle w:val="ListParagraph"/>
                                  <w:numPr>
                                    <w:ilvl w:val="0"/>
                                    <w:numId w:val="28"/>
                                  </w:numPr>
                                  <w:spacing w:after="0" w:line="240" w:lineRule="auto"/>
                                  <w:rPr>
                                    <w:rFonts w:asciiTheme="minorHAnsi" w:eastAsiaTheme="minorEastAsia" w:hAnsiTheme="minorHAnsi" w:cstheme="minorHAnsi"/>
                                    <w:sz w:val="18"/>
                                    <w:szCs w:val="18"/>
                                  </w:rPr>
                                </w:pPr>
                                <w:r w:rsidRPr="008B79CD">
                                  <w:rPr>
                                    <w:rFonts w:asciiTheme="minorHAnsi" w:eastAsia="+mn-ea" w:hAnsiTheme="minorHAnsi" w:cstheme="minorHAnsi"/>
                                    <w:sz w:val="18"/>
                                    <w:szCs w:val="18"/>
                                  </w:rPr>
                                  <w:t>ODS VI</w:t>
                                </w:r>
                              </w:p>
                              <w:p w:rsidR="00EA3B8B" w:rsidRPr="008B79CD" w:rsidRDefault="00EA3B8B" w:rsidP="001E161B">
                                <w:pPr>
                                  <w:pStyle w:val="ListParagraph"/>
                                  <w:numPr>
                                    <w:ilvl w:val="0"/>
                                    <w:numId w:val="28"/>
                                  </w:numPr>
                                  <w:spacing w:after="0" w:line="240" w:lineRule="auto"/>
                                  <w:rPr>
                                    <w:rFonts w:asciiTheme="minorHAnsi" w:eastAsiaTheme="minorEastAsia" w:hAnsiTheme="minorHAnsi" w:cstheme="minorHAnsi"/>
                                    <w:sz w:val="18"/>
                                    <w:szCs w:val="18"/>
                                  </w:rPr>
                                </w:pPr>
                                <w:r w:rsidRPr="008B79CD">
                                  <w:rPr>
                                    <w:rFonts w:asciiTheme="minorHAnsi" w:eastAsia="+mn-ea" w:hAnsiTheme="minorHAnsi" w:cstheme="minorHAnsi"/>
                                    <w:sz w:val="18"/>
                                    <w:szCs w:val="18"/>
                                  </w:rPr>
                                  <w:t>NOPP</w:t>
                                </w:r>
                              </w:p>
                              <w:p w:rsidR="00EA3B8B" w:rsidRPr="008B79CD" w:rsidRDefault="00EA3B8B" w:rsidP="001E161B">
                                <w:pPr>
                                  <w:pStyle w:val="ListParagraph"/>
                                  <w:numPr>
                                    <w:ilvl w:val="0"/>
                                    <w:numId w:val="28"/>
                                  </w:numPr>
                                  <w:spacing w:after="0" w:line="240" w:lineRule="auto"/>
                                  <w:rPr>
                                    <w:rFonts w:asciiTheme="minorHAnsi" w:eastAsiaTheme="minorEastAsia" w:hAnsiTheme="minorHAnsi" w:cstheme="minorHAnsi"/>
                                    <w:sz w:val="18"/>
                                    <w:szCs w:val="18"/>
                                  </w:rPr>
                                </w:pPr>
                                <w:r w:rsidRPr="008B79CD">
                                  <w:rPr>
                                    <w:rFonts w:eastAsia="+mn-ea"/>
                                    <w:sz w:val="18"/>
                                    <w:szCs w:val="18"/>
                                  </w:rPr>
                                  <w:t>BGDP</w:t>
                                </w:r>
                              </w:p>
                              <w:p w:rsidR="00EA3B8B" w:rsidRPr="006A7422" w:rsidRDefault="00EA3B8B" w:rsidP="00DA1149">
                                <w:pPr>
                                  <w:spacing w:after="0" w:line="240" w:lineRule="auto"/>
                                  <w:rPr>
                                    <w:b/>
                                    <w:sz w:val="20"/>
                                    <w:szCs w:val="20"/>
                                  </w:rPr>
                                </w:pPr>
                              </w:p>
                              <w:p w:rsidR="00EA3B8B" w:rsidRPr="003E0B62" w:rsidRDefault="00EA3B8B" w:rsidP="00DA1149">
                                <w:pPr>
                                  <w:spacing w:after="0" w:line="240" w:lineRule="auto"/>
                                  <w:rPr>
                                    <w:sz w:val="20"/>
                                    <w:szCs w:val="20"/>
                                  </w:rPr>
                                </w:pPr>
                              </w:p>
                            </w:txbxContent>
                          </wps:txbx>
                          <wps:bodyPr rot="0" vert="horz" wrap="square" lIns="91440" tIns="45720" rIns="91440" bIns="45720" anchor="t" anchorCtr="0" upright="1">
                            <a:noAutofit/>
                          </wps:bodyPr>
                        </wps:wsp>
                        <wps:wsp>
                          <wps:cNvPr id="28" name="Text Box 98"/>
                          <wps:cNvSpPr txBox="1">
                            <a:spLocks noChangeArrowheads="1"/>
                          </wps:cNvSpPr>
                          <wps:spPr bwMode="auto">
                            <a:xfrm>
                              <a:off x="8820" y="4976"/>
                              <a:ext cx="2310" cy="159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A3B8B" w:rsidRDefault="00EA3B8B" w:rsidP="00DA1149">
                                <w:pPr>
                                  <w:spacing w:after="0" w:line="240" w:lineRule="auto"/>
                                  <w:rPr>
                                    <w:b/>
                                    <w:sz w:val="20"/>
                                    <w:szCs w:val="20"/>
                                  </w:rPr>
                                </w:pPr>
                                <w:r>
                                  <w:rPr>
                                    <w:b/>
                                    <w:sz w:val="20"/>
                                    <w:szCs w:val="20"/>
                                  </w:rPr>
                                  <w:t>Ongoing Projects:</w:t>
                                </w:r>
                              </w:p>
                              <w:p w:rsidR="00EA3B8B" w:rsidRPr="006A7422" w:rsidRDefault="00EA3B8B" w:rsidP="001E161B">
                                <w:pPr>
                                  <w:numPr>
                                    <w:ilvl w:val="0"/>
                                    <w:numId w:val="29"/>
                                  </w:numPr>
                                  <w:tabs>
                                    <w:tab w:val="clear" w:pos="720"/>
                                    <w:tab w:val="num" w:pos="630"/>
                                  </w:tabs>
                                  <w:spacing w:after="0" w:line="240" w:lineRule="auto"/>
                                  <w:ind w:left="360"/>
                                  <w:rPr>
                                    <w:sz w:val="18"/>
                                    <w:szCs w:val="18"/>
                                  </w:rPr>
                                </w:pPr>
                                <w:r w:rsidRPr="006A7422">
                                  <w:rPr>
                                    <w:sz w:val="18"/>
                                    <w:szCs w:val="18"/>
                                  </w:rPr>
                                  <w:t>Development of sustainable Renewable energy generation</w:t>
                                </w:r>
                              </w:p>
                              <w:p w:rsidR="00EA3B8B" w:rsidRDefault="00EA3B8B" w:rsidP="00DA1149">
                                <w:pPr>
                                  <w:spacing w:after="0" w:line="240" w:lineRule="auto"/>
                                  <w:rPr>
                                    <w:sz w:val="20"/>
                                    <w:szCs w:val="20"/>
                                  </w:rPr>
                                </w:pPr>
                              </w:p>
                              <w:p w:rsidR="00EA3B8B" w:rsidRPr="003E0B62" w:rsidRDefault="00EA3B8B" w:rsidP="00DA1149">
                                <w:pPr>
                                  <w:spacing w:after="0" w:line="240" w:lineRule="auto"/>
                                  <w:rPr>
                                    <w:sz w:val="20"/>
                                    <w:szCs w:val="20"/>
                                  </w:rPr>
                                </w:pPr>
                              </w:p>
                            </w:txbxContent>
                          </wps:txbx>
                          <wps:bodyPr rot="0" vert="horz" wrap="square" lIns="91440" tIns="45720" rIns="91440" bIns="45720" anchor="t" anchorCtr="0" upright="1">
                            <a:noAutofit/>
                          </wps:bodyPr>
                        </wps:wsp>
                      </wpg:wgp>
                      <wpg:wgp>
                        <wpg:cNvPr id="29" name="Group 99"/>
                        <wpg:cNvGrpSpPr>
                          <a:grpSpLocks/>
                        </wpg:cNvGrpSpPr>
                        <wpg:grpSpPr bwMode="auto">
                          <a:xfrm>
                            <a:off x="19000" y="55801"/>
                            <a:ext cx="6029350" cy="2371823"/>
                            <a:chOff x="1605" y="1256"/>
                            <a:chExt cx="9495" cy="3735"/>
                          </a:xfrm>
                        </wpg:grpSpPr>
                        <wps:wsp>
                          <wps:cNvPr id="30" name="Text Box 100"/>
                          <wps:cNvSpPr txBox="1">
                            <a:spLocks noChangeArrowheads="1"/>
                          </wps:cNvSpPr>
                          <wps:spPr bwMode="auto">
                            <a:xfrm>
                              <a:off x="1605" y="1256"/>
                              <a:ext cx="9450" cy="5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EA3B8B" w:rsidRPr="0014223F" w:rsidRDefault="00EA3B8B" w:rsidP="00DA1149">
                                <w:pPr>
                                  <w:jc w:val="center"/>
                                  <w:rPr>
                                    <w:b/>
                                    <w:sz w:val="32"/>
                                    <w:szCs w:val="32"/>
                                  </w:rPr>
                                </w:pPr>
                                <w:r w:rsidRPr="0014223F">
                                  <w:rPr>
                                    <w:b/>
                                    <w:bCs/>
                                    <w:sz w:val="32"/>
                                    <w:szCs w:val="32"/>
                                  </w:rPr>
                                  <w:t>Country Programme: Environment</w:t>
                                </w:r>
                                <w:r>
                                  <w:rPr>
                                    <w:b/>
                                    <w:bCs/>
                                    <w:sz w:val="32"/>
                                    <w:szCs w:val="32"/>
                                  </w:rPr>
                                  <w:t xml:space="preserve">, </w:t>
                                </w:r>
                                <w:r w:rsidRPr="0014223F">
                                  <w:rPr>
                                    <w:b/>
                                    <w:bCs/>
                                    <w:sz w:val="32"/>
                                    <w:szCs w:val="32"/>
                                  </w:rPr>
                                  <w:t>NRM</w:t>
                                </w:r>
                                <w:r>
                                  <w:rPr>
                                    <w:b/>
                                    <w:bCs/>
                                    <w:sz w:val="32"/>
                                    <w:szCs w:val="32"/>
                                  </w:rPr>
                                  <w:t>&amp; Low Carbon Energy</w:t>
                                </w:r>
                              </w:p>
                              <w:p w:rsidR="00EA3B8B" w:rsidRPr="0019723E" w:rsidRDefault="00EA3B8B" w:rsidP="00DA1149">
                                <w:pPr>
                                  <w:jc w:val="center"/>
                                  <w:rPr>
                                    <w:b/>
                                    <w:sz w:val="32"/>
                                    <w:szCs w:val="32"/>
                                  </w:rPr>
                                </w:pPr>
                              </w:p>
                            </w:txbxContent>
                          </wps:txbx>
                          <wps:bodyPr rot="0" vert="horz" wrap="square" lIns="91440" tIns="45720" rIns="91440" bIns="45720" anchor="t" anchorCtr="0" upright="1">
                            <a:noAutofit/>
                          </wps:bodyPr>
                        </wps:wsp>
                        <wps:wsp>
                          <wps:cNvPr id="31" name="AutoShape 101"/>
                          <wps:cNvSpPr>
                            <a:spLocks noChangeArrowheads="1"/>
                          </wps:cNvSpPr>
                          <wps:spPr bwMode="auto">
                            <a:xfrm>
                              <a:off x="1755" y="1886"/>
                              <a:ext cx="9055" cy="690"/>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EA3B8B" w:rsidRPr="0014223F" w:rsidRDefault="00EA3B8B" w:rsidP="00DA1149">
                                <w:pPr>
                                  <w:spacing w:after="0" w:line="240" w:lineRule="auto"/>
                                  <w:jc w:val="center"/>
                                  <w:rPr>
                                    <w:b/>
                                  </w:rPr>
                                </w:pPr>
                                <w:r w:rsidRPr="0014223F">
                                  <w:rPr>
                                    <w:b/>
                                  </w:rPr>
                                  <w:t xml:space="preserve">Outcome 2: By 2016, vulnerable populations benefit from natural resource management (NRM); environmental governance and </w:t>
                                </w:r>
                                <w:r>
                                  <w:rPr>
                                    <w:b/>
                                  </w:rPr>
                                  <w:t>low- emission green development</w:t>
                                </w:r>
                              </w:p>
                              <w:p w:rsidR="00EA3B8B" w:rsidRPr="0014223F" w:rsidRDefault="00EA3B8B" w:rsidP="00DA1149">
                                <w:pPr>
                                  <w:rPr>
                                    <w:szCs w:val="28"/>
                                  </w:rPr>
                                </w:pPr>
                              </w:p>
                            </w:txbxContent>
                          </wps:txbx>
                          <wps:bodyPr rot="0" vert="horz" wrap="square" lIns="91440" tIns="45720" rIns="91440" bIns="45720" anchor="t" anchorCtr="0" upright="1">
                            <a:noAutofit/>
                          </wps:bodyPr>
                        </wps:wsp>
                        <wps:wsp>
                          <wps:cNvPr id="32" name="Text Box 102"/>
                          <wps:cNvSpPr txBox="1">
                            <a:spLocks noChangeArrowheads="1"/>
                          </wps:cNvSpPr>
                          <wps:spPr bwMode="auto">
                            <a:xfrm>
                              <a:off x="1605" y="2921"/>
                              <a:ext cx="2210" cy="207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A3B8B" w:rsidRPr="0014223F" w:rsidRDefault="00EA3B8B" w:rsidP="00DA1149">
                                <w:pPr>
                                  <w:spacing w:after="0" w:line="240" w:lineRule="auto"/>
                                  <w:jc w:val="center"/>
                                  <w:rPr>
                                    <w:b/>
                                    <w:sz w:val="20"/>
                                    <w:szCs w:val="20"/>
                                  </w:rPr>
                                </w:pPr>
                                <w:r w:rsidRPr="0014223F">
                                  <w:rPr>
                                    <w:b/>
                                    <w:i/>
                                    <w:iCs/>
                                    <w:sz w:val="18"/>
                                    <w:szCs w:val="18"/>
                                  </w:rPr>
                                  <w:t>Output 2.1: Communities and local and national authorities are better able to conserve biodiversity and</w:t>
                                </w:r>
                                <w:r w:rsidRPr="0014223F">
                                  <w:rPr>
                                    <w:b/>
                                    <w:i/>
                                    <w:iCs/>
                                    <w:sz w:val="20"/>
                                    <w:szCs w:val="20"/>
                                  </w:rPr>
                                  <w:t xml:space="preserve"> manage natural resources in a pro-poor and sustainable manner</w:t>
                                </w:r>
                              </w:p>
                              <w:p w:rsidR="00EA3B8B" w:rsidRPr="0014223F" w:rsidRDefault="00EA3B8B" w:rsidP="00DA1149">
                                <w:pPr>
                                  <w:rPr>
                                    <w:szCs w:val="20"/>
                                  </w:rPr>
                                </w:pPr>
                              </w:p>
                            </w:txbxContent>
                          </wps:txbx>
                          <wps:bodyPr rot="0" vert="horz" wrap="square" lIns="91440" tIns="45720" rIns="91440" bIns="45720" anchor="t" anchorCtr="0" upright="1">
                            <a:noAutofit/>
                          </wps:bodyPr>
                        </wps:wsp>
                        <wps:wsp>
                          <wps:cNvPr id="33" name="Text Box 103"/>
                          <wps:cNvSpPr txBox="1">
                            <a:spLocks noChangeArrowheads="1"/>
                          </wps:cNvSpPr>
                          <wps:spPr bwMode="auto">
                            <a:xfrm>
                              <a:off x="3945" y="2921"/>
                              <a:ext cx="2385" cy="205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A3B8B" w:rsidRPr="0014223F" w:rsidRDefault="00EA3B8B" w:rsidP="00DA1149">
                                <w:pPr>
                                  <w:spacing w:after="0" w:line="240" w:lineRule="auto"/>
                                  <w:jc w:val="center"/>
                                  <w:rPr>
                                    <w:b/>
                                    <w:sz w:val="20"/>
                                    <w:szCs w:val="20"/>
                                  </w:rPr>
                                </w:pPr>
                                <w:r w:rsidRPr="0014223F">
                                  <w:rPr>
                                    <w:b/>
                                    <w:i/>
                                    <w:iCs/>
                                    <w:sz w:val="18"/>
                                    <w:szCs w:val="18"/>
                                  </w:rPr>
                                  <w:t>Output.2.2: Relevant institutions have greater capacity to implement existing environment policies, plans and budgets, integrating considerations of PEC change interfaces</w:t>
                                </w:r>
                              </w:p>
                              <w:p w:rsidR="00EA3B8B" w:rsidRPr="0014223F" w:rsidRDefault="00EA3B8B" w:rsidP="00DA1149">
                                <w:pPr>
                                  <w:rPr>
                                    <w:szCs w:val="20"/>
                                  </w:rPr>
                                </w:pPr>
                              </w:p>
                            </w:txbxContent>
                          </wps:txbx>
                          <wps:bodyPr rot="0" vert="horz" wrap="square" lIns="91440" tIns="45720" rIns="91440" bIns="45720" anchor="t" anchorCtr="0" upright="1">
                            <a:noAutofit/>
                          </wps:bodyPr>
                        </wps:wsp>
                        <wps:wsp>
                          <wps:cNvPr id="34" name="Text Box 104"/>
                          <wps:cNvSpPr txBox="1">
                            <a:spLocks noChangeArrowheads="1"/>
                          </wps:cNvSpPr>
                          <wps:spPr bwMode="auto">
                            <a:xfrm>
                              <a:off x="6480" y="2891"/>
                              <a:ext cx="2195" cy="205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A3B8B" w:rsidRPr="0014223F" w:rsidRDefault="00EA3B8B" w:rsidP="00DA1149">
                                <w:pPr>
                                  <w:spacing w:after="0" w:line="240" w:lineRule="auto"/>
                                  <w:jc w:val="center"/>
                                  <w:rPr>
                                    <w:b/>
                                    <w:sz w:val="18"/>
                                    <w:szCs w:val="18"/>
                                  </w:rPr>
                                </w:pPr>
                                <w:r w:rsidRPr="0014223F">
                                  <w:rPr>
                                    <w:b/>
                                    <w:i/>
                                    <w:iCs/>
                                    <w:sz w:val="18"/>
                                    <w:szCs w:val="18"/>
                                  </w:rPr>
                                  <w:t>Output 2.3: Pro-poor Plans, strategies &amp; partnership mechanism are in place to implement low emission green growth with better access to CFM</w:t>
                                </w:r>
                              </w:p>
                              <w:p w:rsidR="00EA3B8B" w:rsidRPr="0014223F" w:rsidRDefault="00EA3B8B" w:rsidP="00DA1149">
                                <w:pPr>
                                  <w:rPr>
                                    <w:szCs w:val="20"/>
                                  </w:rPr>
                                </w:pPr>
                              </w:p>
                            </w:txbxContent>
                          </wps:txbx>
                          <wps:bodyPr rot="0" vert="horz" wrap="square" lIns="91440" tIns="45720" rIns="91440" bIns="45720" anchor="t" anchorCtr="0" upright="1">
                            <a:noAutofit/>
                          </wps:bodyPr>
                        </wps:wsp>
                        <wps:wsp>
                          <wps:cNvPr id="35" name="Text Box 105"/>
                          <wps:cNvSpPr txBox="1">
                            <a:spLocks noChangeArrowheads="1"/>
                          </wps:cNvSpPr>
                          <wps:spPr bwMode="auto">
                            <a:xfrm>
                              <a:off x="8805" y="2846"/>
                              <a:ext cx="2295" cy="21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A3B8B" w:rsidRPr="003545E3" w:rsidRDefault="00EA3B8B" w:rsidP="00DA1149">
                                <w:pPr>
                                  <w:spacing w:after="0" w:line="240" w:lineRule="auto"/>
                                  <w:jc w:val="center"/>
                                  <w:rPr>
                                    <w:b/>
                                    <w:sz w:val="18"/>
                                    <w:szCs w:val="18"/>
                                  </w:rPr>
                                </w:pPr>
                                <w:r w:rsidRPr="003545E3">
                                  <w:rPr>
                                    <w:b/>
                                    <w:i/>
                                    <w:iCs/>
                                    <w:sz w:val="18"/>
                                    <w:szCs w:val="18"/>
                                  </w:rPr>
                                  <w:t>Output.2.4: On-grid and pro-poor off-grid clean energy technologies promoted</w:t>
                                </w:r>
                              </w:p>
                              <w:p w:rsidR="00EA3B8B" w:rsidRPr="003545E3" w:rsidRDefault="00EA3B8B" w:rsidP="00DA1149">
                                <w:pPr>
                                  <w:rPr>
                                    <w:szCs w:val="20"/>
                                  </w:rPr>
                                </w:pPr>
                              </w:p>
                            </w:txbxContent>
                          </wps:txbx>
                          <wps:bodyPr rot="0" vert="horz" wrap="square" lIns="91440" tIns="45720" rIns="91440" bIns="45720" anchor="t" anchorCtr="0" upright="1">
                            <a:noAutofit/>
                          </wps:bodyPr>
                        </wps:wsp>
                        <wps:wsp>
                          <wps:cNvPr id="36" name="AutoShape 106"/>
                          <wps:cNvCnPr>
                            <a:cxnSpLocks noChangeShapeType="1"/>
                          </wps:cNvCnPr>
                          <wps:spPr bwMode="auto">
                            <a:xfrm>
                              <a:off x="1635" y="2754"/>
                              <a:ext cx="879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07"/>
                          <wps:cNvCnPr>
                            <a:cxnSpLocks noChangeShapeType="1"/>
                          </wps:cNvCnPr>
                          <wps:spPr bwMode="auto">
                            <a:xfrm>
                              <a:off x="6283" y="2576"/>
                              <a:ext cx="5" cy="1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08"/>
                          <wps:cNvCnPr>
                            <a:cxnSpLocks noChangeShapeType="1"/>
                          </wps:cNvCnPr>
                          <wps:spPr bwMode="auto">
                            <a:xfrm flipH="1">
                              <a:off x="5138" y="2754"/>
                              <a:ext cx="10" cy="1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9" name="AutoShape 109"/>
                        <wps:cNvCnPr>
                          <a:cxnSpLocks noChangeShapeType="1"/>
                        </wps:cNvCnPr>
                        <wps:spPr bwMode="auto">
                          <a:xfrm>
                            <a:off x="3683030" y="1000110"/>
                            <a:ext cx="3100" cy="122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10"/>
                        <wps:cNvCnPr>
                          <a:cxnSpLocks noChangeShapeType="1"/>
                        </wps:cNvCnPr>
                        <wps:spPr bwMode="auto">
                          <a:xfrm>
                            <a:off x="5299044" y="1001310"/>
                            <a:ext cx="3200" cy="122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111"/>
                        <wps:cNvCnPr>
                          <a:cxnSpLocks noChangeShapeType="1"/>
                        </wps:cNvCnPr>
                        <wps:spPr bwMode="auto">
                          <a:xfrm flipH="1">
                            <a:off x="617805" y="1007110"/>
                            <a:ext cx="6400" cy="106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112"/>
                        <wps:cNvSpPr txBox="1">
                          <a:spLocks noChangeArrowheads="1"/>
                        </wps:cNvSpPr>
                        <wps:spPr bwMode="auto">
                          <a:xfrm>
                            <a:off x="4603738" y="3418233"/>
                            <a:ext cx="1473212" cy="1152511"/>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EA3B8B" w:rsidRDefault="00EA3B8B" w:rsidP="00DA1149">
                              <w:pPr>
                                <w:spacing w:after="0" w:line="240" w:lineRule="auto"/>
                                <w:rPr>
                                  <w:b/>
                                  <w:i/>
                                </w:rPr>
                              </w:pPr>
                              <w:r w:rsidRPr="007C6CAE">
                                <w:rPr>
                                  <w:b/>
                                  <w:i/>
                                </w:rPr>
                                <w:t>Key Milestones:</w:t>
                              </w:r>
                            </w:p>
                            <w:p w:rsidR="00EA3B8B" w:rsidRPr="008B79CD" w:rsidRDefault="00EA3B8B" w:rsidP="00DA1149">
                              <w:pPr>
                                <w:spacing w:after="0" w:line="240" w:lineRule="auto"/>
                                <w:rPr>
                                  <w:i/>
                                  <w:sz w:val="20"/>
                                  <w:szCs w:val="20"/>
                                </w:rPr>
                              </w:pPr>
                              <w:r w:rsidRPr="008B79CD">
                                <w:rPr>
                                  <w:bCs/>
                                  <w:i/>
                                  <w:iCs/>
                                  <w:sz w:val="20"/>
                                  <w:szCs w:val="20"/>
                                </w:rPr>
                                <w:t>SREDA established &amp; operational to serve the purpose</w:t>
                              </w:r>
                              <w:r>
                                <w:rPr>
                                  <w:bCs/>
                                  <w:i/>
                                  <w:iCs/>
                                  <w:sz w:val="20"/>
                                  <w:szCs w:val="20"/>
                                </w:rPr>
                                <w:t xml:space="preserve"> of renewable energy for all</w:t>
                              </w:r>
                            </w:p>
                            <w:p w:rsidR="00EA3B8B" w:rsidRPr="008B79CD" w:rsidRDefault="00EA3B8B" w:rsidP="00DA1149">
                              <w:pPr>
                                <w:spacing w:after="0" w:line="240" w:lineRule="auto"/>
                                <w:rPr>
                                  <w:b/>
                                  <w:i/>
                                </w:rPr>
                              </w:pPr>
                            </w:p>
                          </w:txbxContent>
                        </wps:txbx>
                        <wps:bodyPr rot="0" vert="horz" wrap="square" lIns="91440" tIns="45720" rIns="91440" bIns="45720" anchor="t" anchorCtr="0" upright="1">
                          <a:noAutofit/>
                        </wps:bodyPr>
                      </wps:wsp>
                      <wpg:wgp>
                        <wpg:cNvPr id="43" name="Group 113"/>
                        <wpg:cNvGrpSpPr>
                          <a:grpSpLocks/>
                        </wpg:cNvGrpSpPr>
                        <wpg:grpSpPr bwMode="auto">
                          <a:xfrm>
                            <a:off x="39300" y="3409933"/>
                            <a:ext cx="4504137" cy="1152511"/>
                            <a:chOff x="1652" y="6855"/>
                            <a:chExt cx="7093" cy="1815"/>
                          </a:xfrm>
                        </wpg:grpSpPr>
                        <wps:wsp>
                          <wps:cNvPr id="44" name="Text Box 114"/>
                          <wps:cNvSpPr txBox="1">
                            <a:spLocks noChangeArrowheads="1"/>
                          </wps:cNvSpPr>
                          <wps:spPr bwMode="auto">
                            <a:xfrm>
                              <a:off x="1652" y="6855"/>
                              <a:ext cx="2228" cy="181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EA3B8B" w:rsidRPr="007C6CAE" w:rsidRDefault="00EA3B8B" w:rsidP="00DA1149">
                                <w:pPr>
                                  <w:spacing w:after="0" w:line="240" w:lineRule="auto"/>
                                  <w:rPr>
                                    <w:b/>
                                    <w:i/>
                                  </w:rPr>
                                </w:pPr>
                                <w:r w:rsidRPr="007C6CAE">
                                  <w:rPr>
                                    <w:b/>
                                    <w:i/>
                                  </w:rPr>
                                  <w:t>Key Milestones:</w:t>
                                </w:r>
                              </w:p>
                              <w:p w:rsidR="00EA3B8B" w:rsidRPr="008B79CD" w:rsidRDefault="00EA3B8B" w:rsidP="00DA1149">
                                <w:pPr>
                                  <w:spacing w:after="0" w:line="240" w:lineRule="auto"/>
                                  <w:rPr>
                                    <w:i/>
                                    <w:sz w:val="20"/>
                                    <w:szCs w:val="20"/>
                                  </w:rPr>
                                </w:pPr>
                                <w:r w:rsidRPr="008B79CD">
                                  <w:rPr>
                                    <w:bCs/>
                                    <w:i/>
                                    <w:iCs/>
                                    <w:sz w:val="18"/>
                                    <w:szCs w:val="18"/>
                                  </w:rPr>
                                  <w:t>1. Scaled up and mainstreamed into Government’s Coastal Afforestation Project – 4 to 9</w:t>
                                </w:r>
                                <w:r w:rsidRPr="008B79CD">
                                  <w:rPr>
                                    <w:bCs/>
                                    <w:i/>
                                    <w:iCs/>
                                    <w:sz w:val="20"/>
                                    <w:szCs w:val="20"/>
                                  </w:rPr>
                                  <w:t xml:space="preserve"> Districts</w:t>
                                </w:r>
                              </w:p>
                              <w:p w:rsidR="00EA3B8B" w:rsidRPr="00995EC0" w:rsidRDefault="00EA3B8B" w:rsidP="00DA1149">
                                <w:pPr>
                                  <w:spacing w:after="0" w:line="240" w:lineRule="auto"/>
                                  <w:rPr>
                                    <w:i/>
                                    <w:sz w:val="20"/>
                                    <w:szCs w:val="20"/>
                                  </w:rPr>
                                </w:pPr>
                              </w:p>
                            </w:txbxContent>
                          </wps:txbx>
                          <wps:bodyPr rot="0" vert="horz" wrap="square" lIns="91440" tIns="45720" rIns="91440" bIns="45720" anchor="t" anchorCtr="0" upright="1">
                            <a:noAutofit/>
                          </wps:bodyPr>
                        </wps:wsp>
                        <wps:wsp>
                          <wps:cNvPr id="45" name="Text Box 115"/>
                          <wps:cNvSpPr txBox="1">
                            <a:spLocks noChangeArrowheads="1"/>
                          </wps:cNvSpPr>
                          <wps:spPr bwMode="auto">
                            <a:xfrm>
                              <a:off x="3977" y="6855"/>
                              <a:ext cx="2462" cy="181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EA3B8B" w:rsidRDefault="00EA3B8B" w:rsidP="00DA1149">
                                <w:pPr>
                                  <w:spacing w:after="0" w:line="240" w:lineRule="auto"/>
                                  <w:rPr>
                                    <w:b/>
                                    <w:i/>
                                  </w:rPr>
                                </w:pPr>
                                <w:r w:rsidRPr="007C6CAE">
                                  <w:rPr>
                                    <w:b/>
                                    <w:i/>
                                  </w:rPr>
                                  <w:t>Key Milestones:</w:t>
                                </w:r>
                              </w:p>
                              <w:p w:rsidR="00EA3B8B" w:rsidRPr="008B79CD" w:rsidRDefault="00EA3B8B" w:rsidP="00DA1149">
                                <w:pPr>
                                  <w:spacing w:after="0" w:line="240" w:lineRule="auto"/>
                                  <w:rPr>
                                    <w:i/>
                                    <w:sz w:val="18"/>
                                    <w:szCs w:val="18"/>
                                  </w:rPr>
                                </w:pPr>
                                <w:r w:rsidRPr="008B79CD">
                                  <w:rPr>
                                    <w:bCs/>
                                    <w:i/>
                                    <w:iCs/>
                                    <w:sz w:val="18"/>
                                    <w:szCs w:val="18"/>
                                  </w:rPr>
                                  <w:t>Climate Fiscal Framework in the National Financing &amp; Budgeting System</w:t>
                                </w:r>
                              </w:p>
                              <w:p w:rsidR="00EA3B8B" w:rsidRPr="008B79CD" w:rsidRDefault="00EA3B8B" w:rsidP="00DA1149">
                                <w:pPr>
                                  <w:spacing w:after="0" w:line="240" w:lineRule="auto"/>
                                  <w:rPr>
                                    <w:b/>
                                    <w:i/>
                                  </w:rPr>
                                </w:pPr>
                              </w:p>
                            </w:txbxContent>
                          </wps:txbx>
                          <wps:bodyPr rot="0" vert="horz" wrap="square" lIns="91440" tIns="45720" rIns="91440" bIns="45720" anchor="t" anchorCtr="0" upright="1">
                            <a:noAutofit/>
                          </wps:bodyPr>
                        </wps:wsp>
                        <wps:wsp>
                          <wps:cNvPr id="46" name="Text Box 116"/>
                          <wps:cNvSpPr txBox="1">
                            <a:spLocks noChangeArrowheads="1"/>
                          </wps:cNvSpPr>
                          <wps:spPr bwMode="auto">
                            <a:xfrm>
                              <a:off x="6512" y="6855"/>
                              <a:ext cx="2233" cy="181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EA3B8B" w:rsidRPr="007C6CAE" w:rsidRDefault="00EA3B8B" w:rsidP="00DA1149">
                                <w:pPr>
                                  <w:spacing w:after="0" w:line="240" w:lineRule="auto"/>
                                  <w:rPr>
                                    <w:b/>
                                    <w:i/>
                                  </w:rPr>
                                </w:pPr>
                                <w:r w:rsidRPr="007C6CAE">
                                  <w:rPr>
                                    <w:b/>
                                    <w:i/>
                                  </w:rPr>
                                  <w:t>Key Milestones:</w:t>
                                </w:r>
                              </w:p>
                              <w:p w:rsidR="00EA3B8B" w:rsidRPr="008B79CD" w:rsidRDefault="00EA3B8B" w:rsidP="00DA1149">
                                <w:pPr>
                                  <w:spacing w:after="0" w:line="240" w:lineRule="auto"/>
                                  <w:rPr>
                                    <w:i/>
                                    <w:sz w:val="18"/>
                                    <w:szCs w:val="18"/>
                                  </w:rPr>
                                </w:pPr>
                                <w:r w:rsidRPr="008B79CD">
                                  <w:rPr>
                                    <w:bCs/>
                                    <w:i/>
                                    <w:iCs/>
                                    <w:sz w:val="18"/>
                                    <w:szCs w:val="18"/>
                                  </w:rPr>
                                  <w:t>100% Compliance to Montreal Protocol</w:t>
                                </w:r>
                              </w:p>
                              <w:p w:rsidR="00EA3B8B" w:rsidRPr="00995EC0" w:rsidRDefault="00EA3B8B" w:rsidP="00DA1149">
                                <w:pPr>
                                  <w:spacing w:after="0" w:line="240" w:lineRule="auto"/>
                                  <w:rPr>
                                    <w:i/>
                                    <w:sz w:val="20"/>
                                    <w:szCs w:val="20"/>
                                  </w:rPr>
                                </w:pPr>
                              </w:p>
                            </w:txbxContent>
                          </wps:txbx>
                          <wps:bodyPr rot="0" vert="horz" wrap="square" lIns="91440" tIns="45720" rIns="91440" bIns="45720" anchor="t" anchorCtr="0" upright="1">
                            <a:noAutofit/>
                          </wps:bodyPr>
                        </wps:wsp>
                      </wpg:wgp>
                    </wpc:wpc>
                  </a:graphicData>
                </a:graphic>
              </wp:inline>
            </w:drawing>
          </mc:Choice>
          <mc:Fallback>
            <w:pict>
              <v:group w14:anchorId="1F838636" id="Canvas 92" o:spid="_x0000_s1055" editas="canvas" style="width:478.5pt;height:362.35pt;mso-position-horizontal-relative:char;mso-position-vertical-relative:line" coordsize="60769,4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aF7QkAAD5eAAAOAAAAZHJzL2Uyb0RvYy54bWzsXG2Tm8gR/p6q+w8U39dieBOoLF/5tGsn&#10;VZfkKnYqn2cBSSQICKCVnKv77+nuGUYgtPbKXqHdqvGHNQiYl56eZ3qe7p63P+83mfGQVHVa5HOT&#10;vbFMI8mjIk7z1dz85+cPN4Fp1A3PY54VeTI3vyS1+fO7n/70dlfOErtYF1mcVAYUktezXTk3101T&#10;ziaTOlonG16/Kcokh4fLotrwBm6r1SSu+A5K32QT27L8ya6o4rIqoqSu4ddb8dB8R+Uvl0nU/H25&#10;rJPGyOYmtK2hvxX9vce/k3dv+WxV8XKdRrIZ/DtaseFpDpWqom55w41tlQ6K2qRRVdTFsnkTFZtJ&#10;sVymUUJ9gN4w66g3C54/8Jo6E4F02gbC1TOWe7/CdufFhzTLQBoTKH2Gv+H/OxifBB9nubGD4Q0t&#10;D4QYcRioZcYbuNyU8dys85Vp8GwFGhA1FcmhLrI0xiLx67pa3S+yynjgOAr0DwU/gSfd18qqbm55&#10;vRbv0SMxPpu0ASXJ0s3cDNTXfLZOeHyXx0bzpQTNykG/TGzlJolNI0ugMXhFA9zwNHvKm9CiLJcy&#10;kH3flavZblUqFQW1PtLRs4b0Y1VsSxrR1Sz628NvlZGCAG3bNHK+gV7QcyN0sd1YNbzzsSo/lb9V&#10;Qrvg8tci+k8tRqr/HN9fiZeN+91fixjK49umoAHZL6sNFgEqZ+yhxsCzYCi/wJXLAsumCvks2TdG&#10;BI99ywlCGmt4g1luyJicK9EaJhSWwHxbFOCGU1+IOVrfye9DD943IvzY92x8CqIVTQAFU83EPsK8&#10;rw/irX9MvJ/WvExIvHVXvE4r3s/YwV+KvRF6QsL0GorXaPbwO7SXpFULKRt5sVjzfJW8r6pih/oG&#10;7WPUHWw4DI4YGbypsZBviV0JzbNsKucgctt2oJlCZNa0JzI+w6nxMSk2Bl7MzQpwjdrJH36tGyHd&#10;9hWhJ5wmn1EVzb/SZk1iQbijhzV8Iy6MsoAOiZ8JchM1TXkUJXkjpJFtN6BNYlr6OAGxdTBVthvU&#10;BZrVbvszTmoEbyyJRn1Vd+sCrYPP8Rf1lijgsfoA5E/VRzgghaRKOlEfw8/PqvC7Ogi9XrVizdLc&#10;AJ0BRQlCUbtRRzxLYJ4L1aFVQoGjhFZ72jazC4mqa18X0tlt7uHu1+GVhloCqNA0hEjQW1pdpSoV&#10;W0DoT+t4Z8QpKqgdOCGs/HEKS60TWL4VTrsrxEm9fGJfhQYNFFDqJM/KNRfCUi8OVFK1lhSm0xHA&#10;JjGRBTA1+/s94TNTaHFfxF9gnsO8wnmDlg9crIvqf7D0gBUBa+F/t7yChSj7Sw5TK2SuC681dON6&#10;U4TMqvvkvvuE5xEUNTdhYRWXi0aYKtuySldrqEnMx7x4D7C+TGnmY5NFq6A3eANwOhau+kNcpaUA&#10;myHBcRxcdUIfJAvLzQlcdR14RLjqhaQlainSuDqYRhpXf2ix07hKq8CTcVWhhcbVrr0Ki6XYDhzs&#10;VbIIR8dV3w0Erh6M/HaL0LFXNa4e7GNtr5Lpr+3VdsOkzND+humy9qpCC42rXVyFLckxrga4iRwd&#10;V4MAdwJgr57AVUdRJxpXNa5KBrWlVDSuXhVXFVq8FlwlthX4a8S4MYjssEVYSWSHAl77RDUSYM9F&#10;ZINPAogz2vp7gXXEqfqWHTotjW07UxbYjuAuOzS25dHnzPaGNLYLPDFxB87UIQ5IcQdXoLGRxzha&#10;voDevMr6xfyB1Np9Qei2AvfsvsiuR7d4xDj/0M7+LBp7WN+FtwXDCs+mhLGDo9LYz9DmV0O3DPt6&#10;lW2BROOWMNY0NrH7DmtxFWl18pUZTCwlnY0B+awu5RacenIRCgK5CCk4tfAR0tf+N9nrYpvH/+i5&#10;Bsn1FstVg8f/No3lJoMAB/DZGcz3/dbPSH5Emv8XcSP6I+PvsL4L4++wwpePv8/Q5h7+QmRDHpND&#10;QQZm0PXVPIfD7l0DcmGbL/mF17JjQMi7eESGowJeFMPNLIoT6SDuOK5DZcra4TAko6VibGv6UlyH&#10;zshYOqzvwlg6rPDlY+kztLmHpS85JGPY16sAK231ES00sHYobowhG3AExHmMDqwOMAHErJwAVieQ&#10;Rq2N5i2skIpXuR5JMNTr78IdjAQTcXViWjwa6zasTwPrwHc4FNLZg6KB9ayYDIhF1hZrAkaWBEwZ&#10;ou24J4BVhmmPHOymgjLsIDwivG3WEtYaWDtByxpYNbBiuLqKYr+KxarMMG2xdi1WsAQHFquKtx41&#10;ijgIpFfLDtwjGta2FbBKn5u2WCGZSwOrBtbrA6sywzSwdoFVZWd03Voq4hqQdZGLtMJon8u0QpXw&#10;Rl6wz5RYKZKWpDUsPsGbJ+a7QdgEZRlOvaMUw2AaQrAI5WV8nQCom4pj9suiyHNwbhWVSIJ5JPVN&#10;JbK2SashhiHQJryXWPW0lNSn+zT2jUyFQscdZf7+HlrhXXAXuDeu7d/duNbt7c37Dwv3xv/Apt6t&#10;c7tY3LI/sGnMna3TOE5yTJhts5CZ+7RUSJkPLfKHVR6yEsOkX7qIzN9D/h+sX9BUavRR2pOYRUjK&#10;4DiPl07kqLD3rsKqUNZRFNaHzDWhsF6b1dp6YiVjxUKy4x5f/l+svspE6aZKIT0xS04nS0O/ZH6f&#10;1ugzUvUJL4ekgQo47mq0CiK8nEYbyywt/9zmC8qcb4850B6IJLAHYNz6uZiKCGjzxdt4AJl5rJX7&#10;NcB1N+pzDG+uivrsqrkKNrqcmuOyLpXb8QPHwghJ0G9M+lYHFrTwDWH18JTsDdv2RHiPBnFtlnRO&#10;jzkN4pjALQiKjnYDYEqWfBTt9uwwtFygoIV2M8wRgfoPp0c4sBNX2u1r7dZG9+A0oUe0+1TwI1PO&#10;9ctp90kTxWfTloMDuJ4OQNyHc0akmsOhElrNtZo/Vc1PBJwx5ekELR/vDCAXDleaSkvcgcOX8Nyf&#10;HpYzd+rY0DhhrDDgL8R8fNxa+dZ5QD0X+MlzVoZ+djSiRHbJicRVaIoqhqiEXg3iSBsnQItryLz0&#10;U9myE2cMwclT31mzjpsChuwUp6OOshE5OUjsvB6ydITENVfFTYnENcakt+5ymWtO6OBiBhad41ph&#10;eIwCkEblMqTEaMtyQAE+6+SuwdlqWIAfiCgqfHYnj2CbWkBUiY8DcX6Rwo8r5K6h7Xrs5WOKtx8V&#10;f+lEur7U2j2ibdvAkJDAj2V2dlxaDxEVWHbzdzXmtpy5OpDruY8PG4r4Kp5/5XR5PZg7Am2E4aED&#10;TLiO598Jp4C0PSRVmOD6rSmmMUGc4Cr9dQrUhhagtsO+aYcpv5bGhI7TGuJuhpig4HNUO8H3cA92&#10;GhMOZ7VqTNCYIDargz2xsmqEs/1wXuqRv/2wN1OewdeCCQdHE1xFeEY59VUeqI6noHfv4bp77Pu7&#10;/wMAAP//AwBQSwMEFAAGAAgAAAAhACc1g1fbAAAABQEAAA8AAABkcnMvZG93bnJldi54bWxMj8FK&#10;xEAQRO+C/zC04GVxJy5rojGTRQXBi6BR1mtv0ibBTE/ITLLJ39t60UtBUU3V62w3205NNPjWsYHL&#10;dQSKuHRVy7WB97fHi2tQPiBX2DkmAwt52OWnJxmmlTvyK01FqJWUsE/RQBNCn2rty4Ys+rXriSX7&#10;dIPFIHaodTXgUcptpzdRFGuLLctCgz09NFR+FaM18GxXK3qJ46dp3OPH/n671EtRGHN+Nt/dggo0&#10;h79j+MEXdMiF6eBGrrzqDMgj4Vclu7lKxB4MJJttAjrP9H/6/BsAAP//AwBQSwECLQAUAAYACAAA&#10;ACEAtoM4kv4AAADhAQAAEwAAAAAAAAAAAAAAAAAAAAAAW0NvbnRlbnRfVHlwZXNdLnhtbFBLAQIt&#10;ABQABgAIAAAAIQA4/SH/1gAAAJQBAAALAAAAAAAAAAAAAAAAAC8BAABfcmVscy8ucmVsc1BLAQIt&#10;ABQABgAIAAAAIQB8LGaF7QkAAD5eAAAOAAAAAAAAAAAAAAAAAC4CAABkcnMvZTJvRG9jLnhtbFBL&#10;AQItABQABgAIAAAAIQAnNYNX2wAAAAUBAAAPAAAAAAAAAAAAAAAAAEcMAABkcnMvZG93bnJldi54&#10;bWxQSwUGAAAAAAQABADzAAAATw0AAAAA&#10;">
                <v:shape id="_x0000_s1056" type="#_x0000_t75" style="position:absolute;width:60769;height:46018;visibility:visible;mso-wrap-style:square" stroked="t" strokeweight="1.5pt">
                  <v:fill o:detectmouseclick="t"/>
                  <v:path o:connecttype="none"/>
                </v:shape>
                <v:group id="Group 94" o:spid="_x0000_s1057" style="position:absolute;left:285;top:24180;width:60389;height:10491" coordorigin="1620,4976" coordsize="9510,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95" o:spid="_x0000_s1058" type="#_x0000_t202" style="position:absolute;left:1620;top:5021;width:2233;height: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hPMYA&#10;AADbAAAADwAAAGRycy9kb3ducmV2LnhtbESP3WoCMRSE7wu+QziCdzVbBVu3RimFUqEq1D/q3enm&#10;uLu4OVmTqNu3N0LBy2FmvmFGk8ZU4kzOl5YVPHUTEMSZ1SXnCtarj8cXED4ga6wsk4I/8jAZtx5G&#10;mGp74W86L0MuIoR9igqKEOpUSp8VZNB3bU0cvb11BkOULpfa4SXCTSV7STKQBkuOCwXW9F5Qdlie&#10;jILNdsg/s0Xy6UzD8+fjfvf1e9gp1Wk3b68gAjXhHv5vT7WCXh9uX+IPkO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mhPMYAAADbAAAADwAAAAAAAAAAAAAAAACYAgAAZHJz&#10;L2Rvd25yZXYueG1sUEsFBgAAAAAEAAQA9QAAAIsDAAAAAA==&#10;" fillcolor="#95b3d7 [1940]" strokecolor="#95b3d7 [1940]" strokeweight="1pt">
                    <v:fill color2="#dbe5f1 [660]" angle="135" focus="50%" type="gradient"/>
                    <v:shadow on="t" color="#243f60 [1604]" opacity=".5" offset="1pt"/>
                    <v:textbox>
                      <w:txbxContent>
                        <w:p w:rsidR="00EA3B8B" w:rsidRDefault="00EA3B8B" w:rsidP="00DA1149">
                          <w:pPr>
                            <w:spacing w:after="0" w:line="240" w:lineRule="auto"/>
                            <w:rPr>
                              <w:b/>
                              <w:sz w:val="20"/>
                              <w:szCs w:val="20"/>
                            </w:rPr>
                          </w:pPr>
                          <w:r>
                            <w:rPr>
                              <w:b/>
                              <w:sz w:val="20"/>
                              <w:szCs w:val="20"/>
                            </w:rPr>
                            <w:t>Ongoing Projects:</w:t>
                          </w:r>
                        </w:p>
                        <w:p w:rsidR="00EA3B8B" w:rsidRPr="00114DA5" w:rsidRDefault="00EA3B8B" w:rsidP="00DA1149">
                          <w:pPr>
                            <w:spacing w:after="0" w:line="240" w:lineRule="auto"/>
                            <w:rPr>
                              <w:rFonts w:cstheme="minorHAnsi"/>
                              <w:sz w:val="18"/>
                              <w:szCs w:val="18"/>
                            </w:rPr>
                          </w:pPr>
                          <w:r w:rsidRPr="00114DA5">
                            <w:rPr>
                              <w:rFonts w:cstheme="minorHAnsi"/>
                              <w:sz w:val="18"/>
                              <w:szCs w:val="18"/>
                            </w:rPr>
                            <w:t xml:space="preserve">1. Climate change adaptation through coastal afforestation </w:t>
                          </w:r>
                        </w:p>
                        <w:p w:rsidR="00EA3B8B" w:rsidRPr="00114DA5" w:rsidRDefault="00EA3B8B" w:rsidP="00DA1149">
                          <w:pPr>
                            <w:spacing w:after="0" w:line="240" w:lineRule="auto"/>
                            <w:rPr>
                              <w:rFonts w:cstheme="minorHAnsi"/>
                              <w:sz w:val="18"/>
                              <w:szCs w:val="18"/>
                            </w:rPr>
                          </w:pPr>
                        </w:p>
                      </w:txbxContent>
                    </v:textbox>
                  </v:shape>
                  <v:shape id="Text Box 96" o:spid="_x0000_s1059" type="#_x0000_t202" style="position:absolute;left:3960;top:5021;width:2430;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4CpMUA&#10;AADbAAAADwAAAGRycy9kb3ducmV2LnhtbESPQWsCMRSE70L/Q3gFb5qtB61boxRBFKwFrZZ6e908&#10;dxc3L2sSdf33jSD0OMzMN8xo0phKXMj50rKCl24CgjizuuRcwfZr1nkF4QOyxsoyKbiRh8n4qTXC&#10;VNsrr+myCbmIEPYpKihCqFMpfVaQQd+1NXH0DtYZDFG6XGqH1wg3lewlSV8aLDkuFFjTtKDsuDkb&#10;BbvvIf98fCZzZxpeDU6H/fL3uFeq/dy8v4EI1IT/8KO90Ap6fbh/iT9Aj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gKkxQAAANsAAAAPAAAAAAAAAAAAAAAAAJgCAABkcnMv&#10;ZG93bnJldi54bWxQSwUGAAAAAAQABAD1AAAAigMAAAAA&#10;" fillcolor="#95b3d7 [1940]" strokecolor="#95b3d7 [1940]" strokeweight="1pt">
                    <v:fill color2="#dbe5f1 [660]" angle="135" focus="50%" type="gradient"/>
                    <v:shadow on="t" color="#243f60 [1604]" opacity=".5" offset="1pt"/>
                    <v:textbox>
                      <w:txbxContent>
                        <w:p w:rsidR="00EA3B8B" w:rsidRDefault="00EA3B8B" w:rsidP="00DA1149">
                          <w:pPr>
                            <w:spacing w:after="0" w:line="240" w:lineRule="auto"/>
                            <w:rPr>
                              <w:b/>
                              <w:sz w:val="20"/>
                              <w:szCs w:val="20"/>
                            </w:rPr>
                          </w:pPr>
                          <w:r>
                            <w:rPr>
                              <w:b/>
                              <w:sz w:val="20"/>
                              <w:szCs w:val="20"/>
                            </w:rPr>
                            <w:t>Ongoing Projects:</w:t>
                          </w:r>
                        </w:p>
                        <w:p w:rsidR="00EA3B8B" w:rsidRPr="006A7422" w:rsidRDefault="00EA3B8B" w:rsidP="001E161B">
                          <w:pPr>
                            <w:numPr>
                              <w:ilvl w:val="0"/>
                              <w:numId w:val="27"/>
                            </w:numPr>
                            <w:spacing w:after="0" w:line="240" w:lineRule="auto"/>
                            <w:rPr>
                              <w:sz w:val="18"/>
                              <w:szCs w:val="18"/>
                            </w:rPr>
                          </w:pPr>
                          <w:r w:rsidRPr="006A7422">
                            <w:rPr>
                              <w:sz w:val="18"/>
                              <w:szCs w:val="18"/>
                            </w:rPr>
                            <w:t>PECM</w:t>
                          </w:r>
                        </w:p>
                        <w:p w:rsidR="00EA3B8B" w:rsidRPr="006A7422" w:rsidRDefault="00EA3B8B" w:rsidP="001E161B">
                          <w:pPr>
                            <w:numPr>
                              <w:ilvl w:val="0"/>
                              <w:numId w:val="27"/>
                            </w:numPr>
                            <w:spacing w:after="0" w:line="240" w:lineRule="auto"/>
                            <w:rPr>
                              <w:sz w:val="18"/>
                              <w:szCs w:val="18"/>
                            </w:rPr>
                          </w:pPr>
                          <w:r w:rsidRPr="006A7422">
                            <w:rPr>
                              <w:sz w:val="18"/>
                              <w:szCs w:val="18"/>
                            </w:rPr>
                            <w:t>SLMP</w:t>
                          </w:r>
                        </w:p>
                        <w:p w:rsidR="00EA3B8B" w:rsidRPr="006A7422" w:rsidRDefault="00EA3B8B" w:rsidP="001E161B">
                          <w:pPr>
                            <w:numPr>
                              <w:ilvl w:val="0"/>
                              <w:numId w:val="27"/>
                            </w:numPr>
                            <w:spacing w:after="0" w:line="240" w:lineRule="auto"/>
                            <w:rPr>
                              <w:sz w:val="18"/>
                              <w:szCs w:val="18"/>
                            </w:rPr>
                          </w:pPr>
                          <w:r w:rsidRPr="006A7422">
                            <w:rPr>
                              <w:sz w:val="18"/>
                              <w:szCs w:val="18"/>
                            </w:rPr>
                            <w:t>BRESL</w:t>
                          </w:r>
                        </w:p>
                      </w:txbxContent>
                    </v:textbox>
                  </v:shape>
                  <v:shape id="Text Box 97" o:spid="_x0000_s1060" type="#_x0000_t202" style="position:absolute;left:6480;top:4976;width:2233;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nP8YA&#10;AADbAAAADwAAAGRycy9kb3ducmV2LnhtbESPT2sCMRTE7wW/Q3hCbzWrB63bjSKCKPQPaLXo7bl5&#10;7i5uXtYk1e23bwpCj8PM/IbJpq2pxZWcrywr6PcSEMS51RUXCrafi6dnED4ga6wtk4If8jCddB4y&#10;TLW98Zqum1CICGGfooIyhCaV0uclGfQ92xBH72SdwRClK6R2eItwU8tBkgylwYrjQokNzUvKz5tv&#10;o2D3Neb920eydKbl99HldHg9ng9KPXbb2QuIQG34D9/bK61gMIK/L/EH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KnP8YAAADbAAAADwAAAAAAAAAAAAAAAACYAgAAZHJz&#10;L2Rvd25yZXYueG1sUEsFBgAAAAAEAAQA9QAAAIsDAAAAAA==&#10;" fillcolor="#95b3d7 [1940]" strokecolor="#95b3d7 [1940]" strokeweight="1pt">
                    <v:fill color2="#dbe5f1 [660]" angle="135" focus="50%" type="gradient"/>
                    <v:shadow on="t" color="#243f60 [1604]" opacity=".5" offset="1pt"/>
                    <v:textbox>
                      <w:txbxContent>
                        <w:p w:rsidR="00EA3B8B" w:rsidRDefault="00EA3B8B" w:rsidP="00DA1149">
                          <w:pPr>
                            <w:spacing w:after="0" w:line="240" w:lineRule="auto"/>
                            <w:rPr>
                              <w:rFonts w:ascii="Arial" w:eastAsia="+mn-ea" w:hAnsi="Arial" w:cs="Arial"/>
                              <w:color w:val="000000"/>
                              <w:kern w:val="24"/>
                              <w:sz w:val="20"/>
                              <w:szCs w:val="20"/>
                            </w:rPr>
                          </w:pPr>
                          <w:r>
                            <w:rPr>
                              <w:b/>
                              <w:sz w:val="20"/>
                              <w:szCs w:val="20"/>
                            </w:rPr>
                            <w:t>Ongoing Projects:</w:t>
                          </w:r>
                        </w:p>
                        <w:p w:rsidR="00EA3B8B" w:rsidRDefault="00EA3B8B" w:rsidP="001E161B">
                          <w:pPr>
                            <w:pStyle w:val="ListParagraph"/>
                            <w:numPr>
                              <w:ilvl w:val="0"/>
                              <w:numId w:val="28"/>
                            </w:numPr>
                            <w:spacing w:after="0" w:line="240" w:lineRule="auto"/>
                            <w:rPr>
                              <w:rFonts w:asciiTheme="minorHAnsi" w:eastAsiaTheme="minorEastAsia" w:hAnsiTheme="minorHAnsi" w:cstheme="minorHAnsi"/>
                              <w:sz w:val="18"/>
                              <w:szCs w:val="18"/>
                            </w:rPr>
                          </w:pPr>
                          <w:r w:rsidRPr="006A7422">
                            <w:rPr>
                              <w:rFonts w:asciiTheme="minorHAnsi" w:eastAsiaTheme="minorEastAsia" w:hAnsiTheme="minorHAnsi" w:cstheme="minorHAnsi"/>
                              <w:sz w:val="18"/>
                              <w:szCs w:val="18"/>
                            </w:rPr>
                            <w:t>Brick Kiln</w:t>
                          </w:r>
                        </w:p>
                        <w:p w:rsidR="00EA3B8B" w:rsidRPr="008B79CD" w:rsidRDefault="00EA3B8B" w:rsidP="001E161B">
                          <w:pPr>
                            <w:pStyle w:val="ListParagraph"/>
                            <w:numPr>
                              <w:ilvl w:val="0"/>
                              <w:numId w:val="28"/>
                            </w:numPr>
                            <w:spacing w:after="0" w:line="240" w:lineRule="auto"/>
                            <w:rPr>
                              <w:rFonts w:asciiTheme="minorHAnsi" w:eastAsiaTheme="minorEastAsia" w:hAnsiTheme="minorHAnsi" w:cstheme="minorHAnsi"/>
                              <w:sz w:val="18"/>
                              <w:szCs w:val="18"/>
                            </w:rPr>
                          </w:pPr>
                          <w:r w:rsidRPr="008B79CD">
                            <w:rPr>
                              <w:rFonts w:asciiTheme="minorHAnsi" w:eastAsia="+mn-ea" w:hAnsiTheme="minorHAnsi" w:cstheme="minorHAnsi"/>
                              <w:sz w:val="18"/>
                              <w:szCs w:val="18"/>
                            </w:rPr>
                            <w:t>MDI</w:t>
                          </w:r>
                        </w:p>
                        <w:p w:rsidR="00EA3B8B" w:rsidRPr="008B79CD" w:rsidRDefault="00EA3B8B" w:rsidP="001E161B">
                          <w:pPr>
                            <w:pStyle w:val="ListParagraph"/>
                            <w:numPr>
                              <w:ilvl w:val="0"/>
                              <w:numId w:val="28"/>
                            </w:numPr>
                            <w:spacing w:after="0" w:line="240" w:lineRule="auto"/>
                            <w:rPr>
                              <w:rFonts w:asciiTheme="minorHAnsi" w:eastAsiaTheme="minorEastAsia" w:hAnsiTheme="minorHAnsi" w:cstheme="minorHAnsi"/>
                              <w:sz w:val="18"/>
                              <w:szCs w:val="18"/>
                            </w:rPr>
                          </w:pPr>
                          <w:r w:rsidRPr="008B79CD">
                            <w:rPr>
                              <w:rFonts w:asciiTheme="minorHAnsi" w:eastAsia="+mn-ea" w:hAnsiTheme="minorHAnsi" w:cstheme="minorHAnsi"/>
                              <w:sz w:val="18"/>
                              <w:szCs w:val="18"/>
                            </w:rPr>
                            <w:t>ODS VI</w:t>
                          </w:r>
                        </w:p>
                        <w:p w:rsidR="00EA3B8B" w:rsidRPr="008B79CD" w:rsidRDefault="00EA3B8B" w:rsidP="001E161B">
                          <w:pPr>
                            <w:pStyle w:val="ListParagraph"/>
                            <w:numPr>
                              <w:ilvl w:val="0"/>
                              <w:numId w:val="28"/>
                            </w:numPr>
                            <w:spacing w:after="0" w:line="240" w:lineRule="auto"/>
                            <w:rPr>
                              <w:rFonts w:asciiTheme="minorHAnsi" w:eastAsiaTheme="minorEastAsia" w:hAnsiTheme="minorHAnsi" w:cstheme="minorHAnsi"/>
                              <w:sz w:val="18"/>
                              <w:szCs w:val="18"/>
                            </w:rPr>
                          </w:pPr>
                          <w:r w:rsidRPr="008B79CD">
                            <w:rPr>
                              <w:rFonts w:asciiTheme="minorHAnsi" w:eastAsia="+mn-ea" w:hAnsiTheme="minorHAnsi" w:cstheme="minorHAnsi"/>
                              <w:sz w:val="18"/>
                              <w:szCs w:val="18"/>
                            </w:rPr>
                            <w:t>NOPP</w:t>
                          </w:r>
                        </w:p>
                        <w:p w:rsidR="00EA3B8B" w:rsidRPr="008B79CD" w:rsidRDefault="00EA3B8B" w:rsidP="001E161B">
                          <w:pPr>
                            <w:pStyle w:val="ListParagraph"/>
                            <w:numPr>
                              <w:ilvl w:val="0"/>
                              <w:numId w:val="28"/>
                            </w:numPr>
                            <w:spacing w:after="0" w:line="240" w:lineRule="auto"/>
                            <w:rPr>
                              <w:rFonts w:asciiTheme="minorHAnsi" w:eastAsiaTheme="minorEastAsia" w:hAnsiTheme="minorHAnsi" w:cstheme="minorHAnsi"/>
                              <w:sz w:val="18"/>
                              <w:szCs w:val="18"/>
                            </w:rPr>
                          </w:pPr>
                          <w:r w:rsidRPr="008B79CD">
                            <w:rPr>
                              <w:rFonts w:eastAsia="+mn-ea"/>
                              <w:sz w:val="18"/>
                              <w:szCs w:val="18"/>
                            </w:rPr>
                            <w:t>BGDP</w:t>
                          </w:r>
                        </w:p>
                        <w:p w:rsidR="00EA3B8B" w:rsidRPr="006A7422" w:rsidRDefault="00EA3B8B" w:rsidP="00DA1149">
                          <w:pPr>
                            <w:spacing w:after="0" w:line="240" w:lineRule="auto"/>
                            <w:rPr>
                              <w:b/>
                              <w:sz w:val="20"/>
                              <w:szCs w:val="20"/>
                            </w:rPr>
                          </w:pPr>
                        </w:p>
                        <w:p w:rsidR="00EA3B8B" w:rsidRPr="003E0B62" w:rsidRDefault="00EA3B8B" w:rsidP="00DA1149">
                          <w:pPr>
                            <w:spacing w:after="0" w:line="240" w:lineRule="auto"/>
                            <w:rPr>
                              <w:sz w:val="20"/>
                              <w:szCs w:val="20"/>
                            </w:rPr>
                          </w:pPr>
                        </w:p>
                      </w:txbxContent>
                    </v:textbox>
                  </v:shape>
                  <v:shape id="Text Box 98" o:spid="_x0000_s1061" type="#_x0000_t202" style="position:absolute;left:8820;top:4976;width:2310;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zTcIA&#10;AADbAAAADwAAAGRycy9kb3ducmV2LnhtbERPy2oCMRTdF/yHcAV3NaMLa6fGoQhiwSpoH9Td7eTO&#10;Ayc30yTq+PdmIXR5OO9Z1plGnMn52rKC0TABQZxbXXOp4PNj+TgF4QOyxsYyKbiSh2zee5hhqu2F&#10;d3Teh1LEEPYpKqhCaFMpfV6RQT+0LXHkCusMhghdKbXDSww3jRwnyUQarDk2VNjSoqL8uD8ZBV/f&#10;z/zzvk1WznS8eforDuvf40GpQb97fQERqAv/4rv7TSsYx7HxS/w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TNNwgAAANsAAAAPAAAAAAAAAAAAAAAAAJgCAABkcnMvZG93&#10;bnJldi54bWxQSwUGAAAAAAQABAD1AAAAhwMAAAAA&#10;" fillcolor="#95b3d7 [1940]" strokecolor="#95b3d7 [1940]" strokeweight="1pt">
                    <v:fill color2="#dbe5f1 [660]" angle="135" focus="50%" type="gradient"/>
                    <v:shadow on="t" color="#243f60 [1604]" opacity=".5" offset="1pt"/>
                    <v:textbox>
                      <w:txbxContent>
                        <w:p w:rsidR="00EA3B8B" w:rsidRDefault="00EA3B8B" w:rsidP="00DA1149">
                          <w:pPr>
                            <w:spacing w:after="0" w:line="240" w:lineRule="auto"/>
                            <w:rPr>
                              <w:b/>
                              <w:sz w:val="20"/>
                              <w:szCs w:val="20"/>
                            </w:rPr>
                          </w:pPr>
                          <w:r>
                            <w:rPr>
                              <w:b/>
                              <w:sz w:val="20"/>
                              <w:szCs w:val="20"/>
                            </w:rPr>
                            <w:t>Ongoing Projects:</w:t>
                          </w:r>
                        </w:p>
                        <w:p w:rsidR="00EA3B8B" w:rsidRPr="006A7422" w:rsidRDefault="00EA3B8B" w:rsidP="001E161B">
                          <w:pPr>
                            <w:numPr>
                              <w:ilvl w:val="0"/>
                              <w:numId w:val="29"/>
                            </w:numPr>
                            <w:tabs>
                              <w:tab w:val="clear" w:pos="720"/>
                              <w:tab w:val="num" w:pos="630"/>
                            </w:tabs>
                            <w:spacing w:after="0" w:line="240" w:lineRule="auto"/>
                            <w:ind w:left="360"/>
                            <w:rPr>
                              <w:sz w:val="18"/>
                              <w:szCs w:val="18"/>
                            </w:rPr>
                          </w:pPr>
                          <w:r w:rsidRPr="006A7422">
                            <w:rPr>
                              <w:sz w:val="18"/>
                              <w:szCs w:val="18"/>
                            </w:rPr>
                            <w:t>Development of sustainable Renewable energy generation</w:t>
                          </w:r>
                        </w:p>
                        <w:p w:rsidR="00EA3B8B" w:rsidRDefault="00EA3B8B" w:rsidP="00DA1149">
                          <w:pPr>
                            <w:spacing w:after="0" w:line="240" w:lineRule="auto"/>
                            <w:rPr>
                              <w:sz w:val="20"/>
                              <w:szCs w:val="20"/>
                            </w:rPr>
                          </w:pPr>
                        </w:p>
                        <w:p w:rsidR="00EA3B8B" w:rsidRPr="003E0B62" w:rsidRDefault="00EA3B8B" w:rsidP="00DA1149">
                          <w:pPr>
                            <w:spacing w:after="0" w:line="240" w:lineRule="auto"/>
                            <w:rPr>
                              <w:sz w:val="20"/>
                              <w:szCs w:val="20"/>
                            </w:rPr>
                          </w:pPr>
                        </w:p>
                      </w:txbxContent>
                    </v:textbox>
                  </v:shape>
                </v:group>
                <v:group id="Group 99" o:spid="_x0000_s1062" style="position:absolute;left:190;top:558;width:60293;height:23718" coordorigin="1605,1256" coordsize="9495,3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00" o:spid="_x0000_s1063" type="#_x0000_t202" style="position:absolute;left:1605;top:1256;width:945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s0cEA&#10;AADbAAAADwAAAGRycy9kb3ducmV2LnhtbERPy2oCMRTdF/yHcAvuasa2iB0nI9JSdFNE7bi+TO48&#10;6ORmmkSd9uvNQnB5OO9sOZhOnMn51rKC6SQBQVxa3XKt4Pvw+TQH4QOyxs4yKfgjD8t89JBhqu2F&#10;d3Teh1rEEPYpKmhC6FMpfdmQQT+xPXHkKusMhghdLbXDSww3nXxOkpk02HJsaLCn94bKn/3JKLDz&#10;/6/u7aOYFuuBjjL8bhP3Wik1fhxWCxCBhnAX39wbreAlro9f4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C7NHBAAAA2wAAAA8AAAAAAAAAAAAAAAAAmAIAAGRycy9kb3du&#10;cmV2LnhtbFBLBQYAAAAABAAEAPUAAACGAwAAAAA=&#10;" fillcolor="#92cddc [1944]" strokecolor="#92cddc [1944]" strokeweight="1pt">
                    <v:fill color2="#daeef3 [664]" angle="135" focus="50%" type="gradient"/>
                    <v:shadow on="t" color="#205867 [1608]" opacity=".5" offset="1pt"/>
                    <v:textbox>
                      <w:txbxContent>
                        <w:p w:rsidR="00EA3B8B" w:rsidRPr="0014223F" w:rsidRDefault="00EA3B8B" w:rsidP="00DA1149">
                          <w:pPr>
                            <w:jc w:val="center"/>
                            <w:rPr>
                              <w:b/>
                              <w:sz w:val="32"/>
                              <w:szCs w:val="32"/>
                            </w:rPr>
                          </w:pPr>
                          <w:r w:rsidRPr="0014223F">
                            <w:rPr>
                              <w:b/>
                              <w:bCs/>
                              <w:sz w:val="32"/>
                              <w:szCs w:val="32"/>
                            </w:rPr>
                            <w:t>Country Programme: Environment</w:t>
                          </w:r>
                          <w:r>
                            <w:rPr>
                              <w:b/>
                              <w:bCs/>
                              <w:sz w:val="32"/>
                              <w:szCs w:val="32"/>
                            </w:rPr>
                            <w:t xml:space="preserve">, </w:t>
                          </w:r>
                          <w:r w:rsidRPr="0014223F">
                            <w:rPr>
                              <w:b/>
                              <w:bCs/>
                              <w:sz w:val="32"/>
                              <w:szCs w:val="32"/>
                            </w:rPr>
                            <w:t>NRM</w:t>
                          </w:r>
                          <w:r>
                            <w:rPr>
                              <w:b/>
                              <w:bCs/>
                              <w:sz w:val="32"/>
                              <w:szCs w:val="32"/>
                            </w:rPr>
                            <w:t>&amp; Low Carbon Energy</w:t>
                          </w:r>
                        </w:p>
                        <w:p w:rsidR="00EA3B8B" w:rsidRPr="0019723E" w:rsidRDefault="00EA3B8B" w:rsidP="00DA1149">
                          <w:pPr>
                            <w:jc w:val="center"/>
                            <w:rPr>
                              <w:b/>
                              <w:sz w:val="32"/>
                              <w:szCs w:val="32"/>
                            </w:rPr>
                          </w:pPr>
                        </w:p>
                      </w:txbxContent>
                    </v:textbox>
                  </v:shape>
                  <v:roundrect id="AutoShape 101" o:spid="_x0000_s1064" style="position:absolute;left:1755;top:1886;width:9055;height:6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280MYA&#10;AADbAAAADwAAAGRycy9kb3ducmV2LnhtbESPT2sCMRTE7wW/Q3gFb92sCrasRimi4KG0VNuyx8fm&#10;7R9MXtZN1NVP3xSEHoeZ+Q0zX/bWiDN1vnGsYJSkIIgLpxuuFHztN08vIHxA1mgck4IreVguBg9z&#10;zLS78Cedd6ESEcI+QwV1CG0mpS9qsugT1xJHr3SdxRBlV0nd4SXCrZHjNJ1Kiw3HhRpbWtVUHHYn&#10;qyB/N7fy7fYxfv7OV8fNz3prqjJXavjYv85ABOrDf/je3moFkxH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280MYAAADbAAAADwAAAAAAAAAAAAAAAACYAgAAZHJz&#10;L2Rvd25yZXYueG1sUEsFBgAAAAAEAAQA9QAAAIsDAAAAAA==&#10;" fillcolor="#fabf8f [1945]" strokecolor="#fabf8f [1945]" strokeweight="1pt">
                    <v:fill color2="#fde9d9 [665]" angle="135" focus="50%" type="gradient"/>
                    <v:shadow on="t" color="#974706 [1609]" opacity=".5" offset="1pt"/>
                    <v:textbox>
                      <w:txbxContent>
                        <w:p w:rsidR="00EA3B8B" w:rsidRPr="0014223F" w:rsidRDefault="00EA3B8B" w:rsidP="00DA1149">
                          <w:pPr>
                            <w:spacing w:after="0" w:line="240" w:lineRule="auto"/>
                            <w:jc w:val="center"/>
                            <w:rPr>
                              <w:b/>
                            </w:rPr>
                          </w:pPr>
                          <w:r w:rsidRPr="0014223F">
                            <w:rPr>
                              <w:b/>
                            </w:rPr>
                            <w:t xml:space="preserve">Outcome 2: By 2016, vulnerable populations benefit from natural resource management (NRM); environmental governance and </w:t>
                          </w:r>
                          <w:r>
                            <w:rPr>
                              <w:b/>
                            </w:rPr>
                            <w:t>low- emission green development</w:t>
                          </w:r>
                        </w:p>
                        <w:p w:rsidR="00EA3B8B" w:rsidRPr="0014223F" w:rsidRDefault="00EA3B8B" w:rsidP="00DA1149">
                          <w:pPr>
                            <w:rPr>
                              <w:szCs w:val="28"/>
                            </w:rPr>
                          </w:pPr>
                        </w:p>
                      </w:txbxContent>
                    </v:textbox>
                  </v:roundrect>
                  <v:shape id="Text Box 102" o:spid="_x0000_s1065" type="#_x0000_t202" style="position:absolute;left:1605;top:2921;width:2210;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rWW8AA&#10;AADbAAAADwAAAGRycy9kb3ducmV2LnhtbESPwYoCMRBE78L+Q+gFb5pRQdxZo4is4EEP6n5AM+md&#10;GUw6Q5J14t8bQfBYVNUrarlO1ogb+dA6VjAZFyCIK6dbrhX8XnajBYgQkTUax6TgTgHWq4/BEkvt&#10;ej7R7RxrkSEcSlTQxNiVUoaqIYth7Dri7P05bzFm6WupPfYZbo2cFsVcWmw5LzTY0bah6nr+twrS&#10;T+SvZK72cijMtjZHV/XeKTX8TJtvEJFSfIdf7b1WMJvC80v+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rWW8AAAADbAAAADwAAAAAAAAAAAAAAAACYAgAAZHJzL2Rvd25y&#10;ZXYueG1sUEsFBgAAAAAEAAQA9QAAAIUDAAAAAA==&#10;" fillcolor="#c2d69b [1942]" strokecolor="#c2d69b [1942]" strokeweight="1pt">
                    <v:fill color2="#eaf1dd [662]" angle="135" focus="50%" type="gradient"/>
                    <v:shadow on="t" color="#4e6128 [1606]" opacity=".5" offset="1pt"/>
                    <v:textbox>
                      <w:txbxContent>
                        <w:p w:rsidR="00EA3B8B" w:rsidRPr="0014223F" w:rsidRDefault="00EA3B8B" w:rsidP="00DA1149">
                          <w:pPr>
                            <w:spacing w:after="0" w:line="240" w:lineRule="auto"/>
                            <w:jc w:val="center"/>
                            <w:rPr>
                              <w:b/>
                              <w:sz w:val="20"/>
                              <w:szCs w:val="20"/>
                            </w:rPr>
                          </w:pPr>
                          <w:r w:rsidRPr="0014223F">
                            <w:rPr>
                              <w:b/>
                              <w:i/>
                              <w:iCs/>
                              <w:sz w:val="18"/>
                              <w:szCs w:val="18"/>
                            </w:rPr>
                            <w:t>Output 2.1: Communities and local and national authorities are better able to conserve biodiversity and</w:t>
                          </w:r>
                          <w:r w:rsidRPr="0014223F">
                            <w:rPr>
                              <w:b/>
                              <w:i/>
                              <w:iCs/>
                              <w:sz w:val="20"/>
                              <w:szCs w:val="20"/>
                            </w:rPr>
                            <w:t xml:space="preserve"> manage natural resources in a pro-poor and sustainable manner</w:t>
                          </w:r>
                        </w:p>
                        <w:p w:rsidR="00EA3B8B" w:rsidRPr="0014223F" w:rsidRDefault="00EA3B8B" w:rsidP="00DA1149">
                          <w:pPr>
                            <w:rPr>
                              <w:szCs w:val="20"/>
                            </w:rPr>
                          </w:pPr>
                        </w:p>
                      </w:txbxContent>
                    </v:textbox>
                  </v:shape>
                  <v:shape id="Text Box 103" o:spid="_x0000_s1066" type="#_x0000_t202" style="position:absolute;left:3945;top:2921;width:2385;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zwMIA&#10;AADbAAAADwAAAGRycy9kb3ducmV2LnhtbESPwWrDMBBE74H+g9hCb4mcGkLqRgnBtNBDcqjTD1is&#10;rW0irYyk2urfV4FAj8PMvGF2h2SNmMiHwbGC9aoAQdw6PXCn4OvyvtyCCBFZo3FMCn4pwGH/sNhh&#10;pd3MnzQ1sRMZwqFCBX2MYyVlaHuyGFZuJM7et/MWY5a+k9rjnOHWyOei2EiLA+eFHkeqe2qvzY9V&#10;kN4ivyRztZdTYerOnF07e6fU02M6voKIlOJ/+N7+0ArKEm5f8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nPAwgAAANsAAAAPAAAAAAAAAAAAAAAAAJgCAABkcnMvZG93&#10;bnJldi54bWxQSwUGAAAAAAQABAD1AAAAhwMAAAAA&#10;" fillcolor="#c2d69b [1942]" strokecolor="#c2d69b [1942]" strokeweight="1pt">
                    <v:fill color2="#eaf1dd [662]" angle="135" focus="50%" type="gradient"/>
                    <v:shadow on="t" color="#4e6128 [1606]" opacity=".5" offset="1pt"/>
                    <v:textbox>
                      <w:txbxContent>
                        <w:p w:rsidR="00EA3B8B" w:rsidRPr="0014223F" w:rsidRDefault="00EA3B8B" w:rsidP="00DA1149">
                          <w:pPr>
                            <w:spacing w:after="0" w:line="240" w:lineRule="auto"/>
                            <w:jc w:val="center"/>
                            <w:rPr>
                              <w:b/>
                              <w:sz w:val="20"/>
                              <w:szCs w:val="20"/>
                            </w:rPr>
                          </w:pPr>
                          <w:r w:rsidRPr="0014223F">
                            <w:rPr>
                              <w:b/>
                              <w:i/>
                              <w:iCs/>
                              <w:sz w:val="18"/>
                              <w:szCs w:val="18"/>
                            </w:rPr>
                            <w:t>Output.2.2: Relevant institutions have greater capacity to implement existing environment policies, plans and budgets, integrating considerations of PEC change interfaces</w:t>
                          </w:r>
                        </w:p>
                        <w:p w:rsidR="00EA3B8B" w:rsidRPr="0014223F" w:rsidRDefault="00EA3B8B" w:rsidP="00DA1149">
                          <w:pPr>
                            <w:rPr>
                              <w:szCs w:val="20"/>
                            </w:rPr>
                          </w:pPr>
                        </w:p>
                      </w:txbxContent>
                    </v:textbox>
                  </v:shape>
                  <v:shape id="Text Box 104" o:spid="_x0000_s1067" type="#_x0000_t202" style="position:absolute;left:6480;top:2891;width:2195;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tMEA&#10;AADbAAAADwAAAGRycy9kb3ducmV2LnhtbESPzYoCMRCE7wv7DqEXvGlmfxCdNcoiLnhYD44+QDNp&#10;ZwaTzpBEJ769EYQ9FlX1FbVYJWvElXzoHCt4nxQgiGunO24UHA+/4xmIEJE1Gsek4EYBVsvXlwWW&#10;2g28p2sVG5EhHEpU0MbYl1KGuiWLYeJ64uydnLcYs/SN1B6HDLdGfhTFVFrsOC+02NO6pfpcXayC&#10;tIk8T+ZsD3+FWTdm5+rBO6VGb+nnG0SkFP/Dz/ZWK/j8gseX/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67TBAAAA2wAAAA8AAAAAAAAAAAAAAAAAmAIAAGRycy9kb3du&#10;cmV2LnhtbFBLBQYAAAAABAAEAPUAAACGAwAAAAA=&#10;" fillcolor="#c2d69b [1942]" strokecolor="#c2d69b [1942]" strokeweight="1pt">
                    <v:fill color2="#eaf1dd [662]" angle="135" focus="50%" type="gradient"/>
                    <v:shadow on="t" color="#4e6128 [1606]" opacity=".5" offset="1pt"/>
                    <v:textbox>
                      <w:txbxContent>
                        <w:p w:rsidR="00EA3B8B" w:rsidRPr="0014223F" w:rsidRDefault="00EA3B8B" w:rsidP="00DA1149">
                          <w:pPr>
                            <w:spacing w:after="0" w:line="240" w:lineRule="auto"/>
                            <w:jc w:val="center"/>
                            <w:rPr>
                              <w:b/>
                              <w:sz w:val="18"/>
                              <w:szCs w:val="18"/>
                            </w:rPr>
                          </w:pPr>
                          <w:r w:rsidRPr="0014223F">
                            <w:rPr>
                              <w:b/>
                              <w:i/>
                              <w:iCs/>
                              <w:sz w:val="18"/>
                              <w:szCs w:val="18"/>
                            </w:rPr>
                            <w:t>Output 2.3: Pro-poor Plans, strategies &amp; partnership mechanism are in place to implement low emission green growth with better access to CFM</w:t>
                          </w:r>
                        </w:p>
                        <w:p w:rsidR="00EA3B8B" w:rsidRPr="0014223F" w:rsidRDefault="00EA3B8B" w:rsidP="00DA1149">
                          <w:pPr>
                            <w:rPr>
                              <w:szCs w:val="20"/>
                            </w:rPr>
                          </w:pPr>
                        </w:p>
                      </w:txbxContent>
                    </v:textbox>
                  </v:shape>
                  <v:shape id="Text Box 105" o:spid="_x0000_s1068" type="#_x0000_t202" style="position:absolute;left:8805;top:2846;width:2295;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OL8EA&#10;AADbAAAADwAAAGRycy9kb3ducmV2LnhtbESPQWsCMRSE74X+h/AK3jTblopujVLEgod6cPUHPDbP&#10;3cXkZUmiG/+9EYQeh5n5hlmskjXiSj50jhW8TwoQxLXTHTcKjoff8QxEiMgajWNScKMAq+XrywJL&#10;7Qbe07WKjcgQDiUqaGPsSylD3ZLFMHE9cfZOzluMWfpGao9DhlsjP4piKi12nBda7GndUn2uLlZB&#10;2kSeJ3O2h7/CrBuzc/XgnVKjt/TzDSJSiv/hZ3urFXx+weNL/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zTi/BAAAA2wAAAA8AAAAAAAAAAAAAAAAAmAIAAGRycy9kb3du&#10;cmV2LnhtbFBLBQYAAAAABAAEAPUAAACGAwAAAAA=&#10;" fillcolor="#c2d69b [1942]" strokecolor="#c2d69b [1942]" strokeweight="1pt">
                    <v:fill color2="#eaf1dd [662]" angle="135" focus="50%" type="gradient"/>
                    <v:shadow on="t" color="#4e6128 [1606]" opacity=".5" offset="1pt"/>
                    <v:textbox>
                      <w:txbxContent>
                        <w:p w:rsidR="00EA3B8B" w:rsidRPr="003545E3" w:rsidRDefault="00EA3B8B" w:rsidP="00DA1149">
                          <w:pPr>
                            <w:spacing w:after="0" w:line="240" w:lineRule="auto"/>
                            <w:jc w:val="center"/>
                            <w:rPr>
                              <w:b/>
                              <w:sz w:val="18"/>
                              <w:szCs w:val="18"/>
                            </w:rPr>
                          </w:pPr>
                          <w:r w:rsidRPr="003545E3">
                            <w:rPr>
                              <w:b/>
                              <w:i/>
                              <w:iCs/>
                              <w:sz w:val="18"/>
                              <w:szCs w:val="18"/>
                            </w:rPr>
                            <w:t>Output.2.4: On-grid and pro-poor off-grid clean energy technologies promoted</w:t>
                          </w:r>
                        </w:p>
                        <w:p w:rsidR="00EA3B8B" w:rsidRPr="003545E3" w:rsidRDefault="00EA3B8B" w:rsidP="00DA1149">
                          <w:pPr>
                            <w:rPr>
                              <w:szCs w:val="20"/>
                            </w:rPr>
                          </w:pPr>
                        </w:p>
                      </w:txbxContent>
                    </v:textbox>
                  </v:shape>
                  <v:shape id="AutoShape 106" o:spid="_x0000_s1069" type="#_x0000_t32" style="position:absolute;left:1635;top:2754;width:879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107" o:spid="_x0000_s1070" type="#_x0000_t32" style="position:absolute;left:6283;top:2576;width:5;height:1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108" o:spid="_x0000_s1071" type="#_x0000_t32" style="position:absolute;left:5138;top:2754;width:10;height:1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group>
                <v:shape id="AutoShape 109" o:spid="_x0000_s1072" type="#_x0000_t32" style="position:absolute;left:36830;top:10001;width:31;height:1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110" o:spid="_x0000_s1073" type="#_x0000_t32" style="position:absolute;left:52990;top:10013;width:32;height:1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111" o:spid="_x0000_s1074" type="#_x0000_t32" style="position:absolute;left:6178;top:10071;width:64;height:10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Text Box 112" o:spid="_x0000_s1075" type="#_x0000_t202" style="position:absolute;left:46037;top:34182;width:14732;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SSccA&#10;AADbAAAADwAAAGRycy9kb3ducmV2LnhtbESPQWvCQBSE74L/YXlCL0U32lYkdRUpbSm0PdQo9vjM&#10;PrPR7NuQ3Zr477uFgsdhZr5h5svOVuJMjS8dKxiPEhDEudMlFwo22ctwBsIHZI2VY1JwIQ/LRb83&#10;x1S7lr/ovA6FiBD2KSowIdSplD43ZNGPXE0cvYNrLIYom0LqBtsIt5WcJMlUWiw5Lhis6clQflr/&#10;WAXZq2k/Tvvt5/vz3fG2eNgdL/o7U+pm0K0eQQTqwjX8337TCu4n8Pcl/gC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gEknHAAAA2wAAAA8AAAAAAAAAAAAAAAAAmAIAAGRy&#10;cy9kb3ducmV2LnhtbFBLBQYAAAAABAAEAPUAAACMAwAAAAA=&#10;" fillcolor="#9bbb59 [3206]" strokecolor="#f2f2f2 [3041]" strokeweight="3pt">
                  <v:shadow on="t" color="#4e6128 [1606]" opacity=".5" offset="1pt"/>
                  <v:textbox>
                    <w:txbxContent>
                      <w:p w:rsidR="00EA3B8B" w:rsidRDefault="00EA3B8B" w:rsidP="00DA1149">
                        <w:pPr>
                          <w:spacing w:after="0" w:line="240" w:lineRule="auto"/>
                          <w:rPr>
                            <w:b/>
                            <w:i/>
                          </w:rPr>
                        </w:pPr>
                        <w:r w:rsidRPr="007C6CAE">
                          <w:rPr>
                            <w:b/>
                            <w:i/>
                          </w:rPr>
                          <w:t>Key Milestones:</w:t>
                        </w:r>
                      </w:p>
                      <w:p w:rsidR="00EA3B8B" w:rsidRPr="008B79CD" w:rsidRDefault="00EA3B8B" w:rsidP="00DA1149">
                        <w:pPr>
                          <w:spacing w:after="0" w:line="240" w:lineRule="auto"/>
                          <w:rPr>
                            <w:i/>
                            <w:sz w:val="20"/>
                            <w:szCs w:val="20"/>
                          </w:rPr>
                        </w:pPr>
                        <w:r w:rsidRPr="008B79CD">
                          <w:rPr>
                            <w:bCs/>
                            <w:i/>
                            <w:iCs/>
                            <w:sz w:val="20"/>
                            <w:szCs w:val="20"/>
                          </w:rPr>
                          <w:t>SREDA established &amp; operational to serve the purpose</w:t>
                        </w:r>
                        <w:r>
                          <w:rPr>
                            <w:bCs/>
                            <w:i/>
                            <w:iCs/>
                            <w:sz w:val="20"/>
                            <w:szCs w:val="20"/>
                          </w:rPr>
                          <w:t xml:space="preserve"> of renewable energy for all</w:t>
                        </w:r>
                      </w:p>
                      <w:p w:rsidR="00EA3B8B" w:rsidRPr="008B79CD" w:rsidRDefault="00EA3B8B" w:rsidP="00DA1149">
                        <w:pPr>
                          <w:spacing w:after="0" w:line="240" w:lineRule="auto"/>
                          <w:rPr>
                            <w:b/>
                            <w:i/>
                          </w:rPr>
                        </w:pPr>
                      </w:p>
                    </w:txbxContent>
                  </v:textbox>
                </v:shape>
                <v:group id="Group 113" o:spid="_x0000_s1076" style="position:absolute;left:393;top:34099;width:45041;height:11525" coordorigin="1652,6855" coordsize="7093,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114" o:spid="_x0000_s1077" type="#_x0000_t202" style="position:absolute;left:1652;top:6855;width:2228;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vpscA&#10;AADbAAAADwAAAGRycy9kb3ducmV2LnhtbESPQWvCQBSE7wX/w/IEL6VutLZI6ipS2iLYHmos7fGZ&#10;fWaj2bchu5r477tCocdhZr5hZovOVuJMjS8dKxgNExDEudMlFwq22evdFIQPyBorx6TgQh4W897N&#10;DFPtWv6k8yYUIkLYp6jAhFCnUvrckEU/dDVx9PausRiibAqpG2wj3FZynCSP0mLJccFgTc+G8uPm&#10;ZBVkb6Z9P+6+PtYv94fb4uH7cNE/mVKDfrd8AhGoC//hv/ZKK5hM4Pol/gA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FL6bHAAAA2wAAAA8AAAAAAAAAAAAAAAAAmAIAAGRy&#10;cy9kb3ducmV2LnhtbFBLBQYAAAAABAAEAPUAAACMAwAAAAA=&#10;" fillcolor="#9bbb59 [3206]" strokecolor="#f2f2f2 [3041]" strokeweight="3pt">
                    <v:shadow on="t" color="#4e6128 [1606]" opacity=".5" offset="1pt"/>
                    <v:textbox>
                      <w:txbxContent>
                        <w:p w:rsidR="00EA3B8B" w:rsidRPr="007C6CAE" w:rsidRDefault="00EA3B8B" w:rsidP="00DA1149">
                          <w:pPr>
                            <w:spacing w:after="0" w:line="240" w:lineRule="auto"/>
                            <w:rPr>
                              <w:b/>
                              <w:i/>
                            </w:rPr>
                          </w:pPr>
                          <w:r w:rsidRPr="007C6CAE">
                            <w:rPr>
                              <w:b/>
                              <w:i/>
                            </w:rPr>
                            <w:t>Key Milestones:</w:t>
                          </w:r>
                        </w:p>
                        <w:p w:rsidR="00EA3B8B" w:rsidRPr="008B79CD" w:rsidRDefault="00EA3B8B" w:rsidP="00DA1149">
                          <w:pPr>
                            <w:spacing w:after="0" w:line="240" w:lineRule="auto"/>
                            <w:rPr>
                              <w:i/>
                              <w:sz w:val="20"/>
                              <w:szCs w:val="20"/>
                            </w:rPr>
                          </w:pPr>
                          <w:r w:rsidRPr="008B79CD">
                            <w:rPr>
                              <w:bCs/>
                              <w:i/>
                              <w:iCs/>
                              <w:sz w:val="18"/>
                              <w:szCs w:val="18"/>
                            </w:rPr>
                            <w:t>1. Scaled up and mainstreamed into Government’s Coastal Afforestation Project – 4 to 9</w:t>
                          </w:r>
                          <w:r w:rsidRPr="008B79CD">
                            <w:rPr>
                              <w:bCs/>
                              <w:i/>
                              <w:iCs/>
                              <w:sz w:val="20"/>
                              <w:szCs w:val="20"/>
                            </w:rPr>
                            <w:t xml:space="preserve"> Districts</w:t>
                          </w:r>
                        </w:p>
                        <w:p w:rsidR="00EA3B8B" w:rsidRPr="00995EC0" w:rsidRDefault="00EA3B8B" w:rsidP="00DA1149">
                          <w:pPr>
                            <w:spacing w:after="0" w:line="240" w:lineRule="auto"/>
                            <w:rPr>
                              <w:i/>
                              <w:sz w:val="20"/>
                              <w:szCs w:val="20"/>
                            </w:rPr>
                          </w:pPr>
                        </w:p>
                      </w:txbxContent>
                    </v:textbox>
                  </v:shape>
                  <v:shape id="Text Box 115" o:spid="_x0000_s1078" type="#_x0000_t202" style="position:absolute;left:3977;top:6855;width:246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mKPccA&#10;AADbAAAADwAAAGRycy9kb3ducmV2LnhtbESPQWvCQBSE74L/YXlCL0U3tlUkdRUpbSm0PdQo9vjM&#10;PrPR7NuQ3Zr477uFgsdhZr5h5svOVuJMjS8dKxiPEhDEudMlFwo22ctwBsIHZI2VY1JwIQ/LRb83&#10;x1S7lr/ovA6FiBD2KSowIdSplD43ZNGPXE0cvYNrLIYom0LqBtsIt5W8S5KptFhyXDBY05Oh/LT+&#10;sQqyV9N+nPbbz/fn++NtMdkdL/o7U+pm0K0eQQTqwjX8337TCh4m8Pcl/gC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Jij3HAAAA2wAAAA8AAAAAAAAAAAAAAAAAmAIAAGRy&#10;cy9kb3ducmV2LnhtbFBLBQYAAAAABAAEAPUAAACMAwAAAAA=&#10;" fillcolor="#9bbb59 [3206]" strokecolor="#f2f2f2 [3041]" strokeweight="3pt">
                    <v:shadow on="t" color="#4e6128 [1606]" opacity=".5" offset="1pt"/>
                    <v:textbox>
                      <w:txbxContent>
                        <w:p w:rsidR="00EA3B8B" w:rsidRDefault="00EA3B8B" w:rsidP="00DA1149">
                          <w:pPr>
                            <w:spacing w:after="0" w:line="240" w:lineRule="auto"/>
                            <w:rPr>
                              <w:b/>
                              <w:i/>
                            </w:rPr>
                          </w:pPr>
                          <w:r w:rsidRPr="007C6CAE">
                            <w:rPr>
                              <w:b/>
                              <w:i/>
                            </w:rPr>
                            <w:t>Key Milestones:</w:t>
                          </w:r>
                        </w:p>
                        <w:p w:rsidR="00EA3B8B" w:rsidRPr="008B79CD" w:rsidRDefault="00EA3B8B" w:rsidP="00DA1149">
                          <w:pPr>
                            <w:spacing w:after="0" w:line="240" w:lineRule="auto"/>
                            <w:rPr>
                              <w:i/>
                              <w:sz w:val="18"/>
                              <w:szCs w:val="18"/>
                            </w:rPr>
                          </w:pPr>
                          <w:r w:rsidRPr="008B79CD">
                            <w:rPr>
                              <w:bCs/>
                              <w:i/>
                              <w:iCs/>
                              <w:sz w:val="18"/>
                              <w:szCs w:val="18"/>
                            </w:rPr>
                            <w:t>Climate Fiscal Framework in the National Financing &amp; Budgeting System</w:t>
                          </w:r>
                        </w:p>
                        <w:p w:rsidR="00EA3B8B" w:rsidRPr="008B79CD" w:rsidRDefault="00EA3B8B" w:rsidP="00DA1149">
                          <w:pPr>
                            <w:spacing w:after="0" w:line="240" w:lineRule="auto"/>
                            <w:rPr>
                              <w:b/>
                              <w:i/>
                            </w:rPr>
                          </w:pPr>
                        </w:p>
                      </w:txbxContent>
                    </v:textbox>
                  </v:shape>
                  <v:shape id="Text Box 116" o:spid="_x0000_s1079" type="#_x0000_t202" style="position:absolute;left:6512;top:6855;width:2233;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USscA&#10;AADbAAAADwAAAGRycy9kb3ducmV2LnhtbESPQWvCQBSE7wX/w/KEXopubK1I6ipS2lJoe9Ao9vjM&#10;PrPR7NuQ3Zr477sFocdhZr5hZovOVuJMjS8dKxgNExDEudMlFwo22etgCsIHZI2VY1JwIQ+Lee9m&#10;hql2La/ovA6FiBD2KSowIdSplD43ZNEPXU0cvYNrLIYom0LqBtsIt5W8T5KJtFhyXDBY07Oh/LT+&#10;sQqyN9N+nvbbr4+Xh+Nd8bg7XvR3ptRtv1s+gQjUhf/wtf2uFYwn8Pcl/gA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bFErHAAAA2wAAAA8AAAAAAAAAAAAAAAAAmAIAAGRy&#10;cy9kb3ducmV2LnhtbFBLBQYAAAAABAAEAPUAAACMAwAAAAA=&#10;" fillcolor="#9bbb59 [3206]" strokecolor="#f2f2f2 [3041]" strokeweight="3pt">
                    <v:shadow on="t" color="#4e6128 [1606]" opacity=".5" offset="1pt"/>
                    <v:textbox>
                      <w:txbxContent>
                        <w:p w:rsidR="00EA3B8B" w:rsidRPr="007C6CAE" w:rsidRDefault="00EA3B8B" w:rsidP="00DA1149">
                          <w:pPr>
                            <w:spacing w:after="0" w:line="240" w:lineRule="auto"/>
                            <w:rPr>
                              <w:b/>
                              <w:i/>
                            </w:rPr>
                          </w:pPr>
                          <w:r w:rsidRPr="007C6CAE">
                            <w:rPr>
                              <w:b/>
                              <w:i/>
                            </w:rPr>
                            <w:t>Key Milestones:</w:t>
                          </w:r>
                        </w:p>
                        <w:p w:rsidR="00EA3B8B" w:rsidRPr="008B79CD" w:rsidRDefault="00EA3B8B" w:rsidP="00DA1149">
                          <w:pPr>
                            <w:spacing w:after="0" w:line="240" w:lineRule="auto"/>
                            <w:rPr>
                              <w:i/>
                              <w:sz w:val="18"/>
                              <w:szCs w:val="18"/>
                            </w:rPr>
                          </w:pPr>
                          <w:r w:rsidRPr="008B79CD">
                            <w:rPr>
                              <w:bCs/>
                              <w:i/>
                              <w:iCs/>
                              <w:sz w:val="18"/>
                              <w:szCs w:val="18"/>
                            </w:rPr>
                            <w:t>100% Compliance to Montreal Protocol</w:t>
                          </w:r>
                        </w:p>
                        <w:p w:rsidR="00EA3B8B" w:rsidRPr="00995EC0" w:rsidRDefault="00EA3B8B" w:rsidP="00DA1149">
                          <w:pPr>
                            <w:spacing w:after="0" w:line="240" w:lineRule="auto"/>
                            <w:rPr>
                              <w:i/>
                              <w:sz w:val="20"/>
                              <w:szCs w:val="20"/>
                            </w:rPr>
                          </w:pPr>
                        </w:p>
                      </w:txbxContent>
                    </v:textbox>
                  </v:shape>
                </v:group>
                <w10:anchorlock/>
              </v:group>
            </w:pict>
          </mc:Fallback>
        </mc:AlternateContent>
      </w:r>
    </w:p>
    <w:p w:rsidR="00DA1149" w:rsidRPr="009B1C91" w:rsidRDefault="00DA1149" w:rsidP="00F653F8">
      <w:pPr>
        <w:spacing w:after="0" w:line="240" w:lineRule="auto"/>
        <w:jc w:val="both"/>
        <w:rPr>
          <w:rFonts w:asciiTheme="minorHAnsi" w:hAnsiTheme="minorHAnsi" w:cstheme="minorHAnsi"/>
        </w:rPr>
      </w:pPr>
      <w:r w:rsidRPr="009B1C91">
        <w:rPr>
          <w:rFonts w:asciiTheme="minorHAnsi" w:hAnsiTheme="minorHAnsi" w:cstheme="minorHAnsi"/>
        </w:rPr>
        <w:t>Source: UNDP CCED Cluster 2014</w:t>
      </w:r>
    </w:p>
    <w:p w:rsidR="00DA1149" w:rsidRPr="009B1C91" w:rsidRDefault="00DA1149" w:rsidP="00F653F8">
      <w:pPr>
        <w:spacing w:after="0" w:line="240" w:lineRule="auto"/>
        <w:jc w:val="both"/>
        <w:rPr>
          <w:rFonts w:asciiTheme="minorHAnsi" w:hAnsiTheme="minorHAnsi" w:cstheme="minorHAnsi"/>
        </w:rPr>
      </w:pPr>
    </w:p>
    <w:p w:rsidR="006C1581" w:rsidRPr="009B1C91" w:rsidRDefault="006C1581" w:rsidP="00F653F8">
      <w:pPr>
        <w:spacing w:after="0" w:line="240" w:lineRule="auto"/>
        <w:jc w:val="both"/>
        <w:rPr>
          <w:rFonts w:asciiTheme="minorHAnsi" w:hAnsiTheme="minorHAnsi" w:cstheme="minorHAnsi"/>
        </w:rPr>
      </w:pPr>
      <w:r w:rsidRPr="009B1C91">
        <w:rPr>
          <w:rFonts w:asciiTheme="minorHAnsi" w:hAnsiTheme="minorHAnsi" w:cstheme="minorHAnsi"/>
        </w:rPr>
        <w:t xml:space="preserve">In recent decades, UNDP significantly assisted Bangladesh’s commitment and efforts in attaining MDG’s 1,2,3 and 7 by providing technical assistance to conduct appropriate research, prepare appropriate documents, and formulate policies for the purpose of compliance. For example, during the 2007 Bali COPS negotiation, UNDP was a key partner of the GoB in preparing position and policy papers. Also, in compliance with the Montreal Protocol and the Vienna Convention on Reduction of ODSs, UNDP interventions were a key to Bangladesh’s success in meeting development targets. The recent UNDP Bangladesh strategy focused more on improving </w:t>
      </w:r>
      <w:r w:rsidRPr="009B1C91">
        <w:rPr>
          <w:rFonts w:asciiTheme="minorHAnsi" w:hAnsiTheme="minorHAnsi" w:cstheme="minorHAnsi"/>
          <w:i/>
          <w:iCs/>
        </w:rPr>
        <w:t>energy efficiency</w:t>
      </w:r>
      <w:r w:rsidRPr="009B1C91">
        <w:rPr>
          <w:rFonts w:asciiTheme="minorHAnsi" w:hAnsiTheme="minorHAnsi" w:cstheme="minorHAnsi"/>
        </w:rPr>
        <w:t xml:space="preserve"> in relation to climate change mitigation and pro-poor economic growth efforts. For example, in line with GoB’s Energy Strategy in the Sixth FYP, 2011-15, which identified introduction of a labeling system with a view to ensuring the use of energy efficient equipment, UNDP initiated the Barrier Removal for Energy Standards and Labelling (BRESL) intervention theme, with a particular focus on achieving greater energy efficiency through the application of appliance standards. </w:t>
      </w:r>
    </w:p>
    <w:p w:rsidR="006C1581" w:rsidRPr="009B1C91" w:rsidRDefault="006C1581" w:rsidP="00F653F8">
      <w:pPr>
        <w:spacing w:after="0" w:line="240" w:lineRule="auto"/>
        <w:jc w:val="both"/>
        <w:rPr>
          <w:rFonts w:asciiTheme="minorHAnsi" w:hAnsiTheme="minorHAnsi" w:cstheme="minorHAnsi"/>
        </w:rPr>
      </w:pPr>
    </w:p>
    <w:p w:rsidR="00B42741" w:rsidRPr="009B1C91" w:rsidRDefault="00B42741" w:rsidP="00B42741">
      <w:pPr>
        <w:spacing w:after="0" w:line="240" w:lineRule="auto"/>
        <w:jc w:val="both"/>
        <w:rPr>
          <w:rFonts w:asciiTheme="minorHAnsi" w:hAnsiTheme="minorHAnsi" w:cstheme="minorHAnsi"/>
        </w:rPr>
      </w:pPr>
      <w:r w:rsidRPr="009B1C91">
        <w:rPr>
          <w:rFonts w:asciiTheme="minorHAnsi" w:hAnsiTheme="minorHAnsi" w:cstheme="minorHAnsi"/>
        </w:rPr>
        <w:lastRenderedPageBreak/>
        <w:t>Recognizing that brick making is one of the largest stationary sources of GHG emissions, with 8000 kilns producing 6.4 million tons</w:t>
      </w:r>
      <w:r w:rsidR="000608EA">
        <w:rPr>
          <w:rStyle w:val="FootnoteReference"/>
          <w:rFonts w:asciiTheme="minorHAnsi" w:hAnsiTheme="minorHAnsi" w:cstheme="minorHAnsi"/>
        </w:rPr>
        <w:footnoteReference w:id="35"/>
      </w:r>
      <w:r w:rsidRPr="009B1C91">
        <w:rPr>
          <w:rFonts w:asciiTheme="minorHAnsi" w:hAnsiTheme="minorHAnsi" w:cstheme="minorHAnsi"/>
        </w:rPr>
        <w:t xml:space="preserve"> of CO</w:t>
      </w:r>
      <w:r w:rsidRPr="009B1C91">
        <w:rPr>
          <w:rFonts w:asciiTheme="minorHAnsi" w:hAnsiTheme="minorHAnsi" w:cstheme="minorHAnsi"/>
          <w:vertAlign w:val="subscript"/>
        </w:rPr>
        <w:t xml:space="preserve">2 </w:t>
      </w:r>
      <w:r w:rsidRPr="009B1C91">
        <w:rPr>
          <w:rFonts w:asciiTheme="minorHAnsi" w:hAnsiTheme="minorHAnsi" w:cstheme="minorHAnsi"/>
        </w:rPr>
        <w:t xml:space="preserve">annually, the </w:t>
      </w:r>
      <w:r w:rsidRPr="009B1C91">
        <w:rPr>
          <w:rFonts w:asciiTheme="minorHAnsi" w:hAnsiTheme="minorHAnsi" w:cstheme="minorHAnsi"/>
          <w:i/>
          <w:iCs/>
        </w:rPr>
        <w:t xml:space="preserve">Improving Kiln Efficiency in the Brick Making Industry </w:t>
      </w:r>
      <w:r w:rsidRPr="001E2C60">
        <w:rPr>
          <w:rFonts w:asciiTheme="minorHAnsi" w:hAnsiTheme="minorHAnsi" w:cstheme="minorHAnsi"/>
          <w:i/>
          <w:iCs/>
        </w:rPr>
        <w:t>(IKEBMI)</w:t>
      </w:r>
      <w:r w:rsidRPr="001E2C60">
        <w:rPr>
          <w:rFonts w:asciiTheme="minorHAnsi" w:hAnsiTheme="minorHAnsi" w:cstheme="minorHAnsi"/>
        </w:rPr>
        <w:t xml:space="preserve"> initiative is attempting to contribute to the reduction of GHG emissions through the adoption of modern, energy-efficient kilns. The vision is that a successful implementation of the demonstration energy efficient kilns will result in a direct cumulative energy saving of 15,4</w:t>
      </w:r>
      <w:r w:rsidR="001E2C60">
        <w:rPr>
          <w:rFonts w:asciiTheme="minorHAnsi" w:hAnsiTheme="minorHAnsi" w:cstheme="minorHAnsi"/>
        </w:rPr>
        <w:t>08</w:t>
      </w:r>
      <w:r w:rsidRPr="001E2C60">
        <w:rPr>
          <w:rFonts w:asciiTheme="minorHAnsi" w:hAnsiTheme="minorHAnsi" w:cstheme="minorHAnsi"/>
        </w:rPr>
        <w:t xml:space="preserve"> TJ or </w:t>
      </w:r>
      <w:r w:rsidR="001E2C60">
        <w:rPr>
          <w:rFonts w:asciiTheme="minorHAnsi" w:hAnsiTheme="minorHAnsi" w:cstheme="minorHAnsi"/>
        </w:rPr>
        <w:t>604</w:t>
      </w:r>
      <w:r w:rsidRPr="001E2C60">
        <w:rPr>
          <w:rFonts w:asciiTheme="minorHAnsi" w:hAnsiTheme="minorHAnsi" w:cstheme="minorHAnsi"/>
        </w:rPr>
        <w:t xml:space="preserve"> ktons</w:t>
      </w:r>
      <w:r w:rsidR="009939E8" w:rsidRPr="001E2C60">
        <w:rPr>
          <w:rStyle w:val="FootnoteReference"/>
          <w:rFonts w:asciiTheme="minorHAnsi" w:hAnsiTheme="minorHAnsi" w:cstheme="minorHAnsi"/>
        </w:rPr>
        <w:footnoteReference w:id="36"/>
      </w:r>
      <w:r w:rsidRPr="001E2C60">
        <w:rPr>
          <w:rFonts w:asciiTheme="minorHAnsi" w:hAnsiTheme="minorHAnsi" w:cstheme="minorHAnsi"/>
        </w:rPr>
        <w:t xml:space="preserve"> coal by the end of the project and 1,</w:t>
      </w:r>
      <w:r w:rsidR="001E2C60">
        <w:rPr>
          <w:rFonts w:asciiTheme="minorHAnsi" w:hAnsiTheme="minorHAnsi" w:cstheme="minorHAnsi"/>
        </w:rPr>
        <w:t xml:space="preserve">464 </w:t>
      </w:r>
      <w:r w:rsidRPr="001E2C60">
        <w:rPr>
          <w:rFonts w:asciiTheme="minorHAnsi" w:hAnsiTheme="minorHAnsi" w:cstheme="minorHAnsi"/>
        </w:rPr>
        <w:t>ktons CO</w:t>
      </w:r>
      <w:r w:rsidRPr="001E2C60">
        <w:rPr>
          <w:rFonts w:asciiTheme="minorHAnsi" w:hAnsiTheme="minorHAnsi" w:cstheme="minorHAnsi"/>
          <w:vertAlign w:val="subscript"/>
        </w:rPr>
        <w:t xml:space="preserve">2 </w:t>
      </w:r>
      <w:r w:rsidRPr="001E2C60">
        <w:rPr>
          <w:rFonts w:asciiTheme="minorHAnsi" w:hAnsiTheme="minorHAnsi" w:cstheme="minorHAnsi"/>
        </w:rPr>
        <w:t>cumulative direct emissions during the expected 15-year service life of the energy efficient kilns.</w:t>
      </w:r>
      <w:r w:rsidR="00E84BAD">
        <w:rPr>
          <w:rFonts w:asciiTheme="minorHAnsi" w:hAnsiTheme="minorHAnsi" w:cstheme="minorHAnsi"/>
        </w:rPr>
        <w:t xml:space="preserve"> </w:t>
      </w:r>
      <w:r w:rsidRPr="001E2C60">
        <w:rPr>
          <w:rFonts w:asciiTheme="minorHAnsi" w:hAnsiTheme="minorHAnsi" w:cstheme="minorHAnsi"/>
        </w:rPr>
        <w:t>Similarly, because standardizing and labelling energy efficient electrical appliances returns power (and money</w:t>
      </w:r>
      <w:r w:rsidRPr="009B1C91">
        <w:rPr>
          <w:rFonts w:asciiTheme="minorHAnsi" w:hAnsiTheme="minorHAnsi" w:cstheme="minorHAnsi"/>
        </w:rPr>
        <w:t>) back to the consumers, an initiative (the BRESL project) was launched to achieve greater energy efficiency through the application of appliance standards. This initiative has been a constituent part an Asian regional initiative to accelerate the adoption and implementation of energy standards and labels in the continent, and to materialize energy savings from the use of energy efficient appliances/equipment. This initiative aimed for a 10% reduction in total residential and commercial energy use during peak hours by 2030, and thus contributing to more environmentally sustainable and economically efficient development discourse.</w:t>
      </w:r>
    </w:p>
    <w:p w:rsidR="006C1581" w:rsidRPr="009B1C91" w:rsidRDefault="006C1581" w:rsidP="00F653F8">
      <w:pPr>
        <w:spacing w:after="0" w:line="240" w:lineRule="auto"/>
        <w:jc w:val="both"/>
        <w:rPr>
          <w:rFonts w:asciiTheme="minorHAnsi" w:hAnsiTheme="minorHAnsi" w:cstheme="minorHAnsi"/>
        </w:rPr>
      </w:pPr>
    </w:p>
    <w:p w:rsidR="006C1581" w:rsidRPr="009B1C91" w:rsidRDefault="006C1581" w:rsidP="00F653F8">
      <w:pPr>
        <w:spacing w:after="0" w:line="240" w:lineRule="auto"/>
        <w:jc w:val="both"/>
        <w:rPr>
          <w:rFonts w:asciiTheme="minorHAnsi" w:hAnsiTheme="minorHAnsi" w:cstheme="minorHAnsi"/>
        </w:rPr>
      </w:pPr>
      <w:r w:rsidRPr="009B1C91">
        <w:rPr>
          <w:rFonts w:asciiTheme="minorHAnsi" w:hAnsiTheme="minorHAnsi" w:cstheme="minorHAnsi"/>
        </w:rPr>
        <w:t>The UNDP CCE</w:t>
      </w:r>
      <w:r w:rsidR="00996CCF" w:rsidRPr="009B1C91">
        <w:rPr>
          <w:rFonts w:asciiTheme="minorHAnsi" w:hAnsiTheme="minorHAnsi" w:cstheme="minorHAnsi"/>
        </w:rPr>
        <w:t>D portfolio can learn from the ongoing</w:t>
      </w:r>
      <w:r w:rsidRPr="009B1C91">
        <w:rPr>
          <w:rFonts w:asciiTheme="minorHAnsi" w:hAnsiTheme="minorHAnsi" w:cstheme="minorHAnsi"/>
        </w:rPr>
        <w:t xml:space="preserve"> lessons to fulfil its mandate to promote sustainability, CC mitigation through increasing renewable energy sources, and capacity enhancement of marginalized, disadvantaged people. It is a fact that the programme is currently not reaching the poorest of the poor, but several donor agencies (at least WB, GIZ and IFC) are increasingly focusing on this segment as well.  Therefore, while the need to provide access to low-carbon energy is a very important field of activity and was highly relevant in 2011, it has since lost significance due to rapid developments in the field.  A number of potential gaps in the energy area and recommendations for UNDP on how to address these gaps have been discussed in </w:t>
      </w:r>
      <w:r w:rsidRPr="009B1C91">
        <w:rPr>
          <w:rFonts w:asciiTheme="minorHAnsi" w:hAnsiTheme="minorHAnsi" w:cstheme="minorHAnsi"/>
          <w:u w:color="FF0000"/>
        </w:rPr>
        <w:t xml:space="preserve">Annex </w:t>
      </w:r>
      <w:r w:rsidR="00C63CB7">
        <w:rPr>
          <w:rFonts w:asciiTheme="minorHAnsi" w:hAnsiTheme="minorHAnsi" w:cstheme="minorHAnsi"/>
          <w:u w:color="FF0000"/>
        </w:rPr>
        <w:t>IX</w:t>
      </w:r>
      <w:r w:rsidR="00AE2F5F" w:rsidRPr="009B1C91">
        <w:rPr>
          <w:rFonts w:asciiTheme="minorHAnsi" w:hAnsiTheme="minorHAnsi" w:cstheme="minorHAnsi"/>
          <w:u w:color="FF0000"/>
        </w:rPr>
        <w:t>.</w:t>
      </w:r>
    </w:p>
    <w:p w:rsidR="006C1581" w:rsidRPr="009B1C91" w:rsidRDefault="006C1581" w:rsidP="00F653F8">
      <w:pPr>
        <w:spacing w:after="0" w:line="240" w:lineRule="auto"/>
        <w:jc w:val="both"/>
        <w:rPr>
          <w:rFonts w:asciiTheme="minorHAnsi" w:hAnsiTheme="minorHAnsi" w:cstheme="minorHAnsi"/>
        </w:rPr>
      </w:pPr>
    </w:p>
    <w:p w:rsidR="006C1581" w:rsidRPr="009B1C91" w:rsidRDefault="006C1581" w:rsidP="00F653F8">
      <w:pPr>
        <w:spacing w:after="0" w:line="240" w:lineRule="auto"/>
        <w:jc w:val="both"/>
        <w:rPr>
          <w:rFonts w:asciiTheme="minorHAnsi" w:hAnsiTheme="minorHAnsi" w:cstheme="minorHAnsi"/>
        </w:rPr>
      </w:pPr>
      <w:r w:rsidRPr="009B1C91">
        <w:rPr>
          <w:rFonts w:asciiTheme="minorHAnsi" w:hAnsiTheme="minorHAnsi" w:cstheme="minorHAnsi"/>
        </w:rPr>
        <w:t xml:space="preserve">The evaluation team’s assessment of the CCED portfolio identified two major weaknesses in coherence and thematic area coverage. I) In the face of rapid urbanization, industrialization and transformation of the rural and urban land and waterscapes, the environmental protection through prevention and control of industrial discharge, agricultural run-off with nutrient overload (especially in the wetland areas), CCED strategies and interventions to improve environmental health through better environmental governance are by and large missing. Such a country-wide weakness in environmental protection is also reflected in the possible failure of Bangladesh in meeting MDG 7; ii) The cross-cutting approach and strategy to assist the advancement of women is  not providing the necessary ‘stimulus’ to make a transformational change in the areas of poverty-reduction, improvement of environmental governance and environmental health, and conservation of biodiversity. A dedicated women-focused approach with CCED Cluster should be explored to address this weakness.  </w:t>
      </w:r>
    </w:p>
    <w:p w:rsidR="006C1581" w:rsidRPr="009B1C91" w:rsidRDefault="006C1581" w:rsidP="00F653F8">
      <w:pPr>
        <w:spacing w:after="0" w:line="240" w:lineRule="auto"/>
        <w:jc w:val="both"/>
        <w:rPr>
          <w:rFonts w:asciiTheme="minorHAnsi" w:hAnsiTheme="minorHAnsi" w:cstheme="minorHAnsi"/>
        </w:rPr>
      </w:pPr>
    </w:p>
    <w:p w:rsidR="006C1581" w:rsidRPr="009B1C91" w:rsidRDefault="006C1581" w:rsidP="00F435DA">
      <w:pPr>
        <w:spacing w:after="0" w:line="240" w:lineRule="auto"/>
        <w:jc w:val="both"/>
        <w:rPr>
          <w:rFonts w:asciiTheme="minorHAnsi" w:hAnsiTheme="minorHAnsi" w:cstheme="minorHAnsi"/>
        </w:rPr>
      </w:pPr>
      <w:r w:rsidRPr="009B1C91">
        <w:rPr>
          <w:rFonts w:asciiTheme="minorHAnsi" w:hAnsiTheme="minorHAnsi" w:cstheme="minorHAnsi"/>
        </w:rPr>
        <w:t>Overall, NRM and energy are two very large areas with significant challenges on many levels. Covering all areas with limited resources and on a relatively short timeframe of 5 years may not be feasible. In some areas (like renewable energy access), the overall speed of development in Bangladesh is very fast - indeed, faster than the UNDP project cycle. Therefore coverage of the portfolio needs to be considered in the light of the need for UNDP to focus on those areas that are not sufficiently covered and where UNDP’s strengths and assets built up over the years can be leveraged to the greatest impact. Relevant recom</w:t>
      </w:r>
      <w:r w:rsidR="00996CCF" w:rsidRPr="009B1C91">
        <w:rPr>
          <w:rFonts w:asciiTheme="minorHAnsi" w:hAnsiTheme="minorHAnsi" w:cstheme="minorHAnsi"/>
        </w:rPr>
        <w:t>mendations are presented under s</w:t>
      </w:r>
      <w:r w:rsidRPr="009B1C91">
        <w:rPr>
          <w:rFonts w:asciiTheme="minorHAnsi" w:hAnsiTheme="minorHAnsi" w:cstheme="minorHAnsi"/>
        </w:rPr>
        <w:t xml:space="preserve">ub-section 5.3. </w:t>
      </w:r>
    </w:p>
    <w:p w:rsidR="006C1581" w:rsidRPr="009B1C91" w:rsidRDefault="006C1581" w:rsidP="00F653F8">
      <w:pPr>
        <w:spacing w:after="0" w:line="240" w:lineRule="auto"/>
        <w:jc w:val="both"/>
        <w:rPr>
          <w:rFonts w:asciiTheme="minorHAnsi" w:hAnsiTheme="minorHAnsi" w:cstheme="minorHAnsi"/>
        </w:rPr>
      </w:pPr>
    </w:p>
    <w:p w:rsidR="00E84BAD" w:rsidRDefault="00E84BAD" w:rsidP="00EF317C">
      <w:pPr>
        <w:autoSpaceDE w:val="0"/>
        <w:autoSpaceDN w:val="0"/>
        <w:adjustRightInd w:val="0"/>
        <w:spacing w:after="0" w:line="240" w:lineRule="auto"/>
        <w:rPr>
          <w:rFonts w:asciiTheme="minorHAnsi" w:hAnsiTheme="minorHAnsi" w:cstheme="minorHAnsi"/>
          <w:b/>
        </w:rPr>
      </w:pPr>
    </w:p>
    <w:p w:rsidR="00EF317C" w:rsidRPr="009B1C91" w:rsidRDefault="00EF317C" w:rsidP="00EF317C">
      <w:pPr>
        <w:autoSpaceDE w:val="0"/>
        <w:autoSpaceDN w:val="0"/>
        <w:adjustRightInd w:val="0"/>
        <w:spacing w:after="0" w:line="240" w:lineRule="auto"/>
        <w:rPr>
          <w:rFonts w:asciiTheme="minorHAnsi" w:hAnsiTheme="minorHAnsi" w:cstheme="minorHAnsi"/>
          <w:b/>
        </w:rPr>
      </w:pPr>
      <w:r w:rsidRPr="009B1C91">
        <w:rPr>
          <w:rFonts w:asciiTheme="minorHAnsi" w:hAnsiTheme="minorHAnsi" w:cstheme="minorHAnsi"/>
          <w:b/>
        </w:rPr>
        <w:lastRenderedPageBreak/>
        <w:t xml:space="preserve">SECTION 4 </w:t>
      </w:r>
    </w:p>
    <w:p w:rsidR="00EF317C" w:rsidRPr="009B1C91" w:rsidRDefault="00EF317C" w:rsidP="00EF317C">
      <w:pPr>
        <w:autoSpaceDE w:val="0"/>
        <w:autoSpaceDN w:val="0"/>
        <w:adjustRightInd w:val="0"/>
        <w:spacing w:after="0" w:line="240" w:lineRule="auto"/>
        <w:rPr>
          <w:rFonts w:asciiTheme="minorHAnsi" w:hAnsiTheme="minorHAnsi" w:cstheme="minorHAnsi"/>
          <w:b/>
        </w:rPr>
      </w:pPr>
    </w:p>
    <w:p w:rsidR="00EF317C" w:rsidRPr="009B1C91" w:rsidRDefault="00EF317C" w:rsidP="00EF317C">
      <w:pPr>
        <w:autoSpaceDE w:val="0"/>
        <w:autoSpaceDN w:val="0"/>
        <w:adjustRightInd w:val="0"/>
        <w:spacing w:after="0" w:line="240" w:lineRule="auto"/>
        <w:rPr>
          <w:rFonts w:asciiTheme="minorHAnsi" w:hAnsiTheme="minorHAnsi" w:cstheme="minorHAnsi"/>
          <w:b/>
          <w:sz w:val="44"/>
        </w:rPr>
      </w:pPr>
      <w:r w:rsidRPr="009B1C91">
        <w:rPr>
          <w:rFonts w:asciiTheme="minorHAnsi" w:hAnsiTheme="minorHAnsi" w:cstheme="minorHAnsi"/>
          <w:b/>
          <w:sz w:val="44"/>
        </w:rPr>
        <w:t xml:space="preserve">CONTRIBUTIONS TO RESULTS – FINDINGS ON OUTCOMES </w:t>
      </w:r>
    </w:p>
    <w:p w:rsidR="00EF317C" w:rsidRPr="009B1C91" w:rsidRDefault="00EF317C" w:rsidP="00EF317C">
      <w:pPr>
        <w:autoSpaceDE w:val="0"/>
        <w:autoSpaceDN w:val="0"/>
        <w:adjustRightInd w:val="0"/>
        <w:spacing w:after="0" w:line="240" w:lineRule="auto"/>
        <w:rPr>
          <w:rFonts w:asciiTheme="minorHAnsi" w:hAnsiTheme="minorHAnsi" w:cstheme="minorHAnsi"/>
          <w:sz w:val="44"/>
        </w:rPr>
      </w:pP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Section 4 summarizes the findings of the evaluation with respect to the achievements of the country programme. In sub-section 4.1, UNDP’s strategy and actions to support Bangladesh’s national efforts are analyzed for each defined outcome so that the background and drivers can easily be identified.  These inferences were drawn from the contextual analysis (Section 2), evaluation of contributions of CCED Cluster initiated programmes, and project outputs contributions.  For each outcome, factors were identified and analyzed to explain the extent of achievement, level and quality of performance, and reasons for shortcomings.   </w:t>
      </w:r>
    </w:p>
    <w:p w:rsidR="000215E4" w:rsidRPr="009B1C91" w:rsidRDefault="000215E4"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The focus of sub-section 4.2 is the contribution of UNDP-initiated interventions to the programme outcomes. In order to provide a basis and evidence for inferences made in sub-section 4.1 (contributions to outcome level), an assessment of UNDP  initiated projects’ outputs and performance - focusing on efficiency and cost-effectiveness of specific project components, using evaluation criteria, is provided in sub-section 4.2. Several ‘case studies’ serve to illustrate the Value for M</w:t>
      </w:r>
      <w:r w:rsidR="005C3B8E" w:rsidRPr="009B1C91">
        <w:rPr>
          <w:rFonts w:asciiTheme="minorHAnsi" w:hAnsiTheme="minorHAnsi" w:cstheme="minorHAnsi"/>
          <w:lang w:val="en-US"/>
        </w:rPr>
        <w:t>oney (VfM) of 4</w:t>
      </w:r>
      <w:r w:rsidRPr="009B1C91">
        <w:rPr>
          <w:rFonts w:asciiTheme="minorHAnsi" w:hAnsiTheme="minorHAnsi" w:cstheme="minorHAnsi"/>
          <w:lang w:val="en-US"/>
        </w:rPr>
        <w:t xml:space="preserve"> specific project components (</w:t>
      </w:r>
      <w:r w:rsidR="005C3B8E" w:rsidRPr="009B1C91">
        <w:rPr>
          <w:rFonts w:asciiTheme="minorHAnsi" w:hAnsiTheme="minorHAnsi" w:cstheme="minorHAnsi"/>
          <w:lang w:val="en-US"/>
        </w:rPr>
        <w:t xml:space="preserve">one comparative analysis and three </w:t>
      </w:r>
      <w:r w:rsidRPr="009B1C91">
        <w:rPr>
          <w:rFonts w:asciiTheme="minorHAnsi" w:hAnsiTheme="minorHAnsi" w:cstheme="minorHAnsi"/>
          <w:lang w:val="en-US"/>
        </w:rPr>
        <w:t xml:space="preserve">stand-alone cases) and are included in boxes throughout Section 4, highlighting in-depth economic analysis for assessing efficiency of project component inputs (funds, human resources). </w:t>
      </w:r>
    </w:p>
    <w:p w:rsidR="000215E4" w:rsidRPr="009B1C91" w:rsidRDefault="000215E4" w:rsidP="00EF317C">
      <w:pPr>
        <w:autoSpaceDE w:val="0"/>
        <w:autoSpaceDN w:val="0"/>
        <w:adjustRightInd w:val="0"/>
        <w:spacing w:after="0" w:line="240" w:lineRule="auto"/>
        <w:rPr>
          <w:rFonts w:asciiTheme="minorHAnsi" w:hAnsiTheme="minorHAnsi" w:cstheme="minorHAnsi"/>
          <w:sz w:val="44"/>
        </w:rPr>
      </w:pPr>
    </w:p>
    <w:p w:rsidR="006B1567" w:rsidRPr="009B1C91" w:rsidRDefault="00FC4B77" w:rsidP="00FC4B77">
      <w:pPr>
        <w:pStyle w:val="Body"/>
        <w:spacing w:after="0" w:line="240" w:lineRule="auto"/>
        <w:rPr>
          <w:rFonts w:asciiTheme="minorHAnsi" w:hAnsiTheme="minorHAnsi" w:cstheme="minorHAnsi"/>
          <w:b/>
          <w:bCs/>
          <w:lang w:val="en-US"/>
        </w:rPr>
      </w:pPr>
      <w:r w:rsidRPr="009B1C91">
        <w:rPr>
          <w:rFonts w:asciiTheme="minorHAnsi" w:hAnsiTheme="minorHAnsi" w:cstheme="minorHAnsi"/>
          <w:b/>
          <w:bCs/>
          <w:lang w:val="en-US"/>
        </w:rPr>
        <w:t>4.1 CCED CLUSTER CONTRIBUTIONS TO COUNTRY PROGRAM</w:t>
      </w:r>
      <w:r w:rsidR="006B1567" w:rsidRPr="009B1C91">
        <w:rPr>
          <w:rFonts w:asciiTheme="minorHAnsi" w:hAnsiTheme="minorHAnsi" w:cstheme="minorHAnsi"/>
          <w:b/>
          <w:bCs/>
          <w:lang w:val="en-US"/>
        </w:rPr>
        <w:t xml:space="preserve">ME OUTCOMES – THEORY OF CHANGE    </w:t>
      </w:r>
    </w:p>
    <w:p w:rsidR="00FC4B77" w:rsidRPr="009B1C91" w:rsidRDefault="00FC4B77" w:rsidP="00FC4B77">
      <w:pPr>
        <w:pStyle w:val="Body"/>
        <w:spacing w:after="0" w:line="240" w:lineRule="auto"/>
        <w:rPr>
          <w:rFonts w:asciiTheme="minorHAnsi" w:hAnsiTheme="minorHAnsi" w:cstheme="minorHAnsi"/>
          <w:b/>
          <w:bCs/>
          <w:lang w:val="en-US"/>
        </w:rPr>
      </w:pPr>
      <w:r w:rsidRPr="009B1C91">
        <w:rPr>
          <w:rFonts w:asciiTheme="minorHAnsi" w:hAnsiTheme="minorHAnsi" w:cstheme="minorHAnsi"/>
          <w:b/>
          <w:bCs/>
          <w:lang w:val="en-US"/>
        </w:rPr>
        <w:t>AND SYNERGIC EFFECTS</w:t>
      </w:r>
    </w:p>
    <w:p w:rsidR="00EF317C" w:rsidRPr="009B1C91" w:rsidRDefault="00EF317C" w:rsidP="00EF317C">
      <w:pPr>
        <w:autoSpaceDE w:val="0"/>
        <w:autoSpaceDN w:val="0"/>
        <w:adjustRightInd w:val="0"/>
        <w:spacing w:after="0" w:line="240" w:lineRule="auto"/>
        <w:rPr>
          <w:rFonts w:asciiTheme="minorHAnsi" w:hAnsiTheme="minorHAnsi" w:cstheme="minorHAnsi"/>
        </w:rPr>
      </w:pPr>
    </w:p>
    <w:p w:rsidR="00FC4B77" w:rsidRPr="009B1C91" w:rsidRDefault="00FC4B77" w:rsidP="00F653F8">
      <w:pPr>
        <w:pStyle w:val="Body"/>
        <w:spacing w:line="240" w:lineRule="auto"/>
        <w:jc w:val="both"/>
        <w:rPr>
          <w:rFonts w:asciiTheme="minorHAnsi" w:hAnsiTheme="minorHAnsi" w:cstheme="minorHAnsi"/>
        </w:rPr>
      </w:pPr>
      <w:r w:rsidRPr="009B1C91">
        <w:rPr>
          <w:rFonts w:asciiTheme="minorHAnsi" w:hAnsiTheme="minorHAnsi" w:cstheme="minorHAnsi"/>
          <w:lang w:val="en-US"/>
        </w:rPr>
        <w:t xml:space="preserve">The GoB’s vision, as highlighted in the 2009 Climate Change Strategy and Action Plan (BCCSAP), is to eradicate poverty and achieve economic and social well-being for all citizens of the country. To this end the BCCSAF will pursue a pro-poor Climate Change Management Strategy, which prioritizes adaptation and DRR as well as low-carbon development, mitigation of CC impact, technology transfer, and the mobilization of provisions for adequate finance.  In this mid-term evaluation of UNDP CCED Cluster programming, </w:t>
      </w:r>
      <w:r w:rsidRPr="009B1C91">
        <w:rPr>
          <w:rFonts w:asciiTheme="minorHAnsi" w:hAnsiTheme="minorHAnsi" w:cstheme="minorHAnsi"/>
          <w:b/>
          <w:lang w:val="en-US"/>
        </w:rPr>
        <w:t>it is critical not to limit analysis only to specific project interventions but to also examine the causal links and synergies between all activities and interventions in order to understand the overall impact of intervention, which are more than the sum of the project interventions and outputs</w:t>
      </w:r>
      <w:r w:rsidRPr="009B1C91">
        <w:rPr>
          <w:rFonts w:asciiTheme="minorHAnsi" w:hAnsiTheme="minorHAnsi" w:cstheme="minorHAnsi"/>
        </w:rPr>
        <w:t xml:space="preserve">. </w:t>
      </w:r>
    </w:p>
    <w:p w:rsidR="000F4DD7" w:rsidRPr="009B1C91" w:rsidRDefault="00FC4B77" w:rsidP="00F653F8">
      <w:pPr>
        <w:pStyle w:val="Body"/>
        <w:spacing w:line="240" w:lineRule="auto"/>
        <w:jc w:val="both"/>
        <w:rPr>
          <w:rFonts w:asciiTheme="minorHAnsi" w:hAnsiTheme="minorHAnsi" w:cstheme="minorHAnsi"/>
        </w:rPr>
      </w:pPr>
      <w:r w:rsidRPr="009B1C91">
        <w:rPr>
          <w:rFonts w:asciiTheme="minorHAnsi" w:hAnsiTheme="minorHAnsi" w:cstheme="minorHAnsi"/>
          <w:lang w:val="en-US"/>
        </w:rPr>
        <w:t xml:space="preserve">The evaluation of the current status of CPD 2012-16 Outcome 3.1 and Outcome 3.2 is by necessity based on the achievements of specific project intervention, with appropriate measurable indicators noted in the evaluation matrices </w:t>
      </w:r>
      <w:r w:rsidRPr="009B1C91">
        <w:rPr>
          <w:rFonts w:asciiTheme="minorHAnsi" w:hAnsiTheme="minorHAnsi" w:cstheme="minorHAnsi"/>
          <w:color w:val="auto"/>
          <w:u w:color="FF0000"/>
          <w:lang w:val="fr-FR"/>
        </w:rPr>
        <w:t>(Annex</w:t>
      </w:r>
      <w:r w:rsidR="001B22C0">
        <w:rPr>
          <w:rFonts w:asciiTheme="minorHAnsi" w:hAnsiTheme="minorHAnsi" w:cstheme="minorHAnsi"/>
          <w:color w:val="auto"/>
          <w:u w:color="FF0000"/>
          <w:lang w:val="en-US"/>
        </w:rPr>
        <w:t xml:space="preserve">  III</w:t>
      </w:r>
      <w:r w:rsidRPr="009B1C91">
        <w:rPr>
          <w:rFonts w:asciiTheme="minorHAnsi" w:hAnsiTheme="minorHAnsi" w:cstheme="minorHAnsi"/>
          <w:color w:val="auto"/>
          <w:u w:color="FF0000"/>
        </w:rPr>
        <w:t xml:space="preserve">).These include </w:t>
      </w:r>
      <w:r w:rsidRPr="009B1C91">
        <w:rPr>
          <w:rFonts w:asciiTheme="minorHAnsi" w:hAnsiTheme="minorHAnsi" w:cstheme="minorHAnsi"/>
          <w:color w:val="auto"/>
          <w:lang w:val="en-US"/>
        </w:rPr>
        <w:t xml:space="preserve">the </w:t>
      </w:r>
      <w:r w:rsidRPr="009B1C91">
        <w:rPr>
          <w:rFonts w:asciiTheme="minorHAnsi" w:hAnsiTheme="minorHAnsi" w:cstheme="minorHAnsi"/>
          <w:lang w:val="en-US"/>
        </w:rPr>
        <w:t>analysis of the causal link of interventions and activities with outcomes and impacts, and qualitative and inferential analysis of policy and institutional level interventions – by bridging national and international communities – that generated national level outcomes.</w:t>
      </w:r>
    </w:p>
    <w:p w:rsidR="004F434A" w:rsidRPr="009B1C91" w:rsidRDefault="004F434A" w:rsidP="00F653F8">
      <w:pPr>
        <w:pStyle w:val="Body"/>
        <w:spacing w:after="0" w:line="240" w:lineRule="auto"/>
        <w:jc w:val="both"/>
        <w:rPr>
          <w:rFonts w:asciiTheme="minorHAnsi" w:hAnsiTheme="minorHAnsi" w:cstheme="minorHAnsi"/>
        </w:rPr>
      </w:pPr>
    </w:p>
    <w:p w:rsidR="004F434A" w:rsidRPr="009B1C91" w:rsidRDefault="004F434A" w:rsidP="00F653F8">
      <w:pPr>
        <w:pStyle w:val="Body"/>
        <w:spacing w:after="0" w:line="240" w:lineRule="auto"/>
        <w:jc w:val="both"/>
        <w:rPr>
          <w:rFonts w:asciiTheme="minorHAnsi" w:hAnsiTheme="minorHAnsi" w:cstheme="minorHAnsi"/>
        </w:rPr>
      </w:pPr>
    </w:p>
    <w:p w:rsidR="000215E4" w:rsidRPr="009B1C91" w:rsidRDefault="000215E4" w:rsidP="00F653F8">
      <w:pPr>
        <w:pStyle w:val="Body"/>
        <w:spacing w:after="0" w:line="240" w:lineRule="auto"/>
        <w:jc w:val="both"/>
        <w:rPr>
          <w:rFonts w:asciiTheme="minorHAnsi" w:hAnsiTheme="minorHAnsi" w:cstheme="minorHAnsi"/>
          <w:b/>
          <w:bCs/>
          <w:lang w:val="en-US"/>
        </w:rPr>
      </w:pPr>
      <w:r w:rsidRPr="009B1C91">
        <w:rPr>
          <w:rFonts w:asciiTheme="minorHAnsi" w:hAnsiTheme="minorHAnsi" w:cstheme="minorHAnsi"/>
          <w:b/>
          <w:bCs/>
          <w:lang w:val="en-US"/>
        </w:rPr>
        <w:lastRenderedPageBreak/>
        <w:t xml:space="preserve">4.1.1 CLIMATE CHANGE AND NATURAL DISASTERS </w:t>
      </w:r>
    </w:p>
    <w:p w:rsidR="000215E4" w:rsidRPr="009B1C91" w:rsidRDefault="000215E4"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OUTCOME 3.1: </w:t>
      </w:r>
      <w:r w:rsidR="00477BDA" w:rsidRPr="009B1C91">
        <w:rPr>
          <w:rFonts w:asciiTheme="minorHAnsi" w:hAnsiTheme="minorHAnsi" w:cstheme="minorHAnsi"/>
          <w:lang w:val="en-US"/>
        </w:rPr>
        <w:t>“</w:t>
      </w:r>
      <w:r w:rsidRPr="009B1C91">
        <w:rPr>
          <w:rFonts w:asciiTheme="minorHAnsi" w:hAnsiTheme="minorHAnsi" w:cstheme="minorHAnsi"/>
          <w:lang w:val="en-US"/>
        </w:rPr>
        <w:t>BY 2016, POPULATIONS VULNERABLE TO CLIMATE CHANGE AND NATURAL DISASTERS HAVE BECOME MORE RESILIENT TO ADAPT TO RISKS</w:t>
      </w:r>
      <w:r w:rsidR="00477BDA" w:rsidRPr="009B1C91">
        <w:rPr>
          <w:rFonts w:asciiTheme="minorHAnsi" w:hAnsiTheme="minorHAnsi" w:cstheme="minorHAnsi"/>
          <w:lang w:val="en-US"/>
        </w:rPr>
        <w:t>”</w:t>
      </w:r>
    </w:p>
    <w:p w:rsidR="000215E4" w:rsidRPr="009B1C91" w:rsidRDefault="000215E4"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b/>
          <w:bCs/>
          <w:lang w:val="en-US"/>
        </w:rPr>
        <w:t xml:space="preserve">Outcome Analysis </w:t>
      </w:r>
    </w:p>
    <w:p w:rsidR="000215E4" w:rsidRPr="009B1C91" w:rsidRDefault="000215E4"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bCs/>
          <w:lang w:val="en-US"/>
        </w:rPr>
      </w:pPr>
      <w:r w:rsidRPr="009B1C91">
        <w:rPr>
          <w:rFonts w:asciiTheme="minorHAnsi" w:hAnsiTheme="minorHAnsi" w:cstheme="minorHAnsi"/>
          <w:lang w:val="en-US"/>
        </w:rPr>
        <w:t>In line with the existential threat to the country described in sub-section 2.1, Outcome 3.1 is formulated with a view to supporting population’s resiliency and capacity to better adapt to climate and natural disaster risks. Two indicators are used to describe the results</w:t>
      </w:r>
      <w:r w:rsidRPr="009B1C91">
        <w:rPr>
          <w:rFonts w:asciiTheme="minorHAnsi" w:hAnsiTheme="minorHAnsi" w:cstheme="minorHAnsi"/>
          <w:color w:val="auto"/>
          <w:u w:color="FF0000"/>
          <w:lang w:val="en-US"/>
        </w:rPr>
        <w:t>:</w:t>
      </w:r>
      <w:r w:rsidRPr="009B1C91">
        <w:rPr>
          <w:rFonts w:asciiTheme="minorHAnsi" w:hAnsiTheme="minorHAnsi" w:cstheme="minorHAnsi"/>
          <w:bCs/>
          <w:lang w:val="en-US"/>
        </w:rPr>
        <w:t>Environment, Climate and Disaster Vulnerability Index (ECDVI) and Community Asset Score (CAS)</w:t>
      </w:r>
      <w:r w:rsidRPr="009B1C91">
        <w:rPr>
          <w:rStyle w:val="FootnoteReference"/>
          <w:rFonts w:asciiTheme="minorHAnsi" w:hAnsiTheme="minorHAnsi" w:cstheme="minorHAnsi"/>
          <w:bCs/>
          <w:lang w:val="en-US"/>
        </w:rPr>
        <w:footnoteReference w:id="37"/>
      </w:r>
      <w:r w:rsidRPr="009B1C91">
        <w:rPr>
          <w:rFonts w:asciiTheme="minorHAnsi" w:hAnsiTheme="minorHAnsi" w:cstheme="minorHAnsi"/>
          <w:bCs/>
          <w:lang w:val="en-US"/>
        </w:rPr>
        <w:t>for disaster risk and reduction</w:t>
      </w:r>
      <w:r w:rsidR="004312D3" w:rsidRPr="009B1C91">
        <w:rPr>
          <w:rFonts w:asciiTheme="minorHAnsi" w:hAnsiTheme="minorHAnsi" w:cstheme="minorHAnsi"/>
          <w:bCs/>
          <w:lang w:val="en-US"/>
        </w:rPr>
        <w:t>.</w:t>
      </w:r>
    </w:p>
    <w:p w:rsidR="000215E4" w:rsidRPr="009B1C91" w:rsidRDefault="000215E4" w:rsidP="00F653F8">
      <w:pPr>
        <w:pStyle w:val="Body"/>
        <w:spacing w:after="0" w:line="240" w:lineRule="auto"/>
        <w:jc w:val="both"/>
        <w:rPr>
          <w:rFonts w:asciiTheme="minorHAnsi" w:hAnsiTheme="minorHAnsi" w:cstheme="minorHAnsi"/>
          <w:b/>
          <w:bCs/>
          <w:lang w:val="en-US"/>
        </w:rPr>
      </w:pP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Outcome 3.1 was envisioned such that, “[b]y 2016, populations vulnerable to climate change and natural disasters have become more resilient to adapt to risks”.  In order to improve resilience of vulnerable communities and institutions to adapt to risks, UNDP intended to continue focusing on developing the capacity of the GoB to mainstream the climate-environment-poverty nexus into policy and planning frameworks across ministries, while further strengthening community-based risk reduction and adaptation capacities. </w:t>
      </w:r>
    </w:p>
    <w:p w:rsidR="000215E4" w:rsidRPr="009B1C91" w:rsidRDefault="000215E4"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i/>
          <w:iCs/>
          <w:lang w:val="en-US"/>
        </w:rPr>
      </w:pPr>
      <w:r w:rsidRPr="009B1C91">
        <w:rPr>
          <w:rFonts w:asciiTheme="minorHAnsi" w:hAnsiTheme="minorHAnsi" w:cstheme="minorHAnsi"/>
          <w:i/>
          <w:iCs/>
          <w:lang w:val="en-US"/>
        </w:rPr>
        <w:t>Outcome Measurement Indicators</w:t>
      </w:r>
    </w:p>
    <w:p w:rsidR="000215E4" w:rsidRPr="009B1C91" w:rsidRDefault="000215E4"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In the original country program document</w:t>
      </w:r>
      <w:r w:rsidR="00C06F0A" w:rsidRPr="009B1C91">
        <w:rPr>
          <w:rStyle w:val="FootnoteReference"/>
          <w:rFonts w:asciiTheme="minorHAnsi" w:hAnsiTheme="minorHAnsi" w:cstheme="minorHAnsi"/>
          <w:lang w:val="en-US"/>
        </w:rPr>
        <w:footnoteReference w:id="38"/>
      </w:r>
      <w:r w:rsidR="00A23E17" w:rsidRPr="009B1C91">
        <w:rPr>
          <w:rFonts w:asciiTheme="minorHAnsi" w:hAnsiTheme="minorHAnsi" w:cstheme="minorHAnsi"/>
          <w:lang w:val="en-US"/>
        </w:rPr>
        <w:t>, the</w:t>
      </w:r>
      <w:r w:rsidRPr="009B1C91">
        <w:rPr>
          <w:rFonts w:asciiTheme="minorHAnsi" w:hAnsiTheme="minorHAnsi" w:cstheme="minorHAnsi"/>
          <w:lang w:val="en-US"/>
        </w:rPr>
        <w:t xml:space="preserve"> outcome indicators were formulated in the form of two indices with country-wide coverage: the Environment, Climate and Disaster Vulnerability Index and the Community Asset Score. Both indices were expected to improve measurably over the course of the implementation period of the country program.  In 2013 the indicators were reformulated to i) annual average economic loss from natural hazards (e.g., geo-physical and climate-induced) as a proportion of GDP over the last five years (Baseline: 2011: 1.13%; Target: 2016: 0.8%), and ii) the extent to which disaster and climate risk management plans are funded through national, local, and sectoral development budgets (Rating Scale: 1=Not Adequately; 2=Nominally [Very] Partially; 3=Significantly Partially; 4= Significantly [Largely] (Baseline: 2011: 1 point [Not Adequately]; Target: 3 points [Significant but not 100% ]. It is assumed that due to challenges in monitoring and reporting based on indices, such a shift in indicators was proposed by the CCED Cluster</w:t>
      </w:r>
      <w:r w:rsidR="00BB5082" w:rsidRPr="009B1C91">
        <w:rPr>
          <w:rFonts w:asciiTheme="minorHAnsi" w:hAnsiTheme="minorHAnsi" w:cstheme="minorHAnsi"/>
          <w:lang w:val="en-US"/>
        </w:rPr>
        <w:t xml:space="preserve"> in consideration of difficulty that was being faced by the implementation agencies in operationalizing them. Changes in indicators were also made due to mismatch between available data and the indicators considered by the planning agencies responsible for the 7th FYP.</w:t>
      </w:r>
    </w:p>
    <w:p w:rsidR="000215E4" w:rsidRPr="009B1C91" w:rsidRDefault="000215E4" w:rsidP="00F653F8">
      <w:pPr>
        <w:pStyle w:val="Body"/>
        <w:spacing w:after="0" w:line="240" w:lineRule="auto"/>
        <w:jc w:val="both"/>
        <w:rPr>
          <w:rFonts w:asciiTheme="minorHAnsi" w:hAnsiTheme="minorHAnsi" w:cstheme="minorHAnsi"/>
          <w:lang w:val="en-US"/>
        </w:rPr>
      </w:pPr>
    </w:p>
    <w:p w:rsidR="00F445C0"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The Evaluators, along with Winderl</w:t>
      </w:r>
      <w:r w:rsidR="00E839EF" w:rsidRPr="009B1C91">
        <w:rPr>
          <w:rStyle w:val="FootnoteReference"/>
          <w:rFonts w:asciiTheme="minorHAnsi" w:hAnsiTheme="minorHAnsi" w:cstheme="minorHAnsi"/>
          <w:lang w:val="en-US"/>
        </w:rPr>
        <w:footnoteReference w:id="39"/>
      </w:r>
      <w:r w:rsidRPr="009B1C91">
        <w:rPr>
          <w:rFonts w:asciiTheme="minorHAnsi" w:hAnsiTheme="minorHAnsi" w:cstheme="minorHAnsi"/>
          <w:lang w:val="en-US"/>
        </w:rPr>
        <w:t xml:space="preserve">, observed a key weakness in the outcome statement that embodies “more resilient to risk” as the core result formulation whereby specificity regarding the definition and measurement indicators of change in resilience attributes was not provided.  While </w:t>
      </w:r>
      <w:r w:rsidRPr="009B1C91">
        <w:rPr>
          <w:rFonts w:asciiTheme="minorHAnsi" w:hAnsiTheme="minorHAnsi" w:cstheme="minorHAnsi"/>
          <w:lang w:val="en-US"/>
        </w:rPr>
        <w:lastRenderedPageBreak/>
        <w:t xml:space="preserve">presently there is little agreement on how to define and measure resilience, a socioeconomically and culturally appropriate indicator of it, especially in the context of climate change and natural disaster risks, would have been required prior to the implementation of the CPD 2012-16 time period. The resilience indicator should be broad in scope and conceptually straightforward, incorporating the fundamental </w:t>
      </w:r>
      <w:r w:rsidR="004570C7" w:rsidRPr="009B1C91">
        <w:rPr>
          <w:rFonts w:asciiTheme="minorHAnsi" w:hAnsiTheme="minorHAnsi" w:cstheme="minorHAnsi"/>
          <w:lang w:val="en-US"/>
        </w:rPr>
        <w:t>dimensions of</w:t>
      </w:r>
      <w:r w:rsidRPr="009B1C91">
        <w:rPr>
          <w:rFonts w:asciiTheme="minorHAnsi" w:hAnsiTheme="minorHAnsi" w:cstheme="minorHAnsi"/>
          <w:lang w:val="en-US"/>
        </w:rPr>
        <w:t xml:space="preserve"> robustness, adaptive capacity to stress and shocks, and capacity to ‘bounce back’ to a new ‘trajectory’. </w:t>
      </w:r>
    </w:p>
    <w:p w:rsidR="00F445C0" w:rsidRPr="009B1C91" w:rsidRDefault="00F445C0"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In the context of system or community resilience, ‘resilience’ can be viewed as the ability of a social system to respond and recover from major shocks and/or disasters, stemming from such factors such as inherent conditions which allow the system to absorb impacts and cope with an event, as well as post-event, adaptive processes that facilitate the ability of the social system to re-organize, change, and learn in response to a threat</w:t>
      </w:r>
      <w:r w:rsidR="00E839EF" w:rsidRPr="009B1C91">
        <w:rPr>
          <w:rStyle w:val="FootnoteReference"/>
          <w:rFonts w:asciiTheme="minorHAnsi" w:hAnsiTheme="minorHAnsi" w:cstheme="minorHAnsi"/>
          <w:lang w:val="en-US"/>
        </w:rPr>
        <w:footnoteReference w:id="40"/>
      </w:r>
      <w:r w:rsidR="00E839EF" w:rsidRPr="009B1C91">
        <w:rPr>
          <w:rFonts w:asciiTheme="minorHAnsi" w:hAnsiTheme="minorHAnsi" w:cstheme="minorHAnsi"/>
          <w:lang w:val="en-US"/>
        </w:rPr>
        <w:t>,</w:t>
      </w:r>
      <w:r w:rsidR="00E839EF" w:rsidRPr="009B1C91">
        <w:rPr>
          <w:rStyle w:val="FootnoteReference"/>
          <w:rFonts w:asciiTheme="minorHAnsi" w:hAnsiTheme="minorHAnsi" w:cstheme="minorHAnsi"/>
          <w:lang w:val="en-US"/>
        </w:rPr>
        <w:footnoteReference w:id="41"/>
      </w:r>
      <w:r w:rsidRPr="009B1C91">
        <w:rPr>
          <w:rFonts w:asciiTheme="minorHAnsi" w:hAnsiTheme="minorHAnsi" w:cstheme="minorHAnsi"/>
          <w:lang w:val="en-US"/>
        </w:rPr>
        <w:t xml:space="preserve">. A list of resilience components is presented in </w:t>
      </w:r>
      <w:r w:rsidR="00C63CB7">
        <w:rPr>
          <w:rFonts w:asciiTheme="minorHAnsi" w:hAnsiTheme="minorHAnsi" w:cstheme="minorHAnsi"/>
          <w:color w:val="auto"/>
          <w:u w:color="FF0000"/>
          <w:lang w:val="en-US"/>
        </w:rPr>
        <w:t>Annex X</w:t>
      </w:r>
      <w:r w:rsidRPr="009B1C91">
        <w:rPr>
          <w:rFonts w:asciiTheme="minorHAnsi" w:hAnsiTheme="minorHAnsi" w:cstheme="minorHAnsi"/>
          <w:lang w:val="en-US"/>
        </w:rPr>
        <w:t>for their use to monitor and measure the changes from their baseline so that feasible resilience indicators can be formulated for CPD Outcome 3.1.</w:t>
      </w:r>
    </w:p>
    <w:p w:rsidR="000215E4" w:rsidRPr="009B1C91" w:rsidRDefault="000215E4"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b/>
          <w:lang w:val="en-US"/>
        </w:rPr>
      </w:pPr>
      <w:r w:rsidRPr="009B1C91">
        <w:rPr>
          <w:rFonts w:asciiTheme="minorHAnsi" w:hAnsiTheme="minorHAnsi" w:cstheme="minorHAnsi"/>
          <w:lang w:val="en-US"/>
        </w:rPr>
        <w:t xml:space="preserve">The Evaluators highly recommend that further refinement of indicators for measuring progress towards CDP, 2012-16 Outcome 3.1 is required. </w:t>
      </w:r>
      <w:r w:rsidRPr="009B1C91">
        <w:rPr>
          <w:rFonts w:asciiTheme="minorHAnsi" w:hAnsiTheme="minorHAnsi" w:cstheme="minorHAnsi"/>
          <w:b/>
          <w:lang w:val="en-US"/>
        </w:rPr>
        <w:t xml:space="preserve">Changes in the state of system or community resilience with respect to adaptation to risks should not solely focus </w:t>
      </w:r>
      <w:r w:rsidR="004570C7" w:rsidRPr="009B1C91">
        <w:rPr>
          <w:rFonts w:asciiTheme="minorHAnsi" w:hAnsiTheme="minorHAnsi" w:cstheme="minorHAnsi"/>
          <w:b/>
          <w:lang w:val="en-US"/>
        </w:rPr>
        <w:t>on potential</w:t>
      </w:r>
      <w:r w:rsidRPr="009B1C91">
        <w:rPr>
          <w:rFonts w:asciiTheme="minorHAnsi" w:hAnsiTheme="minorHAnsi" w:cstheme="minorHAnsi"/>
          <w:b/>
          <w:lang w:val="en-US"/>
        </w:rPr>
        <w:t xml:space="preserve"> losses from disasters but also the addition of inherent capacity of the community and/or society to withstand stress and shocks, and disaster impact. Specific suggestions </w:t>
      </w:r>
      <w:r w:rsidR="00F445C0" w:rsidRPr="009B1C91">
        <w:rPr>
          <w:rFonts w:asciiTheme="minorHAnsi" w:hAnsiTheme="minorHAnsi" w:cstheme="minorHAnsi"/>
          <w:b/>
          <w:lang w:val="en-US"/>
        </w:rPr>
        <w:t xml:space="preserve">in this regard are included in Section 5 (Sub-section 5.3) on </w:t>
      </w:r>
      <w:r w:rsidRPr="009B1C91">
        <w:rPr>
          <w:rFonts w:asciiTheme="minorHAnsi" w:hAnsiTheme="minorHAnsi" w:cstheme="minorHAnsi"/>
          <w:b/>
          <w:lang w:val="en-US"/>
        </w:rPr>
        <w:t>Recommendation.</w:t>
      </w:r>
    </w:p>
    <w:p w:rsidR="004F434A" w:rsidRPr="009B1C91" w:rsidRDefault="004F434A" w:rsidP="00F653F8">
      <w:pPr>
        <w:pStyle w:val="Body"/>
        <w:spacing w:after="0" w:line="240" w:lineRule="auto"/>
        <w:jc w:val="both"/>
        <w:rPr>
          <w:rFonts w:asciiTheme="minorHAnsi" w:hAnsiTheme="minorHAnsi" w:cstheme="minorHAnsi"/>
          <w:b/>
          <w:lang w:val="en-US"/>
        </w:rPr>
      </w:pPr>
    </w:p>
    <w:p w:rsidR="000215E4" w:rsidRPr="009B1C91" w:rsidRDefault="000215E4"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i/>
          <w:iCs/>
          <w:lang w:val="en-US"/>
        </w:rPr>
      </w:pPr>
      <w:r w:rsidRPr="009B1C91">
        <w:rPr>
          <w:rFonts w:asciiTheme="minorHAnsi" w:hAnsiTheme="minorHAnsi" w:cstheme="minorHAnsi"/>
          <w:i/>
          <w:iCs/>
          <w:lang w:val="en-US"/>
        </w:rPr>
        <w:t xml:space="preserve">Climate Change and Disaster Risk Management – </w:t>
      </w:r>
    </w:p>
    <w:p w:rsidR="000215E4" w:rsidRPr="009B1C91" w:rsidRDefault="000215E4" w:rsidP="00F653F8">
      <w:pPr>
        <w:pStyle w:val="Body"/>
        <w:spacing w:after="0" w:line="240" w:lineRule="auto"/>
        <w:jc w:val="both"/>
        <w:rPr>
          <w:rFonts w:asciiTheme="minorHAnsi" w:hAnsiTheme="minorHAnsi" w:cstheme="minorHAnsi"/>
          <w:i/>
          <w:iCs/>
          <w:lang w:val="en-US"/>
        </w:rPr>
      </w:pPr>
      <w:r w:rsidRPr="009B1C91">
        <w:rPr>
          <w:rFonts w:asciiTheme="minorHAnsi" w:hAnsiTheme="minorHAnsi" w:cstheme="minorHAnsi"/>
          <w:i/>
          <w:iCs/>
          <w:lang w:val="en-US"/>
        </w:rPr>
        <w:t>UNDP’s Role in Shifting the Thinking and Action Paradigm</w:t>
      </w:r>
    </w:p>
    <w:p w:rsidR="000215E4" w:rsidRPr="009B1C91" w:rsidRDefault="000215E4" w:rsidP="00F653F8">
      <w:pPr>
        <w:pStyle w:val="Body"/>
        <w:spacing w:after="0" w:line="240" w:lineRule="auto"/>
        <w:jc w:val="both"/>
        <w:rPr>
          <w:rFonts w:asciiTheme="minorHAnsi" w:hAnsiTheme="minorHAnsi" w:cstheme="minorHAnsi"/>
          <w:lang w:val="en-US"/>
        </w:rPr>
      </w:pPr>
    </w:p>
    <w:p w:rsidR="000215E4" w:rsidRPr="009B1C91" w:rsidRDefault="000215E4" w:rsidP="00F57457">
      <w:pPr>
        <w:pStyle w:val="Body"/>
        <w:spacing w:after="0" w:line="240" w:lineRule="auto"/>
        <w:jc w:val="both"/>
        <w:rPr>
          <w:rFonts w:asciiTheme="minorHAnsi" w:hAnsiTheme="minorHAnsi" w:cstheme="minorHAnsi"/>
          <w:color w:val="auto"/>
          <w:lang w:val="en-US"/>
        </w:rPr>
      </w:pPr>
      <w:r w:rsidRPr="009B1C91">
        <w:rPr>
          <w:rFonts w:asciiTheme="minorHAnsi" w:hAnsiTheme="minorHAnsi" w:cstheme="minorHAnsi"/>
          <w:lang w:val="en-US"/>
        </w:rPr>
        <w:t xml:space="preserve">The UNDP interventions elaborated in Subsection 3.2 interact in a synergistic manner, as they work with different partners and produce results on different time scales: The CDMP II was intended to mobilize government departments, volunteers, and NGOs to raise awareness in broad groups of society; the ERF ensures that in event of a disaster, the country will continue to operate; while the PECM introduces climate adaptation aspects to the planning processes.  This coherent composition of the portfolio is highly effective and not only ensures the maintenance of UNDP’s reputation as a </w:t>
      </w:r>
      <w:r w:rsidRPr="009B1C91">
        <w:rPr>
          <w:rFonts w:asciiTheme="minorHAnsi" w:hAnsiTheme="minorHAnsi" w:cstheme="minorHAnsi"/>
          <w:i/>
          <w:iCs/>
          <w:lang w:val="en-US"/>
        </w:rPr>
        <w:t>thought leader</w:t>
      </w:r>
      <w:r w:rsidR="00F57457" w:rsidRPr="009B1C91">
        <w:rPr>
          <w:rFonts w:asciiTheme="minorHAnsi" w:hAnsiTheme="minorHAnsi" w:cstheme="minorHAnsi"/>
          <w:lang w:val="en-US"/>
        </w:rPr>
        <w:t xml:space="preserve"> and key </w:t>
      </w:r>
      <w:r w:rsidRPr="009B1C91">
        <w:rPr>
          <w:rFonts w:asciiTheme="minorHAnsi" w:hAnsiTheme="minorHAnsi" w:cstheme="minorHAnsi"/>
          <w:lang w:val="en-US"/>
        </w:rPr>
        <w:t>advisor</w:t>
      </w:r>
      <w:r w:rsidR="00F57457" w:rsidRPr="009B1C91">
        <w:rPr>
          <w:rFonts w:asciiTheme="minorHAnsi" w:hAnsiTheme="minorHAnsi" w:cstheme="minorHAnsi"/>
          <w:lang w:val="en-US"/>
        </w:rPr>
        <w:t xml:space="preserve"> to the government </w:t>
      </w:r>
      <w:r w:rsidRPr="009B1C91">
        <w:rPr>
          <w:rFonts w:asciiTheme="minorHAnsi" w:hAnsiTheme="minorHAnsi" w:cstheme="minorHAnsi"/>
          <w:lang w:val="en-US"/>
        </w:rPr>
        <w:t xml:space="preserve"> in this area, but also allows UNDP to take on a strategic and structural role as a coordinator of resilience enhancement work of all donors in Bangladesh. The GoB and donors have explicitly confirmed this reputation and opportunity, and expressed support for a stronger role for UNDP in this area.  This was echoed, with a caution, in a stakeholder meeting when a senior policy maker stated that: </w:t>
      </w:r>
      <w:r w:rsidRPr="009B1C91">
        <w:rPr>
          <w:rFonts w:asciiTheme="minorHAnsi" w:hAnsiTheme="minorHAnsi" w:cstheme="minorHAnsi"/>
          <w:color w:val="auto"/>
          <w:lang w:val="en-US"/>
        </w:rPr>
        <w:t>“</w:t>
      </w:r>
      <w:r w:rsidRPr="009B1C91">
        <w:rPr>
          <w:rFonts w:asciiTheme="minorHAnsi" w:hAnsiTheme="minorHAnsi" w:cstheme="minorHAnsi"/>
          <w:i/>
          <w:color w:val="auto"/>
          <w:lang w:val="en-US"/>
        </w:rPr>
        <w:t>UNDP has a proven record of being a leader in DRR and CCA, as well as in other developmental areas of Bangladesh…13 ministries are actively working with DRR…This shows the success of UNDP’s work for CDMP I and II…However, how many ministries are really ‘convert’ in DRR.</w:t>
      </w:r>
      <w:r w:rsidR="00D100B4" w:rsidRPr="009B1C91">
        <w:rPr>
          <w:rFonts w:asciiTheme="minorHAnsi" w:hAnsiTheme="minorHAnsi" w:cstheme="minorHAnsi"/>
          <w:i/>
          <w:color w:val="auto"/>
          <w:lang w:val="en-US"/>
        </w:rPr>
        <w:t>.</w:t>
      </w:r>
      <w:r w:rsidR="003E6577" w:rsidRPr="009B1C91">
        <w:rPr>
          <w:rFonts w:asciiTheme="minorHAnsi" w:hAnsiTheme="minorHAnsi" w:cstheme="minorHAnsi"/>
          <w:i/>
          <w:color w:val="auto"/>
          <w:lang w:val="en-US"/>
        </w:rPr>
        <w:t>.time will say</w:t>
      </w:r>
      <w:r w:rsidRPr="009B1C91">
        <w:rPr>
          <w:rFonts w:asciiTheme="minorHAnsi" w:hAnsiTheme="minorHAnsi" w:cstheme="minorHAnsi"/>
          <w:color w:val="auto"/>
          <w:lang w:val="en-US"/>
        </w:rPr>
        <w:t xml:space="preserve">”.  </w:t>
      </w:r>
    </w:p>
    <w:p w:rsidR="000215E4" w:rsidRPr="009B1C91" w:rsidRDefault="000215E4" w:rsidP="00F653F8">
      <w:pPr>
        <w:pStyle w:val="Body"/>
        <w:spacing w:after="0" w:line="240" w:lineRule="auto"/>
        <w:jc w:val="both"/>
        <w:rPr>
          <w:rFonts w:asciiTheme="minorHAnsi" w:hAnsiTheme="minorHAnsi" w:cstheme="minorHAnsi"/>
          <w:color w:val="auto"/>
          <w:lang w:val="en-US"/>
        </w:rPr>
      </w:pPr>
    </w:p>
    <w:p w:rsidR="000215E4" w:rsidRPr="009B1C91" w:rsidRDefault="000215E4" w:rsidP="00F57457">
      <w:pPr>
        <w:pStyle w:val="Body"/>
        <w:spacing w:after="0" w:line="240" w:lineRule="auto"/>
        <w:jc w:val="both"/>
        <w:rPr>
          <w:rFonts w:asciiTheme="minorHAnsi" w:hAnsiTheme="minorHAnsi" w:cstheme="minorHAnsi"/>
          <w:i/>
          <w:iCs/>
          <w:lang w:val="en-US"/>
        </w:rPr>
      </w:pPr>
      <w:r w:rsidRPr="009B1C91">
        <w:rPr>
          <w:rFonts w:asciiTheme="minorHAnsi" w:hAnsiTheme="minorHAnsi" w:cstheme="minorHAnsi"/>
          <w:lang w:val="en-US"/>
        </w:rPr>
        <w:lastRenderedPageBreak/>
        <w:t xml:space="preserve">The outcome of CDMP II interventions during 2012-14 evaluation </w:t>
      </w:r>
      <w:r w:rsidR="004570C7" w:rsidRPr="009B1C91">
        <w:rPr>
          <w:rFonts w:asciiTheme="minorHAnsi" w:hAnsiTheme="minorHAnsi" w:cstheme="minorHAnsi"/>
          <w:lang w:val="en-US"/>
        </w:rPr>
        <w:t>period</w:t>
      </w:r>
      <w:r w:rsidRPr="009B1C91">
        <w:rPr>
          <w:rFonts w:asciiTheme="minorHAnsi" w:hAnsiTheme="minorHAnsi" w:cstheme="minorHAnsi"/>
          <w:lang w:val="en-US"/>
        </w:rPr>
        <w:t xml:space="preserve"> requires an understanding of the policy outcomes of CDMP I, which are clearly reflected in the Sixth Five Year Plan (SFYP) 2011-2015 of the GoB, as UNDP CCED Cluster coordinated CDMP II was built upon the outcomes of its earlier phase. The CDMP I directly contributed to the establishment and implementation of a national disaster management legislative framework, as reflected in the review and redrafting of the Disaster Management Act, National Disaster Management Policy, National Plan for Disaster Management 2007-2015, revised Standing Order on Disaster Management, and the revised Allocation of Business for the Ministry of Food and Disaster Management (MoFDM). In addition, in world regional context CDMP I has supported the drafting of the SAARC Regional Framework on Comprehensive Disaster Man</w:t>
      </w:r>
      <w:r w:rsidR="00F57457" w:rsidRPr="009B1C91">
        <w:rPr>
          <w:rFonts w:asciiTheme="minorHAnsi" w:hAnsiTheme="minorHAnsi" w:cstheme="minorHAnsi"/>
          <w:lang w:val="en-US"/>
        </w:rPr>
        <w:t>agement. This first tier of a ‘P</w:t>
      </w:r>
      <w:r w:rsidRPr="009B1C91">
        <w:rPr>
          <w:rFonts w:asciiTheme="minorHAnsi" w:hAnsiTheme="minorHAnsi" w:cstheme="minorHAnsi"/>
          <w:lang w:val="en-US"/>
        </w:rPr>
        <w:t xml:space="preserve">aradigm </w:t>
      </w:r>
      <w:r w:rsidR="00F57457" w:rsidRPr="009B1C91">
        <w:rPr>
          <w:rFonts w:asciiTheme="minorHAnsi" w:hAnsiTheme="minorHAnsi" w:cstheme="minorHAnsi"/>
          <w:lang w:val="en-US"/>
        </w:rPr>
        <w:t>S</w:t>
      </w:r>
      <w:r w:rsidRPr="009B1C91">
        <w:rPr>
          <w:rFonts w:asciiTheme="minorHAnsi" w:hAnsiTheme="minorHAnsi" w:cstheme="minorHAnsi"/>
          <w:lang w:val="en-US"/>
        </w:rPr>
        <w:t xml:space="preserve">hift’ in disaster management from post-disaster response and relief to comprehensive disaster management - which was largely an attribution of UNDP coordinated CDMP I project - has led to further new thinking about the broader context of ‘risk reduction’, as previously disaster management strategies conceptualized disasters as an </w:t>
      </w:r>
      <w:r w:rsidRPr="009B1C91">
        <w:rPr>
          <w:rFonts w:asciiTheme="minorHAnsi" w:hAnsiTheme="minorHAnsi" w:cstheme="minorHAnsi"/>
          <w:i/>
          <w:iCs/>
          <w:lang w:val="en-US"/>
        </w:rPr>
        <w:t>a priori</w:t>
      </w:r>
      <w:r w:rsidR="00E84BAD">
        <w:rPr>
          <w:rFonts w:asciiTheme="minorHAnsi" w:hAnsiTheme="minorHAnsi" w:cstheme="minorHAnsi"/>
          <w:i/>
          <w:iCs/>
          <w:lang w:val="en-US"/>
        </w:rPr>
        <w:t xml:space="preserve"> </w:t>
      </w:r>
      <w:r w:rsidRPr="009B1C91">
        <w:rPr>
          <w:rFonts w:asciiTheme="minorHAnsi" w:hAnsiTheme="minorHAnsi" w:cstheme="minorHAnsi"/>
          <w:lang w:val="en-US"/>
        </w:rPr>
        <w:t xml:space="preserve">phenomenon that hampers sustainable economic and social development significantly. </w:t>
      </w:r>
    </w:p>
    <w:p w:rsidR="000215E4" w:rsidRPr="009B1C91" w:rsidRDefault="000215E4"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Deeper conceptualization of risks associated with environmental/natural disasters in the country is succinctly captured in the MDG status report on environment, which states that:</w:t>
      </w:r>
    </w:p>
    <w:p w:rsidR="000215E4" w:rsidRPr="009B1C91" w:rsidRDefault="000215E4"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i/>
          <w:iCs/>
          <w:lang w:val="en-US"/>
        </w:rPr>
        <w:t>…it is the poor and the infirm who fall easy prey to disasters and it is also they who may take the longest to recover from adverse effects.  Also, during a natural disaster the poor are more numerous among those killed because they are least prepared to face such events and they are generally more concentrated in the hazard-prone areas of Bangladesh. Death of the earning member of a poor family brings lasting misery to its members.  Thus the gains in poverty reduction suffer a setback. The other direct effects due to natural disasters include damages caused to residential housing, housing goods, crops, fisheries, and livestock. Damage done to transport and communication facilities, capital assets including stocks of food both at the household and the state level have significant adverse effect</w:t>
      </w:r>
      <w:r w:rsidRPr="009B1C91">
        <w:rPr>
          <w:rFonts w:asciiTheme="minorHAnsi" w:hAnsiTheme="minorHAnsi" w:cstheme="minorHAnsi"/>
          <w:lang w:val="en-US"/>
        </w:rPr>
        <w:t xml:space="preserve"> (GoB and UNDP, n.d.) </w:t>
      </w:r>
    </w:p>
    <w:p w:rsidR="000215E4" w:rsidRPr="009B1C91" w:rsidRDefault="000215E4" w:rsidP="000215E4">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Dealing with emerging risks arising both from climate change and extreme environmental events</w:t>
      </w:r>
      <w:r w:rsidR="00E84BAD">
        <w:rPr>
          <w:rFonts w:asciiTheme="minorHAnsi" w:hAnsiTheme="minorHAnsi" w:cstheme="minorHAnsi"/>
          <w:lang w:val="en-US"/>
        </w:rPr>
        <w:t xml:space="preserve"> </w:t>
      </w:r>
      <w:r w:rsidRPr="009B1C91">
        <w:rPr>
          <w:rFonts w:asciiTheme="minorHAnsi" w:hAnsiTheme="minorHAnsi" w:cstheme="minorHAnsi"/>
          <w:lang w:val="en-US"/>
        </w:rPr>
        <w:t xml:space="preserve">has been a priority by the GoB and communities throughout the country, and UNDP CCED Cluster supported the country through a number of project interventions and close partnership developments in order to shift strategic focus from ‘post-disaster response and relief’ to ‘comprehensive disaster management’ and ‘risk reduction’ (e.g., CDMP I). </w:t>
      </w:r>
    </w:p>
    <w:p w:rsidR="002C0658" w:rsidRPr="009B1C91" w:rsidRDefault="002C0658" w:rsidP="002C0658">
      <w:pPr>
        <w:pStyle w:val="Body"/>
        <w:spacing w:after="0" w:line="240" w:lineRule="auto"/>
        <w:rPr>
          <w:rFonts w:asciiTheme="minorHAnsi" w:hAnsiTheme="minorHAnsi" w:cstheme="minorHAnsi"/>
          <w:lang w:val="en-US"/>
        </w:rPr>
      </w:pPr>
    </w:p>
    <w:p w:rsidR="000215E4" w:rsidRPr="009B1C91" w:rsidRDefault="000215E4" w:rsidP="00F653F8">
      <w:pPr>
        <w:pStyle w:val="Body"/>
        <w:jc w:val="both"/>
        <w:rPr>
          <w:rFonts w:asciiTheme="minorHAnsi" w:hAnsiTheme="minorHAnsi" w:cstheme="minorHAnsi"/>
          <w:i/>
          <w:iCs/>
          <w:lang w:val="en-US"/>
        </w:rPr>
      </w:pPr>
      <w:r w:rsidRPr="009B1C91">
        <w:rPr>
          <w:rFonts w:asciiTheme="minorHAnsi" w:hAnsiTheme="minorHAnsi" w:cstheme="minorHAnsi"/>
          <w:i/>
          <w:iCs/>
          <w:lang w:val="en-US"/>
        </w:rPr>
        <w:t xml:space="preserve">Evaluation Using Outcome Indicators </w:t>
      </w: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Although the evaluators found that the originally-formulated outcome indicators were not suitable for effe</w:t>
      </w:r>
      <w:r w:rsidR="00F57457" w:rsidRPr="009B1C91">
        <w:rPr>
          <w:rFonts w:asciiTheme="minorHAnsi" w:hAnsiTheme="minorHAnsi" w:cstheme="minorHAnsi"/>
          <w:lang w:val="en-US"/>
        </w:rPr>
        <w:t>ctively measuring CC</w:t>
      </w:r>
      <w:r w:rsidRPr="009B1C91">
        <w:rPr>
          <w:rFonts w:asciiTheme="minorHAnsi" w:hAnsiTheme="minorHAnsi" w:cstheme="minorHAnsi"/>
          <w:lang w:val="en-US"/>
        </w:rPr>
        <w:t xml:space="preserve"> and</w:t>
      </w:r>
      <w:r w:rsidR="00F57457" w:rsidRPr="009B1C91">
        <w:rPr>
          <w:rFonts w:asciiTheme="minorHAnsi" w:hAnsiTheme="minorHAnsi" w:cstheme="minorHAnsi"/>
          <w:lang w:val="en-US"/>
        </w:rPr>
        <w:t xml:space="preserve"> DRR</w:t>
      </w:r>
      <w:r w:rsidRPr="009B1C91">
        <w:rPr>
          <w:rFonts w:asciiTheme="minorHAnsi" w:hAnsiTheme="minorHAnsi" w:cstheme="minorHAnsi"/>
          <w:lang w:val="en-US"/>
        </w:rPr>
        <w:t xml:space="preserve">, these indices were nonetheless used due to lack of alternatives. However, the qualitative evaluation of contributions to outcomes considered achievement milestones and causal links between intervention outputs and outcomes, which were triangulated by interviews with implementation agencies, stakeholders, community beneficiaries and non-beneficiary members. </w:t>
      </w:r>
    </w:p>
    <w:p w:rsidR="000215E4" w:rsidRPr="009B1C91" w:rsidRDefault="000215E4"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An assessment of the causal link between achieved outputs and targeted outcomes in the mid-term year of the 2012-2016 UNDP Bangladesh country program has revealed that positive and significant quantitative changes towards achieving CDP Outcome 3.1 were attributed to the wide-ranging and far-reaching intervention outputs of CDMP II, ERF and PECM projects.  As described in further detail in Sub-section 4.2, the project interventions have thus far performed ‘satisfactorily’, particularly in areas of institutionalizing and mainstreaming DRR and CCA at the national level (as can be seen in the indicators </w:t>
      </w:r>
      <w:r w:rsidRPr="009B1C91">
        <w:rPr>
          <w:rFonts w:asciiTheme="minorHAnsi" w:hAnsiTheme="minorHAnsi" w:cstheme="minorHAnsi"/>
          <w:lang w:val="en-US"/>
        </w:rPr>
        <w:lastRenderedPageBreak/>
        <w:t xml:space="preserve">presented in </w:t>
      </w:r>
      <w:r w:rsidR="001B22C0">
        <w:rPr>
          <w:rFonts w:asciiTheme="minorHAnsi" w:hAnsiTheme="minorHAnsi" w:cstheme="minorHAnsi"/>
          <w:color w:val="auto"/>
          <w:lang w:val="en-US"/>
        </w:rPr>
        <w:t>Annex III</w:t>
      </w:r>
      <w:r w:rsidRPr="009B1C91">
        <w:rPr>
          <w:rFonts w:asciiTheme="minorHAnsi" w:hAnsiTheme="minorHAnsi" w:cstheme="minorHAnsi"/>
          <w:color w:val="auto"/>
          <w:u w:color="FF0000"/>
          <w:lang w:val="en-US"/>
        </w:rPr>
        <w:t xml:space="preserve">).At the </w:t>
      </w:r>
      <w:r w:rsidRPr="009B1C91">
        <w:rPr>
          <w:rFonts w:asciiTheme="minorHAnsi" w:hAnsiTheme="minorHAnsi" w:cstheme="minorHAnsi"/>
          <w:lang w:val="en-US"/>
        </w:rPr>
        <w:t xml:space="preserve">district, upazila and community levels, however, results have been only ‘marginally satisfactory’. During the remaining period (2015-16) of CPD 2012-16, it will therefore be critical to re-focus on local government and community capacity building and generation of resources such as financial, physical, and human resource capital through education and training.  </w:t>
      </w: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By 2014, 95% of the intended 20% reduction of the Environment, Climate and Disaster Vulnerability Index (ECDVI) in the coastal areas since 2011 was observed, likely as a direct and/or indirect result of UNDP initiatives and other contributions made by the GoB and other development partners’ interventions </w:t>
      </w:r>
      <w:r w:rsidRPr="009B1C91">
        <w:rPr>
          <w:rFonts w:asciiTheme="minorHAnsi" w:hAnsiTheme="minorHAnsi" w:cstheme="minorHAnsi"/>
          <w:color w:val="auto"/>
          <w:u w:color="FF0000"/>
          <w:lang w:val="en-US"/>
        </w:rPr>
        <w:t>(Table 4.1.1).</w:t>
      </w:r>
      <w:r w:rsidRPr="009B1C91">
        <w:rPr>
          <w:rFonts w:asciiTheme="minorHAnsi" w:hAnsiTheme="minorHAnsi" w:cstheme="minorHAnsi"/>
          <w:lang w:val="en-US"/>
        </w:rPr>
        <w:t>The significantly reduced loss of lif</w:t>
      </w:r>
      <w:r w:rsidR="00D100B4" w:rsidRPr="009B1C91">
        <w:rPr>
          <w:rFonts w:asciiTheme="minorHAnsi" w:hAnsiTheme="minorHAnsi" w:cstheme="minorHAnsi"/>
          <w:lang w:val="en-US"/>
        </w:rPr>
        <w:t>e during the 2013 Cyclone Mohase</w:t>
      </w:r>
      <w:r w:rsidRPr="009B1C91">
        <w:rPr>
          <w:rFonts w:asciiTheme="minorHAnsi" w:hAnsiTheme="minorHAnsi" w:cstheme="minorHAnsi"/>
          <w:lang w:val="en-US"/>
        </w:rPr>
        <w:t xml:space="preserve">n validates this to some extent. The unique contributions by the UNDP interventions were made mainly </w:t>
      </w:r>
      <w:r w:rsidR="00D100B4" w:rsidRPr="009B1C91">
        <w:rPr>
          <w:rFonts w:asciiTheme="minorHAnsi" w:hAnsiTheme="minorHAnsi" w:cstheme="minorHAnsi"/>
          <w:lang w:val="en-US"/>
        </w:rPr>
        <w:t>to areas</w:t>
      </w:r>
      <w:r w:rsidRPr="009B1C91">
        <w:rPr>
          <w:rFonts w:asciiTheme="minorHAnsi" w:hAnsiTheme="minorHAnsi" w:cstheme="minorHAnsi"/>
          <w:lang w:val="en-US"/>
        </w:rPr>
        <w:t xml:space="preserve"> of its ‘thought leadership’, in bridging between international community and GoB, and in providing a neutral platform to address Bangladesh’s national priority areas.</w:t>
      </w:r>
    </w:p>
    <w:p w:rsidR="000215E4" w:rsidRPr="009B1C91" w:rsidRDefault="000215E4"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 According to the Theory of Change underlying the programming, the building blocks </w:t>
      </w:r>
      <w:r w:rsidR="004570C7" w:rsidRPr="009B1C91">
        <w:rPr>
          <w:rFonts w:asciiTheme="minorHAnsi" w:hAnsiTheme="minorHAnsi" w:cstheme="minorHAnsi"/>
          <w:lang w:val="en-US"/>
        </w:rPr>
        <w:t>reflecting changes</w:t>
      </w:r>
      <w:r w:rsidRPr="009B1C91">
        <w:rPr>
          <w:rFonts w:asciiTheme="minorHAnsi" w:hAnsiTheme="minorHAnsi" w:cstheme="minorHAnsi"/>
          <w:lang w:val="en-US"/>
        </w:rPr>
        <w:t xml:space="preserve"> in community members’ risk awareness and their behavior change with a willingness to act – lead to disaster risk reduction and enhance resilience as outcomes. In this case, the reduction in ECDVI as a direct or indirect result of UNDP and development partners’ contributions. However, it is noteworthy that an evaluation of outcome achievement using ECDVI is constrained by its inability to reveal attributiveness, delivery qualities, and capacities. </w:t>
      </w:r>
    </w:p>
    <w:p w:rsidR="000215E4" w:rsidRPr="009B1C91" w:rsidRDefault="000215E4"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Relevant to risk reduction as well as enhancing resilience at the community level is the Community Asset Score, which measures the status of community infrastructure and assets that enable people in disaster-prone communities to cope with shocks. During the 2011-14 period this index revealed that 69% (144/210) of targets were achieved</w:t>
      </w:r>
      <w:r w:rsidR="00E16B98" w:rsidRPr="009B1C91">
        <w:rPr>
          <w:rStyle w:val="FootnoteReference"/>
          <w:rFonts w:asciiTheme="minorHAnsi" w:hAnsiTheme="minorHAnsi" w:cstheme="minorHAnsi"/>
          <w:lang w:val="en-US"/>
        </w:rPr>
        <w:footnoteReference w:id="42"/>
      </w:r>
      <w:r w:rsidRPr="009B1C91">
        <w:rPr>
          <w:rFonts w:asciiTheme="minorHAnsi" w:hAnsiTheme="minorHAnsi" w:cstheme="minorHAnsi"/>
          <w:color w:val="auto"/>
          <w:lang w:val="en-US"/>
        </w:rPr>
        <w:t>.</w:t>
      </w:r>
      <w:r w:rsidRPr="009B1C91">
        <w:rPr>
          <w:rFonts w:asciiTheme="minorHAnsi" w:hAnsiTheme="minorHAnsi" w:cstheme="minorHAnsi"/>
          <w:lang w:val="en-US"/>
        </w:rPr>
        <w:t xml:space="preserve">Various surveys and empirical studies have confirmed that due to both </w:t>
      </w:r>
      <w:r w:rsidR="004D411C" w:rsidRPr="009B1C91">
        <w:rPr>
          <w:rFonts w:asciiTheme="minorHAnsi" w:hAnsiTheme="minorHAnsi" w:cstheme="minorHAnsi"/>
          <w:lang w:val="en-US"/>
        </w:rPr>
        <w:t>recent rapid economic growth (</w:t>
      </w:r>
      <w:r w:rsidRPr="009B1C91">
        <w:rPr>
          <w:rFonts w:asciiTheme="minorHAnsi" w:hAnsiTheme="minorHAnsi" w:cstheme="minorHAnsi"/>
          <w:lang w:val="en-US"/>
        </w:rPr>
        <w:t xml:space="preserve">6% of GDP growth per annum) and qualitative behaviour change in disaster preparedness through savings, asset accumulation, community-level poverty, and household and collective asset accumulation declined significantly. These are well reflected in the success (more than 50%) of UNDP and other partners’ contributions to community resource creation. Nationally, the effects of developmental intervention building blocks are reflected in the reduction of vulnerability and enhancement of community resilience to disaster and climate risks. </w:t>
      </w:r>
    </w:p>
    <w:p w:rsidR="004172B4" w:rsidRPr="009B1C91" w:rsidRDefault="004172B4"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b/>
          <w:bCs/>
          <w:color w:val="auto"/>
          <w:u w:color="FF0000"/>
          <w:lang w:val="en-US"/>
        </w:rPr>
        <w:t>Table 4.1.1:</w:t>
      </w:r>
      <w:r w:rsidRPr="009B1C91">
        <w:rPr>
          <w:rFonts w:asciiTheme="minorHAnsi" w:hAnsiTheme="minorHAnsi" w:cstheme="minorHAnsi"/>
          <w:color w:val="auto"/>
          <w:lang w:val="en-US"/>
        </w:rPr>
        <w:t xml:space="preserve">Progress </w:t>
      </w:r>
      <w:r w:rsidRPr="009B1C91">
        <w:rPr>
          <w:rFonts w:asciiTheme="minorHAnsi" w:hAnsiTheme="minorHAnsi" w:cstheme="minorHAnsi"/>
          <w:lang w:val="en-US"/>
        </w:rPr>
        <w:t xml:space="preserve">in reducing natural disaster and climate change risk in vulnerable populations during the 2012-2014 </w:t>
      </w:r>
      <w:r w:rsidR="004570C7" w:rsidRPr="009B1C91">
        <w:rPr>
          <w:rFonts w:asciiTheme="minorHAnsi" w:hAnsiTheme="minorHAnsi" w:cstheme="minorHAnsi"/>
          <w:lang w:val="en-US"/>
        </w:rPr>
        <w:t>period</w:t>
      </w:r>
      <w:r w:rsidRPr="009B1C91">
        <w:rPr>
          <w:rFonts w:asciiTheme="minorHAnsi" w:hAnsiTheme="minorHAnsi" w:cstheme="minorHAnsi"/>
          <w:lang w:val="en-US"/>
        </w:rPr>
        <w:t>, as measured by quantitative outcome indicators</w:t>
      </w:r>
    </w:p>
    <w:tbl>
      <w:tblPr>
        <w:tblW w:w="9422" w:type="dxa"/>
        <w:tblInd w:w="108" w:type="dxa"/>
        <w:tblLayout w:type="fixed"/>
        <w:tblCellMar>
          <w:left w:w="0" w:type="dxa"/>
          <w:right w:w="0" w:type="dxa"/>
        </w:tblCellMar>
        <w:tblLook w:val="0000" w:firstRow="0" w:lastRow="0" w:firstColumn="0" w:lastColumn="0" w:noHBand="0" w:noVBand="0"/>
      </w:tblPr>
      <w:tblGrid>
        <w:gridCol w:w="1682"/>
        <w:gridCol w:w="990"/>
        <w:gridCol w:w="900"/>
        <w:gridCol w:w="1170"/>
        <w:gridCol w:w="720"/>
        <w:gridCol w:w="810"/>
        <w:gridCol w:w="810"/>
        <w:gridCol w:w="1080"/>
        <w:gridCol w:w="1260"/>
      </w:tblGrid>
      <w:tr w:rsidR="00D100B4" w:rsidRPr="009B1C91" w:rsidTr="00320F87">
        <w:trPr>
          <w:cantSplit/>
          <w:trHeight w:val="160"/>
        </w:trPr>
        <w:tc>
          <w:tcPr>
            <w:tcW w:w="1682" w:type="dxa"/>
            <w:vMerge w:val="restar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215E4" w:rsidRPr="009B1C91" w:rsidRDefault="000215E4" w:rsidP="003F08D4">
            <w:pPr>
              <w:pStyle w:val="Body"/>
              <w:spacing w:after="0" w:line="240" w:lineRule="auto"/>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Outcome Indicator</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215E4" w:rsidRPr="009B1C91" w:rsidRDefault="000215E4" w:rsidP="003F08D4">
            <w:pPr>
              <w:pStyle w:val="Body"/>
              <w:spacing w:after="0" w:line="240" w:lineRule="auto"/>
              <w:jc w:val="center"/>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Baseline</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215E4" w:rsidRPr="009B1C91" w:rsidRDefault="000215E4" w:rsidP="003F08D4">
            <w:pPr>
              <w:pStyle w:val="Body"/>
              <w:spacing w:after="0" w:line="240" w:lineRule="auto"/>
              <w:jc w:val="center"/>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Baseline Year</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215E4" w:rsidRPr="009B1C91" w:rsidRDefault="000215E4" w:rsidP="003F08D4">
            <w:pPr>
              <w:pStyle w:val="Body"/>
              <w:spacing w:after="0" w:line="240" w:lineRule="auto"/>
              <w:jc w:val="center"/>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Target</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215E4" w:rsidRPr="009B1C91" w:rsidRDefault="000215E4" w:rsidP="003F08D4">
            <w:pPr>
              <w:pStyle w:val="Body"/>
              <w:spacing w:after="0" w:line="240" w:lineRule="auto"/>
              <w:jc w:val="center"/>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Target Year</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215E4" w:rsidRPr="009B1C91" w:rsidRDefault="000215E4" w:rsidP="003F08D4">
            <w:pPr>
              <w:pStyle w:val="Body"/>
              <w:spacing w:after="0" w:line="240" w:lineRule="auto"/>
              <w:jc w:val="center"/>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Actual Progress</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215E4" w:rsidRPr="009B1C91" w:rsidRDefault="000215E4" w:rsidP="003F08D4">
            <w:pPr>
              <w:pStyle w:val="Body"/>
              <w:spacing w:after="0" w:line="240" w:lineRule="auto"/>
              <w:jc w:val="center"/>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Remarks on performance</w:t>
            </w:r>
          </w:p>
        </w:tc>
      </w:tr>
      <w:tr w:rsidR="00D100B4" w:rsidRPr="009B1C91" w:rsidTr="00320F87">
        <w:trPr>
          <w:cantSplit/>
          <w:trHeight w:val="225"/>
        </w:trPr>
        <w:tc>
          <w:tcPr>
            <w:tcW w:w="1682" w:type="dxa"/>
            <w:vMerge/>
            <w:tcBorders>
              <w:top w:val="single" w:sz="4" w:space="0" w:color="000000"/>
              <w:left w:val="single" w:sz="4" w:space="0" w:color="000000"/>
              <w:bottom w:val="single" w:sz="4" w:space="0" w:color="000000"/>
              <w:right w:val="single" w:sz="4" w:space="0" w:color="000000"/>
            </w:tcBorders>
            <w:shd w:val="clear" w:color="auto" w:fill="C6D9F1"/>
          </w:tcPr>
          <w:p w:rsidR="000215E4" w:rsidRPr="009B1C91" w:rsidRDefault="000215E4" w:rsidP="00D100B4">
            <w:pPr>
              <w:spacing w:after="0" w:line="240" w:lineRule="auto"/>
              <w:rPr>
                <w:rFonts w:asciiTheme="minorHAnsi" w:hAnsiTheme="minorHAnsi" w:cstheme="minorHAnsi"/>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C6D9F1"/>
          </w:tcPr>
          <w:p w:rsidR="000215E4" w:rsidRPr="009B1C91" w:rsidRDefault="000215E4" w:rsidP="00D100B4">
            <w:pPr>
              <w:spacing w:after="0" w:line="240" w:lineRule="auto"/>
              <w:rPr>
                <w:rFonts w:asciiTheme="minorHAnsi" w:hAnsiTheme="minorHAnsi" w:cstheme="minorHAnsi"/>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C6D9F1"/>
          </w:tcPr>
          <w:p w:rsidR="000215E4" w:rsidRPr="009B1C91" w:rsidRDefault="000215E4" w:rsidP="00D100B4">
            <w:pPr>
              <w:spacing w:after="0" w:line="240" w:lineRule="auto"/>
              <w:rPr>
                <w:rFonts w:asciiTheme="minorHAnsi" w:hAnsiTheme="minorHAnsi" w:cstheme="minorHAns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6D9F1"/>
          </w:tcPr>
          <w:p w:rsidR="000215E4" w:rsidRPr="009B1C91" w:rsidRDefault="000215E4" w:rsidP="00D100B4">
            <w:pPr>
              <w:spacing w:after="0" w:line="240" w:lineRule="auto"/>
              <w:rPr>
                <w:rFonts w:asciiTheme="minorHAnsi" w:hAnsiTheme="minorHAnsi" w:cstheme="minorHAnsi"/>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C6D9F1"/>
          </w:tcPr>
          <w:p w:rsidR="000215E4" w:rsidRPr="009B1C91" w:rsidRDefault="000215E4" w:rsidP="00D100B4">
            <w:pPr>
              <w:spacing w:after="0" w:line="240" w:lineRule="auto"/>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215E4" w:rsidRPr="009B1C91" w:rsidRDefault="000215E4" w:rsidP="00D100B4">
            <w:pPr>
              <w:pStyle w:val="Body"/>
              <w:spacing w:after="0" w:line="240" w:lineRule="auto"/>
              <w:jc w:val="center"/>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2012</w:t>
            </w:r>
          </w:p>
        </w:tc>
        <w:tc>
          <w:tcPr>
            <w:tcW w:w="81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215E4" w:rsidRPr="009B1C91" w:rsidRDefault="000215E4" w:rsidP="00D100B4">
            <w:pPr>
              <w:pStyle w:val="Body"/>
              <w:spacing w:after="0" w:line="240" w:lineRule="auto"/>
              <w:jc w:val="center"/>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2013</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215E4" w:rsidRPr="009B1C91" w:rsidRDefault="000215E4" w:rsidP="00D100B4">
            <w:pPr>
              <w:pStyle w:val="Body"/>
              <w:spacing w:after="0" w:line="240" w:lineRule="auto"/>
              <w:jc w:val="center"/>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2014</w:t>
            </w:r>
          </w:p>
        </w:tc>
        <w:tc>
          <w:tcPr>
            <w:tcW w:w="1260" w:type="dxa"/>
            <w:vMerge/>
            <w:tcBorders>
              <w:top w:val="single" w:sz="4" w:space="0" w:color="000000"/>
              <w:left w:val="single" w:sz="4" w:space="0" w:color="000000"/>
              <w:bottom w:val="single" w:sz="4" w:space="0" w:color="000000"/>
              <w:right w:val="single" w:sz="4" w:space="0" w:color="000000"/>
            </w:tcBorders>
            <w:shd w:val="clear" w:color="auto" w:fill="C6D9F1"/>
          </w:tcPr>
          <w:p w:rsidR="000215E4" w:rsidRPr="009B1C91" w:rsidRDefault="000215E4" w:rsidP="00D100B4">
            <w:pPr>
              <w:spacing w:after="0" w:line="240" w:lineRule="auto"/>
              <w:rPr>
                <w:rFonts w:asciiTheme="minorHAnsi" w:hAnsiTheme="minorHAnsi" w:cstheme="minorHAnsi"/>
              </w:rPr>
            </w:pPr>
          </w:p>
        </w:tc>
      </w:tr>
      <w:tr w:rsidR="00D100B4" w:rsidRPr="009B1C91" w:rsidTr="00320F87">
        <w:trPr>
          <w:cantSplit/>
          <w:trHeight w:val="160"/>
        </w:trPr>
        <w:tc>
          <w:tcPr>
            <w:tcW w:w="168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215E4" w:rsidRPr="009B1C91" w:rsidRDefault="000215E4" w:rsidP="00D100B4">
            <w:pPr>
              <w:pStyle w:val="Body"/>
              <w:spacing w:after="0" w:line="240" w:lineRule="auto"/>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Environment, climate and disaster vulnerability index</w:t>
            </w:r>
          </w:p>
        </w:tc>
        <w:tc>
          <w:tcPr>
            <w:tcW w:w="99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0215E4" w:rsidRPr="009B1C91" w:rsidRDefault="000215E4" w:rsidP="00D100B4">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0% reduction</w:t>
            </w:r>
          </w:p>
        </w:tc>
        <w:tc>
          <w:tcPr>
            <w:tcW w:w="9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0215E4" w:rsidRPr="009B1C91" w:rsidRDefault="000215E4" w:rsidP="00D100B4">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2011</w:t>
            </w:r>
          </w:p>
        </w:tc>
        <w:tc>
          <w:tcPr>
            <w:tcW w:w="117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0215E4" w:rsidRPr="009B1C91" w:rsidRDefault="000215E4" w:rsidP="00D100B4">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20% reduction in the index for coastal districts</w:t>
            </w:r>
          </w:p>
        </w:tc>
        <w:tc>
          <w:tcPr>
            <w:tcW w:w="7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0215E4" w:rsidRPr="009B1C91" w:rsidRDefault="000215E4" w:rsidP="00D100B4">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2016</w:t>
            </w:r>
          </w:p>
        </w:tc>
        <w:tc>
          <w:tcPr>
            <w:tcW w:w="8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0215E4" w:rsidRPr="009B1C91" w:rsidRDefault="000215E4" w:rsidP="00D100B4">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No</w:t>
            </w:r>
          </w:p>
        </w:tc>
        <w:tc>
          <w:tcPr>
            <w:tcW w:w="8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0215E4" w:rsidRPr="009B1C91" w:rsidRDefault="000215E4" w:rsidP="00D100B4">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No</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0215E4" w:rsidRPr="009B1C91" w:rsidRDefault="000215E4" w:rsidP="00D100B4">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19% reduction*</w:t>
            </w:r>
          </w:p>
          <w:p w:rsidR="000215E4" w:rsidRPr="009B1C91" w:rsidRDefault="000215E4" w:rsidP="00D100B4">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(95% of target)</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0215E4" w:rsidRPr="009B1C91" w:rsidRDefault="000215E4" w:rsidP="00D100B4">
            <w:pPr>
              <w:pStyle w:val="Body"/>
              <w:spacing w:after="0" w:line="240" w:lineRule="auto"/>
              <w:jc w:val="center"/>
              <w:rPr>
                <w:rFonts w:asciiTheme="minorHAnsi" w:hAnsiTheme="minorHAnsi" w:cstheme="minorHAnsi"/>
                <w:sz w:val="20"/>
                <w:szCs w:val="20"/>
                <w:lang w:val="en-US"/>
              </w:rPr>
            </w:pPr>
          </w:p>
          <w:p w:rsidR="000215E4" w:rsidRPr="009B1C91" w:rsidRDefault="000215E4" w:rsidP="00D100B4">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 xml:space="preserve">‘Satisfactory’ </w:t>
            </w:r>
          </w:p>
        </w:tc>
      </w:tr>
      <w:tr w:rsidR="00D100B4" w:rsidRPr="009B1C91" w:rsidTr="00320F87">
        <w:trPr>
          <w:cantSplit/>
          <w:trHeight w:val="160"/>
        </w:trPr>
        <w:tc>
          <w:tcPr>
            <w:tcW w:w="168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0215E4" w:rsidRPr="009B1C91" w:rsidRDefault="000215E4" w:rsidP="00D100B4">
            <w:pPr>
              <w:pStyle w:val="Body"/>
              <w:spacing w:after="0" w:line="240" w:lineRule="auto"/>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 xml:space="preserve">Community Asset </w:t>
            </w:r>
          </w:p>
          <w:p w:rsidR="000215E4" w:rsidRPr="009B1C91" w:rsidRDefault="000215E4" w:rsidP="00D100B4">
            <w:pPr>
              <w:pStyle w:val="Body"/>
              <w:spacing w:after="0" w:line="240" w:lineRule="auto"/>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Score for disaster risk and reduction</w:t>
            </w:r>
          </w:p>
        </w:tc>
        <w:tc>
          <w:tcPr>
            <w:tcW w:w="99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0215E4" w:rsidRPr="009B1C91" w:rsidRDefault="000215E4" w:rsidP="00D100B4">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90</w:t>
            </w:r>
          </w:p>
        </w:tc>
        <w:tc>
          <w:tcPr>
            <w:tcW w:w="9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0215E4" w:rsidRPr="009B1C91" w:rsidRDefault="000215E4" w:rsidP="00D100B4">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2011</w:t>
            </w:r>
          </w:p>
        </w:tc>
        <w:tc>
          <w:tcPr>
            <w:tcW w:w="117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0215E4" w:rsidRPr="009B1C91" w:rsidRDefault="000215E4" w:rsidP="00D100B4">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300</w:t>
            </w:r>
          </w:p>
        </w:tc>
        <w:tc>
          <w:tcPr>
            <w:tcW w:w="7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0215E4" w:rsidRPr="009B1C91" w:rsidRDefault="000215E4" w:rsidP="00D100B4">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2016</w:t>
            </w:r>
          </w:p>
        </w:tc>
        <w:tc>
          <w:tcPr>
            <w:tcW w:w="8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0215E4" w:rsidRPr="009B1C91" w:rsidRDefault="000215E4" w:rsidP="00D100B4">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No</w:t>
            </w:r>
          </w:p>
        </w:tc>
        <w:tc>
          <w:tcPr>
            <w:tcW w:w="8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0215E4" w:rsidRPr="009B1C91" w:rsidRDefault="000215E4" w:rsidP="00D100B4">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197</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0215E4" w:rsidRPr="009B1C91" w:rsidRDefault="000215E4" w:rsidP="00D100B4">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234*</w:t>
            </w:r>
          </w:p>
          <w:p w:rsidR="000215E4" w:rsidRPr="009B1C91" w:rsidRDefault="000215E4" w:rsidP="00D100B4">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(69% of target)</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0215E4" w:rsidRPr="009B1C91" w:rsidRDefault="000215E4" w:rsidP="00D100B4">
            <w:pPr>
              <w:pStyle w:val="Body"/>
              <w:spacing w:after="0" w:line="240" w:lineRule="auto"/>
              <w:jc w:val="center"/>
              <w:rPr>
                <w:rFonts w:asciiTheme="minorHAnsi" w:hAnsiTheme="minorHAnsi" w:cstheme="minorHAnsi"/>
                <w:sz w:val="20"/>
                <w:szCs w:val="20"/>
                <w:lang w:val="en-US"/>
              </w:rPr>
            </w:pPr>
          </w:p>
          <w:p w:rsidR="000215E4" w:rsidRPr="009B1C91" w:rsidRDefault="000215E4" w:rsidP="00D100B4">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 xml:space="preserve">‘Satisfactory’ </w:t>
            </w:r>
          </w:p>
        </w:tc>
      </w:tr>
    </w:tbl>
    <w:p w:rsidR="000215E4" w:rsidRPr="009B1C91" w:rsidRDefault="000215E4" w:rsidP="000215E4">
      <w:pPr>
        <w:pStyle w:val="Body"/>
        <w:spacing w:after="0" w:line="240" w:lineRule="auto"/>
        <w:rPr>
          <w:rFonts w:asciiTheme="minorHAnsi" w:hAnsiTheme="minorHAnsi" w:cstheme="minorHAnsi"/>
          <w:lang w:val="en-US"/>
        </w:rPr>
      </w:pPr>
      <w:r w:rsidRPr="009B1C91">
        <w:rPr>
          <w:rFonts w:asciiTheme="minorHAnsi" w:hAnsiTheme="minorHAnsi" w:cstheme="minorHAnsi"/>
          <w:lang w:val="en-US"/>
        </w:rPr>
        <w:t>*Source: UNDP CCED Cluster, 2014.</w:t>
      </w:r>
    </w:p>
    <w:p w:rsidR="000215E4" w:rsidRPr="009B1C91" w:rsidRDefault="000215E4" w:rsidP="000215E4">
      <w:pPr>
        <w:pStyle w:val="Body"/>
        <w:spacing w:after="0" w:line="240" w:lineRule="auto"/>
        <w:rPr>
          <w:rFonts w:asciiTheme="minorHAnsi" w:hAnsiTheme="minorHAnsi" w:cstheme="minorHAnsi"/>
          <w:lang w:val="en-US"/>
        </w:rPr>
      </w:pPr>
    </w:p>
    <w:p w:rsidR="004172B4" w:rsidRPr="009B1C91" w:rsidRDefault="004172B4" w:rsidP="004172B4">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Nonetheless, despite UNDP’s serious commitment to supporting community capacity building, linkages with certain local governments, communities, and other institutions have remained weak (For example, the intervention design of the Kedarbazar (Symanagar Union) Resilient Habitat, under ERF, was deficient in envisioning the need for livelihood support for the beneficiaries). This is reflected in the ‘marginally satisfactory’ performance, at the sub-national and local community levels, in reducing disaster and climate change related risk reduction.</w:t>
      </w:r>
    </w:p>
    <w:p w:rsidR="000215E4" w:rsidRPr="009B1C91" w:rsidRDefault="000215E4" w:rsidP="000215E4">
      <w:pPr>
        <w:pStyle w:val="Body"/>
        <w:spacing w:after="0" w:line="240" w:lineRule="auto"/>
        <w:rPr>
          <w:rFonts w:asciiTheme="minorHAnsi" w:hAnsiTheme="minorHAnsi" w:cstheme="minorHAnsi"/>
          <w:lang w:val="en-US"/>
        </w:rPr>
      </w:pPr>
    </w:p>
    <w:p w:rsidR="004172B4" w:rsidRPr="009B1C91" w:rsidRDefault="004172B4" w:rsidP="000215E4">
      <w:pPr>
        <w:pStyle w:val="Body"/>
        <w:spacing w:after="0" w:line="240" w:lineRule="auto"/>
        <w:rPr>
          <w:rFonts w:asciiTheme="minorHAnsi" w:hAnsiTheme="minorHAnsi" w:cstheme="minorHAnsi"/>
          <w:b/>
          <w:bCs/>
          <w:lang w:val="en-US"/>
        </w:rPr>
      </w:pPr>
    </w:p>
    <w:p w:rsidR="000215E4" w:rsidRPr="009B1C91" w:rsidRDefault="000215E4" w:rsidP="00F653F8">
      <w:pPr>
        <w:pStyle w:val="Body"/>
        <w:spacing w:after="0" w:line="240" w:lineRule="auto"/>
        <w:jc w:val="both"/>
        <w:rPr>
          <w:rFonts w:asciiTheme="minorHAnsi" w:hAnsiTheme="minorHAnsi" w:cstheme="minorHAnsi"/>
          <w:b/>
          <w:bCs/>
          <w:lang w:val="en-US"/>
        </w:rPr>
      </w:pPr>
      <w:r w:rsidRPr="009B1C91">
        <w:rPr>
          <w:rFonts w:asciiTheme="minorHAnsi" w:hAnsiTheme="minorHAnsi" w:cstheme="minorHAnsi"/>
          <w:b/>
          <w:bCs/>
          <w:lang w:val="en-US"/>
        </w:rPr>
        <w:t>Driving Forces and Identification of Explanatory Factors</w:t>
      </w:r>
    </w:p>
    <w:p w:rsidR="000215E4" w:rsidRPr="009B1C91" w:rsidRDefault="000215E4"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Follo</w:t>
      </w:r>
      <w:r w:rsidR="00D21C2F" w:rsidRPr="009B1C91">
        <w:rPr>
          <w:rFonts w:asciiTheme="minorHAnsi" w:hAnsiTheme="minorHAnsi" w:cstheme="minorHAnsi"/>
          <w:lang w:val="en-US"/>
        </w:rPr>
        <w:t xml:space="preserve">wing two catastrophic cyclones </w:t>
      </w:r>
      <w:r w:rsidRPr="009B1C91">
        <w:rPr>
          <w:rFonts w:asciiTheme="minorHAnsi" w:hAnsiTheme="minorHAnsi" w:cstheme="minorHAnsi"/>
          <w:lang w:val="en-US"/>
        </w:rPr>
        <w:t>(Cyclone Sidr</w:t>
      </w:r>
      <w:r w:rsidR="00472C3B" w:rsidRPr="009B1C91">
        <w:rPr>
          <w:rFonts w:asciiTheme="minorHAnsi" w:hAnsiTheme="minorHAnsi" w:cstheme="minorHAnsi"/>
          <w:lang w:val="en-US"/>
        </w:rPr>
        <w:t>in 2007 and Cyclone Aila in 2009</w:t>
      </w:r>
      <w:r w:rsidRPr="009B1C91">
        <w:rPr>
          <w:rFonts w:asciiTheme="minorHAnsi" w:hAnsiTheme="minorHAnsi" w:cstheme="minorHAnsi"/>
          <w:lang w:val="en-US"/>
        </w:rPr>
        <w:t>) UNDP provided timely support to the GoB in the creation of a humanitarian</w:t>
      </w:r>
      <w:r w:rsidR="00A6172C">
        <w:rPr>
          <w:rFonts w:asciiTheme="minorHAnsi" w:hAnsiTheme="minorHAnsi" w:cstheme="minorHAnsi"/>
          <w:lang w:val="en-US"/>
        </w:rPr>
        <w:t xml:space="preserve"> institutional foundation for e</w:t>
      </w:r>
      <w:r w:rsidRPr="009B1C91">
        <w:rPr>
          <w:rFonts w:asciiTheme="minorHAnsi" w:hAnsiTheme="minorHAnsi" w:cstheme="minorHAnsi"/>
          <w:lang w:val="en-US"/>
        </w:rPr>
        <w:t xml:space="preserve">ffecting an early recovery. Through the PECM intervention, UNDP assisted the government in mainstreaming the poverty-environment-climate nexus, and laid the foundation for budgeting and financial resource allocation for CCA and DRR by all relevant ministries and departments. This work is regarded as a pioneering, cost-effective initiative to ensure that not only is the significance of risk reduction and strengthening resilience is recognized, but also that the required budget and provisions are prepared for the timely implementation of these measures. Therefore, the factors which have thus far contributed most to the attainment of Outcome 3.1 include the following: i) the comprehensive-government approach to DRR and CCA; ii) institutionalization of CCA and DDR  with increased financial and other resources; and iii) scaled-up of tested models through replication. </w:t>
      </w:r>
    </w:p>
    <w:p w:rsidR="000215E4" w:rsidRPr="009B1C91" w:rsidRDefault="000215E4"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Through the PECM-stimulated budgetary and planning processes, evidence of increased investments and commitments by the ministries of finance, agriculture, education and women’s and children affairs to CCA and DRR efforts can now be found in their plans and implementation strategies. For example, budgetary resources for enhanced early warning capacity for the Flood Forecasting and Warning Centre (the 5-day advance warning would enable communities to save 70% of their movable assets</w:t>
      </w:r>
      <w:r w:rsidR="00417D08" w:rsidRPr="009B1C91">
        <w:rPr>
          <w:rStyle w:val="FootnoteReference"/>
          <w:rFonts w:asciiTheme="minorHAnsi" w:hAnsiTheme="minorHAnsi" w:cstheme="minorHAnsi"/>
          <w:lang w:val="en-US"/>
        </w:rPr>
        <w:footnoteReference w:id="43"/>
      </w:r>
      <w:r w:rsidRPr="009B1C91">
        <w:rPr>
          <w:rFonts w:asciiTheme="minorHAnsi" w:hAnsiTheme="minorHAnsi" w:cstheme="minorHAnsi"/>
          <w:lang w:val="en-US"/>
        </w:rPr>
        <w:t xml:space="preserve">, adaptation and scaling up of climate field schools, adoption of masters degree programs in disaster management, and implementation of an action plan to protect women vulnerable to disasters are included in the CDMP II programming – all have great potential for strengthening resilience to cope with climate change and disaster risks.  </w:t>
      </w:r>
    </w:p>
    <w:p w:rsidR="000215E4" w:rsidRPr="009B1C91" w:rsidRDefault="000215E4"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UNDP’s initiative to invest in evidence-based risk analysis, data procurement and adoption of appropriate technology, including ICT, reflected futuristic ideas and actions that have the potential to further reduce disaster and climate risks. UNDP leadership has inspired similar efforts by other donors and development partners. For example, the seismic risk assessments in selected critical urban areas that informed the planning and design of disaster-resilient urban building construction created synergic effects, has influenced the development of a follow-up World Bank programme at a cost of $140 million. </w:t>
      </w:r>
    </w:p>
    <w:p w:rsidR="000215E4" w:rsidRPr="009B1C91" w:rsidRDefault="000215E4"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Nonetheless, the effectiveness of UNDP interventions has been hampered by three main factors: i) capacity deficiency in human resources (for example, the hiring of 5 personnel in the Department of Disaster Management was delayed for considerable period of time) and technical capacities (e.g. much ICT equipment at the district level remained underutilized due to lack of technical know-how); ii) weak vertical institutional (national-district-upazila-union) organization; and iii) deficiencies in undertaking </w:t>
      </w:r>
      <w:r w:rsidRPr="009B1C91">
        <w:rPr>
          <w:rFonts w:asciiTheme="minorHAnsi" w:hAnsiTheme="minorHAnsi" w:cstheme="minorHAnsi"/>
          <w:lang w:val="en-US"/>
        </w:rPr>
        <w:lastRenderedPageBreak/>
        <w:t xml:space="preserve">initiatives to facilitate and support DRR and CCA capacities in ministries and departments other than MoDM and Department of Disaster Management.  </w:t>
      </w:r>
    </w:p>
    <w:p w:rsidR="00135E5E" w:rsidRPr="009B1C91" w:rsidRDefault="00135E5E"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An additional factor was the frequent transfer of responsibilities among disaster management governmental personnel, which lead to widespread loss of institutional memory and sustainability capacities. </w:t>
      </w:r>
    </w:p>
    <w:p w:rsidR="000215E4" w:rsidRPr="009B1C91" w:rsidRDefault="000215E4" w:rsidP="00F653F8">
      <w:pPr>
        <w:pStyle w:val="Body"/>
        <w:spacing w:after="0" w:line="240" w:lineRule="auto"/>
        <w:jc w:val="both"/>
        <w:rPr>
          <w:rFonts w:asciiTheme="minorHAnsi" w:hAnsiTheme="minorHAnsi" w:cstheme="minorHAnsi"/>
          <w:lang w:val="en-US"/>
        </w:rPr>
      </w:pPr>
    </w:p>
    <w:p w:rsidR="000215E4" w:rsidRPr="009B1C91" w:rsidRDefault="000215E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The recent (February 2015) oil spill in the ecologically sensitive Sundarban mangrove areas, and the proximity to earthquake-prone Himalayan faults underscores the need for emergency management capacity building, which presently is viewed as a sub-set of disaster preparedness and response. These knowledge and capacity gaps should to be addressed through UNDP-led initiative to disseminate an</w:t>
      </w:r>
      <w:r w:rsidR="004D411C" w:rsidRPr="009B1C91">
        <w:rPr>
          <w:rFonts w:asciiTheme="minorHAnsi" w:hAnsiTheme="minorHAnsi" w:cstheme="minorHAnsi"/>
          <w:lang w:val="en-US"/>
        </w:rPr>
        <w:t>d integrate information on cross</w:t>
      </w:r>
      <w:r w:rsidRPr="009B1C91">
        <w:rPr>
          <w:rFonts w:asciiTheme="minorHAnsi" w:hAnsiTheme="minorHAnsi" w:cstheme="minorHAnsi"/>
          <w:lang w:val="en-US"/>
        </w:rPr>
        <w:t>-sectoral emergency management; this recommendation is elaborated on in Sub-section 5.3.</w:t>
      </w:r>
    </w:p>
    <w:p w:rsidR="00A930DA" w:rsidRPr="009B1C91" w:rsidRDefault="00A930DA" w:rsidP="00F653F8">
      <w:pPr>
        <w:pStyle w:val="Body"/>
        <w:jc w:val="both"/>
        <w:rPr>
          <w:rFonts w:asciiTheme="minorHAnsi" w:hAnsiTheme="minorHAnsi" w:cstheme="minorHAnsi"/>
          <w:b/>
          <w:bCs/>
          <w:lang w:val="en-US"/>
        </w:rPr>
      </w:pPr>
    </w:p>
    <w:p w:rsidR="00AA617C" w:rsidRPr="009B1C91" w:rsidRDefault="00AA617C" w:rsidP="00534E8C">
      <w:pPr>
        <w:pStyle w:val="Body"/>
        <w:jc w:val="both"/>
        <w:rPr>
          <w:rFonts w:asciiTheme="minorHAnsi" w:eastAsia="Arial Unicode MS" w:hAnsiTheme="minorHAnsi" w:cstheme="minorHAnsi"/>
          <w:color w:val="auto"/>
          <w:sz w:val="20"/>
          <w:szCs w:val="20"/>
        </w:rPr>
      </w:pPr>
      <w:r w:rsidRPr="009B1C91">
        <w:rPr>
          <w:rFonts w:asciiTheme="minorHAnsi" w:hAnsiTheme="minorHAnsi" w:cstheme="minorHAnsi"/>
          <w:b/>
          <w:bCs/>
        </w:rPr>
        <w:t>4.1.2 NATURAL RESOURCE MANAGEMENT AND ACCESS TO L</w:t>
      </w:r>
      <w:r w:rsidR="00AA288B">
        <w:rPr>
          <w:rFonts w:asciiTheme="minorHAnsi" w:hAnsiTheme="minorHAnsi" w:cstheme="minorHAnsi"/>
          <w:b/>
          <w:bCs/>
        </w:rPr>
        <w:t xml:space="preserve">OW </w:t>
      </w:r>
      <w:r w:rsidRPr="009B1C91">
        <w:rPr>
          <w:rFonts w:asciiTheme="minorHAnsi" w:hAnsiTheme="minorHAnsi" w:cstheme="minorHAnsi"/>
          <w:b/>
          <w:bCs/>
        </w:rPr>
        <w:t>CARBON ENERGY</w:t>
      </w:r>
    </w:p>
    <w:p w:rsidR="00AA617C" w:rsidRPr="009B1C91" w:rsidRDefault="00AA617C" w:rsidP="00F653F8">
      <w:pPr>
        <w:pStyle w:val="Body"/>
        <w:spacing w:after="0" w:line="240" w:lineRule="auto"/>
        <w:jc w:val="both"/>
        <w:rPr>
          <w:rFonts w:asciiTheme="minorHAnsi" w:hAnsiTheme="minorHAnsi" w:cstheme="minorHAnsi"/>
          <w:i/>
          <w:iCs/>
        </w:rPr>
      </w:pPr>
      <w:r w:rsidRPr="009B1C91">
        <w:rPr>
          <w:rFonts w:asciiTheme="minorHAnsi" w:hAnsiTheme="minorHAnsi" w:cstheme="minorHAnsi"/>
        </w:rPr>
        <w:t>OUTCOME 3.2: BY 2016, VULNERABLE POPULATIONS BENEFIT FROM BETTER NATURAL RESOURCE MANAGEMENT AND ACCESS TO LOW-CARBON ENERGY</w:t>
      </w:r>
    </w:p>
    <w:p w:rsidR="00AA617C" w:rsidRPr="009B1C91" w:rsidRDefault="00AA617C" w:rsidP="00F653F8">
      <w:pPr>
        <w:pStyle w:val="Body"/>
        <w:spacing w:after="0" w:line="240" w:lineRule="auto"/>
        <w:jc w:val="both"/>
        <w:rPr>
          <w:rFonts w:asciiTheme="minorHAnsi" w:hAnsiTheme="minorHAnsi" w:cstheme="minorHAnsi"/>
        </w:rPr>
      </w:pPr>
    </w:p>
    <w:p w:rsidR="00AA617C" w:rsidRPr="009B1C91" w:rsidRDefault="00AA617C" w:rsidP="00AA617C">
      <w:pPr>
        <w:pStyle w:val="Body"/>
        <w:spacing w:after="0" w:line="240" w:lineRule="auto"/>
        <w:rPr>
          <w:rFonts w:asciiTheme="minorHAnsi" w:hAnsiTheme="minorHAnsi" w:cstheme="minorHAnsi"/>
          <w:b/>
          <w:bCs/>
        </w:rPr>
      </w:pPr>
      <w:r w:rsidRPr="009B1C91">
        <w:rPr>
          <w:rFonts w:asciiTheme="minorHAnsi" w:hAnsiTheme="minorHAnsi" w:cstheme="minorHAnsi"/>
          <w:b/>
          <w:bCs/>
        </w:rPr>
        <w:t xml:space="preserve">Outcome Analysis </w:t>
      </w:r>
    </w:p>
    <w:p w:rsidR="00AA617C" w:rsidRPr="009B1C91" w:rsidRDefault="00AA617C" w:rsidP="00AA617C">
      <w:pPr>
        <w:pStyle w:val="Body"/>
        <w:spacing w:after="0" w:line="240" w:lineRule="auto"/>
        <w:rPr>
          <w:rFonts w:asciiTheme="minorHAnsi" w:hAnsiTheme="minorHAnsi" w:cstheme="minorHAnsi"/>
          <w:b/>
          <w:bCs/>
        </w:rPr>
      </w:pPr>
    </w:p>
    <w:p w:rsidR="00F653F8"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By aligning with the BCCSAP, the UNDP country programme 2012-16 intended to build on earlier strengths as well as to support innovative strategic interventions that would complement previous and current adaptation and mitigation efforts by the GoB, donor agencies and other development partners. Targeting the poor and vulnerable population’s welfare and strengthening resilience, it was envisioned that as a result of intervention outputs and other generated building blocks, CDP Outcome 3.2 would be that “The poor and vulnerable benefit from better management of natural resources and access to low carbon energy”. Under this outcome, UNDP intended to focus on building climate and environmental governance capacity at the national and local levels. Special attention was given on policy compliance and the implementation of conservation plans and regulations to protect the natural resource base of the poor, including biodiversity, while at the same time support Bangladesh’s policy objective to promote low emission growth, the spread of green technologies, and affordable energy access for the poor.</w:t>
      </w:r>
    </w:p>
    <w:p w:rsidR="00AA617C" w:rsidRPr="009B1C91" w:rsidRDefault="00AA617C" w:rsidP="00F653F8">
      <w:pPr>
        <w:pStyle w:val="Body"/>
        <w:spacing w:after="0" w:line="240" w:lineRule="auto"/>
        <w:jc w:val="both"/>
        <w:rPr>
          <w:rFonts w:asciiTheme="minorHAnsi" w:hAnsiTheme="minorHAnsi" w:cstheme="minorHAnsi"/>
        </w:rPr>
      </w:pPr>
    </w:p>
    <w:p w:rsidR="00AA617C" w:rsidRPr="009B1C91" w:rsidRDefault="00AA617C" w:rsidP="00AA617C">
      <w:pPr>
        <w:pStyle w:val="Body"/>
        <w:spacing w:after="0" w:line="240" w:lineRule="auto"/>
        <w:rPr>
          <w:rFonts w:asciiTheme="minorHAnsi" w:hAnsiTheme="minorHAnsi" w:cstheme="minorHAnsi"/>
        </w:rPr>
      </w:pPr>
    </w:p>
    <w:p w:rsidR="00AA617C" w:rsidRPr="009B1C91" w:rsidRDefault="00AA617C" w:rsidP="00AA617C">
      <w:pPr>
        <w:pStyle w:val="Body"/>
        <w:spacing w:after="0" w:line="240" w:lineRule="auto"/>
        <w:rPr>
          <w:rFonts w:asciiTheme="minorHAnsi" w:hAnsiTheme="minorHAnsi" w:cstheme="minorHAnsi"/>
          <w:bCs/>
          <w:i/>
          <w:iCs/>
        </w:rPr>
      </w:pPr>
      <w:r w:rsidRPr="009B1C91">
        <w:rPr>
          <w:rFonts w:asciiTheme="minorHAnsi" w:hAnsiTheme="minorHAnsi" w:cstheme="minorHAnsi"/>
          <w:bCs/>
          <w:i/>
          <w:iCs/>
        </w:rPr>
        <w:t>Outcome Measurement Indicators</w:t>
      </w:r>
    </w:p>
    <w:p w:rsidR="00AA617C" w:rsidRPr="009B1C91" w:rsidRDefault="00AA617C" w:rsidP="00AA617C">
      <w:pPr>
        <w:pStyle w:val="Body"/>
        <w:spacing w:after="0" w:line="240" w:lineRule="auto"/>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 xml:space="preserve">Two very different sets of outcome indicators are used for measuring the benefits to poor vulnerable population from better natural resource management and access to low carbon energy: </w:t>
      </w:r>
      <w:r w:rsidRPr="009B1C91">
        <w:rPr>
          <w:rFonts w:asciiTheme="minorHAnsi" w:hAnsiTheme="minorHAnsi" w:cstheme="minorHAnsi"/>
          <w:i/>
        </w:rPr>
        <w:t>number of government policies, strategies or plans approved in support of sustainable management of natural resources; and number of MW generated from renewable sources.</w:t>
      </w:r>
      <w:r w:rsidRPr="009B1C91">
        <w:rPr>
          <w:rFonts w:asciiTheme="minorHAnsi" w:hAnsiTheme="minorHAnsi" w:cstheme="minorHAnsi"/>
        </w:rPr>
        <w:t xml:space="preserve"> A careful examination of these outcomes reveals that the statement adopted a broader definition of “better natural resources management) (NRM), without specifying a benchmark for this compari</w:t>
      </w:r>
      <w:r w:rsidR="00320F87" w:rsidRPr="009B1C91">
        <w:rPr>
          <w:rFonts w:asciiTheme="minorHAnsi" w:hAnsiTheme="minorHAnsi" w:cstheme="minorHAnsi"/>
        </w:rPr>
        <w:t>son (also cited in</w:t>
      </w:r>
      <w:r w:rsidR="003D2C68" w:rsidRPr="009B1C91">
        <w:rPr>
          <w:rFonts w:asciiTheme="minorHAnsi" w:hAnsiTheme="minorHAnsi" w:cstheme="minorHAnsi"/>
        </w:rPr>
        <w:t>Winderl</w:t>
      </w:r>
      <w:r w:rsidR="003D2C68" w:rsidRPr="009B1C91">
        <w:rPr>
          <w:rStyle w:val="FootnoteReference"/>
          <w:rFonts w:asciiTheme="minorHAnsi" w:hAnsiTheme="minorHAnsi" w:cstheme="minorHAnsi"/>
        </w:rPr>
        <w:footnoteReference w:id="44"/>
      </w:r>
      <w:r w:rsidRPr="009B1C91">
        <w:rPr>
          <w:rFonts w:asciiTheme="minorHAnsi" w:hAnsiTheme="minorHAnsi" w:cstheme="minorHAnsi"/>
        </w:rPr>
        <w:t xml:space="preserve">). More importantly, the perspective of actual benefits accrued by these populations through the </w:t>
      </w:r>
      <w:r w:rsidRPr="009B1C91">
        <w:rPr>
          <w:rFonts w:asciiTheme="minorHAnsi" w:hAnsiTheme="minorHAnsi" w:cstheme="minorHAnsi"/>
        </w:rPr>
        <w:lastRenderedPageBreak/>
        <w:t xml:space="preserve">implementation of government policies, strategies, or plans is not captured by the above stated indicators.  </w:t>
      </w:r>
    </w:p>
    <w:p w:rsidR="00AA617C" w:rsidRPr="009B1C91" w:rsidRDefault="00AA617C"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Operationally, changes in “the number of sites under community-based natural resources management” (baseline: 2010: 8; Target: 2016: 20) was regarded as a viable indicator in the CDP.  In order to capture the dimensions of ‘vulnerable as well as the poor’ as targeted population, future indicator selections may consider the following: a) number of additional communities (e.g. unions) benefitted; and b) vulnerable and poor population served and benefitted by the new policies and strategies or plans in support of sustainable management of natural resources. One major advantage of using such an approach would be that such indicator will a) precondition creation of a baseline, and b) encompass social development and social justice dimensions.</w:t>
      </w:r>
    </w:p>
    <w:p w:rsidR="00AA617C" w:rsidRPr="009B1C91" w:rsidRDefault="00AA617C"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As stated above, in the energy, environment and climate change nexus area, the UNDP CDP 2012-16 outcome indicators emphasize measuring changes in the energy (in MW) generated from renewable sources and the percentage of households in targeted areas using renewable energy (Baseline: 2010: to be established in 2012; Target: 2016: 15% improvement). The evaluators concur with the Evaluability</w:t>
      </w:r>
      <w:r w:rsidRPr="009B1C91">
        <w:rPr>
          <w:rFonts w:asciiTheme="minorHAnsi" w:hAnsiTheme="minorHAnsi" w:cstheme="minorHAnsi"/>
          <w:color w:val="auto"/>
        </w:rPr>
        <w:t>Report</w:t>
      </w:r>
      <w:r w:rsidR="0004002F" w:rsidRPr="009B1C91">
        <w:rPr>
          <w:rStyle w:val="FootnoteReference"/>
          <w:rFonts w:asciiTheme="minorHAnsi" w:hAnsiTheme="minorHAnsi" w:cstheme="minorHAnsi"/>
          <w:color w:val="auto"/>
        </w:rPr>
        <w:footnoteReference w:id="45"/>
      </w:r>
      <w:r w:rsidRPr="009B1C91">
        <w:rPr>
          <w:rFonts w:asciiTheme="minorHAnsi" w:hAnsiTheme="minorHAnsi" w:cstheme="minorHAnsi"/>
        </w:rPr>
        <w:t xml:space="preserve">that the indicators are hard to measure as no baseline measurement was taken in 2012 as proposed in the indicator. It is also found that the outcome statement remained unclear as to what counts as “low carbon” energy.  </w:t>
      </w:r>
    </w:p>
    <w:p w:rsidR="00AA617C" w:rsidRPr="009B1C91" w:rsidRDefault="00AA617C"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 xml:space="preserve">In the context of the UN Sustainable Energy </w:t>
      </w:r>
      <w:r w:rsidR="006821D7" w:rsidRPr="009B1C91">
        <w:rPr>
          <w:rFonts w:asciiTheme="minorHAnsi" w:hAnsiTheme="minorHAnsi" w:cstheme="minorHAnsi"/>
        </w:rPr>
        <w:t>for</w:t>
      </w:r>
      <w:r w:rsidRPr="009B1C91">
        <w:rPr>
          <w:rFonts w:asciiTheme="minorHAnsi" w:hAnsiTheme="minorHAnsi" w:cstheme="minorHAnsi"/>
        </w:rPr>
        <w:t xml:space="preserve"> All initiative, a framework has been developed to measure energy access in terms of the quality. The World Bank is currently conducting a baseline survey of the quality of energy access using a multi-tier framework, where the tiers relate to quality levels of the energy supply. Using this framework, the “number of tiers improved” can be used as an indicator. Before the completion of the framework and the baseline survey, it is recommended that the indicator be defined as the</w:t>
      </w:r>
      <w:r w:rsidRPr="009B1C91">
        <w:rPr>
          <w:rFonts w:asciiTheme="minorHAnsi" w:hAnsiTheme="minorHAnsi" w:cstheme="minorHAnsi"/>
          <w:b/>
          <w:bCs/>
        </w:rPr>
        <w:t xml:space="preserve"> “</w:t>
      </w:r>
      <w:r w:rsidRPr="009B1C91">
        <w:rPr>
          <w:rFonts w:asciiTheme="minorHAnsi" w:hAnsiTheme="minorHAnsi" w:cstheme="minorHAnsi"/>
          <w:b/>
          <w:bCs/>
          <w:i/>
          <w:iCs/>
        </w:rPr>
        <w:t>number of households whose energy situation has been improved</w:t>
      </w:r>
      <w:r w:rsidRPr="009B1C91">
        <w:rPr>
          <w:rFonts w:asciiTheme="minorHAnsi" w:hAnsiTheme="minorHAnsi" w:cstheme="minorHAnsi"/>
          <w:b/>
          <w:bCs/>
        </w:rPr>
        <w:t>”</w:t>
      </w:r>
      <w:r w:rsidRPr="009B1C91">
        <w:rPr>
          <w:rFonts w:asciiTheme="minorHAnsi" w:hAnsiTheme="minorHAnsi" w:cstheme="minorHAnsi"/>
        </w:rPr>
        <w:t xml:space="preserve"> and aggregate the households that have actually been reached with energy measures (like solar lanterns as under the SREPGen, potential cook stoves projects, and integrated measures under afforestation or vulnerability projects) with the number of household equivalents (based on the national average consumption) for energy saved through energy efficiency projects. </w:t>
      </w:r>
    </w:p>
    <w:p w:rsidR="00AA617C" w:rsidRPr="009B1C91" w:rsidRDefault="00AA617C"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b/>
          <w:bCs/>
          <w:i/>
          <w:iCs/>
        </w:rPr>
      </w:pPr>
      <w:r w:rsidRPr="009B1C91">
        <w:rPr>
          <w:rFonts w:asciiTheme="minorHAnsi" w:hAnsiTheme="minorHAnsi" w:cstheme="minorHAnsi"/>
          <w:b/>
          <w:bCs/>
          <w:i/>
          <w:iCs/>
        </w:rPr>
        <w:t>Community-based Natu</w:t>
      </w:r>
      <w:r w:rsidR="00AA288B">
        <w:rPr>
          <w:rFonts w:asciiTheme="minorHAnsi" w:hAnsiTheme="minorHAnsi" w:cstheme="minorHAnsi"/>
          <w:b/>
          <w:bCs/>
          <w:i/>
          <w:iCs/>
        </w:rPr>
        <w:t xml:space="preserve">ral Resource Management and Low </w:t>
      </w:r>
      <w:r w:rsidRPr="009B1C91">
        <w:rPr>
          <w:rFonts w:asciiTheme="minorHAnsi" w:hAnsiTheme="minorHAnsi" w:cstheme="minorHAnsi"/>
          <w:b/>
          <w:bCs/>
          <w:i/>
          <w:iCs/>
        </w:rPr>
        <w:t xml:space="preserve">Carbon Energy Access – </w:t>
      </w:r>
    </w:p>
    <w:p w:rsidR="00AA617C" w:rsidRPr="009B1C91" w:rsidRDefault="00AA617C" w:rsidP="00F653F8">
      <w:pPr>
        <w:pStyle w:val="Body"/>
        <w:spacing w:after="0" w:line="240" w:lineRule="auto"/>
        <w:jc w:val="both"/>
        <w:rPr>
          <w:rFonts w:asciiTheme="minorHAnsi" w:hAnsiTheme="minorHAnsi" w:cstheme="minorHAnsi"/>
          <w:b/>
          <w:bCs/>
          <w:i/>
          <w:iCs/>
        </w:rPr>
      </w:pPr>
      <w:r w:rsidRPr="009B1C91">
        <w:rPr>
          <w:rFonts w:asciiTheme="minorHAnsi" w:hAnsiTheme="minorHAnsi" w:cstheme="minorHAnsi"/>
          <w:b/>
          <w:bCs/>
          <w:i/>
          <w:iCs/>
        </w:rPr>
        <w:t>UNDP’s Role in Linking NRM with CCA, Livelihoods and Energy Security and Enhancing Resilience</w:t>
      </w:r>
    </w:p>
    <w:p w:rsidR="00AA617C" w:rsidRPr="009B1C91" w:rsidRDefault="00AA617C" w:rsidP="00F653F8">
      <w:pPr>
        <w:pStyle w:val="Body"/>
        <w:spacing w:after="0" w:line="240" w:lineRule="auto"/>
        <w:jc w:val="both"/>
        <w:rPr>
          <w:rFonts w:asciiTheme="minorHAnsi" w:hAnsiTheme="minorHAnsi" w:cstheme="minorHAnsi"/>
          <w:b/>
          <w:bCs/>
          <w:i/>
          <w:iCs/>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The CCED Cluster portfolio under Outcome 3.2 has several distinct groups. A number of projects focus on the management of natural resources (REDD+ Roadmap, CBAFF, Integrating CBA into Afforestation and Reforestation Programmes). Another set of projects focuses on environmental governance and policy (SEGP, Expanding Pas, National Capacity Development for Rio Conventions, UNFCCC TNC, PECM). Three projects focus on ODS phase out, and another three projects are active in the sustainable energy field (</w:t>
      </w:r>
      <w:r w:rsidRPr="00A6172C">
        <w:rPr>
          <w:rFonts w:asciiTheme="minorHAnsi" w:hAnsiTheme="minorHAnsi" w:cstheme="minorHAnsi"/>
        </w:rPr>
        <w:t>BRESL, IKEBMI, SREPGen</w:t>
      </w:r>
      <w:r w:rsidRPr="009B1C91">
        <w:rPr>
          <w:rFonts w:asciiTheme="minorHAnsi" w:hAnsiTheme="minorHAnsi" w:cstheme="minorHAnsi"/>
        </w:rPr>
        <w:t>). An internal project initiation effort focuses on the development of a Green Development Programme for Bangladesh.</w:t>
      </w:r>
    </w:p>
    <w:p w:rsidR="00AA617C" w:rsidRPr="009B1C91" w:rsidRDefault="00AA617C" w:rsidP="00F653F8">
      <w:pPr>
        <w:pStyle w:val="Body"/>
        <w:spacing w:after="0" w:line="240" w:lineRule="auto"/>
        <w:ind w:firstLine="720"/>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 xml:space="preserve">For ODS, a number of opportunities were captured in these projects. However, there are a number of other multilateral environmental agreements, some with higher relevance for the areas of natural </w:t>
      </w:r>
      <w:r w:rsidRPr="009B1C91">
        <w:rPr>
          <w:rFonts w:asciiTheme="minorHAnsi" w:hAnsiTheme="minorHAnsi" w:cstheme="minorHAnsi"/>
        </w:rPr>
        <w:lastRenderedPageBreak/>
        <w:t xml:space="preserve">resource management and governance, that have not received due attention from UNDP in this portfolio.  </w:t>
      </w:r>
    </w:p>
    <w:p w:rsidR="00AA617C" w:rsidRPr="009B1C91" w:rsidRDefault="00AA617C" w:rsidP="00F653F8">
      <w:pPr>
        <w:pStyle w:val="Body"/>
        <w:spacing w:after="0" w:line="240" w:lineRule="auto"/>
        <w:jc w:val="both"/>
        <w:rPr>
          <w:rFonts w:asciiTheme="minorHAnsi" w:hAnsiTheme="minorHAnsi" w:cstheme="minorHAnsi"/>
        </w:rPr>
      </w:pPr>
    </w:p>
    <w:p w:rsidR="001E6F3F" w:rsidRPr="009B1C91" w:rsidRDefault="001E6F3F" w:rsidP="00F653F8">
      <w:pPr>
        <w:pStyle w:val="Body"/>
        <w:spacing w:after="0" w:line="240" w:lineRule="auto"/>
        <w:jc w:val="both"/>
        <w:rPr>
          <w:rFonts w:asciiTheme="minorHAnsi" w:hAnsiTheme="minorHAnsi" w:cstheme="minorHAnsi"/>
          <w:i/>
        </w:rPr>
      </w:pPr>
    </w:p>
    <w:p w:rsidR="00534E8C" w:rsidRPr="009B1C91" w:rsidRDefault="00534E8C" w:rsidP="00F653F8">
      <w:pPr>
        <w:pStyle w:val="Body"/>
        <w:spacing w:after="0" w:line="240" w:lineRule="auto"/>
        <w:jc w:val="both"/>
        <w:rPr>
          <w:rFonts w:asciiTheme="minorHAnsi" w:hAnsiTheme="minorHAnsi" w:cstheme="minorHAnsi"/>
          <w:i/>
        </w:rPr>
      </w:pPr>
      <w:r w:rsidRPr="009B1C91">
        <w:rPr>
          <w:rFonts w:asciiTheme="minorHAnsi" w:hAnsiTheme="minorHAnsi" w:cstheme="minorHAnsi"/>
          <w:i/>
        </w:rPr>
        <w:t>Community-Based NRM</w:t>
      </w:r>
    </w:p>
    <w:p w:rsidR="00534E8C" w:rsidRPr="009B1C91" w:rsidRDefault="00534E8C"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 xml:space="preserve">The UNDP CCED Cluster’s initiatives in the areas of integrative approaches to community-focused CCA capacity building through better management of natural resources, such as forestry offers a showcase of how to build local-level CCA capacity through linking afforestation with diversification of livelihood options. </w:t>
      </w:r>
    </w:p>
    <w:p w:rsidR="00772D00" w:rsidRPr="009B1C91" w:rsidRDefault="00772D00"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The multi-dimensional scope of outputs and their causally linked outcomes beyond one particular CPD Outcome area is well exemplified by several UNDP interventions, of which the Community Based Adaptation to Climate Change through Coastal Afforestation in Bangladesh (CBACC-CF), PECM, and CDMP II are noteworthy</w:t>
      </w:r>
      <w:r w:rsidR="00534E8C" w:rsidRPr="009B1C91">
        <w:rPr>
          <w:rFonts w:asciiTheme="minorHAnsi" w:hAnsiTheme="minorHAnsi" w:cstheme="minorHAnsi"/>
        </w:rPr>
        <w:t xml:space="preserve"> (which overlaps with outcome 3.1)</w:t>
      </w:r>
      <w:r w:rsidRPr="009B1C91">
        <w:rPr>
          <w:rFonts w:asciiTheme="minorHAnsi" w:hAnsiTheme="minorHAnsi" w:cstheme="minorHAnsi"/>
        </w:rPr>
        <w:t xml:space="preserve">.  </w:t>
      </w:r>
    </w:p>
    <w:p w:rsidR="00AA617C" w:rsidRPr="009B1C91" w:rsidRDefault="00AA617C"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 xml:space="preserve">Although in the past decades UNDP Bangladesh has contributed enormously to the country in the areas of environmental management and sustainability, the current CCED portfolio is noticeably weak in initiating ‘stimulating’ concepts on environmental protection of vital natural resources such as surface and ground water, arable land,  and open-water fisheries.  Innovative ideas linking environmental governance with resilience and green development could be explored, particularly with other UN partners, donors, and the GoB.  For example, flooding in the </w:t>
      </w:r>
      <w:r w:rsidR="006821D7" w:rsidRPr="009B1C91">
        <w:rPr>
          <w:rFonts w:asciiTheme="minorHAnsi" w:hAnsiTheme="minorHAnsi" w:cstheme="minorHAnsi"/>
        </w:rPr>
        <w:t>south-western</w:t>
      </w:r>
      <w:r w:rsidRPr="009B1C91">
        <w:rPr>
          <w:rFonts w:asciiTheme="minorHAnsi" w:hAnsiTheme="minorHAnsi" w:cstheme="minorHAnsi"/>
        </w:rPr>
        <w:t xml:space="preserve"> region of Bangladesh is a major environmental issue which would generate stimulating interest among many UN partners (such as, FAO, WFP,</w:t>
      </w:r>
      <w:r w:rsidR="00145F3A">
        <w:rPr>
          <w:rFonts w:asciiTheme="minorHAnsi" w:hAnsiTheme="minorHAnsi" w:cstheme="minorHAnsi"/>
        </w:rPr>
        <w:t xml:space="preserve"> UNICEF) and GoB ministries (BW</w:t>
      </w:r>
      <w:r w:rsidRPr="009B1C91">
        <w:rPr>
          <w:rFonts w:asciiTheme="minorHAnsi" w:hAnsiTheme="minorHAnsi" w:cstheme="minorHAnsi"/>
        </w:rPr>
        <w:t xml:space="preserve">DB, LGED) and NGOs (BRAC, Grameen Bank, Shushilan) and INGOs (Oxfam, Islamic Relief, World Vision). </w:t>
      </w:r>
    </w:p>
    <w:p w:rsidR="00AA617C" w:rsidRPr="009B1C91" w:rsidRDefault="00AA617C" w:rsidP="00AA617C">
      <w:pPr>
        <w:pStyle w:val="Body"/>
        <w:spacing w:after="0" w:line="240" w:lineRule="auto"/>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Adopting an overarching sustainable development lens, in the recent past UNDP Bangladesh focused on sensitization and building awareness of conservation needs and capacity building at all levels (local, sub-national and national), with particular emphasis on empowering the marginalized and the vulnerable population. Under the rubric of ‘environmental management’, natural resource management-related strategies were formulated with an intention not only to improve access to natural resources but also build capacity in protecting and preserving these resources (i.e. fishing bans during spawning season). In this regard, several components of the Sustainable Environment Management Programme (SEMP) laid the foundation for conceptualizing poverty-environment linkages and the need for specific attention to vulnerable popula</w:t>
      </w:r>
      <w:r w:rsidR="00772D00" w:rsidRPr="009B1C91">
        <w:rPr>
          <w:rFonts w:asciiTheme="minorHAnsi" w:hAnsiTheme="minorHAnsi" w:cstheme="minorHAnsi"/>
        </w:rPr>
        <w:t>tion in intervention designing</w:t>
      </w:r>
      <w:r w:rsidR="00772D00" w:rsidRPr="009B1C91">
        <w:rPr>
          <w:rStyle w:val="FootnoteReference"/>
          <w:rFonts w:asciiTheme="minorHAnsi" w:hAnsiTheme="minorHAnsi" w:cstheme="minorHAnsi"/>
        </w:rPr>
        <w:footnoteReference w:id="46"/>
      </w:r>
      <w:r w:rsidRPr="009B1C91">
        <w:rPr>
          <w:rFonts w:asciiTheme="minorHAnsi" w:hAnsiTheme="minorHAnsi" w:cstheme="minorHAnsi"/>
          <w:color w:val="auto"/>
          <w:u w:color="FF0000"/>
        </w:rPr>
        <w:t>.</w:t>
      </w:r>
      <w:r w:rsidRPr="009B1C91">
        <w:rPr>
          <w:rFonts w:asciiTheme="minorHAnsi" w:hAnsiTheme="minorHAnsi" w:cstheme="minorHAnsi"/>
        </w:rPr>
        <w:t>The effects of IUCN, USAID, UNDP and other development partners’ strategy and sensitization work, highlighting the significance of biodiversity, were reflected in a number of national policy changes in this area. For instance, in 1995 the GoB declared 20 protected areas and 12 Ecologically Critical Areas in order to provide special biodiversity and cultural heritage protection. The UNDP-supported Coastal and Wetland Biodiversity Management Programme (CWBMP) assisted the marginal population, who are largely dependent on degrading natural resources, in becoming stewards of protecting the resources.</w:t>
      </w:r>
    </w:p>
    <w:p w:rsidR="00AA617C" w:rsidRPr="009B1C91" w:rsidRDefault="00AA617C" w:rsidP="00F653F8">
      <w:pPr>
        <w:pStyle w:val="Body"/>
        <w:spacing w:after="0" w:line="240" w:lineRule="auto"/>
        <w:jc w:val="both"/>
        <w:rPr>
          <w:rFonts w:asciiTheme="minorHAnsi" w:hAnsiTheme="minorHAnsi" w:cstheme="minorHAnsi"/>
          <w:i/>
          <w:iCs/>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lastRenderedPageBreak/>
        <w:t xml:space="preserve">For an in-depth understanding of the outcomes of UNDP’s work during 2012-14, one needs to examine multiplier effects of its interventions, partnerships, and mobilization of international, national and local stakeholders. The multi-dimensional scope of UNDP intervention outputs and their causally-linked outcomes was beyond that of any one particular CPD Outcome area, which is well exemplified by several such interventions. The Community Based Adaptation to Climate Change through Coastal Afforestation in Bangladesh (CBACC-CF), PECM, and CDMP II projects are noteworthy here as examples. Recognizing that forestry is one of the more relevant natural resources, the UNDP initiative on CBAACC-CF was undertaken. More appreciably, linking such community-based efforts with livelihood diversification to effectively enhance adaptive capacity and resilience to withstand shocks, recover from disasters, and to find new trajectory of development has been a central UN strategic component in the CBAACC-CF intervention. </w:t>
      </w:r>
    </w:p>
    <w:p w:rsidR="0004002F" w:rsidRPr="009B1C91" w:rsidRDefault="0004002F"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Challenging the conventional ‘top-down’ forest management approaches that promote solely technical-scientific interventions, UNDP CCED Cluster’s CBAACC-CF initiative laid a strong foundation for an interactive (incorporating both ‘bottom-up’ and ‘top down’ approaches), inclusive community-based capacity building initiative within the CCA and DRR evidence-based framework. In this context, the MTR has noted that a revisit of the intervention strategy assumed that the project outputs would be able to develop and/or alter coastal areas and management policies to enhance climate risk resilience, and to expand the community-based approach well beyond the project sites and outputs level.  Achievements towards this claimed strategic goal by the CBAACC-CF were validated by local community beneficiaries, as well as national, district and upazila-level stakeholders.  However, they also indicated that UNDP should make more efforts in educating and training the national planning  and implementation agencies at all levels about the benefits of a two-way, interactive (‘bottom-up and ‘top-down’) approach to project delivery, which is not yet practiced within the government machinery.</w:t>
      </w:r>
    </w:p>
    <w:p w:rsidR="000D05D5" w:rsidRPr="009B1C91" w:rsidRDefault="000D05D5"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 xml:space="preserve">As explained in Sub-section 3.3, access to low-carbon energy is highly relevant and important to Bangladesh’s needs because </w:t>
      </w:r>
      <w:r w:rsidR="00320F87" w:rsidRPr="009B1C91">
        <w:rPr>
          <w:rFonts w:asciiTheme="minorHAnsi" w:hAnsiTheme="minorHAnsi" w:cstheme="minorHAnsi"/>
        </w:rPr>
        <w:t xml:space="preserve">more than </w:t>
      </w:r>
      <w:r w:rsidRPr="009B1C91">
        <w:rPr>
          <w:rFonts w:asciiTheme="minorHAnsi" w:hAnsiTheme="minorHAnsi" w:cstheme="minorHAnsi"/>
        </w:rPr>
        <w:t xml:space="preserve">40% of Bangladesh’s population does not have access to the power grid. Such inaccessibility is more acute in some regions than others.  As well, access to energy is an important precondition for lifting people out of abject poverty and providing opportunities for learning and income generation. Intending to increase the percentage share of renewables and providing vulnerable and poor populations more access to low-carbon energy is therefore highly relevant for both the protection of natural resources and the economic and social development of Bangladesh. </w:t>
      </w:r>
    </w:p>
    <w:p w:rsidR="00AA617C" w:rsidRPr="009B1C91" w:rsidRDefault="00AA617C" w:rsidP="00F653F8">
      <w:pPr>
        <w:pStyle w:val="Body"/>
        <w:spacing w:after="0" w:line="240" w:lineRule="auto"/>
        <w:jc w:val="both"/>
        <w:rPr>
          <w:rFonts w:asciiTheme="minorHAnsi" w:hAnsiTheme="minorHAnsi" w:cstheme="minorHAnsi"/>
        </w:rPr>
      </w:pPr>
    </w:p>
    <w:p w:rsidR="0004386D" w:rsidRPr="009B1C91" w:rsidRDefault="0004386D" w:rsidP="00F653F8">
      <w:pPr>
        <w:pStyle w:val="Body"/>
        <w:spacing w:after="0" w:line="240" w:lineRule="auto"/>
        <w:jc w:val="both"/>
        <w:rPr>
          <w:rFonts w:asciiTheme="minorHAnsi" w:hAnsiTheme="minorHAnsi" w:cstheme="minorHAnsi"/>
          <w:i/>
        </w:rPr>
      </w:pPr>
      <w:r w:rsidRPr="009B1C91">
        <w:rPr>
          <w:rFonts w:asciiTheme="minorHAnsi" w:hAnsiTheme="minorHAnsi" w:cstheme="minorHAnsi"/>
          <w:i/>
        </w:rPr>
        <w:t>Energy efficiency and access to energy issues</w:t>
      </w:r>
    </w:p>
    <w:p w:rsidR="0004386D" w:rsidRPr="009B1C91" w:rsidRDefault="0004386D"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For Bangladesh, energy security is an important consideration for both economic growth and social development; pertinent to this, renewable energy and energy efficiency are important strategies to enhance energy security. The GoB’s Sixth FYP, 2011-15, Part 2 underscores these issues by stating that:</w:t>
      </w:r>
    </w:p>
    <w:p w:rsidR="00AA617C" w:rsidRPr="009B1C91" w:rsidRDefault="00AA617C" w:rsidP="00F653F8">
      <w:pPr>
        <w:pStyle w:val="Body"/>
        <w:spacing w:after="0" w:line="240" w:lineRule="auto"/>
        <w:jc w:val="both"/>
        <w:rPr>
          <w:rFonts w:asciiTheme="minorHAnsi" w:hAnsiTheme="minorHAnsi" w:cstheme="minorHAnsi"/>
          <w:i/>
          <w:iCs/>
        </w:rPr>
      </w:pPr>
    </w:p>
    <w:p w:rsidR="00AA617C" w:rsidRPr="009B1C91" w:rsidRDefault="00AA617C" w:rsidP="00F653F8">
      <w:pPr>
        <w:pStyle w:val="Body"/>
        <w:spacing w:after="0" w:line="240" w:lineRule="auto"/>
        <w:jc w:val="both"/>
        <w:rPr>
          <w:rFonts w:asciiTheme="minorHAnsi" w:hAnsiTheme="minorHAnsi" w:cstheme="minorHAnsi"/>
          <w:i/>
          <w:iCs/>
        </w:rPr>
      </w:pPr>
      <w:r w:rsidRPr="009B1C91">
        <w:rPr>
          <w:rFonts w:asciiTheme="minorHAnsi" w:hAnsiTheme="minorHAnsi" w:cstheme="minorHAnsi"/>
          <w:i/>
          <w:iCs/>
        </w:rPr>
        <w:t>[t]he availability of domestic primary fuel supply is getting so scarce that it is forcing severe measures like shutting down fertilizer factories, rationing gas supplies for households and transport uses, and keeping idle installed power units…Clearly, the situation calls for an urgent but well-crafted sustainable strategy to address the energy crisis and increase the energy supply to support Bangladesh’s development (Chapter 3, pp. 126-127).</w:t>
      </w:r>
    </w:p>
    <w:p w:rsidR="00AA617C" w:rsidRPr="009B1C91" w:rsidRDefault="00AA617C"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 xml:space="preserve">The fear that the natural gas deposits will be exhausted in the next 20 years has been voiced repeatedly.  The official policy for expanding the power sector is characterized by an “all inclusive” approach. The </w:t>
      </w:r>
      <w:r w:rsidRPr="009B1C91">
        <w:rPr>
          <w:rFonts w:asciiTheme="minorHAnsi" w:hAnsiTheme="minorHAnsi" w:cstheme="minorHAnsi"/>
        </w:rPr>
        <w:lastRenderedPageBreak/>
        <w:t>specific expansion plans – adding 14 GW until 2020 and another 15 GW until 2030 according to the Power System Master Plan 2010 - rely mainly on coal power (in 2030: total generation capacity: 39 GW, of which 20 GW is coal-based generation capacity).</w:t>
      </w:r>
      <w:r w:rsidRPr="009B1C91">
        <w:rPr>
          <w:rFonts w:asciiTheme="minorHAnsi" w:eastAsia="Times New Roman" w:hAnsiTheme="minorHAnsi" w:cstheme="minorHAnsi"/>
          <w:vertAlign w:val="superscript"/>
        </w:rPr>
        <w:footnoteReference w:id="47"/>
      </w:r>
      <w:r w:rsidRPr="009B1C91">
        <w:rPr>
          <w:rFonts w:asciiTheme="minorHAnsi" w:hAnsiTheme="minorHAnsi" w:cstheme="minorHAnsi"/>
        </w:rPr>
        <w:t xml:space="preserve"> National coal reservoirs exist, but social and environmental concerns might prohibit their exploitation. Therefore, current plans foresee coal imports and large-scale coal power plants at the coast with associated port facilities. Concerns about future trends in CO</w:t>
      </w:r>
      <w:r w:rsidRPr="009B1C91">
        <w:rPr>
          <w:rFonts w:asciiTheme="minorHAnsi" w:hAnsiTheme="minorHAnsi" w:cstheme="minorHAnsi"/>
          <w:vertAlign w:val="subscript"/>
        </w:rPr>
        <w:t xml:space="preserve">2 </w:t>
      </w:r>
      <w:r w:rsidRPr="009B1C91">
        <w:rPr>
          <w:rFonts w:asciiTheme="minorHAnsi" w:hAnsiTheme="minorHAnsi" w:cstheme="minorHAnsi"/>
        </w:rPr>
        <w:t>emission scenario are being voiced by many quarters, and this underscores the importance of renewable energy supply and use within the country.</w:t>
      </w:r>
    </w:p>
    <w:p w:rsidR="00AA617C" w:rsidRPr="009B1C91" w:rsidRDefault="00AA617C"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 xml:space="preserve">By referring to the outcome document of Rio+20 (i.e., “The Future We Want”), which offers a list of green economy policies in the context of sustainable development and poverty eradication, the National Sustainable Development Strategy (NSDS) 2010-2021 offers the development policy strategies of Bangladesh with the green economy policy list. These include striving for sustained, inclusive, and equitable economic growth, and improving livelihoods and empowerment of poor and vulnerable groups, promotion of conservation and sustainable use of biodiversity and ecosystems, and regeneration of natural resources. To these ends, the Bank of Bangladesh has undertaken a Green Banking initiative which encourages banks to finance green activities/projects such as renewably energy, green buildings, green products and materials, solid waste management, water management, </w:t>
      </w:r>
      <w:r w:rsidR="00320F87" w:rsidRPr="009B1C91">
        <w:rPr>
          <w:rFonts w:asciiTheme="minorHAnsi" w:hAnsiTheme="minorHAnsi" w:cstheme="minorHAnsi"/>
        </w:rPr>
        <w:t>and clean transportation</w:t>
      </w:r>
      <w:r w:rsidRPr="009B1C91">
        <w:rPr>
          <w:rFonts w:asciiTheme="minorHAnsi" w:hAnsiTheme="minorHAnsi" w:cstheme="minorHAnsi"/>
        </w:rPr>
        <w:t xml:space="preserve">. This strategy sought assistance from donors and developments partners, with UNDP can playing a key role as a trusted neutral coordinating agency, promoting the development, transfer, and diffusion of environmentally-sound technologies in Bangladesh. </w:t>
      </w:r>
    </w:p>
    <w:p w:rsidR="00AA617C" w:rsidRPr="009B1C91" w:rsidRDefault="00AA617C"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While Bangladesh’s energy footprint is small</w:t>
      </w:r>
      <w:r w:rsidR="0004386D" w:rsidRPr="009B1C91">
        <w:rPr>
          <w:rFonts w:asciiTheme="minorHAnsi" w:hAnsiTheme="minorHAnsi" w:cstheme="minorHAnsi"/>
        </w:rPr>
        <w:t xml:space="preserve"> (Figure 3.1 &amp; 3.2)</w:t>
      </w:r>
      <w:r w:rsidRPr="009B1C91">
        <w:rPr>
          <w:rFonts w:asciiTheme="minorHAnsi" w:hAnsiTheme="minorHAnsi" w:cstheme="minorHAnsi"/>
        </w:rPr>
        <w:t xml:space="preserve">, the increasing demand for electricity and other sources of energy for industry, transportation, and agriculture is one of the most serious sustainable development challenges in terms of both scale and economy. UNDP’s focus has been on continuing implementation of energy efficiency- related interventions that were initiated in earlier Country Programs through standardization and labelling (BRESL) </w:t>
      </w:r>
      <w:r w:rsidRPr="00A6172C">
        <w:rPr>
          <w:rFonts w:asciiTheme="minorHAnsi" w:hAnsiTheme="minorHAnsi" w:cstheme="minorHAnsi"/>
        </w:rPr>
        <w:t>and technology transfer (IKEBMI).</w:t>
      </w:r>
      <w:r w:rsidRPr="009B1C91">
        <w:rPr>
          <w:rFonts w:asciiTheme="minorHAnsi" w:hAnsiTheme="minorHAnsi" w:cstheme="minorHAnsi"/>
        </w:rPr>
        <w:t xml:space="preserve"> Emphasis has thus been on contributing more to the changes in qualitative and technical dimensions of energy issues and the priorities of the GoB rather than on to quantitative dimensions (i.e., increasing energy supply). A new addition to the current country program is the SREPGen program focusing on new renewable activities under the leadership of SREDA.  In addressing the issue of access to low carbon energy, UNDP needs to recognize that development in the renewable energy field in Bangladesh is ‘very </w:t>
      </w:r>
      <w:r w:rsidR="000D05D5" w:rsidRPr="009B1C91">
        <w:rPr>
          <w:rFonts w:asciiTheme="minorHAnsi" w:hAnsiTheme="minorHAnsi" w:cstheme="minorHAnsi"/>
        </w:rPr>
        <w:t>rapid’</w:t>
      </w:r>
      <w:r w:rsidRPr="009B1C91">
        <w:rPr>
          <w:rFonts w:asciiTheme="minorHAnsi" w:hAnsiTheme="minorHAnsi" w:cstheme="minorHAnsi"/>
        </w:rPr>
        <w:t xml:space="preserve"> and more efficiency is required in launching and implementing its projects in this area. </w:t>
      </w:r>
    </w:p>
    <w:p w:rsidR="00AA617C" w:rsidRPr="009B1C91" w:rsidRDefault="00AA617C"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b/>
          <w:bCs/>
          <w:i/>
          <w:iCs/>
        </w:rPr>
      </w:pPr>
      <w:r w:rsidRPr="009B1C91">
        <w:rPr>
          <w:rFonts w:asciiTheme="minorHAnsi" w:hAnsiTheme="minorHAnsi" w:cstheme="minorHAnsi"/>
          <w:b/>
          <w:bCs/>
          <w:i/>
          <w:iCs/>
        </w:rPr>
        <w:t>Evaluation using Outcome Indicators</w:t>
      </w:r>
    </w:p>
    <w:p w:rsidR="00AA617C" w:rsidRPr="009B1C91" w:rsidRDefault="00AA617C" w:rsidP="00F653F8">
      <w:pPr>
        <w:pStyle w:val="Body"/>
        <w:spacing w:after="0" w:line="240" w:lineRule="auto"/>
        <w:jc w:val="both"/>
        <w:rPr>
          <w:rFonts w:asciiTheme="minorHAnsi" w:hAnsiTheme="minorHAnsi" w:cstheme="minorHAnsi"/>
        </w:rPr>
      </w:pPr>
    </w:p>
    <w:p w:rsidR="00AA617C" w:rsidRPr="009B1C91" w:rsidRDefault="00AA617C" w:rsidP="0004386D">
      <w:pPr>
        <w:pStyle w:val="Body"/>
        <w:spacing w:after="0" w:line="240" w:lineRule="auto"/>
        <w:jc w:val="both"/>
        <w:rPr>
          <w:rFonts w:asciiTheme="minorHAnsi" w:hAnsiTheme="minorHAnsi" w:cstheme="minorHAnsi"/>
          <w:i/>
        </w:rPr>
      </w:pPr>
      <w:r w:rsidRPr="009B1C91">
        <w:rPr>
          <w:rFonts w:asciiTheme="minorHAnsi" w:hAnsiTheme="minorHAnsi" w:cstheme="minorHAnsi"/>
        </w:rPr>
        <w:t xml:space="preserve">The original outcome statement in the Country Programme included the following two indicators: </w:t>
      </w:r>
      <w:r w:rsidRPr="009B1C91">
        <w:rPr>
          <w:rFonts w:asciiTheme="minorHAnsi" w:hAnsiTheme="minorHAnsi" w:cstheme="minorHAnsi"/>
          <w:i/>
        </w:rPr>
        <w:t>Number of sites under community-based natural resource management (Base</w:t>
      </w:r>
      <w:r w:rsidR="0004386D" w:rsidRPr="009B1C91">
        <w:rPr>
          <w:rFonts w:asciiTheme="minorHAnsi" w:hAnsiTheme="minorHAnsi" w:cstheme="minorHAnsi"/>
          <w:i/>
        </w:rPr>
        <w:t xml:space="preserve">line: 2010: 8; Target: 2016: 20); and </w:t>
      </w:r>
      <w:r w:rsidRPr="009B1C91">
        <w:rPr>
          <w:rFonts w:asciiTheme="minorHAnsi" w:hAnsiTheme="minorHAnsi" w:cstheme="minorHAnsi"/>
          <w:i/>
        </w:rPr>
        <w:t>Percentage of households in targeted areas using renewable energy (Baseline: 2010: to be established in 2012; Target: 2016: 15% improvement)</w:t>
      </w:r>
    </w:p>
    <w:p w:rsidR="00AA617C" w:rsidRPr="009B1C91" w:rsidRDefault="00AA617C"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color w:val="FF0000"/>
        </w:rPr>
      </w:pPr>
      <w:r w:rsidRPr="009B1C91">
        <w:rPr>
          <w:rFonts w:asciiTheme="minorHAnsi" w:hAnsiTheme="minorHAnsi" w:cstheme="minorHAnsi"/>
        </w:rPr>
        <w:t xml:space="preserve">The outcome indicator for the NRM area was subsequently changed to the number of government policies, strategies or plans approved in support of sustainable management of natural resources. The achievements are described in </w:t>
      </w:r>
      <w:r w:rsidR="0004386D" w:rsidRPr="009B1C91">
        <w:rPr>
          <w:rFonts w:asciiTheme="minorHAnsi" w:hAnsiTheme="minorHAnsi" w:cstheme="minorHAnsi"/>
          <w:color w:val="auto"/>
        </w:rPr>
        <w:t>Table 4.1.2</w:t>
      </w:r>
      <w:r w:rsidRPr="009B1C91">
        <w:rPr>
          <w:rFonts w:asciiTheme="minorHAnsi" w:hAnsiTheme="minorHAnsi" w:cstheme="minorHAnsi"/>
          <w:color w:val="auto"/>
        </w:rPr>
        <w:t>.</w:t>
      </w:r>
      <w:r w:rsidR="0004386D" w:rsidRPr="009B1C91">
        <w:rPr>
          <w:rFonts w:asciiTheme="minorHAnsi" w:hAnsiTheme="minorHAnsi" w:cstheme="minorHAnsi"/>
          <w:color w:val="auto"/>
        </w:rPr>
        <w:t>1.</w:t>
      </w:r>
    </w:p>
    <w:p w:rsidR="004172B4" w:rsidRPr="009B1C91" w:rsidRDefault="004172B4" w:rsidP="00F653F8">
      <w:pPr>
        <w:pStyle w:val="Body"/>
        <w:spacing w:after="0" w:line="240" w:lineRule="auto"/>
        <w:jc w:val="both"/>
        <w:rPr>
          <w:rFonts w:asciiTheme="minorHAnsi" w:hAnsiTheme="minorHAnsi" w:cstheme="minorHAnsi"/>
        </w:rPr>
      </w:pPr>
    </w:p>
    <w:p w:rsidR="004172B4" w:rsidRPr="009B1C91" w:rsidRDefault="004172B4" w:rsidP="00F653F8">
      <w:pPr>
        <w:pStyle w:val="Body"/>
        <w:spacing w:after="0" w:line="240" w:lineRule="auto"/>
        <w:jc w:val="both"/>
        <w:rPr>
          <w:rFonts w:asciiTheme="minorHAnsi" w:hAnsiTheme="minorHAnsi" w:cstheme="minorHAnsi"/>
        </w:rPr>
      </w:pPr>
      <w:r w:rsidRPr="009B1C91">
        <w:rPr>
          <w:rFonts w:asciiTheme="minorHAnsi" w:hAnsiTheme="minorHAnsi" w:cstheme="minorHAnsi"/>
        </w:rPr>
        <w:lastRenderedPageBreak/>
        <w:t>During 2012-14, only 2 sectoral policies that would affect natural resource management strategies in the country could be placed in the policy formulation and implementation pipeline. This quantitative indicator shows ‘marginally satisfactory’ performance, and more efforts must therefore be made to achieve the targets. However, responding to GoB’s BCCSAP, UNDP’s CBACC-CF initiative has contributed to mainstreaming integrative conception and action on the poverty-environment-climate nexus and linking CCA to livelihood diversification through adoption of an intersectoral local community development approach. The UNDP interventions in the area of NRM, specifically in the coastal afforestation efforts towards formulating community-based CCA, demonstrated some degree of effectiveness in promoting climate-resilient development in the coastal areas of Bangladesh. As noted in the CBACC-CF project MTR, however, there is a general lack of self-help motivation and genuine ‘ownership’ among the beneficiaries. The necessary level of technical capacity and beneficiary ownership has not yet been reached to assure sustainability, though this is theoretically</w:t>
      </w:r>
      <w:r w:rsidRPr="009B1C91">
        <w:rPr>
          <w:rFonts w:asciiTheme="minorHAnsi" w:hAnsiTheme="minorHAnsi" w:cstheme="minorHAnsi"/>
          <w:lang w:val="nl-NL"/>
        </w:rPr>
        <w:t xml:space="preserve"> achievable.</w:t>
      </w:r>
    </w:p>
    <w:p w:rsidR="004172B4" w:rsidRPr="009B1C91" w:rsidRDefault="004172B4" w:rsidP="00F653F8">
      <w:pPr>
        <w:pStyle w:val="Body"/>
        <w:spacing w:after="0" w:line="240" w:lineRule="auto"/>
        <w:jc w:val="both"/>
        <w:rPr>
          <w:rFonts w:asciiTheme="minorHAnsi" w:hAnsiTheme="minorHAnsi" w:cstheme="minorHAnsi"/>
        </w:rPr>
      </w:pPr>
    </w:p>
    <w:p w:rsidR="00AA617C" w:rsidRPr="009B1C91" w:rsidRDefault="0004386D" w:rsidP="00AA617C">
      <w:pPr>
        <w:pStyle w:val="Body"/>
        <w:spacing w:after="0" w:line="240" w:lineRule="auto"/>
        <w:rPr>
          <w:rFonts w:asciiTheme="minorHAnsi" w:hAnsiTheme="minorHAnsi" w:cstheme="minorHAnsi"/>
        </w:rPr>
      </w:pPr>
      <w:r w:rsidRPr="009B1C91">
        <w:rPr>
          <w:rFonts w:asciiTheme="minorHAnsi" w:hAnsiTheme="minorHAnsi" w:cstheme="minorHAnsi"/>
          <w:b/>
          <w:bCs/>
        </w:rPr>
        <w:t>Table 4.1.2.1</w:t>
      </w:r>
      <w:r w:rsidR="00AA617C" w:rsidRPr="009B1C91">
        <w:rPr>
          <w:rFonts w:asciiTheme="minorHAnsi" w:hAnsiTheme="minorHAnsi" w:cstheme="minorHAnsi"/>
          <w:b/>
          <w:bCs/>
        </w:rPr>
        <w:t xml:space="preserve">: </w:t>
      </w:r>
      <w:r w:rsidR="00AA617C" w:rsidRPr="009B1C91">
        <w:rPr>
          <w:rFonts w:asciiTheme="minorHAnsi" w:hAnsiTheme="minorHAnsi" w:cstheme="minorHAnsi"/>
        </w:rPr>
        <w:t xml:space="preserve">Progress on Outcome Indicators during 2012-2014 on Natural Resources Management </w:t>
      </w:r>
    </w:p>
    <w:tbl>
      <w:tblPr>
        <w:tblW w:w="9422" w:type="dxa"/>
        <w:tblInd w:w="108" w:type="dxa"/>
        <w:tblLayout w:type="fixed"/>
        <w:tblLook w:val="0000" w:firstRow="0" w:lastRow="0" w:firstColumn="0" w:lastColumn="0" w:noHBand="0" w:noVBand="0"/>
      </w:tblPr>
      <w:tblGrid>
        <w:gridCol w:w="2088"/>
        <w:gridCol w:w="764"/>
        <w:gridCol w:w="900"/>
        <w:gridCol w:w="810"/>
        <w:gridCol w:w="900"/>
        <w:gridCol w:w="720"/>
        <w:gridCol w:w="1890"/>
        <w:gridCol w:w="1350"/>
      </w:tblGrid>
      <w:tr w:rsidR="00AA617C" w:rsidRPr="009B1C91" w:rsidTr="007B1432">
        <w:trPr>
          <w:cantSplit/>
          <w:trHeight w:val="387"/>
        </w:trPr>
        <w:tc>
          <w:tcPr>
            <w:tcW w:w="208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AA617C" w:rsidRPr="009B1C91" w:rsidRDefault="00AA617C" w:rsidP="001B6B15">
            <w:pPr>
              <w:pStyle w:val="Body"/>
              <w:spacing w:after="0" w:line="240" w:lineRule="auto"/>
              <w:rPr>
                <w:rFonts w:asciiTheme="minorHAnsi" w:hAnsiTheme="minorHAnsi" w:cstheme="minorHAnsi"/>
                <w:b/>
                <w:bCs/>
                <w:sz w:val="20"/>
                <w:szCs w:val="20"/>
              </w:rPr>
            </w:pPr>
            <w:r w:rsidRPr="009B1C91">
              <w:rPr>
                <w:rFonts w:asciiTheme="minorHAnsi" w:hAnsiTheme="minorHAnsi" w:cstheme="minorHAnsi"/>
                <w:b/>
                <w:bCs/>
                <w:sz w:val="20"/>
                <w:szCs w:val="20"/>
              </w:rPr>
              <w:t>Outcome Indicator</w:t>
            </w:r>
          </w:p>
        </w:tc>
        <w:tc>
          <w:tcPr>
            <w:tcW w:w="76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b/>
                <w:bCs/>
                <w:sz w:val="20"/>
                <w:szCs w:val="20"/>
              </w:rPr>
            </w:pPr>
            <w:r w:rsidRPr="009B1C91">
              <w:rPr>
                <w:rFonts w:asciiTheme="minorHAnsi" w:hAnsiTheme="minorHAnsi" w:cstheme="minorHAnsi"/>
                <w:b/>
                <w:bCs/>
                <w:sz w:val="20"/>
                <w:szCs w:val="20"/>
              </w:rPr>
              <w:t>Year</w:t>
            </w:r>
          </w:p>
        </w:tc>
        <w:tc>
          <w:tcPr>
            <w:tcW w:w="90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b/>
                <w:bCs/>
                <w:sz w:val="20"/>
                <w:szCs w:val="20"/>
              </w:rPr>
            </w:pPr>
            <w:r w:rsidRPr="009B1C91">
              <w:rPr>
                <w:rFonts w:asciiTheme="minorHAnsi" w:hAnsiTheme="minorHAnsi" w:cstheme="minorHAnsi"/>
                <w:b/>
                <w:bCs/>
                <w:sz w:val="20"/>
                <w:szCs w:val="20"/>
              </w:rPr>
              <w:t>Baseline</w:t>
            </w:r>
          </w:p>
        </w:tc>
        <w:tc>
          <w:tcPr>
            <w:tcW w:w="81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b/>
                <w:bCs/>
                <w:sz w:val="20"/>
                <w:szCs w:val="20"/>
              </w:rPr>
            </w:pPr>
            <w:r w:rsidRPr="009B1C91">
              <w:rPr>
                <w:rFonts w:asciiTheme="minorHAnsi" w:hAnsiTheme="minorHAnsi" w:cstheme="minorHAnsi"/>
                <w:b/>
                <w:bCs/>
                <w:sz w:val="20"/>
                <w:szCs w:val="20"/>
              </w:rPr>
              <w:t>Baseline Year</w:t>
            </w:r>
          </w:p>
        </w:tc>
        <w:tc>
          <w:tcPr>
            <w:tcW w:w="90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b/>
                <w:bCs/>
                <w:sz w:val="20"/>
                <w:szCs w:val="20"/>
              </w:rPr>
            </w:pPr>
            <w:r w:rsidRPr="009B1C91">
              <w:rPr>
                <w:rFonts w:asciiTheme="minorHAnsi" w:hAnsiTheme="minorHAnsi" w:cstheme="minorHAnsi"/>
                <w:b/>
                <w:bCs/>
                <w:sz w:val="20"/>
                <w:szCs w:val="20"/>
              </w:rPr>
              <w:t>Target</w:t>
            </w:r>
          </w:p>
        </w:tc>
        <w:tc>
          <w:tcPr>
            <w:tcW w:w="72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b/>
                <w:bCs/>
                <w:sz w:val="20"/>
                <w:szCs w:val="20"/>
              </w:rPr>
            </w:pPr>
            <w:r w:rsidRPr="009B1C91">
              <w:rPr>
                <w:rFonts w:asciiTheme="minorHAnsi" w:hAnsiTheme="minorHAnsi" w:cstheme="minorHAnsi"/>
                <w:b/>
                <w:bCs/>
                <w:sz w:val="20"/>
                <w:szCs w:val="20"/>
              </w:rPr>
              <w:t>Target Year</w:t>
            </w:r>
          </w:p>
        </w:tc>
        <w:tc>
          <w:tcPr>
            <w:tcW w:w="189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b/>
                <w:bCs/>
                <w:sz w:val="20"/>
                <w:szCs w:val="20"/>
              </w:rPr>
            </w:pPr>
            <w:r w:rsidRPr="009B1C91">
              <w:rPr>
                <w:rFonts w:asciiTheme="minorHAnsi" w:hAnsiTheme="minorHAnsi" w:cstheme="minorHAnsi"/>
                <w:b/>
                <w:bCs/>
                <w:sz w:val="20"/>
                <w:szCs w:val="20"/>
              </w:rPr>
              <w:t>Actual Progress</w:t>
            </w:r>
          </w:p>
        </w:tc>
        <w:tc>
          <w:tcPr>
            <w:tcW w:w="135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b/>
                <w:bCs/>
                <w:sz w:val="20"/>
                <w:szCs w:val="20"/>
              </w:rPr>
            </w:pPr>
            <w:r w:rsidRPr="009B1C91">
              <w:rPr>
                <w:rFonts w:asciiTheme="minorHAnsi" w:hAnsiTheme="minorHAnsi" w:cstheme="minorHAnsi"/>
                <w:b/>
                <w:bCs/>
                <w:sz w:val="20"/>
                <w:szCs w:val="20"/>
              </w:rPr>
              <w:t>Remarks on performance</w:t>
            </w:r>
          </w:p>
        </w:tc>
      </w:tr>
      <w:tr w:rsidR="00AA617C" w:rsidRPr="009B1C91" w:rsidTr="007B1432">
        <w:trPr>
          <w:cantSplit/>
          <w:trHeight w:val="528"/>
        </w:trPr>
        <w:tc>
          <w:tcPr>
            <w:tcW w:w="2088" w:type="dxa"/>
            <w:vMerge w:val="restart"/>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AA617C" w:rsidRPr="009B1C91" w:rsidRDefault="00AA617C" w:rsidP="001B6B15">
            <w:pPr>
              <w:pStyle w:val="Body"/>
              <w:spacing w:after="0" w:line="240" w:lineRule="auto"/>
              <w:rPr>
                <w:rFonts w:asciiTheme="minorHAnsi" w:hAnsiTheme="minorHAnsi" w:cstheme="minorHAnsi"/>
                <w:sz w:val="20"/>
                <w:szCs w:val="20"/>
              </w:rPr>
            </w:pPr>
            <w:r w:rsidRPr="009B1C91">
              <w:rPr>
                <w:rFonts w:asciiTheme="minorHAnsi" w:hAnsiTheme="minorHAnsi" w:cstheme="minorHAnsi"/>
                <w:sz w:val="20"/>
                <w:szCs w:val="20"/>
              </w:rPr>
              <w:t># of Government policies, strategies or plans approved in support of sustainable management of natural resources</w:t>
            </w:r>
          </w:p>
        </w:tc>
        <w:tc>
          <w:tcPr>
            <w:tcW w:w="76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p>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2012</w:t>
            </w:r>
          </w:p>
        </w:tc>
        <w:tc>
          <w:tcPr>
            <w:tcW w:w="9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p>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18 (2)*</w:t>
            </w:r>
          </w:p>
        </w:tc>
        <w:tc>
          <w:tcPr>
            <w:tcW w:w="8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p>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p>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22(4)*</w:t>
            </w:r>
          </w:p>
        </w:tc>
        <w:tc>
          <w:tcPr>
            <w:tcW w:w="7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p>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2016</w:t>
            </w:r>
          </w:p>
        </w:tc>
        <w:tc>
          <w:tcPr>
            <w:tcW w:w="189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p>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p>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Delayed</w:t>
            </w:r>
          </w:p>
        </w:tc>
      </w:tr>
      <w:tr w:rsidR="00AA617C" w:rsidRPr="009B1C91" w:rsidTr="007B1432">
        <w:trPr>
          <w:cantSplit/>
          <w:trHeight w:val="160"/>
        </w:trPr>
        <w:tc>
          <w:tcPr>
            <w:tcW w:w="2088" w:type="dxa"/>
            <w:vMerge/>
            <w:tcBorders>
              <w:top w:val="single" w:sz="4" w:space="0" w:color="000000"/>
              <w:left w:val="single" w:sz="4" w:space="0" w:color="000000"/>
              <w:bottom w:val="single" w:sz="4" w:space="0" w:color="000000"/>
              <w:right w:val="single" w:sz="4" w:space="0" w:color="000000"/>
            </w:tcBorders>
            <w:shd w:val="clear" w:color="auto" w:fill="C6D9F1"/>
          </w:tcPr>
          <w:p w:rsidR="00AA617C" w:rsidRPr="009B1C91" w:rsidRDefault="00AA617C" w:rsidP="001B6B15">
            <w:pPr>
              <w:rPr>
                <w:rFonts w:asciiTheme="minorHAnsi" w:hAnsiTheme="minorHAnsi" w:cstheme="minorHAnsi"/>
              </w:rPr>
            </w:pPr>
          </w:p>
        </w:tc>
        <w:tc>
          <w:tcPr>
            <w:tcW w:w="76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2013</w:t>
            </w:r>
          </w:p>
        </w:tc>
        <w:tc>
          <w:tcPr>
            <w:tcW w:w="9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 xml:space="preserve">18(2)* </w:t>
            </w:r>
          </w:p>
        </w:tc>
        <w:tc>
          <w:tcPr>
            <w:tcW w:w="8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22(7)*</w:t>
            </w:r>
          </w:p>
        </w:tc>
        <w:tc>
          <w:tcPr>
            <w:tcW w:w="7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2016</w:t>
            </w:r>
          </w:p>
        </w:tc>
        <w:tc>
          <w:tcPr>
            <w:tcW w:w="189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Delayed</w:t>
            </w:r>
          </w:p>
        </w:tc>
      </w:tr>
      <w:tr w:rsidR="00AA617C" w:rsidRPr="009B1C91" w:rsidTr="007B1432">
        <w:trPr>
          <w:cantSplit/>
          <w:trHeight w:val="160"/>
        </w:trPr>
        <w:tc>
          <w:tcPr>
            <w:tcW w:w="2088" w:type="dxa"/>
            <w:vMerge/>
            <w:tcBorders>
              <w:top w:val="single" w:sz="4" w:space="0" w:color="000000"/>
              <w:left w:val="single" w:sz="4" w:space="0" w:color="000000"/>
              <w:bottom w:val="single" w:sz="4" w:space="0" w:color="000000"/>
              <w:right w:val="single" w:sz="4" w:space="0" w:color="000000"/>
            </w:tcBorders>
            <w:shd w:val="clear" w:color="auto" w:fill="C6D9F1"/>
          </w:tcPr>
          <w:p w:rsidR="00AA617C" w:rsidRPr="009B1C91" w:rsidRDefault="00AA617C" w:rsidP="001B6B15">
            <w:pPr>
              <w:rPr>
                <w:rFonts w:asciiTheme="minorHAnsi" w:hAnsiTheme="minorHAnsi" w:cstheme="minorHAnsi"/>
              </w:rPr>
            </w:pPr>
          </w:p>
        </w:tc>
        <w:tc>
          <w:tcPr>
            <w:tcW w:w="76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2014</w:t>
            </w:r>
          </w:p>
        </w:tc>
        <w:tc>
          <w:tcPr>
            <w:tcW w:w="9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18(18)*</w:t>
            </w:r>
          </w:p>
        </w:tc>
        <w:tc>
          <w:tcPr>
            <w:tcW w:w="8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2011</w:t>
            </w:r>
          </w:p>
        </w:tc>
        <w:tc>
          <w:tcPr>
            <w:tcW w:w="9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22 (20)*</w:t>
            </w:r>
          </w:p>
        </w:tc>
        <w:tc>
          <w:tcPr>
            <w:tcW w:w="72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2016</w:t>
            </w:r>
          </w:p>
        </w:tc>
        <w:tc>
          <w:tcPr>
            <w:tcW w:w="189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 xml:space="preserve">0 (2 sectoral policies are in the pipeline) </w:t>
            </w:r>
          </w:p>
        </w:tc>
        <w:tc>
          <w:tcPr>
            <w:tcW w:w="135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20"/>
                <w:szCs w:val="20"/>
              </w:rPr>
            </w:pPr>
            <w:r w:rsidRPr="009B1C91">
              <w:rPr>
                <w:rFonts w:asciiTheme="minorHAnsi" w:hAnsiTheme="minorHAnsi" w:cstheme="minorHAnsi"/>
                <w:sz w:val="20"/>
                <w:szCs w:val="20"/>
              </w:rPr>
              <w:t>Marginally Satisfactory</w:t>
            </w:r>
          </w:p>
        </w:tc>
      </w:tr>
    </w:tbl>
    <w:p w:rsidR="00AA617C" w:rsidRPr="009B1C91" w:rsidRDefault="00AA617C" w:rsidP="00F653F8">
      <w:pPr>
        <w:pStyle w:val="Body"/>
        <w:spacing w:after="0" w:line="240" w:lineRule="auto"/>
        <w:jc w:val="both"/>
        <w:rPr>
          <w:rFonts w:asciiTheme="minorHAnsi" w:hAnsiTheme="minorHAnsi" w:cstheme="minorHAnsi"/>
          <w:sz w:val="18"/>
          <w:szCs w:val="18"/>
        </w:rPr>
      </w:pPr>
      <w:r w:rsidRPr="009B1C91">
        <w:rPr>
          <w:rFonts w:asciiTheme="minorHAnsi" w:hAnsiTheme="minorHAnsi" w:cstheme="minorHAnsi"/>
          <w:sz w:val="18"/>
          <w:szCs w:val="18"/>
        </w:rPr>
        <w:t xml:space="preserve">  * These data within parentheses were obtained from a UNDAF report which erroneously counted an extremely low-baseline policy and strategy plan that supported NRM in the country numbers (2 for 2012 and 2 for 2013). A subsequent counting revealed that the actual number was 18 (source: Interview with UNDP representative).</w:t>
      </w:r>
    </w:p>
    <w:p w:rsidR="00AA617C" w:rsidRPr="009B1C91" w:rsidRDefault="00AA617C" w:rsidP="00F653F8">
      <w:pPr>
        <w:pStyle w:val="Body"/>
        <w:spacing w:after="0" w:line="240" w:lineRule="auto"/>
        <w:jc w:val="both"/>
        <w:rPr>
          <w:rFonts w:asciiTheme="minorHAnsi" w:hAnsiTheme="minorHAnsi" w:cstheme="minorHAnsi"/>
          <w:lang w:val="fr-FR"/>
        </w:rPr>
      </w:pPr>
      <w:r w:rsidRPr="009B1C91">
        <w:rPr>
          <w:rFonts w:asciiTheme="minorHAnsi" w:hAnsiTheme="minorHAnsi" w:cstheme="minorHAnsi"/>
          <w:lang w:val="fr-FR"/>
        </w:rPr>
        <w:t>Source: ROAR (2012-2014</w:t>
      </w:r>
      <w:r w:rsidR="004C3803" w:rsidRPr="009B1C91">
        <w:rPr>
          <w:rFonts w:asciiTheme="minorHAnsi" w:hAnsiTheme="minorHAnsi" w:cstheme="minorHAnsi"/>
          <w:lang w:val="fr-FR"/>
        </w:rPr>
        <w:t>)</w:t>
      </w:r>
    </w:p>
    <w:p w:rsidR="004172B4" w:rsidRPr="009B1C91" w:rsidRDefault="004172B4" w:rsidP="000D05D5">
      <w:pPr>
        <w:pStyle w:val="Body"/>
        <w:spacing w:after="0" w:line="240" w:lineRule="auto"/>
        <w:rPr>
          <w:rFonts w:asciiTheme="minorHAnsi" w:hAnsiTheme="minorHAnsi" w:cstheme="minorHAnsi"/>
        </w:rPr>
      </w:pPr>
    </w:p>
    <w:p w:rsidR="00960380" w:rsidRPr="009B1C91" w:rsidRDefault="00960380" w:rsidP="000D05D5">
      <w:pPr>
        <w:pStyle w:val="Body"/>
        <w:spacing w:after="0" w:line="240" w:lineRule="auto"/>
        <w:rPr>
          <w:rFonts w:asciiTheme="minorHAnsi" w:hAnsiTheme="minorHAnsi" w:cstheme="minorHAnsi"/>
        </w:rPr>
      </w:pPr>
    </w:p>
    <w:p w:rsidR="00F653F8"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Only a few UNDP interventions in the energy area by the CCED Cluster were registered by the evaluators, one of which is the REDD+ readiness road map which directly contributed to this outcome.  There are other achievements in the portfolio that do not count towards this indicator but could be counted towards the indicator if it would have been formulated more broadly to capture all policies in the area of environmental governance influenced by UNDP during the time frame in question, including those in the area of ODS, pollution, green growth and energy.</w:t>
      </w:r>
    </w:p>
    <w:p w:rsidR="00AA617C" w:rsidRPr="009B1C91" w:rsidRDefault="00AA617C"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color w:val="FF0000"/>
          <w:u w:color="FF0000"/>
        </w:rPr>
      </w:pPr>
      <w:r w:rsidRPr="009B1C91">
        <w:rPr>
          <w:rFonts w:asciiTheme="minorHAnsi" w:hAnsiTheme="minorHAnsi" w:cstheme="minorHAnsi"/>
        </w:rPr>
        <w:t>For the area of access to energy, using “energy produced from renewable energy” as outcome level indicator, and the percentage of households in targeted areas with renewable energy (Baseline: 2010: to be established in 2012; Target: 2016: 15% improvement) is not viable as operational level indicator. It is worth noting that these formulations variously measure installed capacity and energy generated. An Evaluability Assessment</w:t>
      </w:r>
      <w:r w:rsidR="006E7EC0" w:rsidRPr="009B1C91">
        <w:rPr>
          <w:rStyle w:val="FootnoteReference"/>
          <w:rFonts w:asciiTheme="minorHAnsi" w:hAnsiTheme="minorHAnsi" w:cstheme="minorHAnsi"/>
        </w:rPr>
        <w:footnoteReference w:id="48"/>
      </w:r>
      <w:r w:rsidRPr="009B1C91">
        <w:rPr>
          <w:rFonts w:asciiTheme="minorHAnsi" w:hAnsiTheme="minorHAnsi" w:cstheme="minorHAnsi"/>
        </w:rPr>
        <w:t xml:space="preserve"> found that it is hard to measure changes by these indicators as no baseline measurements were taken in 2012. The country program outcome statements retroactively use a measure of “72 MW” but do not declare what exactly is being measured. Potentially, this relates to the total installed capacity of Solar Home Systems in Bangladesh. In the later formulations, the indicators were changed and the number of households benefitting was replaced by the number of partnerships </w:t>
      </w:r>
      <w:r w:rsidR="0004386D" w:rsidRPr="009B1C91">
        <w:rPr>
          <w:rFonts w:asciiTheme="minorHAnsi" w:hAnsiTheme="minorHAnsi" w:cstheme="minorHAnsi"/>
          <w:color w:val="auto"/>
          <w:u w:color="FF0000"/>
        </w:rPr>
        <w:t>(Table 4.1.2.2</w:t>
      </w:r>
      <w:r w:rsidRPr="009B1C91">
        <w:rPr>
          <w:rFonts w:asciiTheme="minorHAnsi" w:hAnsiTheme="minorHAnsi" w:cstheme="minorHAnsi"/>
          <w:color w:val="auto"/>
          <w:u w:color="FF0000"/>
        </w:rPr>
        <w:t>).</w:t>
      </w:r>
    </w:p>
    <w:p w:rsidR="00A930DA" w:rsidRPr="009B1C91" w:rsidRDefault="00A930DA" w:rsidP="00F653F8">
      <w:pPr>
        <w:pStyle w:val="Body"/>
        <w:spacing w:after="0" w:line="240" w:lineRule="auto"/>
        <w:jc w:val="both"/>
        <w:rPr>
          <w:rFonts w:asciiTheme="minorHAnsi" w:hAnsiTheme="minorHAnsi" w:cstheme="minorHAnsi"/>
          <w:b/>
          <w:bCs/>
        </w:rPr>
      </w:pPr>
    </w:p>
    <w:p w:rsidR="00960380" w:rsidRDefault="00960380"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None of the UNDP interventions operating prior to 2014 contributed significantly to the country programme indicators. Only one project in the portfolio, namely the development of Sustainable Renewable Energy Power Generation (SREPGen), will contribute directly to the targeted CPD outcome. SREPGen’s implementation has begun only recently, so the results cannot be included in this evaluation. This project is supported by GEF funds, and part of the resources for which the mobilization was outstanding at the time of the writing the Country Programme. The activities scheduled for the SREPGen will contribute to the outcome indicators formulated as they are consistent with the current plans under this project</w:t>
      </w:r>
      <w:r w:rsidRPr="009B1C91">
        <w:rPr>
          <w:rStyle w:val="FootnoteReference"/>
          <w:rFonts w:asciiTheme="minorHAnsi" w:hAnsiTheme="minorHAnsi" w:cstheme="minorHAnsi"/>
        </w:rPr>
        <w:footnoteReference w:id="49"/>
      </w:r>
      <w:r w:rsidRPr="009B1C91">
        <w:rPr>
          <w:rFonts w:asciiTheme="minorHAnsi" w:hAnsiTheme="minorHAnsi" w:cstheme="minorHAnsi"/>
        </w:rPr>
        <w:t xml:space="preserve">. </w:t>
      </w:r>
    </w:p>
    <w:p w:rsidR="00AA288B" w:rsidRPr="009B1C91" w:rsidRDefault="00AA288B" w:rsidP="00F653F8">
      <w:pPr>
        <w:pStyle w:val="Body"/>
        <w:spacing w:after="0" w:line="240" w:lineRule="auto"/>
        <w:jc w:val="both"/>
        <w:rPr>
          <w:rFonts w:asciiTheme="minorHAnsi" w:hAnsiTheme="minorHAnsi" w:cstheme="minorHAnsi"/>
          <w:b/>
          <w:bCs/>
        </w:rPr>
      </w:pPr>
    </w:p>
    <w:p w:rsidR="00AA617C" w:rsidRPr="009B1C91" w:rsidRDefault="0004386D" w:rsidP="00F653F8">
      <w:pPr>
        <w:pStyle w:val="Body"/>
        <w:spacing w:after="0" w:line="240" w:lineRule="auto"/>
        <w:jc w:val="both"/>
        <w:rPr>
          <w:rFonts w:asciiTheme="minorHAnsi" w:hAnsiTheme="minorHAnsi" w:cstheme="minorHAnsi"/>
        </w:rPr>
      </w:pPr>
      <w:r w:rsidRPr="009B1C91">
        <w:rPr>
          <w:rFonts w:asciiTheme="minorHAnsi" w:hAnsiTheme="minorHAnsi" w:cstheme="minorHAnsi"/>
          <w:b/>
          <w:bCs/>
        </w:rPr>
        <w:t>Table 4.1.2.2</w:t>
      </w:r>
      <w:r w:rsidR="00AA617C" w:rsidRPr="009B1C91">
        <w:rPr>
          <w:rFonts w:asciiTheme="minorHAnsi" w:hAnsiTheme="minorHAnsi" w:cstheme="minorHAnsi"/>
          <w:b/>
          <w:bCs/>
        </w:rPr>
        <w:t>:</w:t>
      </w:r>
      <w:r w:rsidR="00AA617C" w:rsidRPr="009B1C91">
        <w:rPr>
          <w:rFonts w:asciiTheme="minorHAnsi" w:hAnsiTheme="minorHAnsi" w:cstheme="minorHAnsi"/>
        </w:rPr>
        <w:t xml:space="preserve"> Progress on outcome indicators during 2012-2014 on vulnerable populations benefitting from better access to low carbon energy </w:t>
      </w:r>
    </w:p>
    <w:tbl>
      <w:tblPr>
        <w:tblW w:w="9637" w:type="dxa"/>
        <w:tblInd w:w="163" w:type="dxa"/>
        <w:tblLayout w:type="fixed"/>
        <w:tblCellMar>
          <w:left w:w="115" w:type="dxa"/>
          <w:right w:w="115" w:type="dxa"/>
        </w:tblCellMar>
        <w:tblLook w:val="0000" w:firstRow="0" w:lastRow="0" w:firstColumn="0" w:lastColumn="0" w:noHBand="0" w:noVBand="0"/>
      </w:tblPr>
      <w:tblGrid>
        <w:gridCol w:w="1905"/>
        <w:gridCol w:w="802"/>
        <w:gridCol w:w="810"/>
        <w:gridCol w:w="1692"/>
        <w:gridCol w:w="918"/>
        <w:gridCol w:w="851"/>
        <w:gridCol w:w="949"/>
        <w:gridCol w:w="931"/>
        <w:gridCol w:w="779"/>
      </w:tblGrid>
      <w:tr w:rsidR="00AA617C" w:rsidRPr="009B1C91" w:rsidTr="00A930DA">
        <w:trPr>
          <w:cantSplit/>
          <w:trHeight w:val="360"/>
        </w:trPr>
        <w:tc>
          <w:tcPr>
            <w:tcW w:w="19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b/>
                <w:bCs/>
                <w:sz w:val="18"/>
                <w:szCs w:val="18"/>
              </w:rPr>
            </w:pPr>
            <w:r w:rsidRPr="009B1C91">
              <w:rPr>
                <w:rFonts w:asciiTheme="minorHAnsi" w:hAnsiTheme="minorHAnsi" w:cstheme="minorHAnsi"/>
                <w:b/>
                <w:bCs/>
                <w:sz w:val="18"/>
                <w:szCs w:val="18"/>
              </w:rPr>
              <w:t>Indicator components</w:t>
            </w:r>
          </w:p>
        </w:tc>
        <w:tc>
          <w:tcPr>
            <w:tcW w:w="802"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b/>
                <w:bCs/>
                <w:sz w:val="18"/>
                <w:szCs w:val="18"/>
              </w:rPr>
            </w:pPr>
            <w:r w:rsidRPr="009B1C91">
              <w:rPr>
                <w:rFonts w:asciiTheme="minorHAnsi" w:hAnsiTheme="minorHAnsi" w:cstheme="minorHAnsi"/>
                <w:b/>
                <w:bCs/>
                <w:sz w:val="18"/>
                <w:szCs w:val="18"/>
              </w:rPr>
              <w:t>Baseline</w:t>
            </w:r>
          </w:p>
        </w:tc>
        <w:tc>
          <w:tcPr>
            <w:tcW w:w="81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b/>
                <w:bCs/>
                <w:sz w:val="18"/>
                <w:szCs w:val="18"/>
              </w:rPr>
            </w:pPr>
            <w:r w:rsidRPr="009B1C91">
              <w:rPr>
                <w:rFonts w:asciiTheme="minorHAnsi" w:hAnsiTheme="minorHAnsi" w:cstheme="minorHAnsi"/>
                <w:b/>
                <w:bCs/>
                <w:sz w:val="18"/>
                <w:szCs w:val="18"/>
              </w:rPr>
              <w:t>Year Baseline</w:t>
            </w:r>
          </w:p>
        </w:tc>
        <w:tc>
          <w:tcPr>
            <w:tcW w:w="1692"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b/>
                <w:bCs/>
                <w:sz w:val="18"/>
                <w:szCs w:val="18"/>
              </w:rPr>
            </w:pPr>
            <w:r w:rsidRPr="009B1C91">
              <w:rPr>
                <w:rFonts w:asciiTheme="minorHAnsi" w:hAnsiTheme="minorHAnsi" w:cstheme="minorHAnsi"/>
                <w:b/>
                <w:bCs/>
                <w:sz w:val="18"/>
                <w:szCs w:val="18"/>
              </w:rPr>
              <w:t>Source Baseline</w:t>
            </w:r>
          </w:p>
        </w:tc>
        <w:tc>
          <w:tcPr>
            <w:tcW w:w="918"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b/>
                <w:bCs/>
                <w:sz w:val="18"/>
                <w:szCs w:val="18"/>
              </w:rPr>
            </w:pPr>
            <w:r w:rsidRPr="009B1C91">
              <w:rPr>
                <w:rFonts w:asciiTheme="minorHAnsi" w:hAnsiTheme="minorHAnsi" w:cstheme="minorHAnsi"/>
                <w:b/>
                <w:bCs/>
                <w:sz w:val="18"/>
                <w:szCs w:val="18"/>
              </w:rPr>
              <w:t>Milestone 2014</w:t>
            </w:r>
          </w:p>
        </w:tc>
        <w:tc>
          <w:tcPr>
            <w:tcW w:w="85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b/>
                <w:bCs/>
                <w:sz w:val="18"/>
                <w:szCs w:val="18"/>
              </w:rPr>
            </w:pPr>
            <w:r w:rsidRPr="009B1C91">
              <w:rPr>
                <w:rFonts w:asciiTheme="minorHAnsi" w:hAnsiTheme="minorHAnsi" w:cstheme="minorHAnsi"/>
                <w:b/>
                <w:bCs/>
                <w:sz w:val="18"/>
                <w:szCs w:val="18"/>
              </w:rPr>
              <w:t>Actual Progress by end 2014</w:t>
            </w:r>
          </w:p>
        </w:tc>
        <w:tc>
          <w:tcPr>
            <w:tcW w:w="949"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b/>
                <w:bCs/>
                <w:sz w:val="18"/>
                <w:szCs w:val="18"/>
              </w:rPr>
            </w:pPr>
            <w:r w:rsidRPr="009B1C91">
              <w:rPr>
                <w:rFonts w:asciiTheme="minorHAnsi" w:hAnsiTheme="minorHAnsi" w:cstheme="minorHAnsi"/>
                <w:b/>
                <w:bCs/>
                <w:sz w:val="18"/>
                <w:szCs w:val="18"/>
              </w:rPr>
              <w:t>Milestone 2015</w:t>
            </w:r>
          </w:p>
        </w:tc>
        <w:tc>
          <w:tcPr>
            <w:tcW w:w="93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b/>
                <w:bCs/>
                <w:sz w:val="18"/>
                <w:szCs w:val="18"/>
              </w:rPr>
            </w:pPr>
            <w:r w:rsidRPr="009B1C91">
              <w:rPr>
                <w:rFonts w:asciiTheme="minorHAnsi" w:hAnsiTheme="minorHAnsi" w:cstheme="minorHAnsi"/>
                <w:b/>
                <w:bCs/>
                <w:sz w:val="18"/>
                <w:szCs w:val="18"/>
              </w:rPr>
              <w:t>Milestone/</w:t>
            </w:r>
          </w:p>
          <w:p w:rsidR="00AA617C" w:rsidRPr="009B1C91" w:rsidRDefault="00AA617C" w:rsidP="001B6B15">
            <w:pPr>
              <w:pStyle w:val="Body"/>
              <w:spacing w:after="0" w:line="240" w:lineRule="auto"/>
              <w:jc w:val="center"/>
              <w:rPr>
                <w:rFonts w:asciiTheme="minorHAnsi" w:hAnsiTheme="minorHAnsi" w:cstheme="minorHAnsi"/>
                <w:b/>
                <w:bCs/>
                <w:sz w:val="18"/>
                <w:szCs w:val="18"/>
              </w:rPr>
            </w:pPr>
            <w:r w:rsidRPr="009B1C91">
              <w:rPr>
                <w:rFonts w:asciiTheme="minorHAnsi" w:hAnsiTheme="minorHAnsi" w:cstheme="minorHAnsi"/>
                <w:b/>
                <w:bCs/>
                <w:sz w:val="18"/>
                <w:szCs w:val="18"/>
              </w:rPr>
              <w:t>Target 2016</w:t>
            </w:r>
          </w:p>
        </w:tc>
        <w:tc>
          <w:tcPr>
            <w:tcW w:w="779"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b/>
                <w:bCs/>
                <w:sz w:val="18"/>
                <w:szCs w:val="18"/>
              </w:rPr>
            </w:pPr>
            <w:r w:rsidRPr="009B1C91">
              <w:rPr>
                <w:rFonts w:asciiTheme="minorHAnsi" w:hAnsiTheme="minorHAnsi" w:cstheme="minorHAnsi"/>
                <w:b/>
                <w:bCs/>
                <w:sz w:val="18"/>
                <w:szCs w:val="18"/>
              </w:rPr>
              <w:t>Target 2017</w:t>
            </w:r>
          </w:p>
        </w:tc>
      </w:tr>
      <w:tr w:rsidR="00AA617C" w:rsidRPr="009B1C91" w:rsidTr="00A930DA">
        <w:trPr>
          <w:cantSplit/>
          <w:trHeight w:val="350"/>
        </w:trPr>
        <w:tc>
          <w:tcPr>
            <w:tcW w:w="1905" w:type="dxa"/>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tcPr>
          <w:p w:rsidR="00AA617C" w:rsidRPr="009B1C91" w:rsidRDefault="00AA617C" w:rsidP="001B6B15">
            <w:pPr>
              <w:pStyle w:val="Body"/>
              <w:spacing w:after="0" w:line="240" w:lineRule="auto"/>
              <w:rPr>
                <w:rFonts w:asciiTheme="minorHAnsi" w:hAnsiTheme="minorHAnsi" w:cstheme="minorHAnsi"/>
                <w:sz w:val="18"/>
                <w:szCs w:val="18"/>
              </w:rPr>
            </w:pPr>
            <w:r w:rsidRPr="009B1C91">
              <w:rPr>
                <w:rFonts w:asciiTheme="minorHAnsi" w:hAnsiTheme="minorHAnsi" w:cstheme="minorHAnsi"/>
                <w:sz w:val="18"/>
                <w:szCs w:val="18"/>
              </w:rPr>
              <w:t>Number of new development partnerships with funding for improved energy efficiency and/or sustainable energy solutions targeting underserved communities/groups and women</w:t>
            </w:r>
          </w:p>
        </w:tc>
        <w:tc>
          <w:tcPr>
            <w:tcW w:w="802"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2013</w:t>
            </w:r>
          </w:p>
        </w:tc>
        <w:tc>
          <w:tcPr>
            <w:tcW w:w="1692"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Development of Sustainable Renewable Energy Power Generation (SREPGen) Initiation Plan, 2012; SREPGen Initiation Plan Annual Work Plan 2013; SREPGen Project, Signed Project Document 2013</w:t>
            </w:r>
          </w:p>
        </w:tc>
        <w:tc>
          <w:tcPr>
            <w:tcW w:w="918"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1</w:t>
            </w:r>
          </w:p>
        </w:tc>
        <w:tc>
          <w:tcPr>
            <w:tcW w:w="949"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2</w:t>
            </w:r>
          </w:p>
        </w:tc>
        <w:tc>
          <w:tcPr>
            <w:tcW w:w="931"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2</w:t>
            </w:r>
          </w:p>
        </w:tc>
        <w:tc>
          <w:tcPr>
            <w:tcW w:w="779"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3</w:t>
            </w:r>
          </w:p>
        </w:tc>
      </w:tr>
      <w:tr w:rsidR="00AA617C" w:rsidRPr="009B1C91" w:rsidTr="00A930DA">
        <w:trPr>
          <w:cantSplit/>
          <w:trHeight w:val="350"/>
        </w:trPr>
        <w:tc>
          <w:tcPr>
            <w:tcW w:w="1905" w:type="dxa"/>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tcPr>
          <w:p w:rsidR="00AA617C" w:rsidRPr="009B1C91" w:rsidRDefault="00AA617C" w:rsidP="001B6B15">
            <w:pPr>
              <w:pStyle w:val="Body"/>
              <w:spacing w:after="0" w:line="240" w:lineRule="auto"/>
              <w:rPr>
                <w:rFonts w:asciiTheme="minorHAnsi" w:hAnsiTheme="minorHAnsi" w:cstheme="minorHAnsi"/>
                <w:sz w:val="18"/>
                <w:szCs w:val="18"/>
              </w:rPr>
            </w:pPr>
            <w:r w:rsidRPr="009B1C91">
              <w:rPr>
                <w:rFonts w:asciiTheme="minorHAnsi" w:hAnsiTheme="minorHAnsi" w:cstheme="minorHAnsi"/>
                <w:sz w:val="18"/>
                <w:szCs w:val="18"/>
              </w:rPr>
              <w:t xml:space="preserve">Number of people with improved energy access as a result of UNDP-supported intervention </w:t>
            </w:r>
          </w:p>
        </w:tc>
        <w:tc>
          <w:tcPr>
            <w:tcW w:w="802"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0</w:t>
            </w:r>
          </w:p>
        </w:tc>
        <w:tc>
          <w:tcPr>
            <w:tcW w:w="810"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2013</w:t>
            </w:r>
          </w:p>
        </w:tc>
        <w:tc>
          <w:tcPr>
            <w:tcW w:w="1692"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Power Division, Ministry of Power, Energy and Mineral Resources, 2013, 2014; Development of Sustainable Renewable Energy Power Generation Project Database 2013, 2014</w:t>
            </w:r>
          </w:p>
        </w:tc>
        <w:tc>
          <w:tcPr>
            <w:tcW w:w="918"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0</w:t>
            </w:r>
          </w:p>
        </w:tc>
        <w:tc>
          <w:tcPr>
            <w:tcW w:w="949"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20,000</w:t>
            </w:r>
          </w:p>
        </w:tc>
        <w:tc>
          <w:tcPr>
            <w:tcW w:w="931"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233,000</w:t>
            </w:r>
          </w:p>
        </w:tc>
        <w:tc>
          <w:tcPr>
            <w:tcW w:w="779"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446,000</w:t>
            </w:r>
          </w:p>
        </w:tc>
      </w:tr>
      <w:tr w:rsidR="00AA617C" w:rsidRPr="009B1C91" w:rsidTr="00A930DA">
        <w:trPr>
          <w:cantSplit/>
          <w:trHeight w:val="350"/>
        </w:trPr>
        <w:tc>
          <w:tcPr>
            <w:tcW w:w="1905" w:type="dxa"/>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tcPr>
          <w:p w:rsidR="00AA617C" w:rsidRPr="009B1C91" w:rsidRDefault="00AA617C" w:rsidP="001B6B15">
            <w:pPr>
              <w:pStyle w:val="Body"/>
              <w:spacing w:after="0" w:line="240" w:lineRule="auto"/>
              <w:rPr>
                <w:rFonts w:asciiTheme="minorHAnsi" w:hAnsiTheme="minorHAnsi" w:cstheme="minorHAnsi"/>
                <w:sz w:val="18"/>
                <w:szCs w:val="18"/>
              </w:rPr>
            </w:pPr>
            <w:r w:rsidRPr="009B1C91">
              <w:rPr>
                <w:rFonts w:asciiTheme="minorHAnsi" w:hAnsiTheme="minorHAnsi" w:cstheme="minorHAnsi"/>
                <w:sz w:val="18"/>
                <w:szCs w:val="18"/>
              </w:rPr>
              <w:t>Number of MW generated from renewable sources</w:t>
            </w:r>
          </w:p>
        </w:tc>
        <w:tc>
          <w:tcPr>
            <w:tcW w:w="802"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2011</w:t>
            </w:r>
          </w:p>
        </w:tc>
        <w:tc>
          <w:tcPr>
            <w:tcW w:w="1692"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Number of MW generated from renewable sources </w:t>
            </w:r>
          </w:p>
        </w:tc>
        <w:tc>
          <w:tcPr>
            <w:tcW w:w="918"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403 MW</w:t>
            </w:r>
          </w:p>
        </w:tc>
        <w:tc>
          <w:tcPr>
            <w:tcW w:w="949"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w:t>
            </w:r>
          </w:p>
        </w:tc>
        <w:tc>
          <w:tcPr>
            <w:tcW w:w="931"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 800 MW</w:t>
            </w:r>
          </w:p>
        </w:tc>
        <w:tc>
          <w:tcPr>
            <w:tcW w:w="779" w:type="dxa"/>
            <w:tcBorders>
              <w:top w:val="single" w:sz="4" w:space="0" w:color="000000"/>
              <w:left w:val="single" w:sz="4" w:space="0" w:color="000000"/>
              <w:bottom w:val="single" w:sz="4" w:space="0" w:color="000000"/>
              <w:right w:val="single" w:sz="4" w:space="0" w:color="000000"/>
            </w:tcBorders>
            <w:shd w:val="clear" w:color="auto" w:fill="E6E6F1"/>
            <w:tcMar>
              <w:top w:w="80" w:type="dxa"/>
              <w:left w:w="80" w:type="dxa"/>
              <w:bottom w:w="80" w:type="dxa"/>
              <w:right w:w="80" w:type="dxa"/>
            </w:tcMar>
          </w:tcPr>
          <w:p w:rsidR="00AA617C" w:rsidRPr="009B1C91" w:rsidRDefault="00AA617C" w:rsidP="001B6B15">
            <w:pPr>
              <w:pStyle w:val="Body"/>
              <w:spacing w:after="0" w:line="240" w:lineRule="auto"/>
              <w:jc w:val="center"/>
              <w:rPr>
                <w:rFonts w:asciiTheme="minorHAnsi" w:hAnsiTheme="minorHAnsi" w:cstheme="minorHAnsi"/>
                <w:sz w:val="18"/>
                <w:szCs w:val="18"/>
              </w:rPr>
            </w:pPr>
            <w:r w:rsidRPr="009B1C91">
              <w:rPr>
                <w:rFonts w:asciiTheme="minorHAnsi" w:hAnsiTheme="minorHAnsi" w:cstheme="minorHAnsi"/>
                <w:sz w:val="18"/>
                <w:szCs w:val="18"/>
              </w:rPr>
              <w:t>-</w:t>
            </w:r>
          </w:p>
        </w:tc>
      </w:tr>
    </w:tbl>
    <w:p w:rsidR="0004386D" w:rsidRPr="009B1C91" w:rsidRDefault="0004386D" w:rsidP="00F653F8">
      <w:pPr>
        <w:pStyle w:val="Body"/>
        <w:spacing w:after="0" w:line="240" w:lineRule="auto"/>
        <w:jc w:val="both"/>
        <w:rPr>
          <w:rFonts w:asciiTheme="minorHAnsi" w:hAnsiTheme="minorHAnsi" w:cstheme="minorHAnsi"/>
        </w:rPr>
      </w:pPr>
    </w:p>
    <w:p w:rsidR="00AA288B" w:rsidRPr="009B1C91" w:rsidRDefault="00AA288B" w:rsidP="00AA288B">
      <w:pPr>
        <w:pStyle w:val="Body"/>
        <w:spacing w:after="0" w:line="240" w:lineRule="auto"/>
        <w:jc w:val="both"/>
        <w:rPr>
          <w:rFonts w:asciiTheme="minorHAnsi" w:hAnsiTheme="minorHAnsi" w:cstheme="minorHAnsi"/>
        </w:rPr>
      </w:pPr>
      <w:r w:rsidRPr="009B1C91">
        <w:rPr>
          <w:rFonts w:asciiTheme="minorHAnsi" w:hAnsiTheme="minorHAnsi" w:cstheme="minorHAnsi"/>
        </w:rPr>
        <w:t>However, caution is required as this area is currently being piloted by other strong institutions e.g. SREDA and IDCOL. In particular, IFC occupies the field of solar lanterns in the rural electrification arena with their “Lighting Asia-Bangladesh” initiatives. If UNDP funds were used for solar lanterns, attribution to the UNDP/SREPGen project would likely be limited. It is more likely that the incremental effect will be low. Similarly, KfW is supporting the financing of solar water pumping through IDCOL</w:t>
      </w:r>
      <w:r w:rsidRPr="009B1C91">
        <w:rPr>
          <w:rStyle w:val="FootnoteReference"/>
          <w:rFonts w:asciiTheme="minorHAnsi" w:hAnsiTheme="minorHAnsi" w:cstheme="minorHAnsi"/>
        </w:rPr>
        <w:footnoteReference w:id="50"/>
      </w:r>
      <w:r w:rsidRPr="009B1C91">
        <w:rPr>
          <w:rFonts w:asciiTheme="minorHAnsi" w:hAnsiTheme="minorHAnsi" w:cstheme="minorHAnsi"/>
        </w:rPr>
        <w:t xml:space="preserve">. UNDP should </w:t>
      </w:r>
      <w:r w:rsidRPr="009B1C91">
        <w:rPr>
          <w:rFonts w:asciiTheme="minorHAnsi" w:hAnsiTheme="minorHAnsi" w:cstheme="minorHAnsi"/>
        </w:rPr>
        <w:lastRenderedPageBreak/>
        <w:t>reconsider allocating these funds to areas within the broad field of SREDA activities that justify additional funds e.g. implementation of some of aspects of the Energy Efficiency and Energy Conservation Master Plan</w:t>
      </w:r>
      <w:r w:rsidRPr="009B1C91">
        <w:rPr>
          <w:rStyle w:val="FootnoteReference"/>
          <w:rFonts w:asciiTheme="minorHAnsi" w:hAnsiTheme="minorHAnsi" w:cstheme="minorHAnsi"/>
        </w:rPr>
        <w:footnoteReference w:id="51"/>
      </w:r>
      <w:r w:rsidRPr="009B1C91">
        <w:rPr>
          <w:rFonts w:asciiTheme="minorHAnsi" w:hAnsiTheme="minorHAnsi" w:cstheme="minorHAnsi"/>
        </w:rPr>
        <w:t xml:space="preserve">. </w:t>
      </w:r>
    </w:p>
    <w:p w:rsidR="00AA288B" w:rsidRDefault="00AA288B" w:rsidP="00F653F8">
      <w:pPr>
        <w:pStyle w:val="Body"/>
        <w:spacing w:after="0" w:line="240" w:lineRule="auto"/>
        <w:jc w:val="both"/>
        <w:rPr>
          <w:rFonts w:asciiTheme="minorHAnsi" w:hAnsiTheme="minorHAnsi" w:cstheme="minorHAnsi"/>
        </w:rPr>
      </w:pPr>
    </w:p>
    <w:p w:rsidR="00AA617C"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 xml:space="preserve">Other renewable energy area projects under development which have delivered results already do not directly link to the outcome indicators as they are in the field of energy efficiency. It is estimated by the project team that the BRESL project has delivered energy savings equivalent to 100,000 households. However, this energy will most likely not be available to off-grid households which are specifically the target of the outcome indicator. </w:t>
      </w:r>
    </w:p>
    <w:p w:rsidR="00AA288B" w:rsidRPr="009B1C91" w:rsidRDefault="00AA288B"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 xml:space="preserve">The UNDP CCED Cluster programmes on CPD, 2012-16 Outcomes achieved some noticeable institutional change (e.g. with the Ministry of Industry and the BSTI), which enhanced their focus on energy efficiency.  Similarly, the implementation of the Brick Law has been traced back to the original UNDP initiative on improved kilns. </w:t>
      </w:r>
    </w:p>
    <w:p w:rsidR="0004002F" w:rsidRPr="009B1C91" w:rsidRDefault="0004002F"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The evaluators attempted to validate the UNDP ROAR 2014 claims that “a strong focus on piloting innovative technology and approaches has resulted in a number of high-impact replications for better resource management and energy efficiency. UNDP worked closely with the government and its partners to support these changes by facilitating stronger partnership with the private sector and facilitating technology transfer</w:t>
      </w:r>
      <w:r w:rsidRPr="00A6172C">
        <w:rPr>
          <w:rFonts w:asciiTheme="minorHAnsi" w:hAnsiTheme="minorHAnsi" w:cstheme="minorHAnsi"/>
        </w:rPr>
        <w:t>.” It was found that UNDP interventions have triggered technology transfer and improved standards for production (bricks) or</w:t>
      </w:r>
      <w:r w:rsidRPr="009B1C91">
        <w:rPr>
          <w:rFonts w:asciiTheme="minorHAnsi" w:hAnsiTheme="minorHAnsi" w:cstheme="minorHAnsi"/>
        </w:rPr>
        <w:t xml:space="preserve"> consumption of energy (BRESL</w:t>
      </w:r>
      <w:r w:rsidRPr="007243A9">
        <w:rPr>
          <w:rFonts w:asciiTheme="minorHAnsi" w:hAnsiTheme="minorHAnsi" w:cstheme="minorHAnsi"/>
        </w:rPr>
        <w:t xml:space="preserve">). Nonetheless, several aspects fall short: i) the technologies which were promoted are already being phased out in other parts of the world. The Hybrid-Hoffmann-Kiln </w:t>
      </w:r>
      <w:r w:rsidR="007243A9">
        <w:rPr>
          <w:rFonts w:asciiTheme="minorHAnsi" w:hAnsiTheme="minorHAnsi" w:cstheme="minorHAnsi"/>
        </w:rPr>
        <w:t>was</w:t>
      </w:r>
      <w:r w:rsidRPr="007243A9">
        <w:rPr>
          <w:rFonts w:asciiTheme="minorHAnsi" w:hAnsiTheme="minorHAnsi" w:cstheme="minorHAnsi"/>
        </w:rPr>
        <w:t xml:space="preserve"> abandoned in </w:t>
      </w:r>
      <w:r w:rsidR="007243A9">
        <w:rPr>
          <w:rFonts w:asciiTheme="minorHAnsi" w:hAnsiTheme="minorHAnsi" w:cstheme="minorHAnsi"/>
        </w:rPr>
        <w:t xml:space="preserve">numerous </w:t>
      </w:r>
      <w:r w:rsidRPr="007243A9">
        <w:rPr>
          <w:rFonts w:asciiTheme="minorHAnsi" w:hAnsiTheme="minorHAnsi" w:cstheme="minorHAnsi"/>
        </w:rPr>
        <w:t xml:space="preserve">developed countries in favour of </w:t>
      </w:r>
      <w:r w:rsidR="009618B1">
        <w:rPr>
          <w:rFonts w:asciiTheme="minorHAnsi" w:hAnsiTheme="minorHAnsi" w:cstheme="minorHAnsi"/>
        </w:rPr>
        <w:t xml:space="preserve">more modern technologies.  The slow process of project implementation and the lock-in to specific technology and its provider have caused limited UNDP project’s impact. </w:t>
      </w:r>
      <w:r w:rsidRPr="007243A9">
        <w:rPr>
          <w:rFonts w:asciiTheme="minorHAnsi" w:hAnsiTheme="minorHAnsi" w:cstheme="minorHAnsi"/>
        </w:rPr>
        <w:t>The Compact Fluorescent Lamp, a major component of the BRESL</w:t>
      </w:r>
      <w:r w:rsidRPr="009B1C91">
        <w:rPr>
          <w:rFonts w:asciiTheme="minorHAnsi" w:hAnsiTheme="minorHAnsi" w:cstheme="minorHAnsi"/>
        </w:rPr>
        <w:t xml:space="preserve"> project, is largely being pushed out of the market by LED lighting. These developments demonstrate the risk posed by slow project development </w:t>
      </w:r>
      <w:r w:rsidR="009618B1">
        <w:rPr>
          <w:rFonts w:asciiTheme="minorHAnsi" w:hAnsiTheme="minorHAnsi" w:cstheme="minorHAnsi"/>
        </w:rPr>
        <w:t xml:space="preserve">and implementation </w:t>
      </w:r>
      <w:r w:rsidRPr="009B1C91">
        <w:rPr>
          <w:rFonts w:asciiTheme="minorHAnsi" w:hAnsiTheme="minorHAnsi" w:cstheme="minorHAnsi"/>
        </w:rPr>
        <w:t xml:space="preserve">to the sustained relevance of UNDP programs. </w:t>
      </w:r>
      <w:r w:rsidR="00320F87" w:rsidRPr="009B1C91">
        <w:rPr>
          <w:rFonts w:asciiTheme="minorHAnsi" w:hAnsiTheme="minorHAnsi" w:cstheme="minorHAnsi"/>
        </w:rPr>
        <w:t xml:space="preserve">The technological drawbacks </w:t>
      </w:r>
      <w:r w:rsidRPr="009B1C91">
        <w:rPr>
          <w:rFonts w:asciiTheme="minorHAnsi" w:hAnsiTheme="minorHAnsi" w:cstheme="minorHAnsi"/>
        </w:rPr>
        <w:t xml:space="preserve">should be mitigated by a more </w:t>
      </w:r>
      <w:r w:rsidR="009618B1">
        <w:rPr>
          <w:rFonts w:asciiTheme="minorHAnsi" w:hAnsiTheme="minorHAnsi" w:cstheme="minorHAnsi"/>
        </w:rPr>
        <w:t>ambitious</w:t>
      </w:r>
      <w:r w:rsidRPr="009B1C91">
        <w:rPr>
          <w:rFonts w:asciiTheme="minorHAnsi" w:hAnsiTheme="minorHAnsi" w:cstheme="minorHAnsi"/>
        </w:rPr>
        <w:t xml:space="preserve"> vision </w:t>
      </w:r>
      <w:r w:rsidR="009618B1">
        <w:rPr>
          <w:rFonts w:asciiTheme="minorHAnsi" w:hAnsiTheme="minorHAnsi" w:cstheme="minorHAnsi"/>
        </w:rPr>
        <w:t xml:space="preserve">and a more active search for </w:t>
      </w:r>
      <w:r w:rsidRPr="009B1C91">
        <w:rPr>
          <w:rFonts w:asciiTheme="minorHAnsi" w:hAnsiTheme="minorHAnsi" w:cstheme="minorHAnsi"/>
        </w:rPr>
        <w:t>technologies that are demographically, socio-culturally and environmentally appropriate for the context of Bangladesh</w:t>
      </w:r>
      <w:r w:rsidRPr="001D4C99">
        <w:rPr>
          <w:rFonts w:asciiTheme="minorHAnsi" w:hAnsiTheme="minorHAnsi" w:cstheme="minorHAnsi"/>
        </w:rPr>
        <w:t>. ii) In terms of sustainability, both energy-related UNDP projects are stalled, and further activity and institutionalization are needed to warrant continuous improvement. UNDP needs to pick</w:t>
      </w:r>
      <w:r w:rsidRPr="009B1C91">
        <w:rPr>
          <w:rFonts w:asciiTheme="minorHAnsi" w:hAnsiTheme="minorHAnsi" w:cstheme="minorHAnsi"/>
        </w:rPr>
        <w:t xml:space="preserve"> up these threads and ensure the resources for this continuation in order to remain relevant as an effective and synergic development partner. </w:t>
      </w:r>
    </w:p>
    <w:p w:rsidR="0004386D" w:rsidRPr="009B1C91" w:rsidRDefault="0004386D" w:rsidP="00F653F8">
      <w:pPr>
        <w:pStyle w:val="Body"/>
        <w:spacing w:after="0" w:line="240" w:lineRule="auto"/>
        <w:jc w:val="both"/>
        <w:rPr>
          <w:rFonts w:asciiTheme="minorHAnsi" w:hAnsiTheme="minorHAnsi" w:cstheme="minorHAnsi"/>
          <w:b/>
          <w:bCs/>
        </w:rPr>
      </w:pPr>
    </w:p>
    <w:p w:rsidR="00AA617C" w:rsidRPr="009B1C91" w:rsidRDefault="00AA617C" w:rsidP="00F653F8">
      <w:pPr>
        <w:pStyle w:val="Body"/>
        <w:spacing w:after="0" w:line="240" w:lineRule="auto"/>
        <w:jc w:val="both"/>
        <w:rPr>
          <w:rFonts w:asciiTheme="minorHAnsi" w:hAnsiTheme="minorHAnsi" w:cstheme="minorHAnsi"/>
          <w:b/>
          <w:bCs/>
        </w:rPr>
      </w:pPr>
      <w:r w:rsidRPr="009B1C91">
        <w:rPr>
          <w:rFonts w:asciiTheme="minorHAnsi" w:hAnsiTheme="minorHAnsi" w:cstheme="minorHAnsi"/>
          <w:b/>
          <w:bCs/>
        </w:rPr>
        <w:t>Driving Forces and Identification of Explanatory Factors</w:t>
      </w:r>
    </w:p>
    <w:p w:rsidR="00AA617C" w:rsidRPr="009B1C91" w:rsidRDefault="00AA617C" w:rsidP="00F653F8">
      <w:pPr>
        <w:pStyle w:val="Body"/>
        <w:spacing w:after="0" w:line="240" w:lineRule="auto"/>
        <w:jc w:val="both"/>
        <w:rPr>
          <w:rFonts w:asciiTheme="minorHAnsi" w:hAnsiTheme="minorHAnsi" w:cstheme="minorHAnsi"/>
          <w:i/>
          <w:iCs/>
        </w:rPr>
      </w:pPr>
    </w:p>
    <w:p w:rsidR="00AA617C"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 xml:space="preserve">Following the Rio Summit of 1992, the GoB initiated, with UNDP Bangladesh’s support, programme implementation towards integrating the environment into its mainstream planning exercise. Subsequently, UNDP assisted the government in expanding its strength in mainstreaming energy and climate change, and their linkages with forestry (as an NRM component) issues through its support in formulating the National Adaptation Programme of Action. This initiative has been recognized as a pioneering initiative to ensure that environment, climate change and energy issues enter the </w:t>
      </w:r>
      <w:r w:rsidRPr="009B1C91">
        <w:rPr>
          <w:rFonts w:asciiTheme="minorHAnsi" w:hAnsiTheme="minorHAnsi" w:cstheme="minorHAnsi"/>
        </w:rPr>
        <w:lastRenderedPageBreak/>
        <w:t>mainstream of government decision making</w:t>
      </w:r>
      <w:r w:rsidR="008F4A3E" w:rsidRPr="009B1C91">
        <w:rPr>
          <w:rStyle w:val="FootnoteReference"/>
          <w:rFonts w:asciiTheme="minorHAnsi" w:hAnsiTheme="minorHAnsi" w:cstheme="minorHAnsi"/>
        </w:rPr>
        <w:footnoteReference w:id="52"/>
      </w:r>
      <w:r w:rsidRPr="009B1C91">
        <w:rPr>
          <w:rFonts w:asciiTheme="minorHAnsi" w:hAnsiTheme="minorHAnsi" w:cstheme="minorHAnsi"/>
        </w:rPr>
        <w:t>. It is also intended to lay the foundation for an integrative thought process on the poverty-environment-climate nexus. It is apparent that UNDP Bangladesh’s focus has subsequently shifted from mainstreaming environment and energy sectors to climate change agenda associated with adaptation and mitigation, as evidenced in its allocation of funding and personnel. The devastating loss of development achievements in the coastal regions of the country due to Cyclone Sidr and Cyclone Aila have brought to the attention of the GoB, donors, and development partners the need to adopt the concept of DRR and CCA in a more integrative way.</w:t>
      </w:r>
    </w:p>
    <w:p w:rsidR="000B65DC" w:rsidRPr="009B1C91" w:rsidRDefault="000B65DC"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The GoB launched the Bali Action Plan at the 2007 Bali Conference of Parties to the UN Framework Convention on Climate Change (UNFCCC) identifying a set of actions essential to achieve a secure climate future, and call for international support to build Least Developed Countries’ resilience to global warming and climate change. Subsequently, the GoB has developed the Bangladesh Climate Change Strategy and Action Plan (BCCSAP) in 2009 which emphasized enhancement of resilience to CCA by community empowerment through livelihood diversification as a priority strategy.  It states that:</w:t>
      </w:r>
    </w:p>
    <w:p w:rsidR="00AA617C" w:rsidRPr="009B1C91" w:rsidRDefault="00AA617C"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i/>
          <w:iCs/>
        </w:rPr>
      </w:pPr>
      <w:r w:rsidRPr="009B1C91">
        <w:rPr>
          <w:rFonts w:asciiTheme="minorHAnsi" w:hAnsiTheme="minorHAnsi" w:cstheme="minorHAnsi"/>
          <w:i/>
          <w:iCs/>
        </w:rPr>
        <w:t>The thrust of the strategy is on sustainable development, poverty eradication and increased well-being of all vulnerable groups in society with special emphasis on gender sensitivity…While adaptation is the major priority issue in relation to climate change, Bangladesh has shown its commitment also to a low carbon development path as an important element in its quest for sustainable development. Whether it is adaptation or mitigation, development of institutional and human capacity within the country is absolutely essential for managing investment as well as identifying areas for intervention through research and kn</w:t>
      </w:r>
      <w:r w:rsidR="008F4A3E" w:rsidRPr="009B1C91">
        <w:rPr>
          <w:rFonts w:asciiTheme="minorHAnsi" w:hAnsiTheme="minorHAnsi" w:cstheme="minorHAnsi"/>
          <w:i/>
          <w:iCs/>
        </w:rPr>
        <w:t>owledge management</w:t>
      </w:r>
      <w:r w:rsidR="0031698E" w:rsidRPr="009B1C91">
        <w:rPr>
          <w:rStyle w:val="FootnoteReference"/>
          <w:rFonts w:asciiTheme="minorHAnsi" w:hAnsiTheme="minorHAnsi" w:cstheme="minorHAnsi"/>
          <w:i/>
          <w:iCs/>
        </w:rPr>
        <w:footnoteReference w:id="53"/>
      </w:r>
      <w:r w:rsidR="008F4A3E" w:rsidRPr="009B1C91">
        <w:rPr>
          <w:rFonts w:asciiTheme="minorHAnsi" w:hAnsiTheme="minorHAnsi" w:cstheme="minorHAnsi"/>
          <w:i/>
          <w:iCs/>
        </w:rPr>
        <w:t xml:space="preserve"> (</w:t>
      </w:r>
      <w:r w:rsidRPr="009B1C91">
        <w:rPr>
          <w:rFonts w:asciiTheme="minorHAnsi" w:hAnsiTheme="minorHAnsi" w:cstheme="minorHAnsi"/>
          <w:i/>
          <w:iCs/>
        </w:rPr>
        <w:t>preface).</w:t>
      </w:r>
    </w:p>
    <w:p w:rsidR="00AA617C" w:rsidRPr="009B1C91" w:rsidRDefault="00AA617C" w:rsidP="00F653F8">
      <w:pPr>
        <w:pStyle w:val="Body"/>
        <w:spacing w:after="0" w:line="240" w:lineRule="auto"/>
        <w:jc w:val="both"/>
        <w:rPr>
          <w:rFonts w:asciiTheme="minorHAnsi" w:hAnsiTheme="minorHAnsi" w:cstheme="minorHAnsi"/>
          <w:i/>
          <w:iCs/>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Responding to GoB’s BCCSAP, UNDP’s CBACC-CF and PECM initiatives have contributed significantly to mainstreaming integrative concept and action on the poverty-environment-climate nexus and linking CCA to livelihood diversification through the adoption of an intersectoral local community development approach.</w:t>
      </w:r>
    </w:p>
    <w:p w:rsidR="00AA617C" w:rsidRPr="009B1C91" w:rsidRDefault="00AA617C"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For Bangladesh, energy security is an important consideration for both economic growth and social development; pertinent to this, renewable energy and energy efficiency are important strategies for enhancing energy security. The GoB’s Sixth FYP 2011-15 Part 2 underscores these issues by stating that:</w:t>
      </w:r>
    </w:p>
    <w:p w:rsidR="00AA617C" w:rsidRPr="009B1C91" w:rsidRDefault="00AA617C" w:rsidP="00F653F8">
      <w:pPr>
        <w:pStyle w:val="Body"/>
        <w:spacing w:after="0" w:line="240" w:lineRule="auto"/>
        <w:jc w:val="both"/>
        <w:rPr>
          <w:rFonts w:asciiTheme="minorHAnsi" w:hAnsiTheme="minorHAnsi" w:cstheme="minorHAnsi"/>
          <w:i/>
          <w:iCs/>
        </w:rPr>
      </w:pPr>
    </w:p>
    <w:p w:rsidR="00AA617C" w:rsidRPr="009B1C91" w:rsidRDefault="00AA617C" w:rsidP="00F653F8">
      <w:pPr>
        <w:pStyle w:val="Body"/>
        <w:spacing w:after="0" w:line="240" w:lineRule="auto"/>
        <w:jc w:val="both"/>
        <w:rPr>
          <w:rFonts w:asciiTheme="minorHAnsi" w:hAnsiTheme="minorHAnsi" w:cstheme="minorHAnsi"/>
          <w:i/>
          <w:iCs/>
        </w:rPr>
      </w:pPr>
      <w:r w:rsidRPr="009B1C91">
        <w:rPr>
          <w:rFonts w:asciiTheme="minorHAnsi" w:hAnsiTheme="minorHAnsi" w:cstheme="minorHAnsi"/>
          <w:i/>
          <w:iCs/>
        </w:rPr>
        <w:t>[t]he availability of domestic primary fuel supply is getting so scarce that it is forcing severe measures like shutting down fertilizer factories, rationing gas supplies for households and transport uses, and keeping idle installed power units…Clearly, the situation calls for an urgent but well-crafted sustainable strategy to address the energy crisis and increase the energy supply to support Bangladesh’s development (Chapter 3, pp. 126-127).</w:t>
      </w:r>
    </w:p>
    <w:p w:rsidR="00AA617C" w:rsidRPr="009B1C91" w:rsidRDefault="00AA617C" w:rsidP="00F653F8">
      <w:pPr>
        <w:pStyle w:val="Body"/>
        <w:spacing w:after="0" w:line="240" w:lineRule="auto"/>
        <w:jc w:val="both"/>
        <w:rPr>
          <w:rFonts w:asciiTheme="minorHAnsi" w:hAnsiTheme="minorHAnsi" w:cstheme="minorHAnsi"/>
        </w:rPr>
      </w:pPr>
    </w:p>
    <w:p w:rsidR="00AA617C"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 xml:space="preserve">The pro-poor </w:t>
      </w:r>
      <w:r w:rsidR="000B65DC">
        <w:rPr>
          <w:rFonts w:asciiTheme="minorHAnsi" w:hAnsiTheme="minorHAnsi" w:cstheme="minorHAnsi"/>
        </w:rPr>
        <w:t xml:space="preserve">Bangladesh </w:t>
      </w:r>
      <w:r w:rsidRPr="009B1C91">
        <w:rPr>
          <w:rFonts w:asciiTheme="minorHAnsi" w:hAnsiTheme="minorHAnsi" w:cstheme="minorHAnsi"/>
        </w:rPr>
        <w:t>Climate Change Strategy</w:t>
      </w:r>
      <w:r w:rsidR="000B65DC">
        <w:rPr>
          <w:rFonts w:asciiTheme="minorHAnsi" w:hAnsiTheme="minorHAnsi" w:cstheme="minorHAnsi"/>
        </w:rPr>
        <w:t xml:space="preserve"> and Action Plan</w:t>
      </w:r>
      <w:r w:rsidRPr="009B1C91">
        <w:rPr>
          <w:rFonts w:asciiTheme="minorHAnsi" w:hAnsiTheme="minorHAnsi" w:cstheme="minorHAnsi"/>
        </w:rPr>
        <w:t xml:space="preserve"> (BCCSAP) of 2009 identified </w:t>
      </w:r>
      <w:r w:rsidRPr="009B1C91">
        <w:rPr>
          <w:rFonts w:asciiTheme="minorHAnsi" w:hAnsiTheme="minorHAnsi" w:cstheme="minorHAnsi"/>
          <w:i/>
          <w:iCs/>
        </w:rPr>
        <w:t>“mitigation and low carbon development options and implement these as the country’s economy grows over the coming decades and the demand for energy increases”</w:t>
      </w:r>
      <w:r w:rsidRPr="009B1C91">
        <w:rPr>
          <w:rFonts w:asciiTheme="minorHAnsi" w:hAnsiTheme="minorHAnsi" w:cstheme="minorHAnsi"/>
        </w:rPr>
        <w:t xml:space="preserve"> as one of the six pillars of the Plan. In </w:t>
      </w:r>
      <w:r w:rsidRPr="009B1C91">
        <w:rPr>
          <w:rFonts w:asciiTheme="minorHAnsi" w:hAnsiTheme="minorHAnsi" w:cstheme="minorHAnsi"/>
        </w:rPr>
        <w:lastRenderedPageBreak/>
        <w:t>this regard, there are significant opportunities for saving energy through higher energy efficiency and conservation. Energy efficiency and conservation help mitigate the current energy crisis and reduce the need for investments in generation capacity and thus enhance energy security. This signifies that there are ample opportunities for UNDP to contribute both to the renewable energy and energy efficiency sectors</w:t>
      </w:r>
      <w:r w:rsidRPr="001D4C99">
        <w:rPr>
          <w:rFonts w:asciiTheme="minorHAnsi" w:hAnsiTheme="minorHAnsi" w:cstheme="minorHAnsi"/>
        </w:rPr>
        <w:t>.  Through the implementation of BRESL and IKEBMI, UNDP has already contributed to the attainment of energy efficiency. However, it is worth noting that many actors are presently active in enhancing Bangladesh’s renewable</w:t>
      </w:r>
      <w:r w:rsidRPr="009B1C91">
        <w:rPr>
          <w:rFonts w:asciiTheme="minorHAnsi" w:hAnsiTheme="minorHAnsi" w:cstheme="minorHAnsi"/>
        </w:rPr>
        <w:t xml:space="preserve"> energy supply. Relatively speaking, in the field of energy efficiency UNDP has a more unique reputation for developing energy efficiency standards for consumer appliances and for technology transfer in the brick industry. UNDP can and should build upon these established strengths, and expand them topically.</w:t>
      </w:r>
    </w:p>
    <w:p w:rsidR="00AA617C" w:rsidRPr="009B1C91" w:rsidRDefault="00AA617C" w:rsidP="00F653F8">
      <w:pPr>
        <w:pStyle w:val="Body"/>
        <w:spacing w:after="0" w:line="240" w:lineRule="auto"/>
        <w:jc w:val="both"/>
        <w:rPr>
          <w:rFonts w:asciiTheme="minorHAnsi" w:hAnsiTheme="minorHAnsi" w:cstheme="minorHAnsi"/>
        </w:rPr>
      </w:pPr>
    </w:p>
    <w:p w:rsidR="008D1EC5" w:rsidRPr="009B1C91" w:rsidRDefault="00AA617C" w:rsidP="00F653F8">
      <w:pPr>
        <w:pStyle w:val="Body"/>
        <w:spacing w:after="0" w:line="240" w:lineRule="auto"/>
        <w:jc w:val="both"/>
        <w:rPr>
          <w:rFonts w:asciiTheme="minorHAnsi" w:hAnsiTheme="minorHAnsi" w:cstheme="minorHAnsi"/>
        </w:rPr>
      </w:pPr>
      <w:r w:rsidRPr="009B1C91">
        <w:rPr>
          <w:rFonts w:asciiTheme="minorHAnsi" w:hAnsiTheme="minorHAnsi" w:cstheme="minorHAnsi"/>
        </w:rPr>
        <w:t xml:space="preserve">Well on its way to attaining middle income status, Bangladesh is likely to increase the pressure on its natural resources and energy security. Adopting the paradigm of Green Economy and Inclusive Growth and acting early can help mitigate potential negative consequences of such rapid growth. In this regard, the evaluators recognize that UNDP’s most important impact on Bangladesh is in the area of triggering innovation, supporting the government in policy formulation and implementation, and in aligning government priorities with policies and donor programs. It is also crucial to recognize in UNDP’s initiatives that linking energy into other UNDP community and pro-poor initiatives is of high relevance, potentially in cooperation with other active agencies.  For example, GIZ has developed autonomous solar drinking water supply systems that are comparatively disaster-resilient. Finally, it is recommended that outcome indicators which reflect a broader set of results that are more relevant to the UNDP program should be prioritized. </w:t>
      </w:r>
    </w:p>
    <w:p w:rsidR="00931E59" w:rsidRPr="009B1C91" w:rsidRDefault="00AA617C" w:rsidP="008D1EC5">
      <w:pPr>
        <w:pStyle w:val="Body"/>
        <w:spacing w:after="0" w:line="240" w:lineRule="auto"/>
        <w:jc w:val="both"/>
        <w:rPr>
          <w:rFonts w:asciiTheme="minorHAnsi" w:hAnsiTheme="minorHAnsi" w:cstheme="minorHAnsi"/>
        </w:rPr>
      </w:pPr>
      <w:r w:rsidRPr="009B1C91">
        <w:rPr>
          <w:rFonts w:asciiTheme="minorHAnsi" w:hAnsiTheme="minorHAnsi" w:cstheme="minorHAnsi"/>
        </w:rPr>
        <w:br/>
      </w:r>
    </w:p>
    <w:p w:rsidR="005C6E11" w:rsidRPr="009B1C91" w:rsidRDefault="005C6E11" w:rsidP="00F653F8">
      <w:pPr>
        <w:pStyle w:val="Body"/>
        <w:spacing w:after="0" w:line="240" w:lineRule="auto"/>
        <w:jc w:val="both"/>
        <w:rPr>
          <w:rFonts w:asciiTheme="minorHAnsi" w:hAnsiTheme="minorHAnsi" w:cstheme="minorHAnsi"/>
          <w:b/>
          <w:bCs/>
          <w:lang w:val="en-US"/>
        </w:rPr>
      </w:pPr>
      <w:r w:rsidRPr="009B1C91">
        <w:rPr>
          <w:rFonts w:asciiTheme="minorHAnsi" w:hAnsiTheme="minorHAnsi" w:cstheme="minorHAnsi"/>
          <w:b/>
          <w:bCs/>
          <w:lang w:val="en-US"/>
        </w:rPr>
        <w:t xml:space="preserve">4.1.3 PROMOTING GENDER EQUALITY AND OTHER CROSS-CUTTING ISSUES  </w:t>
      </w:r>
    </w:p>
    <w:p w:rsidR="005C6E11" w:rsidRPr="009B1C91" w:rsidRDefault="005C6E11" w:rsidP="00F653F8">
      <w:pPr>
        <w:pStyle w:val="Body"/>
        <w:spacing w:after="0" w:line="240" w:lineRule="auto"/>
        <w:jc w:val="both"/>
        <w:rPr>
          <w:rFonts w:asciiTheme="minorHAnsi" w:hAnsiTheme="minorHAnsi" w:cstheme="minorHAnsi"/>
          <w:b/>
          <w:bCs/>
          <w:lang w:val="en-US"/>
        </w:rPr>
      </w:pPr>
    </w:p>
    <w:p w:rsidR="005C6E11" w:rsidRPr="009B1C91" w:rsidRDefault="005C6E11"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In formulating the MDGs, gender equality was acknowledged as a major human rights issue and development goal. The term ‘gender’ refers to the social attributes and opportunities related to being male, female, or gender neutral, and the associated equity and equality issues have emerged as core guiding policies a</w:t>
      </w:r>
      <w:r w:rsidR="00E77616" w:rsidRPr="009B1C91">
        <w:rPr>
          <w:rFonts w:asciiTheme="minorHAnsi" w:hAnsiTheme="minorHAnsi" w:cstheme="minorHAnsi"/>
          <w:lang w:val="en-US"/>
        </w:rPr>
        <w:t>nd principles of the UN system</w:t>
      </w:r>
      <w:r w:rsidR="00E77616" w:rsidRPr="009B1C91">
        <w:rPr>
          <w:rStyle w:val="FootnoteReference"/>
          <w:rFonts w:asciiTheme="minorHAnsi" w:hAnsiTheme="minorHAnsi" w:cstheme="minorHAnsi"/>
          <w:lang w:val="en-US"/>
        </w:rPr>
        <w:footnoteReference w:id="54"/>
      </w:r>
      <w:r w:rsidRPr="009B1C91">
        <w:rPr>
          <w:rFonts w:asciiTheme="minorHAnsi" w:hAnsiTheme="minorHAnsi" w:cstheme="minorHAnsi"/>
          <w:lang w:val="en-US"/>
        </w:rPr>
        <w:t xml:space="preserve">.  Women by far suffer the greater share of gender inequality, and worldwide UNDP makes serious efforts for women’s empowerment and gender mainstreaming through strengthening gender sensitive government programmes, enhancing women’s capacity to participate in policy planning, improved monitoring and evaluation of programmes, and ensuring accessibility to gender-relevant data. </w:t>
      </w:r>
    </w:p>
    <w:p w:rsidR="005C6E11" w:rsidRPr="009B1C91" w:rsidRDefault="005C6E11" w:rsidP="00F653F8">
      <w:pPr>
        <w:pStyle w:val="Body"/>
        <w:spacing w:after="0" w:line="240" w:lineRule="auto"/>
        <w:jc w:val="both"/>
        <w:rPr>
          <w:rFonts w:asciiTheme="minorHAnsi" w:hAnsiTheme="minorHAnsi" w:cstheme="minorHAnsi"/>
          <w:lang w:val="en-US"/>
        </w:rPr>
      </w:pPr>
    </w:p>
    <w:p w:rsidR="005C6E11" w:rsidRPr="009B1C91" w:rsidRDefault="005C6E11"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Gender equality remains a major challenge in Bangladesh, though considerable progress has been made in recent years by the government and other institutions. The Sixth FYP, 2011-15 states the government’s commitment to addressing this issue:</w:t>
      </w:r>
    </w:p>
    <w:p w:rsidR="005C6E11" w:rsidRPr="009B1C91" w:rsidRDefault="005C6E11" w:rsidP="00F653F8">
      <w:pPr>
        <w:pStyle w:val="Body"/>
        <w:spacing w:after="0" w:line="240" w:lineRule="auto"/>
        <w:jc w:val="both"/>
        <w:rPr>
          <w:rFonts w:asciiTheme="minorHAnsi" w:hAnsiTheme="minorHAnsi" w:cstheme="minorHAnsi"/>
          <w:lang w:val="en-US"/>
        </w:rPr>
      </w:pPr>
    </w:p>
    <w:p w:rsidR="005C6E11" w:rsidRPr="009B1C91" w:rsidRDefault="008835D9" w:rsidP="00F653F8">
      <w:pPr>
        <w:pStyle w:val="Body"/>
        <w:spacing w:after="0" w:line="240" w:lineRule="auto"/>
        <w:jc w:val="both"/>
        <w:rPr>
          <w:rFonts w:asciiTheme="minorHAnsi" w:hAnsiTheme="minorHAnsi" w:cstheme="minorHAnsi"/>
          <w:i/>
          <w:iCs/>
          <w:lang w:val="en-US"/>
        </w:rPr>
      </w:pPr>
      <w:r w:rsidRPr="009B1C91">
        <w:rPr>
          <w:rFonts w:asciiTheme="minorHAnsi" w:hAnsiTheme="minorHAnsi" w:cstheme="minorHAnsi"/>
          <w:i/>
          <w:iCs/>
          <w:lang w:val="en-US"/>
        </w:rPr>
        <w:t>[I</w:t>
      </w:r>
      <w:r w:rsidR="005C6E11" w:rsidRPr="009B1C91">
        <w:rPr>
          <w:rFonts w:asciiTheme="minorHAnsi" w:hAnsiTheme="minorHAnsi" w:cstheme="minorHAnsi"/>
          <w:i/>
          <w:iCs/>
          <w:lang w:val="en-US"/>
        </w:rPr>
        <w:t>]n addressing gender based discrimination, the SFYP will follow a two-pronged approach: Firstly, gender will be integrated into all sectoral interventions. Secondly, attention will be given to remove all policy and social bias against women with a view to ensuring equality as enshrined in the National Constitution.</w:t>
      </w:r>
    </w:p>
    <w:p w:rsidR="005C6E11" w:rsidRPr="009B1C91" w:rsidRDefault="005C6E11" w:rsidP="00F653F8">
      <w:pPr>
        <w:pStyle w:val="Body"/>
        <w:spacing w:after="0" w:line="240" w:lineRule="auto"/>
        <w:jc w:val="both"/>
        <w:rPr>
          <w:rFonts w:asciiTheme="minorHAnsi" w:hAnsiTheme="minorHAnsi" w:cstheme="minorHAnsi"/>
          <w:i/>
          <w:iCs/>
          <w:lang w:val="en-US"/>
        </w:rPr>
      </w:pPr>
    </w:p>
    <w:p w:rsidR="005C6E11" w:rsidRPr="009B1C91" w:rsidRDefault="005C6E11" w:rsidP="00F653F8">
      <w:pPr>
        <w:pStyle w:val="Body"/>
        <w:spacing w:after="0" w:line="240" w:lineRule="auto"/>
        <w:jc w:val="both"/>
        <w:outlineLvl w:val="2"/>
        <w:rPr>
          <w:rFonts w:asciiTheme="minorHAnsi" w:hAnsiTheme="minorHAnsi" w:cstheme="minorHAnsi"/>
          <w:lang w:val="en-US"/>
        </w:rPr>
      </w:pPr>
      <w:r w:rsidRPr="009B1C91">
        <w:rPr>
          <w:rFonts w:asciiTheme="minorHAnsi" w:hAnsiTheme="minorHAnsi" w:cstheme="minorHAnsi"/>
          <w:shd w:val="clear" w:color="auto" w:fill="FFFFFF"/>
          <w:lang w:val="en-US"/>
        </w:rPr>
        <w:lastRenderedPageBreak/>
        <w:t>The Sixth Five Year Plan (2011-2015) considers women’s engagement in political and economic activities as a cross-cutting issue with women’s empowerment as one of the main drivers of transformation</w:t>
      </w:r>
      <w:r w:rsidR="008835D9" w:rsidRPr="009B1C91">
        <w:rPr>
          <w:rStyle w:val="FootnoteReference"/>
          <w:rFonts w:asciiTheme="minorHAnsi" w:hAnsiTheme="minorHAnsi" w:cstheme="minorHAnsi"/>
          <w:shd w:val="clear" w:color="auto" w:fill="FFFFFF"/>
          <w:lang w:val="en-US"/>
        </w:rPr>
        <w:footnoteReference w:id="55"/>
      </w:r>
      <w:r w:rsidRPr="009B1C91">
        <w:rPr>
          <w:rFonts w:asciiTheme="minorHAnsi" w:hAnsiTheme="minorHAnsi" w:cstheme="minorHAnsi"/>
          <w:shd w:val="clear" w:color="auto" w:fill="FFFFFF"/>
          <w:lang w:val="en-US"/>
        </w:rPr>
        <w:t xml:space="preserve">.   In terms of women’s empowerment in MDG, Bangladesh has achieved some major milestones; for example, the </w:t>
      </w:r>
      <w:r w:rsidRPr="009B1C91">
        <w:rPr>
          <w:rFonts w:asciiTheme="minorHAnsi" w:hAnsiTheme="minorHAnsi" w:cstheme="minorHAnsi"/>
          <w:lang w:val="en-US"/>
        </w:rPr>
        <w:t>government adopted a ‘National Policy for Women’s Advancement’ (NPWA) in 2011.</w:t>
      </w:r>
      <w:r w:rsidRPr="009B1C91">
        <w:rPr>
          <w:rFonts w:asciiTheme="minorHAnsi" w:hAnsiTheme="minorHAnsi" w:cstheme="minorHAnsi"/>
          <w:shd w:val="clear" w:color="auto" w:fill="FFFFFF"/>
          <w:lang w:val="en-US"/>
        </w:rPr>
        <w:t xml:space="preserve"> However, much work remains in this area.</w:t>
      </w:r>
    </w:p>
    <w:p w:rsidR="005C6E11" w:rsidRPr="009B1C91" w:rsidRDefault="005C6E11" w:rsidP="00F653F8">
      <w:pPr>
        <w:pStyle w:val="Body"/>
        <w:spacing w:after="0" w:line="240" w:lineRule="auto"/>
        <w:jc w:val="both"/>
        <w:rPr>
          <w:rFonts w:asciiTheme="minorHAnsi" w:hAnsiTheme="minorHAnsi" w:cstheme="minorHAnsi"/>
          <w:b/>
          <w:bCs/>
          <w:lang w:val="en-US"/>
        </w:rPr>
      </w:pPr>
    </w:p>
    <w:p w:rsidR="005C6E11" w:rsidRPr="009B1C91" w:rsidRDefault="005C6E11" w:rsidP="00F653F8">
      <w:pPr>
        <w:pStyle w:val="Body"/>
        <w:spacing w:after="0" w:line="240" w:lineRule="auto"/>
        <w:jc w:val="both"/>
        <w:rPr>
          <w:rFonts w:asciiTheme="minorHAnsi" w:hAnsiTheme="minorHAnsi" w:cstheme="minorHAnsi"/>
          <w:b/>
          <w:bCs/>
          <w:lang w:val="en-US"/>
        </w:rPr>
      </w:pPr>
      <w:r w:rsidRPr="009B1C91">
        <w:rPr>
          <w:rFonts w:asciiTheme="minorHAnsi" w:hAnsiTheme="minorHAnsi" w:cstheme="minorHAnsi"/>
          <w:b/>
          <w:bCs/>
          <w:lang w:val="en-US"/>
        </w:rPr>
        <w:t>UNDP Strategy and Interventions</w:t>
      </w:r>
    </w:p>
    <w:p w:rsidR="005C6E11" w:rsidRPr="009B1C91" w:rsidRDefault="005C6E11" w:rsidP="00F653F8">
      <w:pPr>
        <w:pStyle w:val="Body"/>
        <w:spacing w:after="0" w:line="240" w:lineRule="auto"/>
        <w:jc w:val="both"/>
        <w:rPr>
          <w:rFonts w:asciiTheme="minorHAnsi" w:hAnsiTheme="minorHAnsi" w:cstheme="minorHAnsi"/>
          <w:color w:val="0070C0"/>
          <w:u w:color="0070C0"/>
          <w:lang w:val="en-US"/>
        </w:rPr>
      </w:pPr>
    </w:p>
    <w:p w:rsidR="005C6E11" w:rsidRPr="009B1C91" w:rsidRDefault="005C6E11"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The UNDP Gender Equality Strategy 2014-2017 clearly states that UNDP will work with national partners to </w:t>
      </w:r>
      <w:r w:rsidRPr="009B1C91">
        <w:rPr>
          <w:rFonts w:asciiTheme="minorHAnsi" w:hAnsiTheme="minorHAnsi" w:cstheme="minorHAnsi"/>
          <w:i/>
          <w:iCs/>
          <w:lang w:val="en-US"/>
        </w:rPr>
        <w:t>transform traditional gender norms and reduce or eliminate the barriers to women’s economic empowerment</w:t>
      </w:r>
      <w:r w:rsidRPr="009B1C91">
        <w:rPr>
          <w:rFonts w:asciiTheme="minorHAnsi" w:hAnsiTheme="minorHAnsi" w:cstheme="minorHAnsi"/>
          <w:lang w:val="en-US"/>
        </w:rPr>
        <w:t>. UNDP Bangladesh changed strategic direction from an approach based on advocacy, support for gender-related policies and rules, and support to sex-disaggregated data and research to interventions on gender mainstreaming in UNDP projects</w:t>
      </w:r>
      <w:r w:rsidR="00C13414" w:rsidRPr="009B1C91">
        <w:rPr>
          <w:rStyle w:val="FootnoteReference"/>
          <w:rFonts w:asciiTheme="minorHAnsi" w:hAnsiTheme="minorHAnsi" w:cstheme="minorHAnsi"/>
          <w:lang w:val="en-US"/>
        </w:rPr>
        <w:footnoteReference w:id="56"/>
      </w:r>
      <w:r w:rsidRPr="009B1C91">
        <w:rPr>
          <w:rFonts w:asciiTheme="minorHAnsi" w:hAnsiTheme="minorHAnsi" w:cstheme="minorHAnsi"/>
          <w:lang w:val="en-US"/>
        </w:rPr>
        <w:t xml:space="preserve">. In order to address gender equality concerns, UNDP Bangladesh has gradually strengthened women’s empowerment and advancement in its core programmes, though this was not implemented across all projects. For example, environmental and energy sector project outcomes do not have adequate gender equality components. </w:t>
      </w:r>
    </w:p>
    <w:p w:rsidR="005C6E11" w:rsidRPr="009B1C91" w:rsidRDefault="005C6E11" w:rsidP="00F653F8">
      <w:pPr>
        <w:pStyle w:val="Body"/>
        <w:spacing w:after="0" w:line="240" w:lineRule="auto"/>
        <w:jc w:val="both"/>
        <w:rPr>
          <w:rFonts w:asciiTheme="minorHAnsi" w:hAnsiTheme="minorHAnsi" w:cstheme="minorHAnsi"/>
          <w:lang w:val="en-US"/>
        </w:rPr>
      </w:pPr>
    </w:p>
    <w:p w:rsidR="005C6E11" w:rsidRPr="009B1C91" w:rsidRDefault="005C6E11"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Gender-responsive DRR practices have been piloted in many countries since the 1980s. Linking gender to climate change (especially in policies and CCA projects) is an extremely challenging task; however it attained its momentum since 2007 from the UNFCCC Conference of the Parties in Bali.  In 2007, UNDP Bangladesh (through Climate Change Cell that was established with the assistance from CDMP I) commissioned a study on Gender and Climate Change in Bangladesh, the first of its kind anywhere in the world. Such efforts were made by the UNDP CCED Cluster whenever the opportunity arose. For example, UNDP Bangladesh facilitated the REDD+ (Reducing Emission from Degradation and Deforestation) strategy to support the GoB. UNDP places a gender marker (GEN2) on strategies which have gender equality as a significant objective. Notably, significant research has been conducted internationally to understand how forest-dependent women and men can benefit from REDD+ projects. The GoB position on REDD+ does not yet adequately address such learning and modalities, which at operational level might be detrimental for women in a forest-dependent community.</w:t>
      </w:r>
    </w:p>
    <w:p w:rsidR="005C6E11" w:rsidRPr="009B1C91" w:rsidRDefault="005C6E11" w:rsidP="00F653F8">
      <w:pPr>
        <w:pStyle w:val="Body"/>
        <w:spacing w:after="0" w:line="240" w:lineRule="auto"/>
        <w:jc w:val="both"/>
        <w:rPr>
          <w:rFonts w:asciiTheme="minorHAnsi" w:hAnsiTheme="minorHAnsi" w:cstheme="minorHAnsi"/>
          <w:lang w:val="en-US"/>
        </w:rPr>
      </w:pPr>
    </w:p>
    <w:p w:rsidR="004172B4" w:rsidRPr="009B1C91" w:rsidRDefault="004172B4" w:rsidP="00F653F8">
      <w:pPr>
        <w:pStyle w:val="Body"/>
        <w:spacing w:after="0" w:line="240" w:lineRule="auto"/>
        <w:jc w:val="both"/>
        <w:rPr>
          <w:rFonts w:asciiTheme="minorHAnsi" w:hAnsiTheme="minorHAnsi" w:cstheme="minorHAnsi"/>
          <w:b/>
          <w:bCs/>
          <w:lang w:val="en-US"/>
        </w:rPr>
      </w:pPr>
    </w:p>
    <w:p w:rsidR="005C6E11" w:rsidRPr="009B1C91" w:rsidRDefault="005C6E11" w:rsidP="00F653F8">
      <w:pPr>
        <w:pStyle w:val="Body"/>
        <w:spacing w:after="0" w:line="240" w:lineRule="auto"/>
        <w:jc w:val="both"/>
        <w:rPr>
          <w:rFonts w:asciiTheme="minorHAnsi" w:hAnsiTheme="minorHAnsi" w:cstheme="minorHAnsi"/>
          <w:b/>
          <w:bCs/>
          <w:lang w:val="en-US"/>
        </w:rPr>
      </w:pPr>
      <w:r w:rsidRPr="009B1C91">
        <w:rPr>
          <w:rFonts w:asciiTheme="minorHAnsi" w:hAnsiTheme="minorHAnsi" w:cstheme="minorHAnsi"/>
          <w:b/>
          <w:bCs/>
          <w:lang w:val="en-US"/>
        </w:rPr>
        <w:t xml:space="preserve">Outcome Analysis </w:t>
      </w:r>
    </w:p>
    <w:p w:rsidR="005C6E11" w:rsidRPr="009B1C91" w:rsidRDefault="005C6E11" w:rsidP="00F653F8">
      <w:pPr>
        <w:pStyle w:val="Body"/>
        <w:spacing w:after="0" w:line="240" w:lineRule="auto"/>
        <w:jc w:val="both"/>
        <w:rPr>
          <w:rFonts w:asciiTheme="minorHAnsi" w:hAnsiTheme="minorHAnsi" w:cstheme="minorHAnsi"/>
          <w:lang w:val="en-US"/>
        </w:rPr>
      </w:pPr>
    </w:p>
    <w:p w:rsidR="005C6E11" w:rsidRPr="009B1C91" w:rsidRDefault="005C6E11"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The detailed gender equality outputs and results generated from six selected UNDP projects are analyzed and presented in Sub-section 4.2.4. In this sub-section, an overarching outcome analysis is presented.</w:t>
      </w:r>
    </w:p>
    <w:p w:rsidR="005C6E11" w:rsidRPr="009B1C91" w:rsidRDefault="005C6E11" w:rsidP="00F653F8">
      <w:pPr>
        <w:pStyle w:val="Body"/>
        <w:spacing w:after="0" w:line="240" w:lineRule="auto"/>
        <w:jc w:val="both"/>
        <w:rPr>
          <w:rFonts w:asciiTheme="minorHAnsi" w:hAnsiTheme="minorHAnsi" w:cstheme="minorHAnsi"/>
          <w:lang w:val="en-US"/>
        </w:rPr>
      </w:pPr>
    </w:p>
    <w:p w:rsidR="005C6E11" w:rsidRPr="009B1C91" w:rsidRDefault="005C6E11"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The evaluators found varying intensities of gender equality efforts in the UNDP interventions during 2012-14 period. Some specific patterns were observed: in most cases, in the early phase of project interventions, gender equality and women empowerment aspects were absent or weak, and as further opportunity arose, some projects attempted to ‘catch-up’ on the issue, while others have achieved remarkable gender-related outcomes</w:t>
      </w:r>
      <w:r w:rsidRPr="001D4C99">
        <w:rPr>
          <w:rFonts w:asciiTheme="minorHAnsi" w:hAnsiTheme="minorHAnsi" w:cstheme="minorHAnsi"/>
          <w:lang w:val="en-US"/>
        </w:rPr>
        <w:t xml:space="preserve">. For instance, on the one hand, inclusion of gender aspects was not originally planned during the inception phase of the IKEBMI project; rather, it evolved through an opportunity from the Global Gender and Climate Change Alliance (GGCA). The project did have a </w:t>
      </w:r>
      <w:r w:rsidRPr="001D4C99">
        <w:rPr>
          <w:rFonts w:asciiTheme="minorHAnsi" w:hAnsiTheme="minorHAnsi" w:cstheme="minorHAnsi"/>
          <w:lang w:val="en-US"/>
        </w:rPr>
        <w:lastRenderedPageBreak/>
        <w:t>mandate to address gender inequality, however appropriate design of gender components at an early planning stage could produce much more effective outcomes.</w:t>
      </w:r>
    </w:p>
    <w:p w:rsidR="005C6E11" w:rsidRPr="009B1C91" w:rsidRDefault="005C6E11" w:rsidP="00F653F8">
      <w:pPr>
        <w:pStyle w:val="Body"/>
        <w:spacing w:after="0" w:line="240" w:lineRule="auto"/>
        <w:jc w:val="both"/>
        <w:rPr>
          <w:rFonts w:asciiTheme="minorHAnsi" w:hAnsiTheme="minorHAnsi" w:cstheme="minorHAnsi"/>
          <w:lang w:val="en-US"/>
        </w:rPr>
      </w:pPr>
    </w:p>
    <w:p w:rsidR="005C6E11" w:rsidRPr="009B1C91" w:rsidRDefault="0004386D" w:rsidP="00907EDA">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Nonetheless</w:t>
      </w:r>
      <w:r w:rsidR="005C6E11" w:rsidRPr="009B1C91">
        <w:rPr>
          <w:rFonts w:asciiTheme="minorHAnsi" w:hAnsiTheme="minorHAnsi" w:cstheme="minorHAnsi"/>
          <w:lang w:val="en-US"/>
        </w:rPr>
        <w:t>, the PECM is one the most successful cross-cutting, integrative UNDP interventions with regards to both budgeting for CCA, DRR and the environment - and the promotion of gender equality. In this regard, the example of the revised Development Project Proforma (DPP) can be cited here. DPP entails, in its “project detail” f</w:t>
      </w:r>
      <w:r w:rsidR="00320F87" w:rsidRPr="009B1C91">
        <w:rPr>
          <w:rFonts w:asciiTheme="minorHAnsi" w:hAnsiTheme="minorHAnsi" w:cstheme="minorHAnsi"/>
          <w:lang w:val="en-US"/>
        </w:rPr>
        <w:t xml:space="preserve">ormat, a description of </w:t>
      </w:r>
      <w:r w:rsidR="005C6E11" w:rsidRPr="009B1C91">
        <w:rPr>
          <w:rFonts w:asciiTheme="minorHAnsi" w:hAnsiTheme="minorHAnsi" w:cstheme="minorHAnsi"/>
          <w:lang w:val="en-US"/>
        </w:rPr>
        <w:t xml:space="preserve">impact and specific mitigation measures relating to “gender, women, </w:t>
      </w:r>
      <w:r w:rsidR="00320F87" w:rsidRPr="009B1C91">
        <w:rPr>
          <w:rFonts w:asciiTheme="minorHAnsi" w:hAnsiTheme="minorHAnsi" w:cstheme="minorHAnsi"/>
          <w:lang w:val="en-US"/>
        </w:rPr>
        <w:t xml:space="preserve">children, physically or mentally challenged persons </w:t>
      </w:r>
      <w:r w:rsidR="005C6E11" w:rsidRPr="009B1C91">
        <w:rPr>
          <w:rFonts w:asciiTheme="minorHAnsi" w:hAnsiTheme="minorHAnsi" w:cstheme="minorHAnsi"/>
          <w:lang w:val="en-US"/>
        </w:rPr>
        <w:t>/excluded group’s needs” (among others). The</w:t>
      </w:r>
      <w:r w:rsidR="00320F87" w:rsidRPr="009B1C91">
        <w:rPr>
          <w:rFonts w:asciiTheme="minorHAnsi" w:hAnsiTheme="minorHAnsi" w:cstheme="minorHAnsi"/>
          <w:lang w:val="en-US"/>
        </w:rPr>
        <w:t xml:space="preserve"> PECM</w:t>
      </w:r>
      <w:r w:rsidR="005C6E11" w:rsidRPr="009B1C91">
        <w:rPr>
          <w:rFonts w:asciiTheme="minorHAnsi" w:hAnsiTheme="minorHAnsi" w:cstheme="minorHAnsi"/>
          <w:lang w:val="en-US"/>
        </w:rPr>
        <w:t xml:space="preserve"> manual adopted a Gender Analysis Framework to systematically analyze gender relations within a community and identify issues and barriers facing women in the community. However, though mainstreaming gender in all development projects has been facilitated through the revised DPP manual (along with mainstreaming climate change, environment and disaster risk reduction), it has not yet been implemented. This is partially because there is a need to strengthen capacity for addressing gender issues. </w:t>
      </w:r>
    </w:p>
    <w:p w:rsidR="005C6E11" w:rsidRPr="009B1C91" w:rsidRDefault="005C6E11" w:rsidP="00F653F8">
      <w:pPr>
        <w:pStyle w:val="Body"/>
        <w:spacing w:after="0" w:line="240" w:lineRule="auto"/>
        <w:ind w:left="1080" w:hanging="360"/>
        <w:jc w:val="both"/>
        <w:rPr>
          <w:rFonts w:asciiTheme="minorHAnsi" w:hAnsiTheme="minorHAnsi" w:cstheme="minorHAnsi"/>
          <w:lang w:val="en-US"/>
        </w:rPr>
      </w:pPr>
    </w:p>
    <w:p w:rsidR="005C6E11" w:rsidRPr="009B1C91" w:rsidRDefault="005C6E11"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Under the CDMP II project, a Facilitator’s Guidebook on “Practicing Gender and Social Inclusion in Disaster Risk Reduction” was produced which would be of great value to DDR if widely disseminated and closely followed. Gender equality has been advanced through the national Disaster Management Act and subsequent enforceable Rules (2014), which were drafted to ensure national and local representation of the </w:t>
      </w:r>
      <w:r w:rsidR="00320F87" w:rsidRPr="009B1C91">
        <w:rPr>
          <w:rFonts w:asciiTheme="minorHAnsi" w:hAnsiTheme="minorHAnsi" w:cstheme="minorHAnsi"/>
          <w:lang w:val="en-US"/>
        </w:rPr>
        <w:t xml:space="preserve">Department of Women Affairs (Ministry of Women and Children Affairs) in </w:t>
      </w:r>
      <w:r w:rsidRPr="009B1C91">
        <w:rPr>
          <w:rFonts w:asciiTheme="minorHAnsi" w:hAnsiTheme="minorHAnsi" w:cstheme="minorHAnsi"/>
          <w:lang w:val="en-US"/>
        </w:rPr>
        <w:t>disaster coordination and management committees. Standing Orders on Disaster (SOD) spells out the responsibility of different agencies and ensure the representation of local government women members in local-level disaster management committees. However, it is evident that the female members of local-level disaster management committees are not effectively participating in the process</w:t>
      </w:r>
      <w:r w:rsidR="003161AB" w:rsidRPr="009B1C91">
        <w:rPr>
          <w:rStyle w:val="FootnoteReference"/>
          <w:rFonts w:asciiTheme="minorHAnsi" w:hAnsiTheme="minorHAnsi" w:cstheme="minorHAnsi"/>
          <w:lang w:val="en-US"/>
        </w:rPr>
        <w:footnoteReference w:id="57"/>
      </w:r>
      <w:r w:rsidRPr="009B1C91">
        <w:rPr>
          <w:rFonts w:asciiTheme="minorHAnsi" w:hAnsiTheme="minorHAnsi" w:cstheme="minorHAnsi"/>
          <w:lang w:val="en-US"/>
        </w:rPr>
        <w:t>.</w:t>
      </w:r>
    </w:p>
    <w:p w:rsidR="005C6E11" w:rsidRPr="009B1C91" w:rsidRDefault="005C6E11" w:rsidP="00F653F8">
      <w:pPr>
        <w:pStyle w:val="Body"/>
        <w:spacing w:after="0" w:line="240" w:lineRule="auto"/>
        <w:jc w:val="both"/>
        <w:rPr>
          <w:rFonts w:asciiTheme="minorHAnsi" w:hAnsiTheme="minorHAnsi" w:cstheme="minorHAnsi"/>
          <w:lang w:val="en-US"/>
        </w:rPr>
      </w:pPr>
    </w:p>
    <w:p w:rsidR="005C6E11" w:rsidRPr="009B1C91" w:rsidRDefault="005C6E11" w:rsidP="00F653F8">
      <w:pPr>
        <w:pStyle w:val="Body"/>
        <w:shd w:val="clear" w:color="auto" w:fill="FFFFFF"/>
        <w:spacing w:after="0" w:line="240" w:lineRule="auto"/>
        <w:jc w:val="both"/>
        <w:rPr>
          <w:rFonts w:asciiTheme="minorHAnsi" w:hAnsiTheme="minorHAnsi" w:cstheme="minorHAnsi"/>
          <w:lang w:val="en-US"/>
        </w:rPr>
      </w:pPr>
      <w:r w:rsidRPr="009B1C91">
        <w:rPr>
          <w:rFonts w:asciiTheme="minorHAnsi" w:hAnsiTheme="minorHAnsi" w:cstheme="minorHAnsi"/>
          <w:lang w:val="en-US"/>
        </w:rPr>
        <w:t>The UNDP Gender Marker is a useful tool that rates gender mainstreaming and equality at the activity level on a scale from zero to three. A Gender Marker requires projects to rate all project activities in terms of how they contribute to gender equality and women’s empowerment. This is done in the work planning and budgeting phase, and can also be used for monitoring/reporting.</w:t>
      </w:r>
    </w:p>
    <w:p w:rsidR="005C6E11" w:rsidRPr="009B1C91" w:rsidRDefault="005C6E11" w:rsidP="00F653F8">
      <w:pPr>
        <w:pStyle w:val="Body"/>
        <w:shd w:val="clear" w:color="auto" w:fill="FFFFFF"/>
        <w:spacing w:after="0"/>
        <w:jc w:val="both"/>
        <w:rPr>
          <w:rFonts w:asciiTheme="minorHAnsi" w:hAnsiTheme="minorHAnsi" w:cstheme="minorHAnsi"/>
          <w:lang w:val="en-US"/>
        </w:rPr>
      </w:pPr>
      <w:r w:rsidRPr="009B1C91">
        <w:rPr>
          <w:rFonts w:asciiTheme="minorHAnsi" w:hAnsiTheme="minorHAnsi" w:cstheme="minorHAnsi"/>
          <w:lang w:val="en-US"/>
        </w:rPr>
        <w:t> </w:t>
      </w:r>
    </w:p>
    <w:p w:rsidR="005C6E11" w:rsidRPr="009B1C91" w:rsidRDefault="005C6E11" w:rsidP="00F653F8">
      <w:pPr>
        <w:pStyle w:val="Body"/>
        <w:shd w:val="clear" w:color="auto" w:fill="FFFFFF"/>
        <w:spacing w:after="0" w:line="240" w:lineRule="auto"/>
        <w:jc w:val="both"/>
        <w:rPr>
          <w:rFonts w:asciiTheme="minorHAnsi" w:hAnsiTheme="minorHAnsi" w:cstheme="minorHAnsi"/>
          <w:lang w:val="en-US"/>
        </w:rPr>
      </w:pPr>
      <w:r w:rsidRPr="009B1C91">
        <w:rPr>
          <w:rFonts w:asciiTheme="minorHAnsi" w:hAnsiTheme="minorHAnsi" w:cstheme="minorHAnsi"/>
          <w:lang w:val="en-US"/>
        </w:rPr>
        <w:t>Each activity is allocated a gender rating of 0, 1, 2 or 3, as follows:</w:t>
      </w:r>
    </w:p>
    <w:p w:rsidR="005C6E11" w:rsidRPr="009B1C91" w:rsidRDefault="005C6E11" w:rsidP="00F653F8">
      <w:pPr>
        <w:pStyle w:val="Body"/>
        <w:numPr>
          <w:ilvl w:val="0"/>
          <w:numId w:val="4"/>
        </w:numPr>
        <w:shd w:val="clear" w:color="auto" w:fill="FFFFFF"/>
        <w:tabs>
          <w:tab w:val="num" w:pos="720"/>
        </w:tabs>
        <w:spacing w:after="0" w:line="240" w:lineRule="auto"/>
        <w:ind w:left="720" w:hanging="360"/>
        <w:jc w:val="both"/>
        <w:rPr>
          <w:rFonts w:asciiTheme="minorHAnsi" w:hAnsiTheme="minorHAnsi" w:cstheme="minorHAnsi"/>
          <w:lang w:val="en-US"/>
        </w:rPr>
      </w:pPr>
      <w:r w:rsidRPr="009B1C91">
        <w:rPr>
          <w:rFonts w:asciiTheme="minorHAnsi" w:hAnsiTheme="minorHAnsi" w:cstheme="minorHAnsi"/>
          <w:lang w:val="en-US"/>
        </w:rPr>
        <w:t>Activities that have gender equality as a principal objective should be rated 3;</w:t>
      </w:r>
    </w:p>
    <w:p w:rsidR="005C6E11" w:rsidRPr="009B1C91" w:rsidRDefault="005C6E11" w:rsidP="00F653F8">
      <w:pPr>
        <w:pStyle w:val="Body"/>
        <w:numPr>
          <w:ilvl w:val="0"/>
          <w:numId w:val="4"/>
        </w:numPr>
        <w:shd w:val="clear" w:color="auto" w:fill="FFFFFF"/>
        <w:tabs>
          <w:tab w:val="num" w:pos="720"/>
        </w:tabs>
        <w:spacing w:after="0" w:line="240" w:lineRule="auto"/>
        <w:ind w:left="720" w:hanging="360"/>
        <w:jc w:val="both"/>
        <w:rPr>
          <w:rFonts w:asciiTheme="minorHAnsi" w:hAnsiTheme="minorHAnsi" w:cstheme="minorHAnsi"/>
          <w:lang w:val="en-US"/>
        </w:rPr>
      </w:pPr>
      <w:r w:rsidRPr="009B1C91">
        <w:rPr>
          <w:rFonts w:asciiTheme="minorHAnsi" w:hAnsiTheme="minorHAnsi" w:cstheme="minorHAnsi"/>
          <w:lang w:val="en-US"/>
        </w:rPr>
        <w:t>Activities that have gender equality as a significant objective should be rated 2;</w:t>
      </w:r>
    </w:p>
    <w:p w:rsidR="005C6E11" w:rsidRPr="009B1C91" w:rsidRDefault="005C6E11" w:rsidP="00F653F8">
      <w:pPr>
        <w:pStyle w:val="Body"/>
        <w:numPr>
          <w:ilvl w:val="0"/>
          <w:numId w:val="4"/>
        </w:numPr>
        <w:shd w:val="clear" w:color="auto" w:fill="FFFFFF"/>
        <w:tabs>
          <w:tab w:val="num" w:pos="720"/>
        </w:tabs>
        <w:spacing w:after="0" w:line="240" w:lineRule="auto"/>
        <w:ind w:left="720" w:hanging="360"/>
        <w:jc w:val="both"/>
        <w:rPr>
          <w:rFonts w:asciiTheme="minorHAnsi" w:hAnsiTheme="minorHAnsi" w:cstheme="minorHAnsi"/>
          <w:lang w:val="en-US"/>
        </w:rPr>
      </w:pPr>
      <w:r w:rsidRPr="009B1C91">
        <w:rPr>
          <w:rFonts w:asciiTheme="minorHAnsi" w:hAnsiTheme="minorHAnsi" w:cstheme="minorHAnsi"/>
          <w:lang w:val="en-US"/>
        </w:rPr>
        <w:t>Activities that will contribute in some way to gender equality, but not significantly, should be rated 1; and</w:t>
      </w:r>
    </w:p>
    <w:p w:rsidR="005C6E11" w:rsidRPr="009B1C91" w:rsidRDefault="005C6E11" w:rsidP="00F653F8">
      <w:pPr>
        <w:pStyle w:val="Body"/>
        <w:numPr>
          <w:ilvl w:val="0"/>
          <w:numId w:val="4"/>
        </w:numPr>
        <w:shd w:val="clear" w:color="auto" w:fill="FFFFFF"/>
        <w:tabs>
          <w:tab w:val="num" w:pos="720"/>
        </w:tabs>
        <w:spacing w:after="0" w:line="240" w:lineRule="auto"/>
        <w:ind w:left="720" w:hanging="360"/>
        <w:jc w:val="both"/>
        <w:rPr>
          <w:rFonts w:asciiTheme="minorHAnsi" w:hAnsiTheme="minorHAnsi" w:cstheme="minorHAnsi"/>
          <w:lang w:val="en-US"/>
        </w:rPr>
      </w:pPr>
      <w:r w:rsidRPr="009B1C91">
        <w:rPr>
          <w:rFonts w:asciiTheme="minorHAnsi" w:hAnsiTheme="minorHAnsi" w:cstheme="minorHAnsi"/>
          <w:lang w:val="en-US"/>
        </w:rPr>
        <w:t>Activities that are not expected to contribute noticeably to gender equality should be rated 0.</w:t>
      </w:r>
    </w:p>
    <w:p w:rsidR="005C6E11" w:rsidRPr="009B1C91" w:rsidRDefault="005C6E11" w:rsidP="00F653F8">
      <w:pPr>
        <w:pStyle w:val="Body"/>
        <w:shd w:val="clear" w:color="auto" w:fill="FFFFFF"/>
        <w:spacing w:after="0" w:line="240" w:lineRule="auto"/>
        <w:jc w:val="both"/>
        <w:rPr>
          <w:rFonts w:asciiTheme="minorHAnsi" w:hAnsiTheme="minorHAnsi" w:cstheme="minorHAnsi"/>
          <w:lang w:val="en-US"/>
        </w:rPr>
      </w:pPr>
      <w:r w:rsidRPr="009B1C91">
        <w:rPr>
          <w:rFonts w:asciiTheme="minorHAnsi" w:hAnsiTheme="minorHAnsi" w:cstheme="minorHAnsi"/>
          <w:lang w:val="en-US"/>
        </w:rPr>
        <w:t> </w:t>
      </w:r>
    </w:p>
    <w:p w:rsidR="00D868DA" w:rsidRPr="009B1C91" w:rsidRDefault="00D868DA" w:rsidP="005C6E11">
      <w:pPr>
        <w:pStyle w:val="Body"/>
        <w:shd w:val="clear" w:color="auto" w:fill="FFFFFF"/>
        <w:spacing w:after="0" w:line="240" w:lineRule="auto"/>
        <w:jc w:val="both"/>
        <w:rPr>
          <w:rFonts w:asciiTheme="minorHAnsi" w:hAnsiTheme="minorHAnsi" w:cstheme="minorHAnsi"/>
          <w:lang w:val="en-US"/>
        </w:rPr>
      </w:pPr>
      <w:r w:rsidRPr="009B1C91">
        <w:rPr>
          <w:rFonts w:asciiTheme="minorHAnsi" w:hAnsiTheme="minorHAnsi" w:cstheme="minorHAnsi"/>
          <w:lang w:val="en-US"/>
        </w:rPr>
        <w:t>Table</w:t>
      </w:r>
      <w:r w:rsidR="00907EDA" w:rsidRPr="009B1C91">
        <w:rPr>
          <w:rFonts w:asciiTheme="minorHAnsi" w:hAnsiTheme="minorHAnsi" w:cstheme="minorHAnsi"/>
          <w:lang w:val="en-US"/>
        </w:rPr>
        <w:t>4.1.3.1</w:t>
      </w:r>
      <w:r w:rsidRPr="009B1C91">
        <w:rPr>
          <w:rFonts w:asciiTheme="minorHAnsi" w:hAnsiTheme="minorHAnsi" w:cstheme="minorHAnsi"/>
          <w:lang w:val="en-US"/>
        </w:rPr>
        <w:t>: Percentage Distributions of Gender Markers of UNDP Projects</w:t>
      </w:r>
      <w:r w:rsidR="005142D5" w:rsidRPr="009B1C91">
        <w:rPr>
          <w:rFonts w:asciiTheme="minorHAnsi" w:hAnsiTheme="minorHAnsi" w:cstheme="minorHAnsi"/>
          <w:lang w:val="en-US"/>
        </w:rPr>
        <w:t xml:space="preserve"> (2012-2014)</w:t>
      </w:r>
    </w:p>
    <w:tbl>
      <w:tblPr>
        <w:tblW w:w="7905" w:type="dxa"/>
        <w:tblInd w:w="114" w:type="dxa"/>
        <w:tblLayout w:type="fixed"/>
        <w:tblLook w:val="0000" w:firstRow="0" w:lastRow="0" w:firstColumn="0" w:lastColumn="0" w:noHBand="0" w:noVBand="0"/>
      </w:tblPr>
      <w:tblGrid>
        <w:gridCol w:w="3227"/>
        <w:gridCol w:w="2693"/>
        <w:gridCol w:w="1985"/>
      </w:tblGrid>
      <w:tr w:rsidR="005C6E11" w:rsidRPr="009B1C91" w:rsidTr="00E84761">
        <w:trPr>
          <w:cantSplit/>
          <w:trHeight w:val="226"/>
        </w:trPr>
        <w:tc>
          <w:tcPr>
            <w:tcW w:w="3227" w:type="dxa"/>
            <w:tcBorders>
              <w:top w:val="single" w:sz="18" w:space="0" w:color="000000"/>
              <w:left w:val="none" w:sz="8" w:space="0" w:color="000000"/>
              <w:bottom w:val="single" w:sz="4" w:space="0" w:color="000000"/>
              <w:right w:val="single" w:sz="4" w:space="0" w:color="000000"/>
            </w:tcBorders>
            <w:shd w:val="clear" w:color="auto" w:fill="B6DDE8"/>
            <w:tcMar>
              <w:top w:w="0" w:type="dxa"/>
              <w:left w:w="86" w:type="dxa"/>
              <w:bottom w:w="0" w:type="dxa"/>
              <w:right w:w="86" w:type="dxa"/>
            </w:tcMar>
          </w:tcPr>
          <w:p w:rsidR="005C6E11" w:rsidRPr="009B1C91" w:rsidRDefault="005C6E11" w:rsidP="005C6E11">
            <w:pPr>
              <w:pStyle w:val="Body"/>
              <w:spacing w:after="0" w:line="240" w:lineRule="auto"/>
              <w:jc w:val="both"/>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Gender marker</w:t>
            </w:r>
          </w:p>
        </w:tc>
        <w:tc>
          <w:tcPr>
            <w:tcW w:w="2693" w:type="dxa"/>
            <w:tcBorders>
              <w:top w:val="single" w:sz="18" w:space="0" w:color="000000"/>
              <w:left w:val="single" w:sz="4" w:space="0" w:color="000000"/>
              <w:bottom w:val="single" w:sz="4" w:space="0" w:color="000000"/>
              <w:right w:val="single" w:sz="4" w:space="0" w:color="000000"/>
            </w:tcBorders>
            <w:shd w:val="clear" w:color="auto" w:fill="B6DDE8"/>
            <w:tcMar>
              <w:top w:w="0" w:type="dxa"/>
              <w:left w:w="86" w:type="dxa"/>
              <w:bottom w:w="0" w:type="dxa"/>
              <w:right w:w="86" w:type="dxa"/>
            </w:tcMar>
          </w:tcPr>
          <w:p w:rsidR="005C6E11" w:rsidRPr="009B1C91" w:rsidRDefault="005C6E11" w:rsidP="005C6E11">
            <w:pPr>
              <w:pStyle w:val="Body"/>
              <w:spacing w:after="0" w:line="240" w:lineRule="auto"/>
              <w:jc w:val="center"/>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Number of projects</w:t>
            </w:r>
          </w:p>
        </w:tc>
        <w:tc>
          <w:tcPr>
            <w:tcW w:w="1985" w:type="dxa"/>
            <w:tcBorders>
              <w:top w:val="single" w:sz="18" w:space="0" w:color="000000"/>
              <w:left w:val="single" w:sz="4" w:space="0" w:color="000000"/>
              <w:bottom w:val="single" w:sz="4" w:space="0" w:color="000000"/>
              <w:right w:val="none" w:sz="8" w:space="0" w:color="000000"/>
            </w:tcBorders>
            <w:shd w:val="clear" w:color="auto" w:fill="B6DDE8"/>
            <w:tcMar>
              <w:top w:w="0" w:type="dxa"/>
              <w:left w:w="86" w:type="dxa"/>
              <w:bottom w:w="0" w:type="dxa"/>
              <w:right w:w="86" w:type="dxa"/>
            </w:tcMar>
          </w:tcPr>
          <w:p w:rsidR="005C6E11" w:rsidRPr="009B1C91" w:rsidRDefault="005C6E11" w:rsidP="005C6E11">
            <w:pPr>
              <w:pStyle w:val="Body"/>
              <w:spacing w:after="0" w:line="240" w:lineRule="auto"/>
              <w:jc w:val="center"/>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Percentage</w:t>
            </w:r>
          </w:p>
        </w:tc>
      </w:tr>
      <w:tr w:rsidR="005C6E11" w:rsidRPr="009B1C91" w:rsidTr="00E84761">
        <w:trPr>
          <w:cantSplit/>
          <w:trHeight w:val="180"/>
        </w:trPr>
        <w:tc>
          <w:tcPr>
            <w:tcW w:w="3227" w:type="dxa"/>
            <w:tcBorders>
              <w:top w:val="single" w:sz="4" w:space="0" w:color="000000"/>
              <w:left w:val="none" w:sz="8" w:space="0" w:color="000000"/>
              <w:bottom w:val="single" w:sz="4" w:space="0" w:color="000000"/>
              <w:right w:val="single" w:sz="4" w:space="0" w:color="000000"/>
            </w:tcBorders>
            <w:shd w:val="clear" w:color="auto" w:fill="B6DDE8"/>
            <w:tcMar>
              <w:top w:w="0" w:type="dxa"/>
              <w:left w:w="86" w:type="dxa"/>
              <w:bottom w:w="0" w:type="dxa"/>
              <w:right w:w="86" w:type="dxa"/>
            </w:tcMar>
          </w:tcPr>
          <w:p w:rsidR="005C6E11" w:rsidRPr="009B1C91" w:rsidRDefault="005C6E11" w:rsidP="005C6E11">
            <w:pPr>
              <w:pStyle w:val="Body"/>
              <w:spacing w:after="0" w:line="240" w:lineRule="auto"/>
              <w:jc w:val="both"/>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GEN0</w:t>
            </w:r>
          </w:p>
        </w:tc>
        <w:tc>
          <w:tcPr>
            <w:tcW w:w="2693" w:type="dxa"/>
            <w:tcBorders>
              <w:top w:val="single" w:sz="4" w:space="0" w:color="000000"/>
              <w:left w:val="single" w:sz="4" w:space="0" w:color="000000"/>
              <w:bottom w:val="single" w:sz="4" w:space="0" w:color="000000"/>
              <w:right w:val="single" w:sz="4" w:space="0" w:color="000000"/>
            </w:tcBorders>
            <w:shd w:val="clear" w:color="auto" w:fill="D8D8D8"/>
            <w:tcMar>
              <w:top w:w="0" w:type="dxa"/>
              <w:left w:w="86" w:type="dxa"/>
              <w:bottom w:w="0" w:type="dxa"/>
              <w:right w:w="86" w:type="dxa"/>
            </w:tcMar>
          </w:tcPr>
          <w:p w:rsidR="005C6E11" w:rsidRPr="009B1C91" w:rsidRDefault="005C6E11" w:rsidP="005C6E11">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8</w:t>
            </w:r>
          </w:p>
        </w:tc>
        <w:tc>
          <w:tcPr>
            <w:tcW w:w="1985" w:type="dxa"/>
            <w:tcBorders>
              <w:top w:val="single" w:sz="4" w:space="0" w:color="000000"/>
              <w:left w:val="single" w:sz="4" w:space="0" w:color="000000"/>
              <w:bottom w:val="single" w:sz="4" w:space="0" w:color="000000"/>
              <w:right w:val="none" w:sz="8" w:space="0" w:color="000000"/>
            </w:tcBorders>
            <w:shd w:val="clear" w:color="auto" w:fill="D8D8D8"/>
            <w:tcMar>
              <w:top w:w="0" w:type="dxa"/>
              <w:left w:w="86" w:type="dxa"/>
              <w:bottom w:w="0" w:type="dxa"/>
              <w:right w:w="86" w:type="dxa"/>
            </w:tcMar>
          </w:tcPr>
          <w:p w:rsidR="005C6E11" w:rsidRPr="009B1C91" w:rsidRDefault="005C6E11" w:rsidP="005C6E11">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33.3</w:t>
            </w:r>
          </w:p>
        </w:tc>
      </w:tr>
      <w:tr w:rsidR="005C6E11" w:rsidRPr="009B1C91" w:rsidTr="00E84761">
        <w:trPr>
          <w:cantSplit/>
          <w:trHeight w:val="180"/>
        </w:trPr>
        <w:tc>
          <w:tcPr>
            <w:tcW w:w="3227" w:type="dxa"/>
            <w:tcBorders>
              <w:top w:val="single" w:sz="4" w:space="0" w:color="000000"/>
              <w:left w:val="none" w:sz="8" w:space="0" w:color="000000"/>
              <w:bottom w:val="single" w:sz="4" w:space="0" w:color="000000"/>
              <w:right w:val="single" w:sz="4" w:space="0" w:color="000000"/>
            </w:tcBorders>
            <w:shd w:val="clear" w:color="auto" w:fill="B6DDE8"/>
            <w:tcMar>
              <w:top w:w="0" w:type="dxa"/>
              <w:left w:w="86" w:type="dxa"/>
              <w:bottom w:w="0" w:type="dxa"/>
              <w:right w:w="86" w:type="dxa"/>
            </w:tcMar>
          </w:tcPr>
          <w:p w:rsidR="005C6E11" w:rsidRPr="009B1C91" w:rsidRDefault="005C6E11" w:rsidP="005C6E11">
            <w:pPr>
              <w:pStyle w:val="Body"/>
              <w:spacing w:after="0" w:line="240" w:lineRule="auto"/>
              <w:jc w:val="both"/>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GEN1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86" w:type="dxa"/>
              <w:bottom w:w="0" w:type="dxa"/>
              <w:right w:w="86" w:type="dxa"/>
            </w:tcMar>
          </w:tcPr>
          <w:p w:rsidR="005C6E11" w:rsidRPr="009B1C91" w:rsidRDefault="005C6E11" w:rsidP="005C6E11">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8</w:t>
            </w:r>
          </w:p>
        </w:tc>
        <w:tc>
          <w:tcPr>
            <w:tcW w:w="1985" w:type="dxa"/>
            <w:tcBorders>
              <w:top w:val="single" w:sz="4" w:space="0" w:color="000000"/>
              <w:left w:val="single" w:sz="4" w:space="0" w:color="000000"/>
              <w:bottom w:val="single" w:sz="4" w:space="0" w:color="000000"/>
              <w:right w:val="none" w:sz="8" w:space="0" w:color="000000"/>
            </w:tcBorders>
            <w:shd w:val="clear" w:color="auto" w:fill="auto"/>
            <w:tcMar>
              <w:top w:w="0" w:type="dxa"/>
              <w:left w:w="86" w:type="dxa"/>
              <w:bottom w:w="0" w:type="dxa"/>
              <w:right w:w="86" w:type="dxa"/>
            </w:tcMar>
          </w:tcPr>
          <w:p w:rsidR="005C6E11" w:rsidRPr="009B1C91" w:rsidRDefault="005C6E11" w:rsidP="005C6E11">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33.3</w:t>
            </w:r>
          </w:p>
        </w:tc>
      </w:tr>
      <w:tr w:rsidR="005C6E11" w:rsidRPr="009B1C91" w:rsidTr="00E84761">
        <w:trPr>
          <w:cantSplit/>
          <w:trHeight w:val="180"/>
        </w:trPr>
        <w:tc>
          <w:tcPr>
            <w:tcW w:w="3227" w:type="dxa"/>
            <w:tcBorders>
              <w:top w:val="single" w:sz="4" w:space="0" w:color="000000"/>
              <w:left w:val="none" w:sz="8" w:space="0" w:color="000000"/>
              <w:bottom w:val="single" w:sz="4" w:space="0" w:color="000000"/>
              <w:right w:val="single" w:sz="4" w:space="0" w:color="000000"/>
            </w:tcBorders>
            <w:shd w:val="clear" w:color="auto" w:fill="B6DDE8"/>
            <w:tcMar>
              <w:top w:w="0" w:type="dxa"/>
              <w:left w:w="86" w:type="dxa"/>
              <w:bottom w:w="0" w:type="dxa"/>
              <w:right w:w="86" w:type="dxa"/>
            </w:tcMar>
          </w:tcPr>
          <w:p w:rsidR="005C6E11" w:rsidRPr="009B1C91" w:rsidRDefault="005C6E11" w:rsidP="005C6E11">
            <w:pPr>
              <w:pStyle w:val="Body"/>
              <w:spacing w:after="0" w:line="240" w:lineRule="auto"/>
              <w:jc w:val="both"/>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GEN2</w:t>
            </w:r>
          </w:p>
        </w:tc>
        <w:tc>
          <w:tcPr>
            <w:tcW w:w="2693" w:type="dxa"/>
            <w:tcBorders>
              <w:top w:val="single" w:sz="4" w:space="0" w:color="000000"/>
              <w:left w:val="single" w:sz="4" w:space="0" w:color="000000"/>
              <w:bottom w:val="single" w:sz="4" w:space="0" w:color="000000"/>
              <w:right w:val="single" w:sz="4" w:space="0" w:color="000000"/>
            </w:tcBorders>
            <w:shd w:val="clear" w:color="auto" w:fill="D8D8D8"/>
            <w:tcMar>
              <w:top w:w="0" w:type="dxa"/>
              <w:left w:w="86" w:type="dxa"/>
              <w:bottom w:w="0" w:type="dxa"/>
              <w:right w:w="86" w:type="dxa"/>
            </w:tcMar>
          </w:tcPr>
          <w:p w:rsidR="005C6E11" w:rsidRPr="009B1C91" w:rsidRDefault="005C6E11" w:rsidP="005C6E11">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7</w:t>
            </w:r>
          </w:p>
        </w:tc>
        <w:tc>
          <w:tcPr>
            <w:tcW w:w="1985" w:type="dxa"/>
            <w:tcBorders>
              <w:top w:val="single" w:sz="4" w:space="0" w:color="000000"/>
              <w:left w:val="single" w:sz="4" w:space="0" w:color="000000"/>
              <w:bottom w:val="single" w:sz="4" w:space="0" w:color="000000"/>
              <w:right w:val="none" w:sz="8" w:space="0" w:color="000000"/>
            </w:tcBorders>
            <w:shd w:val="clear" w:color="auto" w:fill="D8D8D8"/>
            <w:tcMar>
              <w:top w:w="0" w:type="dxa"/>
              <w:left w:w="86" w:type="dxa"/>
              <w:bottom w:w="0" w:type="dxa"/>
              <w:right w:w="86" w:type="dxa"/>
            </w:tcMar>
          </w:tcPr>
          <w:p w:rsidR="005C6E11" w:rsidRPr="009B1C91" w:rsidRDefault="005C6E11" w:rsidP="005C6E11">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29.2</w:t>
            </w:r>
          </w:p>
        </w:tc>
      </w:tr>
      <w:tr w:rsidR="005C6E11" w:rsidRPr="009B1C91" w:rsidTr="00E84761">
        <w:trPr>
          <w:cantSplit/>
          <w:trHeight w:val="180"/>
        </w:trPr>
        <w:tc>
          <w:tcPr>
            <w:tcW w:w="3227" w:type="dxa"/>
            <w:tcBorders>
              <w:top w:val="single" w:sz="4" w:space="0" w:color="000000"/>
              <w:left w:val="none" w:sz="8" w:space="0" w:color="000000"/>
              <w:bottom w:val="single" w:sz="4" w:space="0" w:color="000000"/>
              <w:right w:val="single" w:sz="4" w:space="0" w:color="000000"/>
            </w:tcBorders>
            <w:shd w:val="clear" w:color="auto" w:fill="B6DDE8"/>
            <w:tcMar>
              <w:top w:w="0" w:type="dxa"/>
              <w:left w:w="86" w:type="dxa"/>
              <w:bottom w:w="0" w:type="dxa"/>
              <w:right w:w="86" w:type="dxa"/>
            </w:tcMar>
          </w:tcPr>
          <w:p w:rsidR="005C6E11" w:rsidRPr="009B1C91" w:rsidRDefault="005C6E11" w:rsidP="005C6E11">
            <w:pPr>
              <w:pStyle w:val="Body"/>
              <w:spacing w:after="0" w:line="240" w:lineRule="auto"/>
              <w:jc w:val="both"/>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GEN3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86" w:type="dxa"/>
              <w:bottom w:w="0" w:type="dxa"/>
              <w:right w:w="86" w:type="dxa"/>
            </w:tcMar>
          </w:tcPr>
          <w:p w:rsidR="005C6E11" w:rsidRPr="009B1C91" w:rsidRDefault="005C6E11" w:rsidP="005C6E11">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1</w:t>
            </w:r>
          </w:p>
        </w:tc>
        <w:tc>
          <w:tcPr>
            <w:tcW w:w="1985" w:type="dxa"/>
            <w:tcBorders>
              <w:top w:val="single" w:sz="4" w:space="0" w:color="000000"/>
              <w:left w:val="single" w:sz="4" w:space="0" w:color="000000"/>
              <w:bottom w:val="single" w:sz="4" w:space="0" w:color="000000"/>
              <w:right w:val="none" w:sz="8" w:space="0" w:color="000000"/>
            </w:tcBorders>
            <w:shd w:val="clear" w:color="auto" w:fill="auto"/>
            <w:tcMar>
              <w:top w:w="0" w:type="dxa"/>
              <w:left w:w="86" w:type="dxa"/>
              <w:bottom w:w="0" w:type="dxa"/>
              <w:right w:w="86" w:type="dxa"/>
            </w:tcMar>
          </w:tcPr>
          <w:p w:rsidR="005C6E11" w:rsidRPr="009B1C91" w:rsidRDefault="005C6E11" w:rsidP="005C6E11">
            <w:pPr>
              <w:pStyle w:val="Body"/>
              <w:spacing w:after="0" w:line="240" w:lineRule="auto"/>
              <w:jc w:val="center"/>
              <w:rPr>
                <w:rFonts w:asciiTheme="minorHAnsi" w:hAnsiTheme="minorHAnsi" w:cstheme="minorHAnsi"/>
                <w:sz w:val="20"/>
                <w:szCs w:val="20"/>
                <w:lang w:val="en-US"/>
              </w:rPr>
            </w:pPr>
            <w:r w:rsidRPr="009B1C91">
              <w:rPr>
                <w:rFonts w:asciiTheme="minorHAnsi" w:hAnsiTheme="minorHAnsi" w:cstheme="minorHAnsi"/>
                <w:sz w:val="20"/>
                <w:szCs w:val="20"/>
                <w:lang w:val="en-US"/>
              </w:rPr>
              <w:t>4.2</w:t>
            </w:r>
          </w:p>
        </w:tc>
      </w:tr>
      <w:tr w:rsidR="005C6E11" w:rsidRPr="009B1C91" w:rsidTr="00E84761">
        <w:trPr>
          <w:cantSplit/>
          <w:trHeight w:val="180"/>
        </w:trPr>
        <w:tc>
          <w:tcPr>
            <w:tcW w:w="3227" w:type="dxa"/>
            <w:tcBorders>
              <w:top w:val="single" w:sz="4" w:space="0" w:color="000000"/>
              <w:left w:val="none" w:sz="8" w:space="0" w:color="000000"/>
              <w:bottom w:val="single" w:sz="18" w:space="0" w:color="000000"/>
              <w:right w:val="single" w:sz="4" w:space="0" w:color="000000"/>
            </w:tcBorders>
            <w:shd w:val="clear" w:color="auto" w:fill="B6DDE8"/>
            <w:tcMar>
              <w:top w:w="0" w:type="dxa"/>
              <w:left w:w="86" w:type="dxa"/>
              <w:bottom w:w="0" w:type="dxa"/>
              <w:right w:w="86" w:type="dxa"/>
            </w:tcMar>
          </w:tcPr>
          <w:p w:rsidR="005C6E11" w:rsidRPr="009B1C91" w:rsidRDefault="005C6E11" w:rsidP="005C6E11">
            <w:pPr>
              <w:pStyle w:val="Body"/>
              <w:spacing w:after="0" w:line="240" w:lineRule="auto"/>
              <w:jc w:val="both"/>
              <w:rPr>
                <w:rFonts w:asciiTheme="minorHAnsi" w:hAnsiTheme="minorHAnsi" w:cstheme="minorHAnsi"/>
                <w:sz w:val="20"/>
                <w:szCs w:val="20"/>
                <w:lang w:val="en-US"/>
              </w:rPr>
            </w:pPr>
            <w:r w:rsidRPr="009B1C91">
              <w:rPr>
                <w:rFonts w:asciiTheme="minorHAnsi" w:hAnsiTheme="minorHAnsi" w:cstheme="minorHAnsi"/>
                <w:sz w:val="20"/>
                <w:szCs w:val="20"/>
                <w:lang w:val="en-US"/>
              </w:rPr>
              <w:t>Total</w:t>
            </w:r>
          </w:p>
        </w:tc>
        <w:tc>
          <w:tcPr>
            <w:tcW w:w="2693" w:type="dxa"/>
            <w:tcBorders>
              <w:top w:val="single" w:sz="4" w:space="0" w:color="000000"/>
              <w:left w:val="single" w:sz="4" w:space="0" w:color="000000"/>
              <w:bottom w:val="single" w:sz="18" w:space="0" w:color="000000"/>
              <w:right w:val="single" w:sz="4" w:space="0" w:color="000000"/>
            </w:tcBorders>
            <w:shd w:val="clear" w:color="auto" w:fill="D8D8D8"/>
            <w:tcMar>
              <w:top w:w="0" w:type="dxa"/>
              <w:left w:w="86" w:type="dxa"/>
              <w:bottom w:w="0" w:type="dxa"/>
              <w:right w:w="86" w:type="dxa"/>
            </w:tcMar>
          </w:tcPr>
          <w:p w:rsidR="005C6E11" w:rsidRPr="009B1C91" w:rsidRDefault="005C6E11" w:rsidP="005C6E11">
            <w:pPr>
              <w:pStyle w:val="Body"/>
              <w:spacing w:after="0" w:line="240" w:lineRule="auto"/>
              <w:jc w:val="center"/>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24</w:t>
            </w:r>
          </w:p>
        </w:tc>
        <w:tc>
          <w:tcPr>
            <w:tcW w:w="1985" w:type="dxa"/>
            <w:tcBorders>
              <w:top w:val="single" w:sz="4" w:space="0" w:color="000000"/>
              <w:left w:val="single" w:sz="4" w:space="0" w:color="000000"/>
              <w:bottom w:val="single" w:sz="18" w:space="0" w:color="000000"/>
              <w:right w:val="none" w:sz="8" w:space="0" w:color="000000"/>
            </w:tcBorders>
            <w:shd w:val="clear" w:color="auto" w:fill="D8D8D8"/>
            <w:tcMar>
              <w:top w:w="0" w:type="dxa"/>
              <w:left w:w="86" w:type="dxa"/>
              <w:bottom w:w="0" w:type="dxa"/>
              <w:right w:w="86" w:type="dxa"/>
            </w:tcMar>
          </w:tcPr>
          <w:p w:rsidR="005C6E11" w:rsidRPr="009B1C91" w:rsidRDefault="005C6E11" w:rsidP="005C6E11">
            <w:pPr>
              <w:pStyle w:val="Body"/>
              <w:spacing w:after="0" w:line="240" w:lineRule="auto"/>
              <w:jc w:val="center"/>
              <w:rPr>
                <w:rFonts w:asciiTheme="minorHAnsi" w:hAnsiTheme="minorHAnsi" w:cstheme="minorHAnsi"/>
                <w:b/>
                <w:bCs/>
                <w:sz w:val="20"/>
                <w:szCs w:val="20"/>
                <w:lang w:val="en-US"/>
              </w:rPr>
            </w:pPr>
            <w:r w:rsidRPr="009B1C91">
              <w:rPr>
                <w:rFonts w:asciiTheme="minorHAnsi" w:hAnsiTheme="minorHAnsi" w:cstheme="minorHAnsi"/>
                <w:b/>
                <w:bCs/>
                <w:sz w:val="20"/>
                <w:szCs w:val="20"/>
                <w:lang w:val="en-US"/>
              </w:rPr>
              <w:t>100.0</w:t>
            </w:r>
          </w:p>
        </w:tc>
      </w:tr>
    </w:tbl>
    <w:p w:rsidR="005C6E11" w:rsidRPr="009B1C91" w:rsidRDefault="00D868DA" w:rsidP="005C6E11">
      <w:pPr>
        <w:pStyle w:val="Body"/>
        <w:shd w:val="clear" w:color="auto" w:fill="FFFFFF"/>
        <w:spacing w:after="0" w:line="240" w:lineRule="auto"/>
        <w:jc w:val="both"/>
        <w:rPr>
          <w:rFonts w:asciiTheme="minorHAnsi" w:hAnsiTheme="minorHAnsi" w:cstheme="minorHAnsi"/>
          <w:lang w:val="en-US"/>
        </w:rPr>
      </w:pPr>
      <w:r w:rsidRPr="009B1C91">
        <w:rPr>
          <w:rFonts w:asciiTheme="minorHAnsi" w:hAnsiTheme="minorHAnsi" w:cstheme="minorHAnsi"/>
          <w:lang w:val="en-US"/>
        </w:rPr>
        <w:t>Source: UNDP RRMC Cluster</w:t>
      </w:r>
      <w:r w:rsidR="00DC2834">
        <w:rPr>
          <w:rFonts w:asciiTheme="minorHAnsi" w:hAnsiTheme="minorHAnsi" w:cstheme="minorHAnsi"/>
          <w:lang w:val="en-US"/>
        </w:rPr>
        <w:t>,</w:t>
      </w:r>
      <w:r w:rsidRPr="009B1C91">
        <w:rPr>
          <w:rFonts w:asciiTheme="minorHAnsi" w:hAnsiTheme="minorHAnsi" w:cstheme="minorHAnsi"/>
          <w:lang w:val="en-US"/>
        </w:rPr>
        <w:t xml:space="preserve"> 2014.</w:t>
      </w:r>
    </w:p>
    <w:p w:rsidR="00D868DA" w:rsidRPr="009B1C91" w:rsidRDefault="00D868DA" w:rsidP="005C6E11">
      <w:pPr>
        <w:pStyle w:val="Body"/>
        <w:shd w:val="clear" w:color="auto" w:fill="FFFFFF"/>
        <w:spacing w:after="0" w:line="240" w:lineRule="auto"/>
        <w:jc w:val="both"/>
        <w:rPr>
          <w:rFonts w:asciiTheme="minorHAnsi" w:hAnsiTheme="minorHAnsi" w:cstheme="minorHAnsi"/>
          <w:lang w:val="en-US"/>
        </w:rPr>
      </w:pPr>
    </w:p>
    <w:p w:rsidR="005C6E11" w:rsidRPr="009B1C91" w:rsidRDefault="005C6E11" w:rsidP="00F653F8">
      <w:pPr>
        <w:pStyle w:val="Body"/>
        <w:shd w:val="clear" w:color="auto" w:fill="FFFFFF"/>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Although gender equality and women’s empowerment are mandated and accepted priorities for the UNDP CCED Cluster, there have been only sporadic efforts to include gender issues in project interventions. This is reflected in the analysis of gender markers, which reveals that the vast </w:t>
      </w:r>
      <w:r w:rsidR="00931E59" w:rsidRPr="009B1C91">
        <w:rPr>
          <w:rFonts w:asciiTheme="minorHAnsi" w:hAnsiTheme="minorHAnsi" w:cstheme="minorHAnsi"/>
          <w:lang w:val="en-US"/>
        </w:rPr>
        <w:t>majorities of activities either “contributes in some way to gender equality, but not significantly” or “are</w:t>
      </w:r>
      <w:r w:rsidRPr="009B1C91">
        <w:rPr>
          <w:rFonts w:asciiTheme="minorHAnsi" w:hAnsiTheme="minorHAnsi" w:cstheme="minorHAnsi"/>
          <w:lang w:val="en-US"/>
        </w:rPr>
        <w:t xml:space="preserve"> not expected to contribute noticeably to gender equality</w:t>
      </w:r>
      <w:r w:rsidRPr="009B1C91">
        <w:rPr>
          <w:rFonts w:asciiTheme="minorHAnsi" w:hAnsiTheme="minorHAnsi" w:cstheme="minorHAnsi"/>
          <w:color w:val="auto"/>
          <w:lang w:val="en-US"/>
        </w:rPr>
        <w:t>”</w:t>
      </w:r>
      <w:r w:rsidR="00907EDA" w:rsidRPr="009B1C91">
        <w:rPr>
          <w:rFonts w:asciiTheme="minorHAnsi" w:hAnsiTheme="minorHAnsi" w:cstheme="minorHAnsi"/>
          <w:color w:val="auto"/>
          <w:lang w:val="en-US"/>
        </w:rPr>
        <w:t xml:space="preserve"> (</w:t>
      </w:r>
      <w:r w:rsidR="00C63CB7">
        <w:rPr>
          <w:rFonts w:asciiTheme="minorHAnsi" w:hAnsiTheme="minorHAnsi" w:cstheme="minorHAnsi"/>
          <w:color w:val="auto"/>
          <w:lang w:val="en-US"/>
        </w:rPr>
        <w:t>Table 4.1.3.1, and Annex XI</w:t>
      </w:r>
      <w:r w:rsidRPr="009B1C91">
        <w:rPr>
          <w:rFonts w:asciiTheme="minorHAnsi" w:hAnsiTheme="minorHAnsi" w:cstheme="minorHAnsi"/>
          <w:color w:val="auto"/>
          <w:lang w:val="en-US"/>
        </w:rPr>
        <w:t>).</w:t>
      </w:r>
      <w:r w:rsidRPr="009B1C91">
        <w:rPr>
          <w:rFonts w:asciiTheme="minorHAnsi" w:hAnsiTheme="minorHAnsi" w:cstheme="minorHAnsi"/>
          <w:lang w:val="en-US"/>
        </w:rPr>
        <w:t xml:space="preserve"> Women as target beneficiary group (micro credit model) have been included in a number of cases, however limited systematic analysis has yet taken place (applicable for most of the projects) to achieve gender equality and women’s empowerment. </w:t>
      </w:r>
    </w:p>
    <w:p w:rsidR="005C6E11" w:rsidRPr="009B1C91" w:rsidRDefault="005C6E11" w:rsidP="00F653F8">
      <w:pPr>
        <w:pStyle w:val="Body"/>
        <w:spacing w:after="0" w:line="240" w:lineRule="auto"/>
        <w:jc w:val="both"/>
        <w:rPr>
          <w:rFonts w:asciiTheme="minorHAnsi" w:hAnsiTheme="minorHAnsi" w:cstheme="minorHAnsi"/>
          <w:lang w:val="en-US"/>
        </w:rPr>
      </w:pPr>
    </w:p>
    <w:p w:rsidR="005C6E11" w:rsidRPr="009B1C91" w:rsidRDefault="005C6E11"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Achieving gender empowerment requires is a holistic approach where the serious involvement of different actors is critical. The UNDP CCED Cluster needs to link more of its project activities to the greater development initiatives. Even the indicators set by UNDP PECM project as gender inclusion in development initiatives (in DPP manual, referred earlier) can be considered for adoption by UNDP Bangladesh. </w:t>
      </w:r>
    </w:p>
    <w:p w:rsidR="000B781F" w:rsidRPr="009B1C91" w:rsidRDefault="000B781F" w:rsidP="00F653F8">
      <w:pPr>
        <w:pStyle w:val="Body"/>
        <w:spacing w:after="0" w:line="240" w:lineRule="auto"/>
        <w:jc w:val="both"/>
        <w:rPr>
          <w:rFonts w:asciiTheme="minorHAnsi" w:hAnsiTheme="minorHAnsi" w:cstheme="minorHAnsi"/>
          <w:lang w:val="en-US"/>
        </w:rPr>
      </w:pPr>
    </w:p>
    <w:p w:rsidR="004172B4" w:rsidRPr="009B1C91" w:rsidRDefault="004172B4" w:rsidP="00F653F8">
      <w:pPr>
        <w:pStyle w:val="Body"/>
        <w:spacing w:after="0" w:line="240" w:lineRule="auto"/>
        <w:jc w:val="both"/>
        <w:rPr>
          <w:rFonts w:asciiTheme="minorHAnsi" w:hAnsiTheme="minorHAnsi" w:cstheme="minorHAnsi"/>
          <w:lang w:val="en-US"/>
        </w:rPr>
      </w:pPr>
    </w:p>
    <w:p w:rsidR="005C6E11" w:rsidRPr="009B1C91" w:rsidRDefault="005C6E11" w:rsidP="005C6E11">
      <w:pPr>
        <w:pStyle w:val="Body"/>
        <w:spacing w:after="0"/>
        <w:jc w:val="both"/>
        <w:rPr>
          <w:rFonts w:asciiTheme="minorHAnsi" w:hAnsiTheme="minorHAnsi" w:cstheme="minorHAnsi"/>
          <w:lang w:val="en-US"/>
        </w:rPr>
      </w:pPr>
      <w:r w:rsidRPr="009B1C91">
        <w:rPr>
          <w:rFonts w:asciiTheme="minorHAnsi" w:hAnsiTheme="minorHAnsi" w:cstheme="minorHAnsi"/>
          <w:b/>
          <w:bCs/>
          <w:lang w:val="en-US"/>
        </w:rPr>
        <w:t xml:space="preserve">4.1.4 ORGANIZATIONAL AND STRATEGIC POSITION AND PARTNERSHIPS  </w:t>
      </w:r>
    </w:p>
    <w:p w:rsidR="005C6E11" w:rsidRPr="009B1C91" w:rsidRDefault="005C6E11" w:rsidP="005C6E11">
      <w:pPr>
        <w:pStyle w:val="Body"/>
        <w:spacing w:after="0" w:line="240" w:lineRule="auto"/>
        <w:rPr>
          <w:rFonts w:asciiTheme="minorHAnsi" w:hAnsiTheme="minorHAnsi" w:cstheme="minorHAnsi"/>
          <w:b/>
          <w:bCs/>
          <w:lang w:val="en-US"/>
        </w:rPr>
      </w:pPr>
    </w:p>
    <w:p w:rsidR="005C6E11" w:rsidRPr="009B1C91" w:rsidRDefault="005C6E11"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Triangulation of all interviewees, stakeholders and implementation agencies has confirmed that UNDP is seen as a trusted and neutral development platform. UNDP Bangladesh is recognized as a Thought Leader as well as a reliable partner and effective coordinator of donor funds. This places the UNDP Bangladesh CCED cluster in a particularly strong position to influence and coordinate policy-making and support the government in the areas where operational weaknesses and capacity gaps prohibit effective governance. However, the evaluators found that some capacity gaps still remain; in particular,</w:t>
      </w:r>
      <w:r w:rsidR="00A109A2">
        <w:rPr>
          <w:rFonts w:asciiTheme="minorHAnsi" w:hAnsiTheme="minorHAnsi" w:cstheme="minorHAnsi"/>
          <w:lang w:val="en-US"/>
        </w:rPr>
        <w:t xml:space="preserve"> </w:t>
      </w:r>
      <w:r w:rsidRPr="009B1C91">
        <w:rPr>
          <w:rFonts w:asciiTheme="minorHAnsi" w:hAnsiTheme="minorHAnsi" w:cstheme="minorHAnsi"/>
          <w:lang w:val="en-US"/>
        </w:rPr>
        <w:t xml:space="preserve">the cooperation between various government levels is still </w:t>
      </w:r>
      <w:r w:rsidR="009876FE" w:rsidRPr="009B1C91">
        <w:rPr>
          <w:rFonts w:asciiTheme="minorHAnsi" w:hAnsiTheme="minorHAnsi" w:cstheme="minorHAnsi"/>
          <w:lang w:val="en-US"/>
        </w:rPr>
        <w:t>a</w:t>
      </w:r>
      <w:r w:rsidRPr="009B1C91">
        <w:rPr>
          <w:rFonts w:asciiTheme="minorHAnsi" w:hAnsiTheme="minorHAnsi" w:cstheme="minorHAnsi"/>
          <w:lang w:val="en-US"/>
        </w:rPr>
        <w:t xml:space="preserve"> major challenge. Such cooperation deficiencies have also been noticed within some UNDP projects (e.g., such lack of extended collaboration by CDMP II implementation agency with other government and non-government organizations is elaborated in the evaluation of effectiveness of CDMI II project – </w:t>
      </w:r>
      <w:r w:rsidR="008376E8" w:rsidRPr="009B1C91">
        <w:rPr>
          <w:rFonts w:asciiTheme="minorHAnsi" w:hAnsiTheme="minorHAnsi" w:cstheme="minorHAnsi"/>
          <w:lang w:val="en-US"/>
        </w:rPr>
        <w:t>see Subsection 4.2.2</w:t>
      </w:r>
      <w:r w:rsidRPr="009B1C91">
        <w:rPr>
          <w:rFonts w:asciiTheme="minorHAnsi" w:hAnsiTheme="minorHAnsi" w:cstheme="minorHAnsi"/>
          <w:lang w:val="en-US"/>
        </w:rPr>
        <w:t>).</w:t>
      </w:r>
    </w:p>
    <w:p w:rsidR="005C6E11" w:rsidRPr="009B1C91" w:rsidRDefault="005C6E11" w:rsidP="00F653F8">
      <w:pPr>
        <w:pStyle w:val="Body"/>
        <w:spacing w:after="0" w:line="240" w:lineRule="auto"/>
        <w:jc w:val="both"/>
        <w:rPr>
          <w:rFonts w:asciiTheme="minorHAnsi" w:hAnsiTheme="minorHAnsi" w:cstheme="minorHAnsi"/>
          <w:lang w:val="en-US"/>
        </w:rPr>
      </w:pPr>
    </w:p>
    <w:p w:rsidR="005C6E11" w:rsidRPr="009B1C91" w:rsidRDefault="005C6E11"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Apart from this partnership with the government, UNDP also has effective partnerships with the other UN Organizations (e.g., FAO, WFP), INGOs (e.g., IUCN), NGOs, and CSOs</w:t>
      </w:r>
      <w:r w:rsidRPr="009B1C91">
        <w:rPr>
          <w:rFonts w:asciiTheme="minorHAnsi" w:hAnsiTheme="minorHAnsi" w:cstheme="minorHAnsi"/>
          <w:color w:val="auto"/>
          <w:u w:color="FF0000"/>
          <w:lang w:val="en-US"/>
        </w:rPr>
        <w:t xml:space="preserve">. </w:t>
      </w:r>
      <w:r w:rsidR="00BB5082" w:rsidRPr="009B1C91">
        <w:rPr>
          <w:rFonts w:asciiTheme="minorHAnsi" w:hAnsiTheme="minorHAnsi" w:cstheme="minorHAnsi"/>
          <w:color w:val="auto"/>
          <w:u w:color="FF0000"/>
          <w:lang w:val="en-US"/>
        </w:rPr>
        <w:t>For example, UNDP partnered with BRAC to build the resilient habitat under ERS at Kederbazar, Shymnagar. Also, under ERF maintains a roster of nearly 100 NGOs</w:t>
      </w:r>
      <w:r w:rsidR="00B23EF7" w:rsidRPr="009B1C91">
        <w:rPr>
          <w:rFonts w:asciiTheme="minorHAnsi" w:hAnsiTheme="minorHAnsi" w:cstheme="minorHAnsi"/>
          <w:color w:val="auto"/>
          <w:u w:color="FF0000"/>
          <w:lang w:val="en-US"/>
        </w:rPr>
        <w:t>, many of which are based in local communities from diverse regions</w:t>
      </w:r>
      <w:r w:rsidR="00B23EF7" w:rsidRPr="00A109A2">
        <w:rPr>
          <w:rFonts w:asciiTheme="minorHAnsi" w:hAnsiTheme="minorHAnsi" w:cstheme="minorHAnsi"/>
          <w:color w:val="auto"/>
          <w:u w:color="FF0000"/>
          <w:lang w:val="en-US"/>
        </w:rPr>
        <w:t>.</w:t>
      </w:r>
      <w:r w:rsidR="00A109A2">
        <w:rPr>
          <w:rFonts w:asciiTheme="minorHAnsi" w:hAnsiTheme="minorHAnsi" w:cstheme="minorHAnsi"/>
          <w:color w:val="FF0000"/>
          <w:u w:color="FF0000"/>
          <w:lang w:val="en-US"/>
        </w:rPr>
        <w:t xml:space="preserve"> </w:t>
      </w:r>
      <w:r w:rsidRPr="009B1C91">
        <w:rPr>
          <w:rFonts w:asciiTheme="minorHAnsi" w:hAnsiTheme="minorHAnsi" w:cstheme="minorHAnsi"/>
          <w:lang w:val="en-US"/>
        </w:rPr>
        <w:t>However, it is unclear whether UNDP devotes sufficient resources to building and maintaining these relationships. Several stakeholders have suggested that UNDP Bangladesh would be uniquely placed to take on a coordinating role for international donors in the environmental, natural resource governance, and energy fields. However, in order to act on this advantage, a systematic emphasis on regular coordination opportunities (e.g. round tables, presentations of programming priorities and current activities by projects or the cluster) is necessary. Such efforts will help raise the profile of UNDP Bangladesh. The excellent positive response that the evaluators received when requesting to meet other donors should encourage UNDP to conduct more systematic outreach to donors.</w:t>
      </w:r>
    </w:p>
    <w:p w:rsidR="005C6E11" w:rsidRPr="009B1C91" w:rsidRDefault="005C6E11" w:rsidP="005C6E11">
      <w:pPr>
        <w:pStyle w:val="Body"/>
        <w:spacing w:after="0" w:line="240" w:lineRule="auto"/>
        <w:rPr>
          <w:rFonts w:asciiTheme="minorHAnsi" w:hAnsiTheme="minorHAnsi" w:cstheme="minorHAnsi"/>
          <w:lang w:val="en-US"/>
        </w:rPr>
      </w:pPr>
    </w:p>
    <w:p w:rsidR="005C6E11" w:rsidRPr="009B1C91" w:rsidRDefault="005C6E11"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Interviewed government partners highly praised UNDP’s responsiveness, neutrality, and emphasis on universal moral and ethical values and responsibilities in its programming and activities. According to the internal view of UNDP staff, UNDP understands how to “manage” the government, and make serious efforts to find common ground and encourage progress on project concerning issues that may be contentious. </w:t>
      </w:r>
    </w:p>
    <w:p w:rsidR="005C6E11" w:rsidRPr="009B1C91" w:rsidRDefault="005C6E11" w:rsidP="00F653F8">
      <w:pPr>
        <w:pStyle w:val="Body"/>
        <w:spacing w:after="0" w:line="240" w:lineRule="auto"/>
        <w:jc w:val="both"/>
        <w:rPr>
          <w:rFonts w:asciiTheme="minorHAnsi" w:hAnsiTheme="minorHAnsi" w:cstheme="minorHAnsi"/>
          <w:lang w:val="en-US"/>
        </w:rPr>
      </w:pPr>
    </w:p>
    <w:p w:rsidR="005C6E11" w:rsidRPr="009B1C91" w:rsidRDefault="005C6E11" w:rsidP="00086A89">
      <w:pPr>
        <w:pStyle w:val="Body"/>
        <w:spacing w:after="0" w:line="240" w:lineRule="auto"/>
        <w:jc w:val="both"/>
        <w:rPr>
          <w:rFonts w:asciiTheme="minorHAnsi" w:hAnsiTheme="minorHAnsi" w:cstheme="minorHAnsi"/>
          <w:color w:val="FF0000"/>
          <w:lang w:val="en-US"/>
        </w:rPr>
      </w:pPr>
      <w:r w:rsidRPr="009B1C91">
        <w:rPr>
          <w:rFonts w:asciiTheme="minorHAnsi" w:hAnsiTheme="minorHAnsi" w:cstheme="minorHAnsi"/>
          <w:lang w:val="en-US"/>
        </w:rPr>
        <w:t xml:space="preserve">While some projects did encounter delays, no project had to be terminated prematurely. Except for two projects – the ERF </w:t>
      </w:r>
      <w:r w:rsidRPr="001D4C99">
        <w:rPr>
          <w:rFonts w:asciiTheme="minorHAnsi" w:hAnsiTheme="minorHAnsi" w:cstheme="minorHAnsi"/>
          <w:lang w:val="en-US"/>
        </w:rPr>
        <w:t>and the IKEBMI projects</w:t>
      </w:r>
      <w:r w:rsidRPr="009B1C91">
        <w:rPr>
          <w:rFonts w:asciiTheme="minorHAnsi" w:hAnsiTheme="minorHAnsi" w:cstheme="minorHAnsi"/>
          <w:lang w:val="en-US"/>
        </w:rPr>
        <w:t xml:space="preserve"> – all projects are executed in accordance with the National Execution modality. This means that the project management unit is situated in the national government agency responsible for the project and all decisions, except hiring and procurement, are taken by the government - with the advice of the UNDP portfolio managers when necessary. When the CCED Cluster staff have the impression that there might be practices inconsistent with good governance they can launch external audits. </w:t>
      </w:r>
      <w:r w:rsidRPr="009B1C91">
        <w:rPr>
          <w:rFonts w:asciiTheme="minorHAnsi" w:hAnsiTheme="minorHAnsi" w:cstheme="minorHAnsi"/>
          <w:color w:val="auto"/>
          <w:lang w:val="en-US"/>
        </w:rPr>
        <w:t>This has hap</w:t>
      </w:r>
      <w:r w:rsidR="00B23EF7" w:rsidRPr="009B1C91">
        <w:rPr>
          <w:rFonts w:asciiTheme="minorHAnsi" w:hAnsiTheme="minorHAnsi" w:cstheme="minorHAnsi"/>
          <w:color w:val="auto"/>
          <w:lang w:val="en-US"/>
        </w:rPr>
        <w:t>pened several times.</w:t>
      </w:r>
    </w:p>
    <w:p w:rsidR="005C6E11" w:rsidRPr="009B1C91" w:rsidRDefault="005C6E11" w:rsidP="00F653F8">
      <w:pPr>
        <w:pStyle w:val="Body"/>
        <w:spacing w:after="0" w:line="240" w:lineRule="auto"/>
        <w:jc w:val="both"/>
        <w:rPr>
          <w:rFonts w:asciiTheme="minorHAnsi" w:hAnsiTheme="minorHAnsi" w:cstheme="minorHAnsi"/>
          <w:color w:val="FF0000"/>
          <w:lang w:val="en-US"/>
        </w:rPr>
      </w:pPr>
    </w:p>
    <w:p w:rsidR="005C6E11" w:rsidRPr="009B1C91" w:rsidRDefault="005C6E11"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This execution modality helps UNDP Bangladesh keep their operations efficient. However, this efficiency comes at a cost. While the cluster is equipped with excellent Portfolio Managers with extensive networks in the field of environment and disaster relief in Bangladesh, and their respective areas of expertise appear complementary, the evaluators noticed some shortcomings in project oversight. As low-quality reports and project outputs are a severe threat to the sustainability of project results, much closer monitoring and evaluation of the quality of deliverables and results are needed in both the central point of the CCED and RRMC Clusters. Examples for this are the BRESL report outputs, and a number of training manuals for the CDMP project. Similarly, recruitment of high-quality staff, along with their annual performance review, should be strictly pursued; in case of underperformance, the administration should execute their oversight and take action. </w:t>
      </w:r>
    </w:p>
    <w:p w:rsidR="005C6E11" w:rsidRPr="009B1C91" w:rsidRDefault="005C6E11" w:rsidP="005C6E11">
      <w:pPr>
        <w:pStyle w:val="Body"/>
        <w:spacing w:after="0" w:line="240" w:lineRule="auto"/>
        <w:rPr>
          <w:rFonts w:asciiTheme="minorHAnsi" w:hAnsiTheme="minorHAnsi" w:cstheme="minorHAnsi"/>
          <w:lang w:val="en-US"/>
        </w:rPr>
      </w:pPr>
    </w:p>
    <w:p w:rsidR="005C6E11" w:rsidRPr="009B1C91" w:rsidRDefault="005C6E11"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At UNDP Bangladesh, standard UNDP M&amp;E practices are implemented</w:t>
      </w:r>
      <w:r w:rsidR="00B23EF7" w:rsidRPr="001D4C99">
        <w:rPr>
          <w:rFonts w:asciiTheme="minorHAnsi" w:hAnsiTheme="minorHAnsi" w:cstheme="minorHAnsi"/>
          <w:lang w:val="en-US"/>
        </w:rPr>
        <w:t xml:space="preserve">.  </w:t>
      </w:r>
      <w:r w:rsidRPr="001D4C99">
        <w:rPr>
          <w:rFonts w:asciiTheme="minorHAnsi" w:hAnsiTheme="minorHAnsi" w:cstheme="minorHAnsi"/>
          <w:lang w:val="en-US"/>
        </w:rPr>
        <w:t>In some cases, the monitoring documents are excellent - for example with respect to the social impacts of the Bricks project. However, a systematic document management, with adequate infrastructure and resources, at the CO is basically</w:t>
      </w:r>
      <w:r w:rsidRPr="009B1C91">
        <w:rPr>
          <w:rFonts w:asciiTheme="minorHAnsi" w:hAnsiTheme="minorHAnsi" w:cstheme="minorHAnsi"/>
          <w:lang w:val="en-US"/>
        </w:rPr>
        <w:t xml:space="preserve"> nonexistent. This introduces inefficiencies and hampers access to information within the office. Most information needs are satisfied by directly approaching the Portfolio Managers, which increases their workload significantly. Similarly, contact management is absent, with the potential risk of approaching stakeholders multiple times, missing out on important collaboration opportunities, and ultimately damage to UNDP’s reputation that could be easily avoided with networked databases and information management. </w:t>
      </w:r>
    </w:p>
    <w:p w:rsidR="005C6E11" w:rsidRPr="009B1C91" w:rsidRDefault="005C6E11" w:rsidP="00F653F8">
      <w:pPr>
        <w:pStyle w:val="Body"/>
        <w:spacing w:after="0" w:line="240" w:lineRule="auto"/>
        <w:jc w:val="both"/>
        <w:rPr>
          <w:rFonts w:asciiTheme="minorHAnsi" w:hAnsiTheme="minorHAnsi" w:cstheme="minorHAnsi"/>
          <w:lang w:val="en-US"/>
        </w:rPr>
      </w:pPr>
    </w:p>
    <w:p w:rsidR="005C6E11" w:rsidRPr="009B1C91" w:rsidRDefault="005C6E11"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Last but not least, a nominal systematic and structured knowledge management strategy is presently in place. Resources based on lessons learning or communication and outreach by the CCED cluster are also not systematically procured, inventoried or made available for providing institutional memory of programmes, projects, lessons learned, past policy discussions and strategic discussions. These needs cannot be met at the current staffing level, as the portfolio managers are required to focus on project oversight, project and portfolio development, and fundraising and stakeholder relations. However, the importance of systematic knowledge development and management cannot be overstated. As UNDP Bangladesh wishes to further develop itself as an effective institution that can help the government overcome barriers for a better and safer social, cultural and physical environment in Bangladesh, lessons need to be systematically extracted and codified, and made available for the stakeholders and the general public. </w:t>
      </w:r>
    </w:p>
    <w:p w:rsidR="005C6E11" w:rsidRPr="009B1C91" w:rsidRDefault="005C6E11" w:rsidP="005C6E11">
      <w:pPr>
        <w:pStyle w:val="Body"/>
        <w:spacing w:after="0" w:line="240" w:lineRule="auto"/>
        <w:rPr>
          <w:rFonts w:asciiTheme="minorHAnsi" w:hAnsiTheme="minorHAnsi" w:cstheme="minorHAnsi"/>
          <w:lang w:val="en-US"/>
        </w:rPr>
      </w:pPr>
    </w:p>
    <w:p w:rsidR="008376E8" w:rsidRPr="00AA288B" w:rsidRDefault="005C6E11" w:rsidP="00AA288B">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The evaluators recognize that, as is currently being planned, UNDP Bangladesh wishes to considerably scale up operations in the CCED cluster to take advantage of the significant funds available through the Green Climate Fund. UNDP is one of three agencies (along with ADB and KfW) that can access these funds, and the expected volume could be $100 million US. Procuring this fund would require any serious shortcomings in UNDP’s operations to </w:t>
      </w:r>
      <w:r w:rsidR="00AA288B">
        <w:rPr>
          <w:rFonts w:asciiTheme="minorHAnsi" w:hAnsiTheme="minorHAnsi" w:cstheme="minorHAnsi"/>
          <w:lang w:val="en-US"/>
        </w:rPr>
        <w:t>be address as soon as possible.</w:t>
      </w:r>
    </w:p>
    <w:p w:rsidR="008376E8" w:rsidRPr="009B1C91" w:rsidRDefault="008376E8" w:rsidP="00F653F8">
      <w:pPr>
        <w:autoSpaceDE w:val="0"/>
        <w:autoSpaceDN w:val="0"/>
        <w:adjustRightInd w:val="0"/>
        <w:spacing w:after="0" w:line="240" w:lineRule="auto"/>
        <w:jc w:val="both"/>
        <w:rPr>
          <w:rFonts w:asciiTheme="minorHAnsi" w:hAnsiTheme="minorHAnsi" w:cstheme="minorHAnsi"/>
          <w:b/>
        </w:rPr>
      </w:pPr>
    </w:p>
    <w:p w:rsidR="00F33018" w:rsidRDefault="00F33018" w:rsidP="00F653F8">
      <w:pPr>
        <w:autoSpaceDE w:val="0"/>
        <w:autoSpaceDN w:val="0"/>
        <w:adjustRightInd w:val="0"/>
        <w:spacing w:after="0" w:line="240" w:lineRule="auto"/>
        <w:jc w:val="both"/>
        <w:rPr>
          <w:rFonts w:asciiTheme="minorHAnsi" w:hAnsiTheme="minorHAnsi" w:cstheme="minorHAnsi"/>
          <w:b/>
        </w:rPr>
      </w:pPr>
    </w:p>
    <w:p w:rsidR="00EF317C" w:rsidRPr="009B1C91" w:rsidRDefault="00EF317C" w:rsidP="00F653F8">
      <w:pPr>
        <w:autoSpaceDE w:val="0"/>
        <w:autoSpaceDN w:val="0"/>
        <w:adjustRightInd w:val="0"/>
        <w:spacing w:after="0" w:line="240" w:lineRule="auto"/>
        <w:jc w:val="both"/>
        <w:rPr>
          <w:rFonts w:asciiTheme="minorHAnsi" w:hAnsiTheme="minorHAnsi" w:cstheme="minorHAnsi"/>
          <w:b/>
        </w:rPr>
      </w:pPr>
      <w:r w:rsidRPr="009B1C91">
        <w:rPr>
          <w:rFonts w:asciiTheme="minorHAnsi" w:hAnsiTheme="minorHAnsi" w:cstheme="minorHAnsi"/>
          <w:b/>
        </w:rPr>
        <w:t>4.2 PROJECT OUTPUTS’ CONTRIBUTIONS TO OUTCOMES – AN EVALUATION BY CRITERIA</w:t>
      </w:r>
    </w:p>
    <w:p w:rsidR="00324CBE" w:rsidRPr="009B1C91" w:rsidRDefault="00324CBE" w:rsidP="00F653F8">
      <w:pPr>
        <w:pStyle w:val="Body"/>
        <w:spacing w:after="0" w:line="240" w:lineRule="auto"/>
        <w:jc w:val="both"/>
        <w:rPr>
          <w:rFonts w:asciiTheme="minorHAnsi" w:hAnsiTheme="minorHAnsi" w:cstheme="minorHAnsi"/>
          <w:b/>
          <w:bCs/>
          <w:lang w:val="en-US"/>
        </w:rPr>
      </w:pPr>
    </w:p>
    <w:p w:rsidR="00324CBE" w:rsidRPr="009B1C91" w:rsidRDefault="00324CBE"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Throughout Sub-section 4.2, observations and assessments of individual projects by the Evaluation Team are organized and presented in two tiers: </w:t>
      </w:r>
    </w:p>
    <w:p w:rsidR="00324CBE" w:rsidRPr="009B1C91" w:rsidRDefault="00324CBE" w:rsidP="00F653F8">
      <w:pPr>
        <w:pStyle w:val="Body"/>
        <w:spacing w:after="0" w:line="240" w:lineRule="auto"/>
        <w:jc w:val="both"/>
        <w:rPr>
          <w:rFonts w:asciiTheme="minorHAnsi" w:hAnsiTheme="minorHAnsi" w:cstheme="minorHAnsi"/>
          <w:lang w:val="en-US"/>
        </w:rPr>
      </w:pPr>
    </w:p>
    <w:p w:rsidR="00324CBE" w:rsidRPr="009B1C91" w:rsidRDefault="00324CBE" w:rsidP="00F653F8">
      <w:pPr>
        <w:pStyle w:val="ListParagraph"/>
        <w:numPr>
          <w:ilvl w:val="0"/>
          <w:numId w:val="5"/>
        </w:numPr>
        <w:spacing w:after="0" w:line="240" w:lineRule="auto"/>
        <w:ind w:left="1080" w:hanging="720"/>
        <w:contextualSpacing w:val="0"/>
        <w:jc w:val="both"/>
        <w:rPr>
          <w:rFonts w:asciiTheme="minorHAnsi" w:hAnsiTheme="minorHAnsi" w:cstheme="minorHAnsi"/>
        </w:rPr>
      </w:pPr>
      <w:r w:rsidRPr="009B1C91">
        <w:rPr>
          <w:rFonts w:asciiTheme="minorHAnsi" w:hAnsiTheme="minorHAnsi" w:cstheme="minorHAnsi"/>
        </w:rPr>
        <w:t xml:space="preserve">observations, analysis and evaluation of the selected individual projects that constitute 75% of the CCED Cluster initiated projects in full implementation phase (6 out of a total of 8) by using the </w:t>
      </w:r>
      <w:r w:rsidRPr="009B1C91">
        <w:rPr>
          <w:rFonts w:asciiTheme="minorHAnsi" w:hAnsiTheme="minorHAnsi" w:cstheme="minorHAnsi"/>
          <w:i/>
          <w:iCs/>
        </w:rPr>
        <w:t>relevance, effectiveness, efficiency</w:t>
      </w:r>
      <w:r w:rsidRPr="009B1C91">
        <w:rPr>
          <w:rFonts w:asciiTheme="minorHAnsi" w:hAnsiTheme="minorHAnsi" w:cstheme="minorHAnsi"/>
        </w:rPr>
        <w:t xml:space="preserve"> and </w:t>
      </w:r>
      <w:r w:rsidRPr="009B1C91">
        <w:rPr>
          <w:rFonts w:asciiTheme="minorHAnsi" w:hAnsiTheme="minorHAnsi" w:cstheme="minorHAnsi"/>
          <w:i/>
          <w:iCs/>
        </w:rPr>
        <w:t>sustainability</w:t>
      </w:r>
      <w:r w:rsidRPr="009B1C91">
        <w:rPr>
          <w:rFonts w:asciiTheme="minorHAnsi" w:hAnsiTheme="minorHAnsi" w:cstheme="minorHAnsi"/>
        </w:rPr>
        <w:t xml:space="preserve"> criteria</w:t>
      </w:r>
      <w:r w:rsidR="000B781F" w:rsidRPr="009B1C91">
        <w:rPr>
          <w:rFonts w:asciiTheme="minorHAnsi" w:hAnsiTheme="minorHAnsi" w:cstheme="minorHAnsi"/>
        </w:rPr>
        <w:t xml:space="preserve"> (</w:t>
      </w:r>
      <w:r w:rsidR="00C63CB7">
        <w:rPr>
          <w:rFonts w:asciiTheme="minorHAnsi" w:hAnsiTheme="minorHAnsi" w:cstheme="minorHAnsi"/>
        </w:rPr>
        <w:t>XIV</w:t>
      </w:r>
      <w:r w:rsidR="000B781F" w:rsidRPr="009B1C91">
        <w:rPr>
          <w:rFonts w:asciiTheme="minorHAnsi" w:hAnsiTheme="minorHAnsi" w:cstheme="minorHAnsi"/>
        </w:rPr>
        <w:t>)</w:t>
      </w:r>
      <w:r w:rsidRPr="009B1C91">
        <w:rPr>
          <w:rFonts w:asciiTheme="minorHAnsi" w:hAnsiTheme="minorHAnsi" w:cstheme="minorHAnsi"/>
        </w:rPr>
        <w:t xml:space="preserve">; and </w:t>
      </w:r>
    </w:p>
    <w:p w:rsidR="00324CBE" w:rsidRPr="009B1C91" w:rsidRDefault="00324CBE" w:rsidP="00F653F8">
      <w:pPr>
        <w:pStyle w:val="Body"/>
        <w:spacing w:after="0" w:line="240" w:lineRule="auto"/>
        <w:jc w:val="both"/>
        <w:rPr>
          <w:rFonts w:asciiTheme="minorHAnsi" w:hAnsiTheme="minorHAnsi" w:cstheme="minorHAnsi"/>
          <w:lang w:val="en-US"/>
        </w:rPr>
      </w:pPr>
    </w:p>
    <w:p w:rsidR="00324CBE" w:rsidRPr="009B1C91" w:rsidRDefault="00324CBE" w:rsidP="00F653F8">
      <w:pPr>
        <w:pStyle w:val="ListParagraph"/>
        <w:numPr>
          <w:ilvl w:val="0"/>
          <w:numId w:val="5"/>
        </w:numPr>
        <w:tabs>
          <w:tab w:val="num" w:pos="1080"/>
        </w:tabs>
        <w:spacing w:after="0" w:line="240" w:lineRule="auto"/>
        <w:ind w:left="1080" w:hanging="720"/>
        <w:contextualSpacing w:val="0"/>
        <w:jc w:val="both"/>
        <w:rPr>
          <w:rFonts w:asciiTheme="minorHAnsi" w:hAnsiTheme="minorHAnsi" w:cstheme="minorHAnsi"/>
        </w:rPr>
      </w:pPr>
      <w:r w:rsidRPr="009B1C91">
        <w:rPr>
          <w:rFonts w:asciiTheme="minorHAnsi" w:hAnsiTheme="minorHAnsi" w:cstheme="minorHAnsi"/>
        </w:rPr>
        <w:t>observations, findings and evidence, and assessment of the aggregate contributions of a</w:t>
      </w:r>
      <w:r w:rsidR="000B781F" w:rsidRPr="009B1C91">
        <w:rPr>
          <w:rFonts w:asciiTheme="minorHAnsi" w:hAnsiTheme="minorHAnsi" w:cstheme="minorHAnsi"/>
        </w:rPr>
        <w:t>ll (selected samples and others</w:t>
      </w:r>
      <w:r w:rsidRPr="009B1C91">
        <w:rPr>
          <w:rFonts w:asciiTheme="minorHAnsi" w:hAnsiTheme="minorHAnsi" w:cstheme="minorHAnsi"/>
        </w:rPr>
        <w:t>) individual projects initiated by CCED Cluster to CPD Outcomes 3.1 and Outcome 3.2</w:t>
      </w:r>
    </w:p>
    <w:p w:rsidR="000D05D5" w:rsidRPr="009B1C91" w:rsidRDefault="000D05D5" w:rsidP="00324CBE">
      <w:pPr>
        <w:autoSpaceDE w:val="0"/>
        <w:autoSpaceDN w:val="0"/>
        <w:adjustRightInd w:val="0"/>
        <w:spacing w:after="0" w:line="240" w:lineRule="auto"/>
        <w:rPr>
          <w:rFonts w:asciiTheme="minorHAnsi" w:hAnsiTheme="minorHAnsi" w:cstheme="minorHAnsi"/>
          <w:b/>
        </w:rPr>
      </w:pPr>
    </w:p>
    <w:p w:rsidR="00324CBE" w:rsidRPr="009B1C91" w:rsidRDefault="00EF317C" w:rsidP="00F653F8">
      <w:pPr>
        <w:autoSpaceDE w:val="0"/>
        <w:autoSpaceDN w:val="0"/>
        <w:adjustRightInd w:val="0"/>
        <w:spacing w:after="0" w:line="240" w:lineRule="auto"/>
        <w:jc w:val="both"/>
        <w:rPr>
          <w:rFonts w:asciiTheme="minorHAnsi" w:hAnsiTheme="minorHAnsi" w:cstheme="minorHAnsi"/>
          <w:b/>
        </w:rPr>
      </w:pPr>
      <w:r w:rsidRPr="009B1C91">
        <w:rPr>
          <w:rFonts w:asciiTheme="minorHAnsi" w:hAnsiTheme="minorHAnsi" w:cstheme="minorHAnsi"/>
          <w:b/>
        </w:rPr>
        <w:t xml:space="preserve">4.2.1 PROGRAMME AND PROJECT </w:t>
      </w:r>
      <w:r w:rsidRPr="009B1C91">
        <w:rPr>
          <w:rFonts w:asciiTheme="minorHAnsi" w:hAnsiTheme="minorHAnsi" w:cstheme="minorHAnsi"/>
          <w:b/>
          <w:i/>
        </w:rPr>
        <w:t>RELEVANCE</w:t>
      </w:r>
    </w:p>
    <w:p w:rsidR="00324CBE" w:rsidRPr="009B1C91" w:rsidRDefault="00324CBE" w:rsidP="00F653F8">
      <w:pPr>
        <w:pStyle w:val="Body"/>
        <w:spacing w:after="0" w:line="240" w:lineRule="auto"/>
        <w:jc w:val="both"/>
        <w:rPr>
          <w:rFonts w:asciiTheme="minorHAnsi" w:hAnsiTheme="minorHAnsi" w:cstheme="minorHAnsi"/>
          <w:lang w:val="en-US"/>
        </w:rPr>
      </w:pPr>
    </w:p>
    <w:p w:rsidR="00324CBE" w:rsidRPr="009B1C91" w:rsidRDefault="00324CBE"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According to the UNDP Handbook</w:t>
      </w:r>
      <w:r w:rsidR="00722ECC" w:rsidRPr="009B1C91">
        <w:rPr>
          <w:rStyle w:val="FootnoteReference"/>
          <w:rFonts w:asciiTheme="minorHAnsi" w:hAnsiTheme="minorHAnsi" w:cstheme="minorHAnsi"/>
          <w:lang w:val="en-US"/>
        </w:rPr>
        <w:footnoteReference w:id="58"/>
      </w:r>
      <w:r w:rsidRPr="009B1C91">
        <w:rPr>
          <w:rFonts w:asciiTheme="minorHAnsi" w:hAnsiTheme="minorHAnsi" w:cstheme="minorHAnsi"/>
          <w:lang w:val="en-US"/>
        </w:rPr>
        <w:t xml:space="preserve">, the </w:t>
      </w:r>
      <w:r w:rsidRPr="009B1C91">
        <w:rPr>
          <w:rFonts w:asciiTheme="minorHAnsi" w:hAnsiTheme="minorHAnsi" w:cstheme="minorHAnsi"/>
          <w:i/>
          <w:iCs/>
          <w:lang w:val="en-US"/>
        </w:rPr>
        <w:t>relevance</w:t>
      </w:r>
      <w:r w:rsidRPr="009B1C91">
        <w:rPr>
          <w:rFonts w:asciiTheme="minorHAnsi" w:hAnsiTheme="minorHAnsi" w:cstheme="minorHAnsi"/>
          <w:lang w:val="en-US"/>
        </w:rPr>
        <w:t xml:space="preserve"> of Cluster initiated projects and the overall programme refers to their degree of alignment with Bangladesh’s national policies regarding disaster and climate change risk reduction, sustainable natural resource management and access to low-carbon energy, and the priorities and the needs of the intended beneficiaries. As an additional dimension of relevance, the criterion of </w:t>
      </w:r>
      <w:r w:rsidRPr="009B1C91">
        <w:rPr>
          <w:rFonts w:asciiTheme="minorHAnsi" w:hAnsiTheme="minorHAnsi" w:cstheme="minorHAnsi"/>
          <w:i/>
          <w:iCs/>
          <w:lang w:val="en-US"/>
        </w:rPr>
        <w:t>appropriateness</w:t>
      </w:r>
      <w:r w:rsidRPr="009B1C91">
        <w:rPr>
          <w:rFonts w:asciiTheme="minorHAnsi" w:hAnsiTheme="minorHAnsi" w:cstheme="minorHAnsi"/>
          <w:lang w:val="en-US"/>
        </w:rPr>
        <w:t xml:space="preserve"> is used to determine the acceptability and feasibility of the initiative as operationalized within the Bangladesh context.  </w:t>
      </w:r>
    </w:p>
    <w:p w:rsidR="00324CBE" w:rsidRPr="009B1C91" w:rsidRDefault="00324CBE" w:rsidP="00F653F8">
      <w:pPr>
        <w:pStyle w:val="Body"/>
        <w:spacing w:after="0" w:line="240" w:lineRule="auto"/>
        <w:ind w:left="1080" w:hanging="360"/>
        <w:jc w:val="both"/>
        <w:rPr>
          <w:rFonts w:asciiTheme="minorHAnsi" w:hAnsiTheme="minorHAnsi" w:cstheme="minorHAnsi"/>
          <w:lang w:val="en-US"/>
        </w:rPr>
      </w:pPr>
    </w:p>
    <w:p w:rsidR="00324CBE" w:rsidRPr="009B1C91" w:rsidRDefault="00324CBE" w:rsidP="00F653F8">
      <w:pPr>
        <w:pStyle w:val="Body"/>
        <w:spacing w:after="0" w:line="240" w:lineRule="auto"/>
        <w:jc w:val="both"/>
        <w:rPr>
          <w:rFonts w:asciiTheme="minorHAnsi" w:hAnsiTheme="minorHAnsi" w:cstheme="minorHAnsi"/>
        </w:rPr>
      </w:pPr>
      <w:r w:rsidRPr="009B1C91">
        <w:rPr>
          <w:rFonts w:asciiTheme="minorHAnsi" w:hAnsiTheme="minorHAnsi" w:cstheme="minorHAnsi"/>
          <w:i/>
          <w:iCs/>
          <w:lang w:val="en-US"/>
        </w:rPr>
        <w:t>Comprehensive Disaster Management Programme (CDMP-II)</w:t>
      </w:r>
      <w:r w:rsidRPr="009B1C91">
        <w:rPr>
          <w:rFonts w:asciiTheme="minorHAnsi" w:hAnsiTheme="minorHAnsi" w:cstheme="minorHAnsi"/>
          <w:lang w:val="en-US"/>
        </w:rPr>
        <w:t>: The goals of CDMP II directly fit into national priorities to reduce Bangladesh</w:t>
      </w:r>
      <w:r w:rsidRPr="009B1C91">
        <w:rPr>
          <w:rFonts w:asciiTheme="minorHAnsi" w:hAnsiTheme="minorHAnsi" w:cstheme="minorHAnsi"/>
          <w:lang w:val="fr-FR"/>
        </w:rPr>
        <w:t>’</w:t>
      </w:r>
      <w:r w:rsidRPr="009B1C91">
        <w:rPr>
          <w:rFonts w:asciiTheme="minorHAnsi" w:hAnsiTheme="minorHAnsi" w:cstheme="minorHAnsi"/>
          <w:lang w:val="en-US"/>
        </w:rPr>
        <w:t>s vulnerability to disasters and climate change risks, as outlined in the SFYP, 2011-15. The six outcomes of the project were designed to address priority issues relating to Bangladesh</w:t>
      </w:r>
      <w:r w:rsidRPr="009B1C91">
        <w:rPr>
          <w:rFonts w:asciiTheme="minorHAnsi" w:hAnsiTheme="minorHAnsi" w:cstheme="minorHAnsi"/>
          <w:lang w:val="fr-FR"/>
        </w:rPr>
        <w:t>’</w:t>
      </w:r>
      <w:r w:rsidRPr="009B1C91">
        <w:rPr>
          <w:rFonts w:asciiTheme="minorHAnsi" w:hAnsiTheme="minorHAnsi" w:cstheme="minorHAnsi"/>
          <w:lang w:val="en-US"/>
        </w:rPr>
        <w:t xml:space="preserve">s DRR capacity, and to strengthen GoB institutions and other stakeholders’ ability to engage in disaster management. By providing a </w:t>
      </w:r>
      <w:r w:rsidRPr="009B1C91">
        <w:rPr>
          <w:rFonts w:asciiTheme="minorHAnsi" w:hAnsiTheme="minorHAnsi" w:cstheme="minorHAnsi"/>
        </w:rPr>
        <w:t>‘platform</w:t>
      </w:r>
      <w:r w:rsidRPr="009B1C91">
        <w:rPr>
          <w:rFonts w:asciiTheme="minorHAnsi" w:hAnsiTheme="minorHAnsi" w:cstheme="minorHAnsi"/>
          <w:lang w:val="fr-FR"/>
        </w:rPr>
        <w:t xml:space="preserve">’ </w:t>
      </w:r>
      <w:r w:rsidRPr="009B1C91">
        <w:rPr>
          <w:rFonts w:asciiTheme="minorHAnsi" w:hAnsiTheme="minorHAnsi" w:cstheme="minorHAnsi"/>
          <w:lang w:val="en-US"/>
        </w:rPr>
        <w:t xml:space="preserve">to bring new ideas, knowledge and institutions together to push the DRR/CCA agenda, CDMP II functioned as a catalyst. For example, CDMP II played a vital role in developing the climate change cell in the MoEF, which has since become an independent body. In order to add value, CDMP II or similar projects should facilitate creating more </w:t>
      </w:r>
      <w:r w:rsidRPr="009B1C91">
        <w:rPr>
          <w:rFonts w:asciiTheme="minorHAnsi" w:hAnsiTheme="minorHAnsi" w:cstheme="minorHAnsi"/>
        </w:rPr>
        <w:t>‘space</w:t>
      </w:r>
      <w:r w:rsidRPr="009B1C91">
        <w:rPr>
          <w:rFonts w:asciiTheme="minorHAnsi" w:hAnsiTheme="minorHAnsi" w:cstheme="minorHAnsi"/>
          <w:lang w:val="fr-FR"/>
        </w:rPr>
        <w:t xml:space="preserve">’ </w:t>
      </w:r>
      <w:r w:rsidRPr="009B1C91">
        <w:rPr>
          <w:rFonts w:asciiTheme="minorHAnsi" w:hAnsiTheme="minorHAnsi" w:cstheme="minorHAnsi"/>
          <w:lang w:val="en-US"/>
        </w:rPr>
        <w:t xml:space="preserve">for other institutions. In terms of </w:t>
      </w:r>
      <w:r w:rsidRPr="009B1C91">
        <w:rPr>
          <w:rFonts w:asciiTheme="minorHAnsi" w:hAnsiTheme="minorHAnsi" w:cstheme="minorHAnsi"/>
        </w:rPr>
        <w:t>operational role</w:t>
      </w:r>
      <w:r w:rsidRPr="009B1C91">
        <w:rPr>
          <w:rFonts w:asciiTheme="minorHAnsi" w:hAnsiTheme="minorHAnsi" w:cstheme="minorHAnsi"/>
          <w:lang w:val="en-US"/>
        </w:rPr>
        <w:t>s, it is too ambitious to try to reach out all or most of the local communities (at the union level) of the country as well as to attempt to address all disaster risk related needs of these communities.  A much closer engagement with DMCs is needed to ensure that the project</w:t>
      </w:r>
      <w:r w:rsidRPr="009B1C91">
        <w:rPr>
          <w:rFonts w:asciiTheme="minorHAnsi" w:hAnsiTheme="minorHAnsi" w:cstheme="minorHAnsi"/>
          <w:lang w:val="fr-FR"/>
        </w:rPr>
        <w:t>’</w:t>
      </w:r>
      <w:r w:rsidRPr="009B1C91">
        <w:rPr>
          <w:rFonts w:asciiTheme="minorHAnsi" w:hAnsiTheme="minorHAnsi" w:cstheme="minorHAnsi"/>
          <w:lang w:val="en-US"/>
        </w:rPr>
        <w:t xml:space="preserve">s own design and implementation of activities are aligned and coordinated with other key projects. Overall, CDMP II has succeeded in functioning as a needed national platform to facilitate and assist all key institutions to adopt DRR and CCA strategies, as well as in strengthening, albeit on a limited scale, delivery of risk reduction outcomes for at-risk local communities. </w:t>
      </w:r>
    </w:p>
    <w:p w:rsidR="00324CBE" w:rsidRPr="009B1C91" w:rsidRDefault="00324CBE" w:rsidP="00324CBE">
      <w:pPr>
        <w:pStyle w:val="Body"/>
        <w:spacing w:after="0" w:line="240" w:lineRule="auto"/>
        <w:rPr>
          <w:rFonts w:asciiTheme="minorHAnsi" w:hAnsiTheme="minorHAnsi" w:cstheme="minorHAnsi"/>
        </w:rPr>
      </w:pPr>
    </w:p>
    <w:p w:rsidR="00324CBE" w:rsidRPr="009B1C91" w:rsidRDefault="00324CBE" w:rsidP="00F653F8">
      <w:pPr>
        <w:pStyle w:val="Body"/>
        <w:spacing w:after="0" w:line="240" w:lineRule="auto"/>
        <w:jc w:val="both"/>
        <w:rPr>
          <w:rFonts w:asciiTheme="minorHAnsi" w:hAnsiTheme="minorHAnsi" w:cstheme="minorHAnsi"/>
        </w:rPr>
      </w:pPr>
      <w:r w:rsidRPr="009B1C91">
        <w:rPr>
          <w:rFonts w:asciiTheme="minorHAnsi" w:hAnsiTheme="minorHAnsi" w:cstheme="minorHAnsi"/>
          <w:i/>
          <w:iCs/>
          <w:lang w:val="en-US"/>
        </w:rPr>
        <w:t>Early Recovery Facility (ERF)</w:t>
      </w:r>
      <w:r w:rsidRPr="009B1C91">
        <w:rPr>
          <w:rFonts w:asciiTheme="minorHAnsi" w:hAnsiTheme="minorHAnsi" w:cstheme="minorHAnsi"/>
          <w:lang w:val="en-US"/>
        </w:rPr>
        <w:t>: The UNDP ERF project is directly aligned with Bangladesh</w:t>
      </w:r>
      <w:r w:rsidRPr="009B1C91">
        <w:rPr>
          <w:rFonts w:asciiTheme="minorHAnsi" w:hAnsiTheme="minorHAnsi" w:cstheme="minorHAnsi"/>
          <w:lang w:val="fr-FR"/>
        </w:rPr>
        <w:t>’</w:t>
      </w:r>
      <w:r w:rsidRPr="009B1C91">
        <w:rPr>
          <w:rFonts w:asciiTheme="minorHAnsi" w:hAnsiTheme="minorHAnsi" w:cstheme="minorHAnsi"/>
          <w:lang w:val="en-US"/>
        </w:rPr>
        <w:t>s National Plan for DM, and was built upon an earlier DRRF project. The project interventions of the ERF project in the area of capacity building have been found to be effectively complementing the UNDP-funded CDMP II project</w:t>
      </w:r>
      <w:r w:rsidRPr="009B1C91">
        <w:rPr>
          <w:rFonts w:asciiTheme="minorHAnsi" w:hAnsiTheme="minorHAnsi" w:cstheme="minorHAnsi"/>
          <w:lang w:val="fr-FR"/>
        </w:rPr>
        <w:t>’</w:t>
      </w:r>
      <w:r w:rsidRPr="009B1C91">
        <w:rPr>
          <w:rFonts w:asciiTheme="minorHAnsi" w:hAnsiTheme="minorHAnsi" w:cstheme="minorHAnsi"/>
          <w:lang w:val="en-US"/>
        </w:rPr>
        <w:t xml:space="preserve">s goals and activities.  The expected outcomes were appropriately designed to institutionalize coordination of early recovery assessment, planning, and response in the country, which has in turn effectively promoted early recovery agenda in Bangladesh. As ER encompasses the swift restoration of </w:t>
      </w:r>
      <w:r w:rsidRPr="009B1C91">
        <w:rPr>
          <w:rFonts w:asciiTheme="minorHAnsi" w:hAnsiTheme="minorHAnsi" w:cstheme="minorHAnsi"/>
          <w:lang w:val="en-US"/>
        </w:rPr>
        <w:lastRenderedPageBreak/>
        <w:t>basic services, livelihoods, shelter, governance security and rule of law, and environment and social dimensions, project interventions such as construction of Core Family Shelters, providing Cash for Work, and Cash for Training and Cash Grants have been recognized to be highly relevant and effective in the rural Bangladesh context.</w:t>
      </w:r>
    </w:p>
    <w:p w:rsidR="00324CBE" w:rsidRPr="009B1C91" w:rsidRDefault="00324CBE" w:rsidP="00F653F8">
      <w:pPr>
        <w:pStyle w:val="Body"/>
        <w:spacing w:after="0" w:line="240" w:lineRule="auto"/>
        <w:jc w:val="both"/>
        <w:rPr>
          <w:rFonts w:asciiTheme="minorHAnsi" w:hAnsiTheme="minorHAnsi" w:cstheme="minorHAnsi"/>
          <w:i/>
          <w:iCs/>
          <w:lang w:val="en-US"/>
        </w:rPr>
      </w:pPr>
    </w:p>
    <w:p w:rsidR="00324CBE" w:rsidRPr="009B1C91" w:rsidRDefault="00324CBE" w:rsidP="00F653F8">
      <w:pPr>
        <w:pStyle w:val="Body"/>
        <w:spacing w:after="0" w:line="240" w:lineRule="auto"/>
        <w:jc w:val="both"/>
        <w:rPr>
          <w:rFonts w:asciiTheme="minorHAnsi" w:hAnsiTheme="minorHAnsi" w:cstheme="minorHAnsi"/>
          <w:i/>
          <w:iCs/>
          <w:lang w:val="en-US"/>
        </w:rPr>
      </w:pPr>
      <w:r w:rsidRPr="009B1C91">
        <w:rPr>
          <w:rFonts w:asciiTheme="minorHAnsi" w:hAnsiTheme="minorHAnsi" w:cstheme="minorHAnsi"/>
          <w:i/>
          <w:iCs/>
          <w:lang w:val="en-US"/>
        </w:rPr>
        <w:t xml:space="preserve">Poverty Environment Climate Mainstreaming (PECM): </w:t>
      </w:r>
      <w:r w:rsidRPr="009B1C91">
        <w:rPr>
          <w:rFonts w:asciiTheme="minorHAnsi" w:hAnsiTheme="minorHAnsi" w:cstheme="minorHAnsi"/>
          <w:lang w:val="en-US"/>
        </w:rPr>
        <w:t>As the PECM project aimed to ensure integration of climate change and environmental considerations into development planning and budgeting processes, it was a highly relevant to meeting the critical needs of the GoB’s policies and priorities in areas of CCA, UNDP policies and global priorities, and the needs of the population in general. Highly relevant to policies and actions plans of the GoB is the appropriately emphasized strengthening of organizations and institutions to meet the emerging challenges of mitigating and adapting to climate change. PECM was also highly relevant to strengthening technical knowledge and human resource capacity of the GoB in international climate change negotiations, and disaster risk reduction and response.</w:t>
      </w:r>
    </w:p>
    <w:p w:rsidR="00324CBE" w:rsidRPr="009B1C91" w:rsidRDefault="00324CBE" w:rsidP="00324CBE">
      <w:pPr>
        <w:pStyle w:val="Body"/>
        <w:spacing w:after="0" w:line="240" w:lineRule="auto"/>
        <w:rPr>
          <w:rFonts w:asciiTheme="minorHAnsi" w:hAnsiTheme="minorHAnsi" w:cstheme="minorHAnsi"/>
          <w:i/>
          <w:iCs/>
          <w:lang w:val="en-US"/>
        </w:rPr>
      </w:pPr>
    </w:p>
    <w:p w:rsidR="00324CBE" w:rsidRPr="009B1C91" w:rsidRDefault="00324CBE" w:rsidP="00F653F8">
      <w:pPr>
        <w:pStyle w:val="Body"/>
        <w:spacing w:after="0" w:line="240" w:lineRule="auto"/>
        <w:jc w:val="both"/>
        <w:rPr>
          <w:rFonts w:asciiTheme="minorHAnsi" w:hAnsiTheme="minorHAnsi" w:cstheme="minorHAnsi"/>
          <w:i/>
          <w:iCs/>
          <w:lang w:val="en-US"/>
        </w:rPr>
      </w:pPr>
      <w:r w:rsidRPr="009B1C91">
        <w:rPr>
          <w:rFonts w:asciiTheme="minorHAnsi" w:hAnsiTheme="minorHAnsi" w:cstheme="minorHAnsi"/>
          <w:i/>
          <w:iCs/>
          <w:lang w:val="en-US"/>
        </w:rPr>
        <w:t>Community Based Adaptation to Climate Change through Costal Afforestation in Bangladesh (CBACC-CF)</w:t>
      </w:r>
      <w:r w:rsidRPr="009B1C91">
        <w:rPr>
          <w:rFonts w:asciiTheme="minorHAnsi" w:hAnsiTheme="minorHAnsi" w:cstheme="minorHAnsi"/>
          <w:lang w:val="en-US"/>
        </w:rPr>
        <w:t>: CBACC-CF projectdirectly contributes GoB</w:t>
      </w:r>
      <w:r w:rsidRPr="009B1C91">
        <w:rPr>
          <w:rFonts w:asciiTheme="minorHAnsi" w:hAnsiTheme="minorHAnsi" w:cstheme="minorHAnsi"/>
          <w:lang w:val="fr-FR"/>
        </w:rPr>
        <w:t>’</w:t>
      </w:r>
      <w:r w:rsidRPr="009B1C91">
        <w:rPr>
          <w:rFonts w:asciiTheme="minorHAnsi" w:hAnsiTheme="minorHAnsi" w:cstheme="minorHAnsi"/>
          <w:lang w:val="en-US"/>
        </w:rPr>
        <w:t>s policy needs and developmental priorities in areas of climate change resilience, livelihood</w:t>
      </w:r>
      <w:r w:rsidRPr="009B1C91">
        <w:rPr>
          <w:rFonts w:asciiTheme="minorHAnsi" w:hAnsiTheme="minorHAnsi" w:cstheme="minorHAnsi"/>
        </w:rPr>
        <w:t>adap</w:t>
      </w:r>
      <w:r w:rsidRPr="009B1C91">
        <w:rPr>
          <w:rFonts w:asciiTheme="minorHAnsi" w:hAnsiTheme="minorHAnsi" w:cstheme="minorHAnsi"/>
          <w:lang w:val="en-US"/>
        </w:rPr>
        <w:t xml:space="preserve">tation and storm surge risk reduction. It is the top priority project of the </w:t>
      </w:r>
      <w:r w:rsidRPr="009B1C91">
        <w:rPr>
          <w:rFonts w:asciiTheme="minorHAnsi" w:hAnsiTheme="minorHAnsi" w:cstheme="minorHAnsi"/>
          <w:lang w:val="sv-SE"/>
        </w:rPr>
        <w:t>GoB under</w:t>
      </w:r>
      <w:r w:rsidRPr="009B1C91">
        <w:rPr>
          <w:rFonts w:asciiTheme="minorHAnsi" w:hAnsiTheme="minorHAnsi" w:cstheme="minorHAnsi"/>
          <w:lang w:val="en-US"/>
        </w:rPr>
        <w:t xml:space="preserve"> the National Adaptation Programme of Actions (NAPA) dealing with climate change impacts and vulnerable coastal regions. CBACC-CF project is also aligned with the Bangladesh Climate Change Strategy </w:t>
      </w:r>
      <w:r w:rsidR="00CA7063" w:rsidRPr="009B1C91">
        <w:rPr>
          <w:rFonts w:asciiTheme="minorHAnsi" w:hAnsiTheme="minorHAnsi" w:cstheme="minorHAnsi"/>
          <w:lang w:val="en-US"/>
        </w:rPr>
        <w:t xml:space="preserve">and </w:t>
      </w:r>
      <w:r w:rsidRPr="009B1C91">
        <w:rPr>
          <w:rFonts w:asciiTheme="minorHAnsi" w:hAnsiTheme="minorHAnsi" w:cstheme="minorHAnsi"/>
          <w:lang w:val="en-US"/>
        </w:rPr>
        <w:t xml:space="preserve">Action Plan (BCCSAP), and the Coastal Development Strategy and Coastal Development Policy. </w:t>
      </w:r>
    </w:p>
    <w:p w:rsidR="00324CBE" w:rsidRPr="009B1C91" w:rsidRDefault="00324CBE" w:rsidP="00F653F8">
      <w:pPr>
        <w:pStyle w:val="Body"/>
        <w:spacing w:after="0" w:line="240" w:lineRule="auto"/>
        <w:jc w:val="both"/>
        <w:rPr>
          <w:rFonts w:asciiTheme="minorHAnsi" w:hAnsiTheme="minorHAnsi" w:cstheme="minorHAnsi"/>
          <w:b/>
          <w:bCs/>
          <w:lang w:val="en-US"/>
        </w:rPr>
      </w:pPr>
    </w:p>
    <w:p w:rsidR="00324CBE" w:rsidRPr="009B1C91" w:rsidRDefault="00324CBE" w:rsidP="00F653F8">
      <w:pPr>
        <w:pStyle w:val="Body"/>
        <w:spacing w:after="0" w:line="240" w:lineRule="auto"/>
        <w:jc w:val="both"/>
        <w:rPr>
          <w:rFonts w:asciiTheme="minorHAnsi" w:hAnsiTheme="minorHAnsi" w:cstheme="minorHAnsi"/>
        </w:rPr>
      </w:pPr>
      <w:r w:rsidRPr="009B1C91">
        <w:rPr>
          <w:rFonts w:asciiTheme="minorHAnsi" w:hAnsiTheme="minorHAnsi" w:cstheme="minorHAnsi"/>
          <w:i/>
          <w:iCs/>
          <w:lang w:val="en-US"/>
        </w:rPr>
        <w:t xml:space="preserve">Barrier Removal for Energy Standards and </w:t>
      </w:r>
      <w:r w:rsidR="00BB189A" w:rsidRPr="009B1C91">
        <w:rPr>
          <w:rFonts w:asciiTheme="minorHAnsi" w:hAnsiTheme="minorHAnsi" w:cstheme="minorHAnsi"/>
          <w:i/>
          <w:iCs/>
          <w:lang w:val="en-US"/>
        </w:rPr>
        <w:t>Labeling</w:t>
      </w:r>
      <w:r w:rsidRPr="009B1C91">
        <w:rPr>
          <w:rFonts w:asciiTheme="minorHAnsi" w:hAnsiTheme="minorHAnsi" w:cstheme="minorHAnsi"/>
          <w:i/>
          <w:iCs/>
          <w:lang w:val="en-US"/>
        </w:rPr>
        <w:t xml:space="preserve"> (BRESL)</w:t>
      </w:r>
      <w:r w:rsidRPr="009B1C91">
        <w:rPr>
          <w:rFonts w:asciiTheme="minorHAnsi" w:hAnsiTheme="minorHAnsi" w:cstheme="minorHAnsi"/>
          <w:lang w:val="en-US"/>
        </w:rPr>
        <w:t>: This</w:t>
      </w:r>
      <w:r w:rsidRPr="009B1C91">
        <w:rPr>
          <w:rFonts w:asciiTheme="minorHAnsi" w:hAnsiTheme="minorHAnsi" w:cstheme="minorHAnsi"/>
        </w:rPr>
        <w:t xml:space="preserve"> project</w:t>
      </w:r>
      <w:r w:rsidRPr="009B1C91">
        <w:rPr>
          <w:rFonts w:asciiTheme="minorHAnsi" w:hAnsiTheme="minorHAnsi" w:cstheme="minorHAnsi"/>
          <w:lang w:val="en-US"/>
        </w:rPr>
        <w:t xml:space="preserve">’s theme of appliance standards, is highly relevant and part of the government policy on introducing labeling system with a goal of ensuring the use of energy efficient equipment throughout the country (SFYP, 2011-15; Part 2, Chapter 3). The long implementation time, however, is raising some doubts about the relevance of the specific standards and labels. For example, CFLs are very established in Bangladesh, and their labeling and standardization is maybe less relevant today than the establishment of a testing structure for LED lighting. </w:t>
      </w:r>
    </w:p>
    <w:p w:rsidR="00324CBE" w:rsidRPr="009B1C91" w:rsidRDefault="00324CBE" w:rsidP="00F653F8">
      <w:pPr>
        <w:pStyle w:val="Body"/>
        <w:spacing w:after="0" w:line="240" w:lineRule="auto"/>
        <w:jc w:val="both"/>
        <w:rPr>
          <w:rFonts w:asciiTheme="minorHAnsi" w:hAnsiTheme="minorHAnsi" w:cstheme="minorHAnsi"/>
          <w:i/>
          <w:iCs/>
          <w:lang w:val="en-US"/>
        </w:rPr>
      </w:pPr>
    </w:p>
    <w:p w:rsidR="00324CBE" w:rsidRPr="009B1C91" w:rsidRDefault="00324CBE" w:rsidP="00F653F8">
      <w:pPr>
        <w:pStyle w:val="Body"/>
        <w:spacing w:after="0" w:line="240" w:lineRule="auto"/>
        <w:jc w:val="both"/>
        <w:rPr>
          <w:rFonts w:asciiTheme="minorHAnsi" w:hAnsiTheme="minorHAnsi" w:cstheme="minorHAnsi"/>
          <w:i/>
          <w:iCs/>
          <w:lang w:val="en-US"/>
        </w:rPr>
      </w:pPr>
      <w:r w:rsidRPr="001D4C99">
        <w:rPr>
          <w:rFonts w:asciiTheme="minorHAnsi" w:hAnsiTheme="minorHAnsi" w:cstheme="minorHAnsi"/>
          <w:i/>
          <w:iCs/>
          <w:lang w:val="en-US"/>
        </w:rPr>
        <w:t>Improving Kiln Efficiency in the Brick Making Industry (IKEBMI)</w:t>
      </w:r>
      <w:r w:rsidRPr="001D4C99">
        <w:rPr>
          <w:rFonts w:asciiTheme="minorHAnsi" w:hAnsiTheme="minorHAnsi" w:cstheme="minorHAnsi"/>
          <w:lang w:val="en-US"/>
        </w:rPr>
        <w:t>: The traditional brick kiln industry in Bangladesh is one of the main stationary sources of greenhouse gas emissions, as the approximately 8000 such kilns emit an estimated 6.4 million tons of CO</w:t>
      </w:r>
      <w:r w:rsidRPr="001D4C99">
        <w:rPr>
          <w:rFonts w:asciiTheme="minorHAnsi" w:hAnsiTheme="minorHAnsi" w:cstheme="minorHAnsi"/>
          <w:vertAlign w:val="subscript"/>
          <w:lang w:val="en-US"/>
        </w:rPr>
        <w:t xml:space="preserve">2 </w:t>
      </w:r>
      <w:r w:rsidRPr="001D4C99">
        <w:rPr>
          <w:rFonts w:asciiTheme="minorHAnsi" w:hAnsiTheme="minorHAnsi" w:cstheme="minorHAnsi"/>
          <w:lang w:val="en-US"/>
        </w:rPr>
        <w:t>annually (ProDoc, 2010). More than two million migratory workers are employed in this industry, making it highly significant socially and economically, but the technology employed is archaic. Consistent with the SFYP 2011-15’s policy goal of mitigation and low carbon development (Part 2, Chapter 10), the potential for reduction of sizeable carbon emissions and improving local air quality by improving kiln efficiency make IKEBMI very relevant.</w:t>
      </w:r>
    </w:p>
    <w:p w:rsidR="00324CBE" w:rsidRPr="009B1C91" w:rsidRDefault="00324CBE" w:rsidP="00F653F8">
      <w:pPr>
        <w:pStyle w:val="Body"/>
        <w:spacing w:after="0" w:line="240" w:lineRule="auto"/>
        <w:jc w:val="both"/>
        <w:rPr>
          <w:rFonts w:asciiTheme="minorHAnsi" w:hAnsiTheme="minorHAnsi" w:cstheme="minorHAnsi"/>
          <w:b/>
          <w:bCs/>
          <w:lang w:val="en-US"/>
        </w:rPr>
      </w:pPr>
    </w:p>
    <w:p w:rsidR="00324CBE" w:rsidRPr="009B1C91" w:rsidRDefault="00324CBE"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Summarizing and considering the fact that CCED Cluster programmes during the 2012-2016 Country Programme for Bangladesh have had the opportunity to build on their successes in the previous CPD period (2007-11), some of the projects were already in the pipeline or underway by 2012 (the beginning of the period covered by this Outcome Evaluation) (e.g., CDMP I; D</w:t>
      </w:r>
      <w:r w:rsidR="00CA7063" w:rsidRPr="009B1C91">
        <w:rPr>
          <w:rFonts w:asciiTheme="minorHAnsi" w:hAnsiTheme="minorHAnsi" w:cstheme="minorHAnsi"/>
          <w:lang w:val="en-US"/>
        </w:rPr>
        <w:t>R</w:t>
      </w:r>
      <w:r w:rsidR="00894D25" w:rsidRPr="009B1C91">
        <w:rPr>
          <w:rFonts w:asciiTheme="minorHAnsi" w:hAnsiTheme="minorHAnsi" w:cstheme="minorHAnsi"/>
          <w:lang w:val="en-US"/>
        </w:rPr>
        <w:t>RF). Most of the 2</w:t>
      </w:r>
      <w:r w:rsidRPr="009B1C91">
        <w:rPr>
          <w:rFonts w:asciiTheme="minorHAnsi" w:hAnsiTheme="minorHAnsi" w:cstheme="minorHAnsi"/>
          <w:lang w:val="en-US"/>
        </w:rPr>
        <w:t xml:space="preserve">8 CCED Cluster initiated projects reflect the funding sources and conditionality evident in the purpose of the various GEF categories (particularly, Climate Change Mitigation, Biodiversity, Multi-Sector) and the Montreal Protocol, as well as GoB’s sectoral priorities (Climate Change, Disaster Risk Management) outlined in the SFYP, 2011-16. (Given that UNDP Bangladesh has had limited leverage to initiate strategically relevant projects with its own resources, it developed some highly relevant and appropriate projects, such PECM </w:t>
      </w:r>
      <w:r w:rsidRPr="009B1C91">
        <w:rPr>
          <w:rFonts w:asciiTheme="minorHAnsi" w:hAnsiTheme="minorHAnsi" w:cstheme="minorHAnsi"/>
          <w:lang w:val="en-US"/>
        </w:rPr>
        <w:lastRenderedPageBreak/>
        <w:t xml:space="preserve">and BGDP (IP)).  Consequently, it was challenging for UNDP Bangladesh to develop all projects with a strategic vision of the CCED Cluster and to position itself to address thematic area gaps and critical environmental issues. </w:t>
      </w:r>
    </w:p>
    <w:p w:rsidR="00324CBE" w:rsidRPr="009B1C91" w:rsidRDefault="00324CBE" w:rsidP="00324CBE">
      <w:pPr>
        <w:pStyle w:val="Body"/>
        <w:spacing w:after="0" w:line="240" w:lineRule="auto"/>
        <w:rPr>
          <w:rFonts w:asciiTheme="minorHAnsi" w:hAnsiTheme="minorHAnsi" w:cstheme="minorHAnsi"/>
          <w:lang w:val="en-US"/>
        </w:rPr>
      </w:pPr>
    </w:p>
    <w:p w:rsidR="00324CBE" w:rsidRPr="009B1C91" w:rsidRDefault="00324CBE"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On this basis, the Evaluation Team inferred that the interventions in the CCED Cluster programme are in general either ‘highly relevant’ or ‘relevant’ (depending on the priorities of GoB and UNDP) and appropriate.  All sampled projects are ‘highly relevant’ with respect to the actual needs of the country and beneficiaries. It was also recognized by the Evaluation Team </w:t>
      </w:r>
      <w:r w:rsidRPr="001D4C99">
        <w:rPr>
          <w:rFonts w:asciiTheme="minorHAnsi" w:hAnsiTheme="minorHAnsi" w:cstheme="minorHAnsi"/>
          <w:lang w:val="en-US"/>
        </w:rPr>
        <w:t>that some the initiated projects are directly relevant and contributive to the growth and development of the private sector (BRESL, IKEBMI, ODS), international climate negotiations (PECM), other international MEA processes (PPG), and budgets in grand governance (PECM). Certain components of several projects (e.g. CDMP II, ERF),</w:t>
      </w:r>
      <w:r w:rsidRPr="009B1C91">
        <w:rPr>
          <w:rFonts w:asciiTheme="minorHAnsi" w:hAnsiTheme="minorHAnsi" w:cstheme="minorHAnsi"/>
          <w:lang w:val="en-US"/>
        </w:rPr>
        <w:t xml:space="preserve"> such as addressing gender equity and equality and multi-sector emergency preparedness, could have been made more relevant to the emerging needs of Bangladesh.</w:t>
      </w:r>
    </w:p>
    <w:p w:rsidR="00324CBE" w:rsidRPr="009B1C91" w:rsidRDefault="00324CBE" w:rsidP="00324CBE">
      <w:pPr>
        <w:pStyle w:val="Body"/>
        <w:spacing w:after="0" w:line="240" w:lineRule="auto"/>
        <w:rPr>
          <w:rFonts w:asciiTheme="minorHAnsi" w:hAnsiTheme="minorHAnsi" w:cstheme="minorHAnsi"/>
          <w:lang w:val="en-US"/>
        </w:rPr>
      </w:pPr>
    </w:p>
    <w:p w:rsidR="00324CBE" w:rsidRPr="009B1C91" w:rsidRDefault="00324CBE" w:rsidP="00EF317C">
      <w:pPr>
        <w:autoSpaceDE w:val="0"/>
        <w:autoSpaceDN w:val="0"/>
        <w:adjustRightInd w:val="0"/>
        <w:spacing w:after="0" w:line="240" w:lineRule="auto"/>
        <w:rPr>
          <w:rFonts w:asciiTheme="minorHAnsi" w:hAnsiTheme="minorHAnsi" w:cstheme="minorHAnsi"/>
        </w:rPr>
      </w:pPr>
    </w:p>
    <w:p w:rsidR="00EF317C" w:rsidRPr="009B1C91" w:rsidRDefault="00EF317C" w:rsidP="00F653F8">
      <w:pPr>
        <w:autoSpaceDE w:val="0"/>
        <w:autoSpaceDN w:val="0"/>
        <w:adjustRightInd w:val="0"/>
        <w:spacing w:after="0" w:line="240" w:lineRule="auto"/>
        <w:jc w:val="both"/>
        <w:rPr>
          <w:rFonts w:asciiTheme="minorHAnsi" w:hAnsiTheme="minorHAnsi" w:cstheme="minorHAnsi"/>
          <w:b/>
        </w:rPr>
      </w:pPr>
      <w:r w:rsidRPr="009B1C91">
        <w:rPr>
          <w:rFonts w:asciiTheme="minorHAnsi" w:hAnsiTheme="minorHAnsi" w:cstheme="minorHAnsi"/>
          <w:b/>
        </w:rPr>
        <w:t xml:space="preserve">4.2.2 STATUS AND </w:t>
      </w:r>
      <w:r w:rsidRPr="009B1C91">
        <w:rPr>
          <w:rFonts w:asciiTheme="minorHAnsi" w:hAnsiTheme="minorHAnsi" w:cstheme="minorHAnsi"/>
          <w:b/>
          <w:i/>
        </w:rPr>
        <w:t>EFFECTIVENESS</w:t>
      </w:r>
      <w:r w:rsidRPr="009B1C91">
        <w:rPr>
          <w:rFonts w:asciiTheme="minorHAnsi" w:hAnsiTheme="minorHAnsi" w:cstheme="minorHAnsi"/>
          <w:b/>
        </w:rPr>
        <w:t xml:space="preserve"> OF PROGRAMME </w:t>
      </w:r>
      <w:r w:rsidR="00BB189A" w:rsidRPr="009B1C91">
        <w:rPr>
          <w:rFonts w:asciiTheme="minorHAnsi" w:hAnsiTheme="minorHAnsi" w:cstheme="minorHAnsi"/>
          <w:b/>
          <w:bCs/>
          <w:lang w:val="en-US"/>
        </w:rPr>
        <w:t>AND PROJECT IMPLEMENTATION</w:t>
      </w:r>
    </w:p>
    <w:p w:rsidR="00BB189A" w:rsidRPr="009B1C91" w:rsidRDefault="00BB189A" w:rsidP="00F653F8">
      <w:pPr>
        <w:pStyle w:val="Body"/>
        <w:spacing w:after="0" w:line="240" w:lineRule="auto"/>
        <w:jc w:val="both"/>
        <w:rPr>
          <w:rFonts w:asciiTheme="minorHAnsi" w:hAnsiTheme="minorHAnsi" w:cstheme="minorHAnsi"/>
          <w:b/>
          <w:bCs/>
          <w:lang w:val="en-US"/>
        </w:rPr>
      </w:pPr>
    </w:p>
    <w:p w:rsidR="00BB189A" w:rsidRPr="009B1C91" w:rsidRDefault="00BB189A" w:rsidP="00F653F8">
      <w:pPr>
        <w:pStyle w:val="Body"/>
        <w:spacing w:after="0" w:line="240" w:lineRule="auto"/>
        <w:jc w:val="both"/>
        <w:rPr>
          <w:rFonts w:asciiTheme="minorHAnsi" w:hAnsiTheme="minorHAnsi" w:cstheme="minorHAnsi"/>
        </w:rPr>
      </w:pPr>
      <w:r w:rsidRPr="009B1C91">
        <w:rPr>
          <w:rFonts w:asciiTheme="minorHAnsi" w:hAnsiTheme="minorHAnsi" w:cstheme="minorHAnsi"/>
          <w:i/>
          <w:iCs/>
          <w:lang w:val="en-US"/>
        </w:rPr>
        <w:t>Comprehensive Disaster Management Programme (CDMP-II)</w:t>
      </w:r>
      <w:r w:rsidRPr="009B1C91">
        <w:rPr>
          <w:rFonts w:asciiTheme="minorHAnsi" w:hAnsiTheme="minorHAnsi" w:cstheme="minorHAnsi"/>
          <w:lang w:val="en-US"/>
        </w:rPr>
        <w:t xml:space="preserve">: The CDMP Phase II project was grounded on CDMP Phase I (2004-09), and was therefore primarily an incremental effort.  This has helped the CDMP Phase II project to become reasonably effective in designing and implementing activities and achieve outputs consistent with targeted outcomes, though its engagement with GoB machinery at lower levels of society (district, upazila and union) has been </w:t>
      </w:r>
      <w:r w:rsidRPr="009B1C91">
        <w:rPr>
          <w:rFonts w:asciiTheme="minorHAnsi" w:hAnsiTheme="minorHAnsi" w:cstheme="minorHAnsi"/>
        </w:rPr>
        <w:t>‘sporadic</w:t>
      </w:r>
      <w:r w:rsidRPr="009B1C91">
        <w:rPr>
          <w:rFonts w:asciiTheme="minorHAnsi" w:hAnsiTheme="minorHAnsi" w:cstheme="minorHAnsi"/>
          <w:lang w:val="fr-FR"/>
        </w:rPr>
        <w:t>’</w:t>
      </w:r>
      <w:r w:rsidRPr="009B1C91">
        <w:rPr>
          <w:rFonts w:asciiTheme="minorHAnsi" w:hAnsiTheme="minorHAnsi" w:cstheme="minorHAnsi"/>
          <w:lang w:val="en-US"/>
        </w:rPr>
        <w:t>, and in many cases interactions occurred after prolonged gaps of up to several years</w:t>
      </w:r>
      <w:r w:rsidRPr="009B1C91">
        <w:rPr>
          <w:rFonts w:asciiTheme="minorHAnsi" w:hAnsiTheme="minorHAnsi" w:cstheme="minorHAnsi"/>
        </w:rPr>
        <w:t>.</w:t>
      </w:r>
      <w:r w:rsidRPr="009B1C91">
        <w:rPr>
          <w:rFonts w:asciiTheme="minorHAnsi" w:hAnsiTheme="minorHAnsi" w:cstheme="minorHAnsi"/>
          <w:lang w:val="en-US"/>
        </w:rPr>
        <w:t xml:space="preserve"> Capacity deficiency of DMCs at the sub-national and local level was observed during the field visits. It was also observed that service delivery was more effective where implementation support was sought from local NGOs, and planning and delivery was substituted, though without a permanent solution for capacity deficiency. </w:t>
      </w:r>
    </w:p>
    <w:p w:rsidR="00BB189A" w:rsidRPr="009B1C91" w:rsidRDefault="00BB189A" w:rsidP="00F653F8">
      <w:pPr>
        <w:pStyle w:val="Body"/>
        <w:spacing w:after="0" w:line="240" w:lineRule="auto"/>
        <w:jc w:val="both"/>
        <w:rPr>
          <w:rFonts w:asciiTheme="minorHAnsi" w:hAnsiTheme="minorHAnsi" w:cstheme="minorHAnsi"/>
          <w:b/>
          <w:bCs/>
          <w:lang w:val="en-US"/>
        </w:rPr>
      </w:pPr>
    </w:p>
    <w:p w:rsidR="00BB189A" w:rsidRPr="009B1C91" w:rsidRDefault="00BB189A" w:rsidP="00F653F8">
      <w:pPr>
        <w:pStyle w:val="Default"/>
        <w:jc w:val="both"/>
        <w:rPr>
          <w:rFonts w:asciiTheme="minorHAnsi" w:eastAsia="Calibri" w:hAnsiTheme="minorHAnsi" w:cstheme="minorHAnsi"/>
          <w:sz w:val="22"/>
          <w:szCs w:val="22"/>
        </w:rPr>
      </w:pPr>
      <w:r w:rsidRPr="009B1C91">
        <w:rPr>
          <w:rFonts w:asciiTheme="minorHAnsi" w:eastAsia="Calibri" w:hAnsiTheme="minorHAnsi" w:cstheme="minorHAnsi"/>
          <w:sz w:val="22"/>
          <w:szCs w:val="22"/>
        </w:rPr>
        <w:t>Commendable effectiveness has been observed by the evaluation team in achieving Outcome 1 and Outcome 5, which focused on professionalizing disaster management systems and mainstreaming and institutionalizing disaster risk reduction.  Varying outcomes were achieved in Outcomes 2</w:t>
      </w:r>
      <w:r w:rsidR="001948AB" w:rsidRPr="009B1C91">
        <w:rPr>
          <w:rFonts w:asciiTheme="minorHAnsi" w:eastAsia="Calibri" w:hAnsiTheme="minorHAnsi" w:cstheme="minorHAnsi"/>
          <w:sz w:val="22"/>
          <w:szCs w:val="22"/>
        </w:rPr>
        <w:t>,3,4</w:t>
      </w:r>
      <w:r w:rsidRPr="009B1C91">
        <w:rPr>
          <w:rFonts w:asciiTheme="minorHAnsi" w:eastAsia="Calibri" w:hAnsiTheme="minorHAnsi" w:cstheme="minorHAnsi"/>
          <w:sz w:val="22"/>
          <w:szCs w:val="22"/>
        </w:rPr>
        <w:t xml:space="preserve"> and 6. Although the project activity targets were specified in accordance with outputs and outcomes throughout the project design, the implemented activities were not well coordinated with targets. More close annual monitoring and a method of incorporation of the feedback to catch-up with the lags as well as required resource and scheduling adjustments would make the implementation and achievement of outcomes more effective.  The evaluation team finds the overall performance of CDMP II on achieving outputs and outcomes is reasonably effective. </w:t>
      </w:r>
    </w:p>
    <w:p w:rsidR="00BB189A" w:rsidRPr="009B1C91" w:rsidRDefault="00BB189A" w:rsidP="00F653F8">
      <w:pPr>
        <w:pStyle w:val="Body"/>
        <w:spacing w:after="0" w:line="240" w:lineRule="auto"/>
        <w:jc w:val="both"/>
        <w:rPr>
          <w:rFonts w:asciiTheme="minorHAnsi" w:hAnsiTheme="minorHAnsi" w:cstheme="minorHAnsi"/>
          <w:b/>
          <w:bCs/>
          <w:lang w:val="en-US"/>
        </w:rPr>
      </w:pPr>
    </w:p>
    <w:p w:rsidR="00BB189A" w:rsidRPr="009B1C91" w:rsidRDefault="00BB189A" w:rsidP="00F653F8">
      <w:pPr>
        <w:pStyle w:val="Body"/>
        <w:spacing w:after="0" w:line="240" w:lineRule="auto"/>
        <w:jc w:val="both"/>
        <w:rPr>
          <w:rFonts w:asciiTheme="minorHAnsi" w:hAnsiTheme="minorHAnsi" w:cstheme="minorHAnsi"/>
        </w:rPr>
      </w:pPr>
      <w:r w:rsidRPr="009B1C91">
        <w:rPr>
          <w:rFonts w:asciiTheme="minorHAnsi" w:hAnsiTheme="minorHAnsi" w:cstheme="minorHAnsi"/>
          <w:i/>
          <w:iCs/>
          <w:lang w:val="en-US"/>
        </w:rPr>
        <w:t>Early Recovery Facility (ERF)</w:t>
      </w:r>
      <w:r w:rsidRPr="009B1C91">
        <w:rPr>
          <w:rFonts w:asciiTheme="minorHAnsi" w:hAnsiTheme="minorHAnsi" w:cstheme="minorHAnsi"/>
          <w:lang w:val="en-US"/>
        </w:rPr>
        <w:t xml:space="preserve">: The ERF has provided crucial support to the implementation of the Disaster Management Act 2012, by contributing to capacity building in the newly created Department of Disaster Management. In addition, ERF has assisted in enhancing the capacities of humanitarian actors, including the partner NGOs, by facilitating various training programmes on early ER. In 2014, the ERF is left with only one more year for implementation, and therefore, an early assessment of effectiveness can be attempted. The Evaluation Team determined that, in terms of achieving targeted outputs in a timely manner, ERF has already attained 80-90% of outputs by 2014 and is likely to achieve 100% of targeted Outputs in all but one area by 2015. Overall, programmes were able to perform </w:t>
      </w:r>
      <w:r w:rsidRPr="009B1C91">
        <w:rPr>
          <w:rFonts w:asciiTheme="minorHAnsi" w:hAnsiTheme="minorHAnsi" w:cstheme="minorHAnsi"/>
        </w:rPr>
        <w:t>‘</w:t>
      </w:r>
      <w:r w:rsidRPr="009B1C91">
        <w:rPr>
          <w:rFonts w:asciiTheme="minorHAnsi" w:hAnsiTheme="minorHAnsi" w:cstheme="minorHAnsi"/>
          <w:lang w:val="en-US"/>
        </w:rPr>
        <w:t>very well</w:t>
      </w:r>
      <w:r w:rsidRPr="009B1C91">
        <w:rPr>
          <w:rFonts w:asciiTheme="minorHAnsi" w:hAnsiTheme="minorHAnsi" w:cstheme="minorHAnsi"/>
          <w:lang w:val="fr-FR"/>
        </w:rPr>
        <w:t xml:space="preserve">’ </w:t>
      </w:r>
      <w:r w:rsidRPr="009B1C91">
        <w:rPr>
          <w:rFonts w:asciiTheme="minorHAnsi" w:hAnsiTheme="minorHAnsi" w:cstheme="minorHAnsi"/>
          <w:lang w:val="en-US"/>
        </w:rPr>
        <w:t>when they mobilized knowledge and built capacity of the partners. As noted in the MTR, UNDP</w:t>
      </w:r>
      <w:r w:rsidRPr="009B1C91">
        <w:rPr>
          <w:rFonts w:asciiTheme="minorHAnsi" w:hAnsiTheme="minorHAnsi" w:cstheme="minorHAnsi"/>
          <w:lang w:val="fr-FR"/>
        </w:rPr>
        <w:t>’</w:t>
      </w:r>
      <w:r w:rsidRPr="009B1C91">
        <w:rPr>
          <w:rFonts w:asciiTheme="minorHAnsi" w:hAnsiTheme="minorHAnsi" w:cstheme="minorHAnsi"/>
          <w:lang w:val="en-US"/>
        </w:rPr>
        <w:t>s capacity and size at the field level (district, sub-district) were not balanced against the requirements to accelerate partner</w:t>
      </w:r>
      <w:r w:rsidRPr="009B1C91">
        <w:rPr>
          <w:rFonts w:asciiTheme="minorHAnsi" w:hAnsiTheme="minorHAnsi" w:cstheme="minorHAnsi"/>
          <w:lang w:val="fr-FR"/>
        </w:rPr>
        <w:t>’</w:t>
      </w:r>
      <w:r w:rsidRPr="009B1C91">
        <w:rPr>
          <w:rFonts w:asciiTheme="minorHAnsi" w:hAnsiTheme="minorHAnsi" w:cstheme="minorHAnsi"/>
          <w:lang w:val="en-US"/>
        </w:rPr>
        <w:t xml:space="preserve">s capacity and functions. Such deficiencies often left weaknesses in programme implementation. </w:t>
      </w:r>
      <w:r w:rsidRPr="009B1C91">
        <w:rPr>
          <w:rFonts w:asciiTheme="minorHAnsi" w:hAnsiTheme="minorHAnsi" w:cstheme="minorHAnsi"/>
          <w:lang w:val="en-US"/>
        </w:rPr>
        <w:lastRenderedPageBreak/>
        <w:t>For example, the beneficiaries of the Resilient Habitat program at Kedarbarazar, Shyamnagar</w:t>
      </w:r>
      <w:r w:rsidR="00A109A2">
        <w:rPr>
          <w:rFonts w:asciiTheme="minorHAnsi" w:hAnsiTheme="minorHAnsi" w:cstheme="minorHAnsi"/>
          <w:lang w:val="en-US"/>
        </w:rPr>
        <w:t xml:space="preserve"> </w:t>
      </w:r>
      <w:r w:rsidRPr="009B1C91">
        <w:rPr>
          <w:rFonts w:asciiTheme="minorHAnsi" w:hAnsiTheme="minorHAnsi" w:cstheme="minorHAnsi"/>
          <w:lang w:val="en-US"/>
        </w:rPr>
        <w:t xml:space="preserve">Upazila remained highly vulnerable to cyclonic storm surges due to breaching of an embankment which was not repaired. </w:t>
      </w:r>
    </w:p>
    <w:p w:rsidR="00BB189A" w:rsidRPr="009B1C91" w:rsidRDefault="00BB189A" w:rsidP="00BB189A">
      <w:pPr>
        <w:pStyle w:val="Body"/>
        <w:spacing w:after="0" w:line="240" w:lineRule="auto"/>
        <w:rPr>
          <w:rFonts w:asciiTheme="minorHAnsi" w:hAnsiTheme="minorHAnsi" w:cstheme="minorHAnsi"/>
        </w:rPr>
      </w:pPr>
    </w:p>
    <w:p w:rsidR="00BB189A" w:rsidRPr="009B1C91" w:rsidRDefault="00BB189A" w:rsidP="00F653F8">
      <w:pPr>
        <w:pStyle w:val="Body"/>
        <w:spacing w:after="0" w:line="240" w:lineRule="auto"/>
        <w:jc w:val="both"/>
        <w:rPr>
          <w:rFonts w:asciiTheme="minorHAnsi" w:hAnsiTheme="minorHAnsi" w:cstheme="minorHAnsi"/>
          <w:b/>
          <w:bCs/>
          <w:lang w:val="en-US"/>
        </w:rPr>
      </w:pPr>
      <w:r w:rsidRPr="009B1C91">
        <w:rPr>
          <w:rFonts w:asciiTheme="minorHAnsi" w:hAnsiTheme="minorHAnsi" w:cstheme="minorHAnsi"/>
          <w:i/>
          <w:iCs/>
          <w:lang w:val="en-US"/>
        </w:rPr>
        <w:t xml:space="preserve">Poverty Environment Climate Mainstreaming (PECM): </w:t>
      </w:r>
      <w:r w:rsidRPr="009B1C91">
        <w:rPr>
          <w:rFonts w:asciiTheme="minorHAnsi" w:hAnsiTheme="minorHAnsi" w:cstheme="minorHAnsi"/>
          <w:lang w:val="en-US"/>
        </w:rPr>
        <w:t>Poverty-Environment-Climate (PEC) linkages were mainstreamed into UNDP programmes (though partially since a coordination mechanism is yet to be developed and implemented) and fully integrated into key national and sectoral planning processes, led by the General Economic Division (GED). During the 2010-13 project period, out of 8 targeted outputs 100% implementation and results were produced in 5 output areas and partial results (&lt;100%) in 3 outputs. Cost effectiveness of the project is reflected in several important results. Technical briefs have been provided to incorporate PEC Nexus issues in the draft DPP and TPP format, Delta Plan 2100. PEC Nexus- related clauses have been addressed in the ADP Guideline. PEC nexus issues have been integrated into the Monitoring and Evaluation (M&amp;E) framework of the 6th Five Year Plan, National Perspective Plan and National Sustainable Development Strategy</w:t>
      </w:r>
      <w:r w:rsidRPr="009B1C91">
        <w:rPr>
          <w:rFonts w:asciiTheme="minorHAnsi" w:hAnsiTheme="minorHAnsi" w:cstheme="minorHAnsi"/>
        </w:rPr>
        <w:t xml:space="preserve"> (2010-21). </w:t>
      </w:r>
      <w:r w:rsidRPr="009B1C91">
        <w:rPr>
          <w:rFonts w:asciiTheme="minorHAnsi" w:hAnsiTheme="minorHAnsi" w:cstheme="minorHAnsi"/>
          <w:lang w:val="en-US"/>
        </w:rPr>
        <w:t>Climate Public Expenditure and Institutional Review (CPEIR) was conducted, and GED implemented Local Climate Fiscal Framework (LCFF) by forming a team composed of members from relevant ministries and agencies. A new Climate Fiscal Framework has been developed by the Ministry of Finance, making it possible to track the government’s performance on PEC mainstreaming. GED implemented a Local Climate Fiscal Framework, for use by local government</w:t>
      </w:r>
    </w:p>
    <w:p w:rsidR="00BB189A" w:rsidRPr="009B1C91" w:rsidRDefault="00BB189A" w:rsidP="00F653F8">
      <w:pPr>
        <w:pStyle w:val="Body"/>
        <w:spacing w:after="0" w:line="240" w:lineRule="auto"/>
        <w:jc w:val="both"/>
        <w:rPr>
          <w:rFonts w:asciiTheme="minorHAnsi" w:hAnsiTheme="minorHAnsi" w:cstheme="minorHAnsi"/>
          <w:b/>
          <w:bCs/>
          <w:lang w:val="en-US"/>
        </w:rPr>
      </w:pPr>
    </w:p>
    <w:p w:rsidR="00BB189A" w:rsidRPr="009B1C91" w:rsidRDefault="00BB189A" w:rsidP="00F653F8">
      <w:pPr>
        <w:pStyle w:val="Body"/>
        <w:spacing w:after="0" w:line="240" w:lineRule="auto"/>
        <w:jc w:val="both"/>
        <w:rPr>
          <w:rFonts w:asciiTheme="minorHAnsi" w:hAnsiTheme="minorHAnsi" w:cstheme="minorHAnsi"/>
          <w:b/>
          <w:bCs/>
          <w:lang w:val="en-US"/>
        </w:rPr>
      </w:pPr>
      <w:r w:rsidRPr="009B1C91">
        <w:rPr>
          <w:rFonts w:asciiTheme="minorHAnsi" w:hAnsiTheme="minorHAnsi" w:cstheme="minorHAnsi"/>
          <w:i/>
          <w:iCs/>
          <w:lang w:val="en-US"/>
        </w:rPr>
        <w:t>Community Based Adaptation to Climate Change through Costal Afforestation in Bangladesh (CBACC-CF)</w:t>
      </w:r>
      <w:r w:rsidRPr="009B1C91">
        <w:rPr>
          <w:rFonts w:asciiTheme="minorHAnsi" w:hAnsiTheme="minorHAnsi" w:cstheme="minorHAnsi"/>
          <w:lang w:val="en-US"/>
        </w:rPr>
        <w:t>: The CBACC-CF project shows significant effectiveness in promoting climate-resilient development in the coastal areas of Bangladesh. The evaluation team determined that, in terms of achieving targeted outputs in a timely manner, CBACC-CF made commendable progress as it has already attained 100% of outputs except model demonstration (75%) by 2014, and is likely to achieve 100% of targeted Outputs in all areas by 2015. The project enhanced resilience of coastal ecosystems through increasing forest coverage, creating livelihood diversification practices through innovative land use techniques</w:t>
      </w:r>
      <w:r w:rsidRPr="009B1C91">
        <w:rPr>
          <w:rFonts w:asciiTheme="minorHAnsi" w:hAnsiTheme="minorHAnsi" w:cstheme="minorHAnsi"/>
        </w:rPr>
        <w:t xml:space="preserve"> (e.g.</w:t>
      </w:r>
      <w:r w:rsidRPr="009B1C91">
        <w:rPr>
          <w:rFonts w:asciiTheme="minorHAnsi" w:hAnsiTheme="minorHAnsi" w:cstheme="minorHAnsi"/>
          <w:lang w:val="en-US"/>
        </w:rPr>
        <w:t xml:space="preserve"> the Triple F Model), and mainstreaming women</w:t>
      </w:r>
      <w:r w:rsidRPr="009B1C91">
        <w:rPr>
          <w:rFonts w:asciiTheme="minorHAnsi" w:hAnsiTheme="minorHAnsi" w:cstheme="minorHAnsi"/>
          <w:lang w:val="fr-FR"/>
        </w:rPr>
        <w:t>’</w:t>
      </w:r>
      <w:r w:rsidRPr="009B1C91">
        <w:rPr>
          <w:rFonts w:asciiTheme="minorHAnsi" w:hAnsiTheme="minorHAnsi" w:cstheme="minorHAnsi"/>
          <w:lang w:val="en-US"/>
        </w:rPr>
        <w:t>s role in climate change adaptation. Resilience of protective ecosystems was enhanced through different types of afforestation interventions and diversification of livelihood strategies. Meanwhile, more than 8,500 ha of mangrove plantation and coastal afforestation interventions were undertaken. More than 200 ha of dike plantation activities were also undertaken, including implementation of the Triple F Model. The Team observed that over 80% of the adaptation measures employed by the project demonstrated their effectiveness and sustainability in reducing climate variability in coastal communities. The project has made crucial contributions</w:t>
      </w:r>
      <w:r w:rsidRPr="009B1C91">
        <w:rPr>
          <w:rFonts w:asciiTheme="minorHAnsi" w:hAnsiTheme="minorHAnsi" w:cstheme="minorHAnsi"/>
        </w:rPr>
        <w:t xml:space="preserve"> to</w:t>
      </w:r>
      <w:r w:rsidRPr="009B1C91">
        <w:rPr>
          <w:rFonts w:asciiTheme="minorHAnsi" w:hAnsiTheme="minorHAnsi" w:cstheme="minorHAnsi"/>
          <w:lang w:val="en-US"/>
        </w:rPr>
        <w:t xml:space="preserve"> the</w:t>
      </w:r>
      <w:r w:rsidRPr="009B1C91">
        <w:rPr>
          <w:rFonts w:asciiTheme="minorHAnsi" w:hAnsiTheme="minorHAnsi" w:cstheme="minorHAnsi"/>
        </w:rPr>
        <w:t xml:space="preserve"> drafting</w:t>
      </w:r>
      <w:r w:rsidRPr="009B1C91">
        <w:rPr>
          <w:rFonts w:asciiTheme="minorHAnsi" w:hAnsiTheme="minorHAnsi" w:cstheme="minorHAnsi"/>
          <w:lang w:val="en-US"/>
        </w:rPr>
        <w:t xml:space="preserve"> of Climate Resilient Coastal Zone Policy Recommendations for 4 sectoral policies and the development of a framework for mainstreaming mechanisms for climate resilient policy. As noted in the MTR, there is too great a lack of self-help motivation and genuine ownership (e.g. land tenancy and lack of cooperatives) by the beneficiaries to currently sustain many of the individual and group outputs. The necessary level of technical capacity and beneficiary ownership has not yet been reached to assure sustainability although this is achievable.</w:t>
      </w:r>
    </w:p>
    <w:p w:rsidR="00BB189A" w:rsidRPr="009B1C91" w:rsidRDefault="00BB189A" w:rsidP="00BB189A">
      <w:pPr>
        <w:pStyle w:val="Body"/>
        <w:spacing w:after="0" w:line="240" w:lineRule="auto"/>
        <w:rPr>
          <w:rFonts w:asciiTheme="minorHAnsi" w:hAnsiTheme="minorHAnsi" w:cstheme="minorHAnsi"/>
          <w:b/>
          <w:bCs/>
          <w:lang w:val="en-US"/>
        </w:rPr>
      </w:pPr>
    </w:p>
    <w:p w:rsidR="00BB189A" w:rsidRPr="009B1C91" w:rsidRDefault="00BB189A"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In this context, the CBACC-CF MTR has noted that a revisit of the intervention strategy assumed that the project outputs would be able develop and/or alter coastal areas, manage policies to enhance climate risk resilience in vulnerable coastal communities, and expand the community-based approach well beyond the project sites and outputs level.  Achievements towards this claimed strategic goal by the CBAACC-CF were validated by local community beneficiaries, as well as national, district and upazila level stakeholders. The evaluators, however, observed that lack of effective promotion of the successes in such community level innovations (e.g. Triple F Model) hampered the achievement of targeted </w:t>
      </w:r>
      <w:r w:rsidRPr="009B1C91">
        <w:rPr>
          <w:rFonts w:asciiTheme="minorHAnsi" w:hAnsiTheme="minorHAnsi" w:cstheme="minorHAnsi"/>
          <w:lang w:val="en-US"/>
        </w:rPr>
        <w:lastRenderedPageBreak/>
        <w:t>outcomes. More efforts should be made towards effectively promoting the benefits of a two-way, interactive (‘bottom-up and ‘top-down’) communication among the national planning bodies, as by and large a deeper comprehension of such an approach is still weak in the government machinery.</w:t>
      </w:r>
    </w:p>
    <w:p w:rsidR="00BB189A" w:rsidRPr="009B1C91" w:rsidRDefault="00BB189A" w:rsidP="00F653F8">
      <w:pPr>
        <w:pStyle w:val="Body"/>
        <w:spacing w:after="0" w:line="240" w:lineRule="auto"/>
        <w:jc w:val="both"/>
        <w:rPr>
          <w:rFonts w:asciiTheme="minorHAnsi" w:hAnsiTheme="minorHAnsi" w:cstheme="minorHAnsi"/>
          <w:i/>
          <w:iCs/>
          <w:lang w:val="en-US"/>
        </w:rPr>
      </w:pPr>
    </w:p>
    <w:p w:rsidR="00BB189A" w:rsidRPr="009B1C91" w:rsidRDefault="00BB189A" w:rsidP="00F653F8">
      <w:pPr>
        <w:pStyle w:val="Body"/>
        <w:spacing w:after="0" w:line="240" w:lineRule="auto"/>
        <w:jc w:val="both"/>
        <w:rPr>
          <w:rFonts w:asciiTheme="minorHAnsi" w:hAnsiTheme="minorHAnsi" w:cstheme="minorHAnsi"/>
        </w:rPr>
      </w:pPr>
      <w:r w:rsidRPr="009B1C91">
        <w:rPr>
          <w:rFonts w:asciiTheme="minorHAnsi" w:hAnsiTheme="minorHAnsi" w:cstheme="minorHAnsi"/>
          <w:i/>
          <w:iCs/>
          <w:lang w:val="en-US"/>
        </w:rPr>
        <w:t>Barrier Removal for Energy Standards and Labeling (BRESL)</w:t>
      </w:r>
      <w:r w:rsidRPr="009B1C91">
        <w:rPr>
          <w:rFonts w:asciiTheme="minorHAnsi" w:hAnsiTheme="minorHAnsi" w:cstheme="minorHAnsi"/>
          <w:lang w:val="en-US"/>
        </w:rPr>
        <w:t>: The BRESL project overall has been `effective` in terms of achieving outputs in a timely manner, as all targeted outputs are likely to be achieved by the project’s termination in 2015, except for the star label assignment (wherein</w:t>
      </w:r>
      <w:r w:rsidRPr="009B1C91">
        <w:rPr>
          <w:rFonts w:asciiTheme="minorHAnsi" w:hAnsiTheme="minorHAnsi" w:cstheme="minorHAnsi"/>
        </w:rPr>
        <w:t xml:space="preserve"> CFL</w:t>
      </w:r>
      <w:r w:rsidRPr="009B1C91">
        <w:rPr>
          <w:rFonts w:asciiTheme="minorHAnsi" w:hAnsiTheme="minorHAnsi" w:cstheme="minorHAnsi"/>
          <w:lang w:val="en-US"/>
        </w:rPr>
        <w:t>s</w:t>
      </w:r>
      <w:r w:rsidRPr="009B1C91">
        <w:rPr>
          <w:rFonts w:asciiTheme="minorHAnsi" w:hAnsiTheme="minorHAnsi" w:cstheme="minorHAnsi"/>
        </w:rPr>
        <w:t>, fan</w:t>
      </w:r>
      <w:r w:rsidRPr="009B1C91">
        <w:rPr>
          <w:rFonts w:asciiTheme="minorHAnsi" w:hAnsiTheme="minorHAnsi" w:cstheme="minorHAnsi"/>
          <w:lang w:val="en-US"/>
        </w:rPr>
        <w:t>s and electronic ballasts</w:t>
      </w:r>
      <w:r w:rsidRPr="009B1C91">
        <w:rPr>
          <w:rFonts w:asciiTheme="minorHAnsi" w:hAnsiTheme="minorHAnsi" w:cstheme="minorHAnsi"/>
        </w:rPr>
        <w:t xml:space="preserve"> (EB) </w:t>
      </w:r>
      <w:r w:rsidRPr="009B1C91">
        <w:rPr>
          <w:rFonts w:asciiTheme="minorHAnsi" w:hAnsiTheme="minorHAnsi" w:cstheme="minorHAnsi"/>
          <w:lang w:val="en-US"/>
        </w:rPr>
        <w:t>were completed while</w:t>
      </w:r>
      <w:r w:rsidRPr="009B1C91">
        <w:rPr>
          <w:rFonts w:asciiTheme="minorHAnsi" w:hAnsiTheme="minorHAnsi" w:cstheme="minorHAnsi"/>
        </w:rPr>
        <w:t xml:space="preserve"> AC, refrigerator</w:t>
      </w:r>
      <w:r w:rsidRPr="009B1C91">
        <w:rPr>
          <w:rFonts w:asciiTheme="minorHAnsi" w:hAnsiTheme="minorHAnsi" w:cstheme="minorHAnsi"/>
          <w:lang w:val="en-US"/>
        </w:rPr>
        <w:t>s and electric motors could not be implemented due to absence of laboratory facilities</w:t>
      </w:r>
      <w:r w:rsidRPr="009B1C91">
        <w:rPr>
          <w:rFonts w:asciiTheme="minorHAnsi" w:hAnsiTheme="minorHAnsi" w:cstheme="minorHAnsi"/>
        </w:rPr>
        <w:t xml:space="preserve">). </w:t>
      </w:r>
      <w:r w:rsidRPr="009B1C91">
        <w:rPr>
          <w:rFonts w:asciiTheme="minorHAnsi" w:hAnsiTheme="minorHAnsi" w:cstheme="minorHAnsi"/>
          <w:lang w:val="en-US"/>
        </w:rPr>
        <w:t>As of</w:t>
      </w:r>
      <w:r w:rsidRPr="009B1C91">
        <w:rPr>
          <w:rFonts w:asciiTheme="minorHAnsi" w:hAnsiTheme="minorHAnsi" w:cstheme="minorHAnsi"/>
        </w:rPr>
        <w:t xml:space="preserve"> 2015, </w:t>
      </w:r>
      <w:r w:rsidRPr="009B1C91">
        <w:rPr>
          <w:rFonts w:asciiTheme="minorHAnsi" w:hAnsiTheme="minorHAnsi" w:cstheme="minorHAnsi"/>
          <w:lang w:val="en-US"/>
        </w:rPr>
        <w:t>62 manufactures have updated their product lines to meet the new standards. More attention could have been paid to changing consumer behaviou</w:t>
      </w:r>
      <w:r w:rsidRPr="009B1C91">
        <w:rPr>
          <w:rFonts w:asciiTheme="minorHAnsi" w:hAnsiTheme="minorHAnsi" w:cstheme="minorHAnsi"/>
        </w:rPr>
        <w:t>r in</w:t>
      </w:r>
      <w:r w:rsidRPr="009B1C91">
        <w:rPr>
          <w:rFonts w:asciiTheme="minorHAnsi" w:hAnsiTheme="minorHAnsi" w:cstheme="minorHAnsi"/>
          <w:lang w:val="en-US"/>
        </w:rPr>
        <w:t xml:space="preserve"> the</w:t>
      </w:r>
      <w:r w:rsidRPr="009B1C91">
        <w:rPr>
          <w:rFonts w:asciiTheme="minorHAnsi" w:hAnsiTheme="minorHAnsi" w:cstheme="minorHAnsi"/>
          <w:lang w:val="fr-FR"/>
        </w:rPr>
        <w:t>project design</w:t>
      </w:r>
      <w:r w:rsidRPr="009B1C91">
        <w:rPr>
          <w:rFonts w:asciiTheme="minorHAnsi" w:hAnsiTheme="minorHAnsi" w:cstheme="minorHAnsi"/>
          <w:lang w:val="en-US"/>
        </w:rPr>
        <w:t xml:space="preserve"> and the selection of output category for making it more effective. The evaluators observed that the public demand for efficient appliances is still low but slowly rising. The supervision and monitoring of the standards is unclear, as adopting and maintaining the standards is currently voluntary (although the EE&amp;C Master Plan provides for stepwise introduction of mandatory standards).  Assessment is assisted by the progress reports but is limited by the lack of MTR or TE. </w:t>
      </w:r>
    </w:p>
    <w:p w:rsidR="00BB189A" w:rsidRPr="009B1C91" w:rsidRDefault="00BB189A" w:rsidP="00F653F8">
      <w:pPr>
        <w:pStyle w:val="Body"/>
        <w:spacing w:after="0" w:line="240" w:lineRule="auto"/>
        <w:jc w:val="both"/>
        <w:rPr>
          <w:rFonts w:asciiTheme="minorHAnsi" w:hAnsiTheme="minorHAnsi" w:cstheme="minorHAnsi"/>
          <w:b/>
          <w:bCs/>
          <w:lang w:val="en-US"/>
        </w:rPr>
      </w:pPr>
    </w:p>
    <w:p w:rsidR="00BB189A" w:rsidRPr="009B1C91" w:rsidRDefault="00BB189A" w:rsidP="00F653F8">
      <w:pPr>
        <w:pStyle w:val="Body"/>
        <w:spacing w:after="0" w:line="240" w:lineRule="auto"/>
        <w:jc w:val="both"/>
        <w:rPr>
          <w:rFonts w:asciiTheme="minorHAnsi" w:hAnsiTheme="minorHAnsi" w:cstheme="minorHAnsi"/>
          <w:b/>
          <w:bCs/>
          <w:lang w:val="en-US"/>
        </w:rPr>
      </w:pPr>
      <w:r w:rsidRPr="001D4C99">
        <w:rPr>
          <w:rFonts w:asciiTheme="minorHAnsi" w:hAnsiTheme="minorHAnsi" w:cstheme="minorHAnsi"/>
          <w:i/>
          <w:iCs/>
          <w:lang w:val="en-US"/>
        </w:rPr>
        <w:t>Improving Kiln Efficiency in the Brick Making Industry (IKEBMI)</w:t>
      </w:r>
      <w:r w:rsidRPr="001D4C99">
        <w:rPr>
          <w:rFonts w:asciiTheme="minorHAnsi" w:hAnsiTheme="minorHAnsi" w:cstheme="minorHAnsi"/>
          <w:lang w:val="en-US"/>
        </w:rPr>
        <w:t>: While the project built a significantly reduced number of demonstration facilities only, the outreach and public resonance of the project has had a significant and lasting impact. The project triggered a discussion about this technology and ultimately led to regulatory and legal action (i.e., the revised Brick Act, 2013) prohibiting use of the worst technology, mitigating some of the environmental consequences and opening minds to the potential of modern tunnel kiln technology. These results are even better than anticipated since the original HHK technology is not up to modern standards. The MTR has revealed that because activities focused on technical support to individual demonstration models rather than developing a technical understanding of various energy-efficient kiln options, appreciation of the project was limited to brick makers and other specific stakeholders. More focus on ‘soft’ activities that support broader audiences will make such project more effective.</w:t>
      </w:r>
    </w:p>
    <w:p w:rsidR="00BB189A" w:rsidRPr="009B1C91" w:rsidRDefault="00BB189A" w:rsidP="00F653F8">
      <w:pPr>
        <w:pStyle w:val="Body"/>
        <w:spacing w:after="0" w:line="240" w:lineRule="auto"/>
        <w:jc w:val="both"/>
        <w:rPr>
          <w:rFonts w:asciiTheme="minorHAnsi" w:hAnsiTheme="minorHAnsi" w:cstheme="minorHAnsi"/>
          <w:lang w:val="en-US"/>
        </w:rPr>
      </w:pPr>
    </w:p>
    <w:p w:rsidR="00D3081E" w:rsidRPr="009B1C91" w:rsidRDefault="00D3081E" w:rsidP="00F653F8">
      <w:pPr>
        <w:pStyle w:val="Body"/>
        <w:spacing w:after="0" w:line="240" w:lineRule="auto"/>
        <w:jc w:val="both"/>
        <w:rPr>
          <w:rFonts w:asciiTheme="minorHAnsi" w:hAnsiTheme="minorHAnsi" w:cstheme="minorHAnsi"/>
          <w:b/>
          <w:lang w:val="en-US"/>
        </w:rPr>
      </w:pPr>
      <w:r w:rsidRPr="009B1C91">
        <w:rPr>
          <w:rFonts w:asciiTheme="minorHAnsi" w:hAnsiTheme="minorHAnsi" w:cstheme="minorHAnsi"/>
          <w:b/>
          <w:lang w:val="en-US"/>
        </w:rPr>
        <w:t>Synthesis of effectiveness of project interventions</w:t>
      </w:r>
    </w:p>
    <w:p w:rsidR="00843749" w:rsidRPr="009B1C91" w:rsidRDefault="00843749" w:rsidP="00F653F8">
      <w:pPr>
        <w:pStyle w:val="Body"/>
        <w:spacing w:after="0" w:line="240" w:lineRule="auto"/>
        <w:jc w:val="both"/>
        <w:rPr>
          <w:rFonts w:asciiTheme="minorHAnsi" w:hAnsiTheme="minorHAnsi" w:cstheme="minorHAnsi"/>
          <w:b/>
          <w:lang w:val="en-US"/>
        </w:rPr>
      </w:pPr>
    </w:p>
    <w:p w:rsidR="00BB189A" w:rsidRPr="009B1C91" w:rsidRDefault="00BB189A"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The detailed assessment on effectiveness is presented in </w:t>
      </w:r>
      <w:r w:rsidR="00C63CB7">
        <w:rPr>
          <w:rFonts w:asciiTheme="minorHAnsi" w:hAnsiTheme="minorHAnsi" w:cstheme="minorHAnsi"/>
          <w:color w:val="auto"/>
          <w:u w:color="FF0000"/>
          <w:lang w:val="en-US"/>
        </w:rPr>
        <w:t>Annexes XII.a</w:t>
      </w:r>
      <w:r w:rsidR="00A109A2">
        <w:rPr>
          <w:rFonts w:asciiTheme="minorHAnsi" w:hAnsiTheme="minorHAnsi" w:cstheme="minorHAnsi"/>
          <w:color w:val="auto"/>
          <w:u w:color="FF0000"/>
          <w:lang w:val="en-US"/>
        </w:rPr>
        <w:t xml:space="preserve"> </w:t>
      </w:r>
      <w:r w:rsidR="00C63CB7">
        <w:rPr>
          <w:rFonts w:asciiTheme="minorHAnsi" w:hAnsiTheme="minorHAnsi" w:cstheme="minorHAnsi"/>
          <w:color w:val="auto"/>
          <w:u w:color="FF0000"/>
          <w:lang w:val="en-US"/>
        </w:rPr>
        <w:t>&amp;</w:t>
      </w:r>
      <w:r w:rsidR="00A109A2">
        <w:rPr>
          <w:rFonts w:asciiTheme="minorHAnsi" w:hAnsiTheme="minorHAnsi" w:cstheme="minorHAnsi"/>
          <w:color w:val="auto"/>
          <w:u w:color="FF0000"/>
          <w:lang w:val="en-US"/>
        </w:rPr>
        <w:t xml:space="preserve"> </w:t>
      </w:r>
      <w:r w:rsidR="00C63CB7">
        <w:rPr>
          <w:rFonts w:asciiTheme="minorHAnsi" w:hAnsiTheme="minorHAnsi" w:cstheme="minorHAnsi"/>
          <w:color w:val="auto"/>
          <w:u w:color="FF0000"/>
          <w:lang w:val="en-US"/>
        </w:rPr>
        <w:t>XII.b</w:t>
      </w:r>
      <w:r w:rsidRPr="009B1C91">
        <w:rPr>
          <w:rFonts w:asciiTheme="minorHAnsi" w:hAnsiTheme="minorHAnsi" w:cstheme="minorHAnsi"/>
          <w:lang w:val="en-US"/>
        </w:rPr>
        <w:t xml:space="preserve">, including a narrative assessment and evidence regarding whether or not contributions were made to the achievement of outputs and outcomes. The main conclusions and findings regarding the contributions of the initiated projects to the CPD Outcomes 3.1 and 3.2 are summarized below. </w:t>
      </w:r>
    </w:p>
    <w:p w:rsidR="00BB189A" w:rsidRPr="009B1C91" w:rsidRDefault="00BB189A" w:rsidP="00F653F8">
      <w:pPr>
        <w:pStyle w:val="Body"/>
        <w:spacing w:after="0" w:line="240" w:lineRule="auto"/>
        <w:ind w:firstLine="720"/>
        <w:jc w:val="both"/>
        <w:rPr>
          <w:rFonts w:asciiTheme="minorHAnsi" w:hAnsiTheme="minorHAnsi" w:cstheme="minorHAnsi"/>
          <w:lang w:val="en-US"/>
        </w:rPr>
      </w:pPr>
    </w:p>
    <w:p w:rsidR="00BB189A" w:rsidRPr="009B1C91" w:rsidRDefault="00801A08" w:rsidP="00F653F8">
      <w:pPr>
        <w:pStyle w:val="Body"/>
        <w:spacing w:after="0" w:line="240" w:lineRule="auto"/>
        <w:jc w:val="both"/>
        <w:rPr>
          <w:rFonts w:asciiTheme="minorHAnsi" w:hAnsiTheme="minorHAnsi" w:cstheme="minorHAnsi"/>
          <w:lang w:val="en-US"/>
        </w:rPr>
      </w:pPr>
      <w:r>
        <w:rPr>
          <w:rFonts w:asciiTheme="minorHAnsi" w:hAnsiTheme="minorHAnsi" w:cstheme="minorHAnsi"/>
          <w:lang w:val="en-US"/>
        </w:rPr>
        <w:t>The progress made by each of the selected projects unt</w:t>
      </w:r>
      <w:r w:rsidR="001B22C0">
        <w:rPr>
          <w:rFonts w:asciiTheme="minorHAnsi" w:hAnsiTheme="minorHAnsi" w:cstheme="minorHAnsi"/>
          <w:lang w:val="en-US"/>
        </w:rPr>
        <w:t>il 2014 is reported in Annex XV</w:t>
      </w:r>
      <w:r>
        <w:rPr>
          <w:rFonts w:asciiTheme="minorHAnsi" w:hAnsiTheme="minorHAnsi" w:cstheme="minorHAnsi"/>
          <w:lang w:val="en-US"/>
        </w:rPr>
        <w:t xml:space="preserve">. </w:t>
      </w:r>
      <w:r w:rsidR="00BB189A" w:rsidRPr="009B1C91">
        <w:rPr>
          <w:rFonts w:asciiTheme="minorHAnsi" w:hAnsiTheme="minorHAnsi" w:cstheme="minorHAnsi"/>
          <w:lang w:val="en-US"/>
        </w:rPr>
        <w:t>Effectiveness of the CCED initiated projects is measured primarily from six of the eight fully executed projects, and it was found that their policy level delivery, particularly at the national level, was much more effective (PECM, Disaster Management Act-2012, Influence on Climate Change Section in SFYP, Revised standing order on disaster, Bricks Act, energy efficiency standards) than the ground-level delivery at the regional and local level. Delivery capacity at the district and Upazila level is weak, as reflected in the underperformance of ICT instruments. At the local level, CCA performance was not up to standard in all outputs and was weak in many areas. Lessons were learned from implementation and delivery problems in the resilient habitats program in Kedarbazar, particularly in terms of limited access to livelihood options, access to markets, road communication, connectedness to local-level governance. Modified program designs were subsequently and effectively implemented, as observed by the evaluators in the Bain</w:t>
      </w:r>
      <w:r w:rsidR="00D06088" w:rsidRPr="009B1C91">
        <w:rPr>
          <w:rFonts w:asciiTheme="minorHAnsi" w:hAnsiTheme="minorHAnsi" w:cstheme="minorHAnsi"/>
          <w:lang w:val="en-US"/>
        </w:rPr>
        <w:t>e</w:t>
      </w:r>
      <w:r w:rsidR="00DC7285">
        <w:rPr>
          <w:rFonts w:asciiTheme="minorHAnsi" w:hAnsiTheme="minorHAnsi" w:cstheme="minorHAnsi"/>
          <w:lang w:val="en-US"/>
        </w:rPr>
        <w:t xml:space="preserve"> </w:t>
      </w:r>
      <w:r w:rsidR="00BB189A" w:rsidRPr="009B1C91">
        <w:rPr>
          <w:rFonts w:asciiTheme="minorHAnsi" w:hAnsiTheme="minorHAnsi" w:cstheme="minorHAnsi"/>
          <w:lang w:val="en-US"/>
        </w:rPr>
        <w:t>para (Dacope) resilient habitat project component.</w:t>
      </w:r>
    </w:p>
    <w:p w:rsidR="00BB189A" w:rsidRPr="009B1C91" w:rsidRDefault="00BB189A" w:rsidP="00F653F8">
      <w:pPr>
        <w:pStyle w:val="Body"/>
        <w:spacing w:after="0" w:line="240" w:lineRule="auto"/>
        <w:jc w:val="both"/>
        <w:rPr>
          <w:rFonts w:asciiTheme="minorHAnsi" w:hAnsiTheme="minorHAnsi" w:cstheme="minorHAnsi"/>
          <w:lang w:val="en-US"/>
        </w:rPr>
      </w:pPr>
    </w:p>
    <w:p w:rsidR="00BB189A" w:rsidRPr="009B1C91" w:rsidRDefault="00BB189A"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lastRenderedPageBreak/>
        <w:t xml:space="preserve">The effectiveness of the initiated projects and programmes could be improved if the project designs undertook a more integrative approach (e.g. providing access to health services, livelihood considerations including IGAs, consideration of the value chains for the products, providing access to markets, empowering women and disadvantaged). Such efforts would have multiplied the benefits and made the projects more robust and sustainable. </w:t>
      </w:r>
    </w:p>
    <w:p w:rsidR="00BB189A" w:rsidRPr="009B1C91" w:rsidRDefault="00BB189A" w:rsidP="00F653F8">
      <w:pPr>
        <w:pStyle w:val="Body"/>
        <w:spacing w:after="0" w:line="240" w:lineRule="auto"/>
        <w:jc w:val="both"/>
        <w:rPr>
          <w:rFonts w:asciiTheme="minorHAnsi" w:hAnsiTheme="minorHAnsi" w:cstheme="minorHAnsi"/>
          <w:lang w:val="en-US"/>
        </w:rPr>
      </w:pPr>
    </w:p>
    <w:p w:rsidR="00BB189A" w:rsidRPr="009B1C91" w:rsidRDefault="00BB189A"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All initiated projects have had the scope to include more marginalized groups of the population and could have contributed more to social justice and equity issues. There was a limited attempt at ‘agency-building’, but such opportunities were missed in general. In future programming, greater inclusion of marginalized populations (in terms of social class, gender, ethnicity, and religious minority) should be emphasized. In some project components, social justice issues and voices of the marginal, disadvantaged people were embodied; however, the nature of engagement was not very effective. </w:t>
      </w:r>
    </w:p>
    <w:p w:rsidR="00BB189A" w:rsidRPr="009B1C91" w:rsidRDefault="00BB189A" w:rsidP="00F653F8">
      <w:pPr>
        <w:pStyle w:val="Body"/>
        <w:spacing w:after="0" w:line="240" w:lineRule="auto"/>
        <w:jc w:val="both"/>
        <w:rPr>
          <w:rFonts w:asciiTheme="minorHAnsi" w:hAnsiTheme="minorHAnsi" w:cstheme="minorHAnsi"/>
          <w:lang w:val="en-US"/>
        </w:rPr>
      </w:pPr>
    </w:p>
    <w:p w:rsidR="00BB189A" w:rsidRPr="009B1C91" w:rsidRDefault="00BB189A"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Cross-level linkages of institutional capacity building initiatives are weak and these deficiencies hamper the effectiveness of resilience raising mechanisms. This might have affected the development of a sense of ownership by implementing agencies and/or appropriate government departments (e.g., access to low carbon energy thematic area by the Ministry of Industries; Ministry of Power, Energy and Mineral Resources). Some projects were found to not be very proactive in creating space for intersectional, interagency relationships, and enhancing synergic capacities. For example, CDMP II could contribute more to capacity enhancement in other ministries and government departments, NGOs and CBOs.  Ironically, CDMP II, on its own, could not implement the desired extent of activities within the project time period. The Evaluation Team observed that, consequently, variable rate of achievements with respect to intended results (outputs and/or outcomes by the initiated projects). Local level communities were not able to deliver in many cases, and therefore communities asked other NGOs directly to help them deliver. For UNDP it would have been more effective to include these NGOs directly, thus building sustained partnerships, trust and mutuality.</w:t>
      </w:r>
    </w:p>
    <w:p w:rsidR="00BB189A" w:rsidRPr="009B1C91" w:rsidRDefault="00BB189A" w:rsidP="00F653F8">
      <w:pPr>
        <w:pStyle w:val="Body"/>
        <w:spacing w:after="0" w:line="240" w:lineRule="auto"/>
        <w:jc w:val="both"/>
        <w:rPr>
          <w:rFonts w:asciiTheme="minorHAnsi" w:hAnsiTheme="minorHAnsi" w:cstheme="minorHAnsi"/>
          <w:b/>
          <w:bCs/>
          <w:lang w:val="en-US"/>
        </w:rPr>
      </w:pPr>
    </w:p>
    <w:p w:rsidR="00BB189A" w:rsidRPr="009B1C91" w:rsidRDefault="00BB189A"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Technology choices in the energy projects were questionable, though the results achieved were commendable because the discussion was shifted towards more modern technologies, such as tunnel kilns instead of HHK and LEDs instead of CFLs. The effectiveness of this project thus lay less in promoting a specific technology but in triggering a process of discussion about kiln technology and EE appliance standards. In this regard, the projects’ effects went beyond what was originally intended. </w:t>
      </w:r>
    </w:p>
    <w:p w:rsidR="00BB189A" w:rsidRPr="009B1C91" w:rsidRDefault="00BB189A" w:rsidP="00F653F8">
      <w:pPr>
        <w:autoSpaceDE w:val="0"/>
        <w:autoSpaceDN w:val="0"/>
        <w:adjustRightInd w:val="0"/>
        <w:spacing w:after="0" w:line="240" w:lineRule="auto"/>
        <w:jc w:val="both"/>
        <w:rPr>
          <w:rFonts w:asciiTheme="minorHAnsi" w:hAnsiTheme="minorHAnsi" w:cstheme="minorHAnsi"/>
          <w:b/>
        </w:rPr>
      </w:pPr>
    </w:p>
    <w:p w:rsidR="00BB189A" w:rsidRPr="009B1C91" w:rsidRDefault="00BB189A" w:rsidP="00F653F8">
      <w:pPr>
        <w:autoSpaceDE w:val="0"/>
        <w:autoSpaceDN w:val="0"/>
        <w:adjustRightInd w:val="0"/>
        <w:spacing w:after="0" w:line="240" w:lineRule="auto"/>
        <w:jc w:val="both"/>
        <w:rPr>
          <w:rFonts w:asciiTheme="minorHAnsi" w:hAnsiTheme="minorHAnsi" w:cstheme="minorHAnsi"/>
          <w:b/>
        </w:rPr>
      </w:pPr>
    </w:p>
    <w:p w:rsidR="00EF317C" w:rsidRPr="009B1C91" w:rsidRDefault="00EF317C" w:rsidP="00F653F8">
      <w:pPr>
        <w:autoSpaceDE w:val="0"/>
        <w:autoSpaceDN w:val="0"/>
        <w:adjustRightInd w:val="0"/>
        <w:spacing w:after="0" w:line="240" w:lineRule="auto"/>
        <w:jc w:val="both"/>
        <w:rPr>
          <w:rFonts w:asciiTheme="minorHAnsi" w:hAnsiTheme="minorHAnsi" w:cstheme="minorHAnsi"/>
          <w:b/>
        </w:rPr>
      </w:pPr>
      <w:r w:rsidRPr="009B1C91">
        <w:rPr>
          <w:rFonts w:asciiTheme="minorHAnsi" w:hAnsiTheme="minorHAnsi" w:cstheme="minorHAnsi"/>
          <w:b/>
        </w:rPr>
        <w:t xml:space="preserve">4.2.3 PROGRAMME DELIVERY </w:t>
      </w:r>
      <w:r w:rsidRPr="009B1C91">
        <w:rPr>
          <w:rFonts w:asciiTheme="minorHAnsi" w:hAnsiTheme="minorHAnsi" w:cstheme="minorHAnsi"/>
          <w:b/>
          <w:i/>
        </w:rPr>
        <w:t xml:space="preserve">EFFICIENCY </w:t>
      </w:r>
    </w:p>
    <w:p w:rsidR="00BF6060" w:rsidRPr="009B1C91" w:rsidRDefault="00BF6060" w:rsidP="00F653F8">
      <w:pPr>
        <w:autoSpaceDE w:val="0"/>
        <w:autoSpaceDN w:val="0"/>
        <w:adjustRightInd w:val="0"/>
        <w:spacing w:after="0" w:line="240" w:lineRule="auto"/>
        <w:jc w:val="both"/>
        <w:rPr>
          <w:rFonts w:asciiTheme="minorHAnsi" w:hAnsiTheme="minorHAnsi" w:cstheme="minorHAnsi"/>
          <w:b/>
        </w:rPr>
      </w:pPr>
    </w:p>
    <w:p w:rsidR="00BB189A" w:rsidRPr="009B1C91" w:rsidRDefault="00BF6060"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As noted earlier, the analysis of VfM was carried out for 4 selected project components, and methodology, and fin</w:t>
      </w:r>
      <w:r w:rsidR="00837842">
        <w:rPr>
          <w:rFonts w:asciiTheme="minorHAnsi" w:hAnsiTheme="minorHAnsi" w:cstheme="minorHAnsi"/>
          <w:lang w:val="en-US"/>
        </w:rPr>
        <w:t>dings are presented in Annex XIII</w:t>
      </w:r>
      <w:r w:rsidRPr="009B1C91">
        <w:rPr>
          <w:rFonts w:asciiTheme="minorHAnsi" w:hAnsiTheme="minorHAnsi" w:cstheme="minorHAnsi"/>
          <w:lang w:val="en-US"/>
        </w:rPr>
        <w:t>.</w:t>
      </w:r>
    </w:p>
    <w:p w:rsidR="00BF6060" w:rsidRPr="009B1C91" w:rsidRDefault="00BF6060" w:rsidP="00F653F8">
      <w:pPr>
        <w:pStyle w:val="Body"/>
        <w:spacing w:after="0" w:line="240" w:lineRule="auto"/>
        <w:jc w:val="both"/>
        <w:rPr>
          <w:rFonts w:asciiTheme="minorHAnsi" w:hAnsiTheme="minorHAnsi" w:cstheme="minorHAnsi"/>
          <w:lang w:val="en-US"/>
        </w:rPr>
      </w:pPr>
    </w:p>
    <w:p w:rsidR="00BB189A" w:rsidRPr="009B1C91" w:rsidRDefault="00BB189A" w:rsidP="00F653F8">
      <w:pPr>
        <w:pStyle w:val="Body"/>
        <w:spacing w:after="0" w:line="240" w:lineRule="auto"/>
        <w:jc w:val="both"/>
        <w:rPr>
          <w:rFonts w:asciiTheme="minorHAnsi" w:hAnsiTheme="minorHAnsi" w:cstheme="minorHAnsi"/>
          <w:b/>
          <w:bCs/>
          <w:lang w:val="en-US"/>
        </w:rPr>
      </w:pPr>
      <w:r w:rsidRPr="009B1C91">
        <w:rPr>
          <w:rFonts w:asciiTheme="minorHAnsi" w:hAnsiTheme="minorHAnsi" w:cstheme="minorHAnsi"/>
          <w:i/>
          <w:iCs/>
          <w:lang w:val="en-US"/>
        </w:rPr>
        <w:t>Comprehensive Disaster Management Programme (CDMP-II)</w:t>
      </w:r>
      <w:r w:rsidRPr="009B1C91">
        <w:rPr>
          <w:rFonts w:asciiTheme="minorHAnsi" w:hAnsiTheme="minorHAnsi" w:cstheme="minorHAnsi"/>
          <w:lang w:val="en-US"/>
        </w:rPr>
        <w:t xml:space="preserve">: As efficiency </w:t>
      </w:r>
      <w:r w:rsidRPr="009B1C91">
        <w:rPr>
          <w:rFonts w:asciiTheme="minorHAnsi" w:hAnsiTheme="minorHAnsi" w:cstheme="minorHAnsi"/>
        </w:rPr>
        <w:t xml:space="preserve">how </w:t>
      </w:r>
      <w:r w:rsidRPr="009B1C91">
        <w:rPr>
          <w:rFonts w:asciiTheme="minorHAnsi" w:hAnsiTheme="minorHAnsi" w:cstheme="minorHAnsi"/>
          <w:lang w:val="nl-NL"/>
        </w:rPr>
        <w:t xml:space="preserve">good </w:t>
      </w:r>
      <w:r w:rsidRPr="009B1C91">
        <w:rPr>
          <w:rFonts w:asciiTheme="minorHAnsi" w:hAnsiTheme="minorHAnsi" w:cstheme="minorHAnsi"/>
          <w:lang w:val="en-US"/>
        </w:rPr>
        <w:t>economically resources or inputs (e.g., funds, expertise and time) are converted to results</w:t>
      </w:r>
      <w:r w:rsidR="00D06088" w:rsidRPr="009B1C91">
        <w:rPr>
          <w:rStyle w:val="FootnoteReference"/>
          <w:rFonts w:asciiTheme="minorHAnsi" w:hAnsiTheme="minorHAnsi" w:cstheme="minorHAnsi"/>
          <w:lang w:val="en-US"/>
        </w:rPr>
        <w:footnoteReference w:id="59"/>
      </w:r>
      <w:r w:rsidRPr="009B1C91">
        <w:rPr>
          <w:rFonts w:asciiTheme="minorHAnsi" w:hAnsiTheme="minorHAnsi" w:cstheme="minorHAnsi"/>
          <w:lang w:val="en-US"/>
        </w:rPr>
        <w:t>, the focus of evaluation team is on assessing the extent to which resources have been used efficiently in terms of finance, human resources, and time investment until the time of evaluation (i.e., 2014)</w:t>
      </w:r>
      <w:r w:rsidRPr="009B1C91">
        <w:rPr>
          <w:rFonts w:asciiTheme="minorHAnsi" w:hAnsiTheme="minorHAnsi" w:cstheme="minorHAnsi"/>
        </w:rPr>
        <w:t xml:space="preserve">. </w:t>
      </w:r>
      <w:r w:rsidRPr="009B1C91">
        <w:rPr>
          <w:rFonts w:asciiTheme="minorHAnsi" w:hAnsiTheme="minorHAnsi" w:cstheme="minorHAnsi"/>
          <w:lang w:val="en-US"/>
        </w:rPr>
        <w:t>As of mid-2014 (in the 5</w:t>
      </w:r>
      <w:r w:rsidRPr="009B1C91">
        <w:rPr>
          <w:rFonts w:asciiTheme="minorHAnsi" w:hAnsiTheme="minorHAnsi" w:cstheme="minorHAnsi"/>
          <w:vertAlign w:val="superscript"/>
          <w:lang w:val="en-US"/>
        </w:rPr>
        <w:t>th</w:t>
      </w:r>
      <w:r w:rsidRPr="009B1C91">
        <w:rPr>
          <w:rFonts w:asciiTheme="minorHAnsi" w:hAnsiTheme="minorHAnsi" w:cstheme="minorHAnsi"/>
          <w:lang w:val="en-US"/>
        </w:rPr>
        <w:t xml:space="preserve"> year), total budget utilization of CDMP II was low, both on a total and yearly basis</w:t>
      </w:r>
      <w:r w:rsidRPr="009B1C91">
        <w:rPr>
          <w:rFonts w:asciiTheme="minorHAnsi" w:hAnsiTheme="minorHAnsi" w:cstheme="minorHAnsi"/>
        </w:rPr>
        <w:t xml:space="preserve"> – see </w:t>
      </w:r>
      <w:r w:rsidRPr="009B1C91">
        <w:rPr>
          <w:rFonts w:asciiTheme="minorHAnsi" w:hAnsiTheme="minorHAnsi" w:cstheme="minorHAnsi"/>
          <w:color w:val="auto"/>
          <w:u w:color="FF0000"/>
          <w:lang w:val="en-US"/>
        </w:rPr>
        <w:t>Table 4.2.3.1)</w:t>
      </w:r>
      <w:r w:rsidR="00A109A2">
        <w:rPr>
          <w:rFonts w:asciiTheme="minorHAnsi" w:hAnsiTheme="minorHAnsi" w:cstheme="minorHAnsi"/>
          <w:color w:val="auto"/>
          <w:u w:color="FF0000"/>
          <w:lang w:val="en-US"/>
        </w:rPr>
        <w:t xml:space="preserve"> </w:t>
      </w:r>
      <w:r w:rsidRPr="009B1C91">
        <w:rPr>
          <w:rFonts w:asciiTheme="minorHAnsi" w:hAnsiTheme="minorHAnsi" w:cstheme="minorHAnsi"/>
          <w:lang w:val="en-US"/>
        </w:rPr>
        <w:t xml:space="preserve">and </w:t>
      </w:r>
      <w:r w:rsidRPr="009B1C91">
        <w:rPr>
          <w:rFonts w:asciiTheme="minorHAnsi" w:hAnsiTheme="minorHAnsi" w:cstheme="minorHAnsi"/>
        </w:rPr>
        <w:t>‘</w:t>
      </w:r>
      <w:r w:rsidRPr="009B1C91">
        <w:rPr>
          <w:rFonts w:asciiTheme="minorHAnsi" w:hAnsiTheme="minorHAnsi" w:cstheme="minorHAnsi"/>
          <w:lang w:val="en-US"/>
        </w:rPr>
        <w:t>marginally unsatisfactory</w:t>
      </w:r>
      <w:r w:rsidRPr="009B1C91">
        <w:rPr>
          <w:rFonts w:asciiTheme="minorHAnsi" w:hAnsiTheme="minorHAnsi" w:cstheme="minorHAnsi"/>
          <w:lang w:val="fr-FR"/>
        </w:rPr>
        <w:t xml:space="preserve">’ </w:t>
      </w:r>
      <w:r w:rsidRPr="009B1C91">
        <w:rPr>
          <w:rFonts w:asciiTheme="minorHAnsi" w:hAnsiTheme="minorHAnsi" w:cstheme="minorHAnsi"/>
        </w:rPr>
        <w:t xml:space="preserve">in </w:t>
      </w:r>
      <w:r w:rsidRPr="009B1C91">
        <w:rPr>
          <w:rFonts w:asciiTheme="minorHAnsi" w:hAnsiTheme="minorHAnsi" w:cstheme="minorHAnsi"/>
          <w:lang w:val="en-US"/>
        </w:rPr>
        <w:t xml:space="preserve">its terminal year. </w:t>
      </w:r>
    </w:p>
    <w:p w:rsidR="00BB189A" w:rsidRPr="009B1C91" w:rsidRDefault="00BB189A" w:rsidP="00F653F8">
      <w:pPr>
        <w:pStyle w:val="Default"/>
        <w:jc w:val="both"/>
        <w:rPr>
          <w:rFonts w:asciiTheme="minorHAnsi" w:eastAsia="Calibri" w:hAnsiTheme="minorHAnsi" w:cstheme="minorHAnsi"/>
          <w:sz w:val="22"/>
          <w:szCs w:val="22"/>
        </w:rPr>
      </w:pPr>
    </w:p>
    <w:p w:rsidR="00BB189A" w:rsidRPr="009B1C91" w:rsidRDefault="00B652A0" w:rsidP="00F653F8">
      <w:pPr>
        <w:pStyle w:val="Body"/>
        <w:spacing w:after="0" w:line="240" w:lineRule="auto"/>
        <w:jc w:val="both"/>
        <w:rPr>
          <w:rFonts w:asciiTheme="minorHAnsi" w:hAnsiTheme="minorHAnsi" w:cstheme="minorHAnsi"/>
          <w:b/>
          <w:bCs/>
          <w:lang w:val="en-US"/>
        </w:rPr>
      </w:pPr>
      <w:r>
        <w:rPr>
          <w:rFonts w:asciiTheme="minorHAnsi" w:hAnsiTheme="minorHAnsi" w:cstheme="minorHAnsi"/>
          <w:noProof/>
          <w:lang w:val="en-US" w:eastAsia="en-US"/>
        </w:rPr>
        <mc:AlternateContent>
          <mc:Choice Requires="wpg">
            <w:drawing>
              <wp:anchor distT="152400" distB="152400" distL="152400" distR="152400" simplePos="0" relativeHeight="251655168" behindDoc="0" locked="0" layoutInCell="1" allowOverlap="1" wp14:anchorId="59966387" wp14:editId="79751C37">
                <wp:simplePos x="0" y="0"/>
                <wp:positionH relativeFrom="page">
                  <wp:posOffset>904875</wp:posOffset>
                </wp:positionH>
                <wp:positionV relativeFrom="page">
                  <wp:posOffset>523240</wp:posOffset>
                </wp:positionV>
                <wp:extent cx="5934075" cy="6591935"/>
                <wp:effectExtent l="0" t="0" r="28575" b="18415"/>
                <wp:wrapTopAndBottom/>
                <wp:docPr id="1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6591935"/>
                          <a:chOff x="0" y="0"/>
                          <a:chExt cx="6309361" cy="6841491"/>
                        </a:xfrm>
                      </wpg:grpSpPr>
                      <wps:wsp>
                        <wps:cNvPr id="20" name="AutoShape 2"/>
                        <wps:cNvSpPr>
                          <a:spLocks/>
                        </wps:cNvSpPr>
                        <wps:spPr bwMode="auto">
                          <a:xfrm flipH="1">
                            <a:off x="0" y="0"/>
                            <a:ext cx="6309361" cy="6841491"/>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599"/>
                                </a:lnTo>
                                <a:lnTo>
                                  <a:pt x="0" y="21599"/>
                                </a:lnTo>
                                <a:close/>
                              </a:path>
                            </a:pathLst>
                          </a:custGeom>
                          <a:solidFill>
                            <a:srgbClr val="EBF1DE"/>
                          </a:solidFill>
                          <a:ln w="19050">
                            <a:solidFill>
                              <a:srgbClr val="000000"/>
                            </a:solidFill>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AutoShape 3"/>
                        <wps:cNvSpPr>
                          <a:spLocks/>
                        </wps:cNvSpPr>
                        <wps:spPr bwMode="auto">
                          <a:xfrm>
                            <a:off x="0" y="0"/>
                            <a:ext cx="6309361" cy="6841491"/>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599"/>
                                </a:lnTo>
                                <a:lnTo>
                                  <a:pt x="0" y="21599"/>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EA3B8B" w:rsidRPr="00FD03D6" w:rsidRDefault="00EA3B8B" w:rsidP="00663037">
                              <w:pPr>
                                <w:pStyle w:val="Body"/>
                                <w:spacing w:after="0" w:line="240" w:lineRule="auto"/>
                                <w:jc w:val="center"/>
                                <w:rPr>
                                  <w:b/>
                                  <w:bCs/>
                                  <w:i/>
                                  <w:iCs/>
                                  <w:sz w:val="18"/>
                                  <w:szCs w:val="18"/>
                                  <w:lang w:val="fr-FR"/>
                                </w:rPr>
                              </w:pPr>
                              <w:r w:rsidRPr="00FD03D6">
                                <w:rPr>
                                  <w:b/>
                                  <w:bCs/>
                                  <w:i/>
                                  <w:iCs/>
                                  <w:sz w:val="18"/>
                                  <w:szCs w:val="18"/>
                                  <w:lang w:val="fr-FR"/>
                                </w:rPr>
                                <w:t>Box 4.1 : CoreFamilyShelter for Building Resilient Habitat (CDMP-II)</w:t>
                              </w:r>
                            </w:p>
                            <w:p w:rsidR="00EA3B8B" w:rsidRPr="00843749" w:rsidRDefault="00EA3B8B" w:rsidP="00663037">
                              <w:pPr>
                                <w:pStyle w:val="Body"/>
                                <w:spacing w:after="0" w:line="240" w:lineRule="auto"/>
                                <w:jc w:val="center"/>
                                <w:rPr>
                                  <w:b/>
                                  <w:bCs/>
                                  <w:i/>
                                  <w:iCs/>
                                  <w:sz w:val="10"/>
                                  <w:szCs w:val="18"/>
                                </w:rPr>
                              </w:pPr>
                            </w:p>
                            <w:p w:rsidR="00EA3B8B" w:rsidRPr="00120CC7" w:rsidRDefault="00EA3B8B" w:rsidP="00A27897">
                              <w:pPr>
                                <w:spacing w:after="0" w:line="240" w:lineRule="auto"/>
                                <w:jc w:val="both"/>
                                <w:rPr>
                                  <w:rFonts w:cs="Calibri"/>
                                  <w:i/>
                                  <w:iCs/>
                                  <w:sz w:val="18"/>
                                  <w:szCs w:val="18"/>
                                </w:rPr>
                              </w:pPr>
                              <w:r w:rsidRPr="00120CC7">
                                <w:rPr>
                                  <w:rFonts w:cs="Calibri"/>
                                  <w:i/>
                                  <w:iCs/>
                                  <w:sz w:val="18"/>
                                  <w:szCs w:val="18"/>
                                </w:rPr>
                                <w:t>“Now I am in [a] much better condition. For example here I got [a] house to live, [a] yard to grow vegetables, [a] source of clean drinking water. Previously I had to travel a long distance to collect drinking water from other people</w:t>
                              </w:r>
                              <w:r w:rsidRPr="00120CC7">
                                <w:rPr>
                                  <w:rFonts w:cs="Calibri"/>
                                  <w:i/>
                                  <w:iCs/>
                                  <w:sz w:val="18"/>
                                  <w:szCs w:val="18"/>
                                  <w:lang w:val="fr-FR"/>
                                </w:rPr>
                                <w:t>’</w:t>
                              </w:r>
                              <w:r w:rsidRPr="00120CC7">
                                <w:rPr>
                                  <w:rFonts w:cs="Calibri"/>
                                  <w:i/>
                                  <w:iCs/>
                                  <w:sz w:val="18"/>
                                  <w:szCs w:val="18"/>
                                </w:rPr>
                                <w:t xml:space="preserve">s pond[s] and tube well[s]. They sometimes rebuked us, saying that we disturb them always, and sometimes they threw our water pot away. But we had no other option but to bring water from their ponds or tube well[s]. Now, we do not have those sorts of problem[s] with drinking water. I clean the water tank every year with cleaning powder. First we wash it with powder, then wash out all dirts with rain water and after cleaning we store [the] rain water. We learned those [skills] from training…we are very confident with the house [we] now live in. We grow vegetables at our yard, we sell them in [the] market, which is good enough for my family.Yet we [also] go for work for our better future…” - </w:t>
                              </w:r>
                              <w:r w:rsidRPr="00120CC7">
                                <w:rPr>
                                  <w:rFonts w:cs="Calibri"/>
                                  <w:sz w:val="18"/>
                                  <w:szCs w:val="18"/>
                                </w:rPr>
                                <w:t>Rashida Begum (30), Baine Para Resilient Habitat, Suterkhali Union, DacopeUpazilla, Khulna</w:t>
                              </w:r>
                            </w:p>
                            <w:p w:rsidR="00EA3B8B" w:rsidRPr="00120CC7" w:rsidRDefault="00EA3B8B" w:rsidP="00A27897">
                              <w:pPr>
                                <w:spacing w:after="0" w:line="240" w:lineRule="auto"/>
                                <w:jc w:val="both"/>
                                <w:rPr>
                                  <w:rFonts w:cs="Calibri"/>
                                  <w:color w:val="231F20"/>
                                  <w:sz w:val="18"/>
                                  <w:szCs w:val="18"/>
                                  <w:u w:color="231F20"/>
                                </w:rPr>
                              </w:pPr>
                            </w:p>
                            <w:p w:rsidR="00EA3B8B" w:rsidRPr="00120CC7" w:rsidRDefault="00EA3B8B" w:rsidP="00A27897">
                              <w:pPr>
                                <w:spacing w:after="0" w:line="240" w:lineRule="auto"/>
                                <w:jc w:val="both"/>
                                <w:rPr>
                                  <w:rFonts w:cs="Calibri"/>
                                  <w:i/>
                                  <w:iCs/>
                                  <w:sz w:val="18"/>
                                  <w:szCs w:val="18"/>
                                </w:rPr>
                              </w:pPr>
                              <w:r w:rsidRPr="00120CC7">
                                <w:rPr>
                                  <w:rFonts w:cs="Calibri"/>
                                  <w:i/>
                                  <w:iCs/>
                                  <w:sz w:val="18"/>
                                  <w:szCs w:val="18"/>
                                </w:rPr>
                                <w:t>“During Cyclone Mohasen we did not go to [the] cyclone shelter; rather, other people took shelter at our home. I got training on what to do during [a] cyclone and if [a] warning goes on. I can get news on cyclones via [my] mobile and listen [to] weather news. I learned all these from training. Now I can go outside for work without worrying about my family members, as I have a good house and caring neighbours. Now, I am better than ever before…”</w:t>
                              </w:r>
                              <w:r w:rsidRPr="00120CC7">
                                <w:rPr>
                                  <w:rFonts w:cs="Calibri"/>
                                  <w:i/>
                                  <w:iCs/>
                                  <w:sz w:val="18"/>
                                  <w:szCs w:val="18"/>
                                  <w:lang w:val="it-IT"/>
                                </w:rPr>
                                <w:t>__Wajib Ali (55), Bain Para Resilient Habitat, Suterkhali Union, Dacope Upazila, Khulna.</w:t>
                              </w:r>
                            </w:p>
                            <w:p w:rsidR="00EA3B8B" w:rsidRPr="00120CC7" w:rsidRDefault="00EA3B8B" w:rsidP="00A27897">
                              <w:pPr>
                                <w:spacing w:after="0" w:line="240" w:lineRule="auto"/>
                                <w:jc w:val="both"/>
                                <w:rPr>
                                  <w:rFonts w:cs="Calibri"/>
                                  <w:color w:val="231F20"/>
                                  <w:sz w:val="18"/>
                                  <w:szCs w:val="18"/>
                                  <w:u w:color="231F20"/>
                                </w:rPr>
                              </w:pPr>
                            </w:p>
                            <w:p w:rsidR="00EA3B8B" w:rsidRPr="00120CC7" w:rsidRDefault="00EA3B8B" w:rsidP="00A27897">
                              <w:pPr>
                                <w:spacing w:after="0" w:line="240" w:lineRule="auto"/>
                                <w:jc w:val="both"/>
                                <w:rPr>
                                  <w:rFonts w:cs="Calibri"/>
                                  <w:color w:val="231F20"/>
                                  <w:sz w:val="18"/>
                                  <w:szCs w:val="18"/>
                                  <w:u w:color="231F20"/>
                                </w:rPr>
                              </w:pPr>
                              <w:r w:rsidRPr="00120CC7">
                                <w:rPr>
                                  <w:rFonts w:cs="Calibri"/>
                                  <w:color w:val="231F20"/>
                                  <w:sz w:val="18"/>
                                  <w:szCs w:val="18"/>
                                  <w:u w:color="231F20"/>
                                </w:rPr>
                                <w:t>These are the words of two beneficiaries of the Core Family Shelter (Resilient Habitat) programme, which has adopted a community-managed disaster mitigation approach with comprehensive risk reduction and adaptation interventions that reduced vulnerability and provided more secure and dignified living for the coastal poor. This cost-effective and alternative approach strives towards sustainable solutions. The programme engages technology, physical and social infrastructure, local knowledge and social capital to complement available resources and promote DRR and CCA resilience through better living. In the event of major disasters, the at-risk communities thus avert mass displacement, destruction of assets, and expensive rehabilitation or reconstruction. Core Family Shelters help fortify and uplift the living conditions of a larger number of vulnerable communities.</w:t>
                              </w:r>
                            </w:p>
                            <w:p w:rsidR="00EA3B8B" w:rsidRPr="00120CC7" w:rsidRDefault="00EA3B8B" w:rsidP="00A27897">
                              <w:pPr>
                                <w:pStyle w:val="Default"/>
                                <w:jc w:val="both"/>
                                <w:rPr>
                                  <w:rFonts w:ascii="Calibri" w:eastAsia="Calibri" w:hAnsi="Calibri" w:cs="Calibri"/>
                                  <w:sz w:val="18"/>
                                  <w:szCs w:val="18"/>
                                </w:rPr>
                              </w:pPr>
                            </w:p>
                            <w:p w:rsidR="00EA3B8B" w:rsidRPr="00120CC7" w:rsidRDefault="00EA3B8B" w:rsidP="00A27897">
                              <w:pPr>
                                <w:spacing w:after="0" w:line="240" w:lineRule="auto"/>
                                <w:jc w:val="both"/>
                                <w:rPr>
                                  <w:rFonts w:cs="Calibri"/>
                                  <w:color w:val="231F20"/>
                                  <w:sz w:val="18"/>
                                  <w:szCs w:val="18"/>
                                  <w:u w:color="231F20"/>
                                </w:rPr>
                              </w:pPr>
                              <w:r w:rsidRPr="00120CC7">
                                <w:rPr>
                                  <w:rFonts w:cs="Calibri"/>
                                  <w:sz w:val="18"/>
                                  <w:szCs w:val="18"/>
                                </w:rPr>
                                <w:t xml:space="preserve">The </w:t>
                              </w:r>
                              <w:r w:rsidRPr="00120CC7">
                                <w:rPr>
                                  <w:rFonts w:cs="Calibri"/>
                                  <w:color w:val="231F20"/>
                                  <w:sz w:val="18"/>
                                  <w:szCs w:val="18"/>
                                  <w:u w:color="231F20"/>
                                  <w:lang w:val="de-DE"/>
                                </w:rPr>
                                <w:t>Comprehensive Disaster Management Programme (CDMP II) (2010-2014, US $</w:t>
                              </w:r>
                              <w:r w:rsidRPr="00120CC7">
                                <w:rPr>
                                  <w:rFonts w:cs="Calibri"/>
                                  <w:sz w:val="18"/>
                                  <w:szCs w:val="18"/>
                                  <w:lang w:val="de-DE"/>
                                </w:rPr>
                                <w:t>75.24 Million</w:t>
                              </w:r>
                              <w:r w:rsidRPr="00120CC7">
                                <w:rPr>
                                  <w:rFonts w:cs="Calibri"/>
                                  <w:color w:val="231F20"/>
                                  <w:sz w:val="18"/>
                                  <w:szCs w:val="18"/>
                                  <w:u w:color="231F20"/>
                                </w:rPr>
                                <w:t>) is piloting "Climate Resilient Habitat" development by building Core Family Shelters in Bain</w:t>
                              </w:r>
                              <w:r>
                                <w:rPr>
                                  <w:rFonts w:cs="Calibri"/>
                                  <w:color w:val="231F20"/>
                                  <w:sz w:val="18"/>
                                  <w:szCs w:val="18"/>
                                  <w:u w:color="231F20"/>
                                </w:rPr>
                                <w:t>e</w:t>
                              </w:r>
                              <w:r w:rsidRPr="00120CC7">
                                <w:rPr>
                                  <w:rFonts w:cs="Calibri"/>
                                  <w:color w:val="231F20"/>
                                  <w:sz w:val="18"/>
                                  <w:szCs w:val="18"/>
                                  <w:u w:color="231F20"/>
                                </w:rPr>
                                <w:t>para and Gazipara, two cyclone-affected villages of Sutarkhali Union under DacopeUpazila in Khulna District. L</w:t>
                              </w:r>
                              <w:r w:rsidRPr="00120CC7">
                                <w:rPr>
                                  <w:rFonts w:cs="Calibri"/>
                                  <w:color w:val="231F20"/>
                                  <w:sz w:val="18"/>
                                  <w:szCs w:val="18"/>
                                  <w:u w:color="231F20"/>
                                  <w:lang w:val="it-IT"/>
                                </w:rPr>
                                <w:t>essons</w:t>
                              </w:r>
                              <w:r w:rsidRPr="00120CC7">
                                <w:rPr>
                                  <w:rFonts w:cs="Calibri"/>
                                  <w:color w:val="231F20"/>
                                  <w:sz w:val="18"/>
                                  <w:szCs w:val="18"/>
                                  <w:u w:color="231F20"/>
                                </w:rPr>
                                <w:t xml:space="preserve"> learned from this pilot intervention will help build communities in southwestern Bangladesh that can withstand reoccurring disasters, fight back climate change impacts and achieve sustainable growth. Much of the community consists of internally displaced people and assetless coastal poor without livelihood options due to reoccurring disasters and climate change.</w:t>
                              </w:r>
                            </w:p>
                            <w:p w:rsidR="00EA3B8B" w:rsidRPr="00120CC7" w:rsidRDefault="00EA3B8B" w:rsidP="00A27897">
                              <w:pPr>
                                <w:spacing w:after="0" w:line="240" w:lineRule="auto"/>
                                <w:rPr>
                                  <w:rFonts w:cs="Calibri"/>
                                  <w:color w:val="4F81BD"/>
                                  <w:sz w:val="18"/>
                                  <w:szCs w:val="18"/>
                                  <w:u w:color="4F81BD"/>
                                </w:rPr>
                              </w:pPr>
                            </w:p>
                            <w:p w:rsidR="00EA3B8B" w:rsidRPr="00120CC7" w:rsidRDefault="00EA3B8B" w:rsidP="00A27897">
                              <w:pPr>
                                <w:spacing w:after="0" w:line="240" w:lineRule="auto"/>
                                <w:jc w:val="both"/>
                                <w:rPr>
                                  <w:rFonts w:cs="Calibri"/>
                                  <w:sz w:val="18"/>
                                  <w:szCs w:val="18"/>
                                </w:rPr>
                              </w:pPr>
                              <w:r w:rsidRPr="00120CC7">
                                <w:rPr>
                                  <w:rFonts w:cs="Calibri"/>
                                  <w:color w:val="231F20"/>
                                  <w:sz w:val="18"/>
                                  <w:szCs w:val="18"/>
                                  <w:u w:color="231F20"/>
                                </w:rPr>
                                <w:t>Core Family Shelters, as a component of CDMP II, were cyclone and salinity-resistant houses designed to withstand the worst recorded tidal surges from the last 100 years and 215 kph wind gusts. Plinths of community structures and core shelter households were raised above normal flood level to protect lives and assets. Alternative and diversified livelihood options were also integrated to ensure climate resilience. There is a common grazing field in each settlement, as livestock raising is one of the main livelihood options for the coastal poor. Also built were medium and small-</w:t>
                              </w:r>
                              <w:r w:rsidRPr="00120CC7">
                                <w:rPr>
                                  <w:rFonts w:cs="Calibri"/>
                                  <w:color w:val="231F20"/>
                                  <w:sz w:val="18"/>
                                  <w:szCs w:val="18"/>
                                  <w:u w:color="231F20"/>
                                  <w:lang w:val="it-IT"/>
                                </w:rPr>
                                <w:t>size</w:t>
                              </w:r>
                              <w:r w:rsidRPr="00120CC7">
                                <w:rPr>
                                  <w:rFonts w:cs="Calibri"/>
                                  <w:color w:val="231F20"/>
                                  <w:sz w:val="18"/>
                                  <w:szCs w:val="18"/>
                                  <w:u w:color="231F20"/>
                                </w:rPr>
                                <w:t>d</w:t>
                              </w:r>
                              <w:r w:rsidRPr="00120CC7">
                                <w:rPr>
                                  <w:rFonts w:cs="Calibri"/>
                                  <w:color w:val="231F20"/>
                                  <w:sz w:val="18"/>
                                  <w:szCs w:val="18"/>
                                  <w:u w:color="231F20"/>
                                  <w:lang w:val="it-IT"/>
                                </w:rPr>
                                <w:t xml:space="preserve"> dairy farm</w:t>
                              </w:r>
                              <w:r w:rsidRPr="00120CC7">
                                <w:rPr>
                                  <w:rFonts w:cs="Calibri"/>
                                  <w:color w:val="231F20"/>
                                  <w:sz w:val="18"/>
                                  <w:szCs w:val="18"/>
                                  <w:u w:color="231F20"/>
                                </w:rPr>
                                <w:t>s, ponds for aquaculture, backyard farms, and communal</w:t>
                              </w:r>
                              <w:r w:rsidRPr="00120CC7">
                                <w:rPr>
                                  <w:rFonts w:cs="Calibri"/>
                                  <w:color w:val="231F20"/>
                                  <w:sz w:val="18"/>
                                  <w:szCs w:val="18"/>
                                  <w:u w:color="231F20"/>
                                  <w:lang w:val="fr-FR"/>
                                </w:rPr>
                                <w:t xml:space="preserve"> production center</w:t>
                              </w:r>
                              <w:r w:rsidRPr="00120CC7">
                                <w:rPr>
                                  <w:rFonts w:cs="Calibri"/>
                                  <w:color w:val="231F20"/>
                                  <w:sz w:val="18"/>
                                  <w:szCs w:val="18"/>
                                  <w:u w:color="231F20"/>
                                </w:rPr>
                                <w:t>s</w:t>
                              </w:r>
                              <w:r w:rsidRPr="00120CC7">
                                <w:rPr>
                                  <w:rFonts w:cs="Calibri"/>
                                  <w:color w:val="231F20"/>
                                  <w:sz w:val="18"/>
                                  <w:szCs w:val="18"/>
                                  <w:u w:color="231F20"/>
                                  <w:lang w:val="da-DK"/>
                                </w:rPr>
                                <w:t xml:space="preserve"> for hand</w:t>
                              </w:r>
                              <w:r w:rsidRPr="00120CC7">
                                <w:rPr>
                                  <w:rFonts w:cs="Calibri"/>
                                  <w:color w:val="231F20"/>
                                  <w:sz w:val="18"/>
                                  <w:szCs w:val="18"/>
                                  <w:u w:color="231F20"/>
                                </w:rPr>
                                <w:t>-</w:t>
                              </w:r>
                              <w:r w:rsidRPr="00120CC7">
                                <w:rPr>
                                  <w:rFonts w:cs="Calibri"/>
                                  <w:color w:val="231F20"/>
                                  <w:sz w:val="18"/>
                                  <w:szCs w:val="18"/>
                                  <w:u w:color="231F20"/>
                                  <w:lang w:val="nl-NL"/>
                                </w:rPr>
                                <w:t>loom</w:t>
                              </w:r>
                              <w:r w:rsidRPr="00120CC7">
                                <w:rPr>
                                  <w:rFonts w:cs="Calibri"/>
                                  <w:color w:val="231F20"/>
                                  <w:sz w:val="18"/>
                                  <w:szCs w:val="18"/>
                                  <w:u w:color="231F20"/>
                                </w:rPr>
                                <w:t xml:space="preserve">ing, tailoring, handicrafts, baking, and gardening. Theses climate resilient habitats promoted the development of small-scale renewable energy sources such as solar panels and bio-gas plants to meet household energy needs. Besides developing ground water sources, the habitat piloted innovative ways of ensuring access to safe water including rain water harvesting tanks and solar power desalination panels.  Special attention was given to the protection of the most marginalized and vulnerable groups. As a result of these CDMP II activities, the estimated </w:t>
                              </w:r>
                              <w:r w:rsidRPr="00120CC7">
                                <w:rPr>
                                  <w:rFonts w:cs="Calibri"/>
                                  <w:b/>
                                  <w:bCs/>
                                  <w:sz w:val="18"/>
                                  <w:szCs w:val="18"/>
                                </w:rPr>
                                <w:t xml:space="preserve">Value for </w:t>
                              </w:r>
                              <w:r>
                                <w:rPr>
                                  <w:rFonts w:cs="Calibri"/>
                                  <w:b/>
                                  <w:bCs/>
                                  <w:sz w:val="18"/>
                                  <w:szCs w:val="18"/>
                                </w:rPr>
                                <w:t>Money is: Net Present Value (NPV</w:t>
                              </w:r>
                              <w:r w:rsidRPr="00120CC7">
                                <w:rPr>
                                  <w:rFonts w:cs="Calibri"/>
                                  <w:b/>
                                  <w:bCs/>
                                  <w:sz w:val="18"/>
                                  <w:szCs w:val="18"/>
                                </w:rPr>
                                <w:t>) is Tk. 1183,000, the Benefit Cost Ratio (BCR) is 2.76:1, and Internal Rate of Return (IRR) is 20.30%.</w:t>
                              </w:r>
                            </w:p>
                            <w:p w:rsidR="00EA3B8B" w:rsidRDefault="00EA3B8B" w:rsidP="00BB189A">
                              <w:pPr>
                                <w:pStyle w:val="Body"/>
                                <w:spacing w:after="0" w:line="240" w:lineRule="auto"/>
                                <w:jc w:val="both"/>
                                <w:rPr>
                                  <w:rFonts w:ascii="Times New Roman" w:eastAsia="Arial Unicode MS" w:hAnsi="Times New Roman" w:cs="Times New Roman"/>
                                  <w:color w:val="auto"/>
                                  <w:sz w:val="20"/>
                                  <w:szCs w:val="20"/>
                                </w:rPr>
                              </w:pPr>
                            </w:p>
                          </w:txbxContent>
                        </wps:txbx>
                        <wps:bodyPr rot="0" vert="horz" wrap="square" lIns="91439" tIns="91439" rIns="91439" bIns="91439"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66387" id="Group 1" o:spid="_x0000_s1080" style="position:absolute;left:0;text-align:left;margin-left:71.25pt;margin-top:41.2pt;width:467.25pt;height:519.05pt;z-index:251655168;mso-wrap-distance-left:12pt;mso-wrap-distance-top:12pt;mso-wrap-distance-right:12pt;mso-wrap-distance-bottom:12pt;mso-position-horizontal-relative:page;mso-position-vertical-relative:page" coordsize="63093,6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ZFM2gQAAAUSAAAOAAAAZHJzL2Uyb0RvYy54bWzsWElv6zYQvhfofyB0LKBYuywjzkO8pQXS&#10;9gFJ0TOtxRIqiSpJx06L/vcOh5Iib29LUPQQH2RSHA1nvhnON9L1h31VkqeUi4LVU8O+sgyS1jFL&#10;inozNX57XJljgwhJ64SWrE6nxnMqjA833393vWsmqcNyViYpJ6CkFpNdMzVyKZvJaCTiPK2ouGJN&#10;WsNixnhFJUz5ZpRwugPtVTlyLCsY7RhPGs7iVAi4u9CLxg3qz7I0lr9mmUglKacG2CbxyvG6VtfR&#10;zTWdbDht8iJuzaDfYEVFixo27VUtqKRky4sTVVURcyZYJq9iVo1YlhVxij6AN7Z15M0dZ9sGfdlM&#10;dpumhwmgPcLpm9XGvzx95KRIIHaRQWpaQYxwW2IrbHbNZgIid7x5aD5y7SAM71n8h4Dl0fG6mm+0&#10;MFnvfmYJqKNbyRCbfcYrpQK8JnsMwXMfgnQvSQw3/cj1rNA3SAxrgR/ZkevrIMU5RPLkuThftk8G&#10;rhW5gd0+OfZsL0IXRnSiN0ZjW+OUZ5Bw4gVT8TpMH3LapBgqoQBrMXUg5TSmtwACyhBH44piHahi&#10;iOhgRRkpAPjzWJKsLJofIXKI7qdQ/Sw2dBJvhbxLGQaIPt0LqU9GAiMMe9I68gguZVUJh+SHEbGt&#10;sWWRHXHswOrOUi8IoTgSzM8LOieCFzS6J4IXNHonghc0QqJ9mY3BieAFjeGJ4MBGyMVNhyjNO5Dj&#10;fd2iDCNCVeW0MKQNEyrhFeRwGh67dAYpFZILwoCmEnZVmsF+nxYGoJQwHrHPCgMGSjgcatYPteZz&#10;KLfHhZYbBArtWp/hhkrltbJeDcluaujUIXk3UmsVe0ofGUrJoxMP+72slvVQqtUEJmIqgmS33v03&#10;qO1FzrH9KGq96WS6fy2rkT8nF5dMpBpi5Qpi3bunUBmcJ8HKIlkVZalcEnyznpecPFGgpOVsZS+W&#10;rQkHYmWt0LEjy9e5cLB4oMPC3zkdVSGBXMui6stsntJkWSd4tiUtSj1GqJRtKTJml5dQk9tgqeqM&#10;bPb37cq3Qs8dm2Hou6bnLi1zNl7Nzdu5HQThcjafLe1/VPLa3iQvkiStl6gTEhk5Hu5/WaFtaV7T&#10;Yk+vvYHKWrYF9x7yZEeSQgCzu37kQNFJCuB3J9SoEFpuoDGJJeQhZ/L3QuZYhrsjdoDkGMrZuEue&#10;XjuGdrDx6MQ3LbGHvAYkO9SAbnTx1lyzZskzFHKwQW2tWiYY5Iz/ZZAdtB9TQ/y5pTw1SPlTDVwU&#10;2Z4HYhInnh8qJuHDlfVwhdYxqJoa0oDyoYZzCTN4ZNvwYpPDTpojaqZ4KCtUcUf7tFXtBOjwv+JF&#10;CNMxL2LBUpgBfb6OFzE3zvQKKotVj/HOhhe4650N39lQU1rHgt3/W7JhzRQVIgWV2Mj0N76ChyIr&#10;Wo6XY8/0nGBpetZiYd6u5p4ZrOzQX7iL+XxxxENq07choctUvMLfKRUPKEO3AZonkHJ7ao1sx7Nm&#10;TmSugnFoeivPN6PQGpuWHc2iwPIib7E6pNb7ok5f7xL2GYovsee87Nxb9Bl9V6BM7+jyEIb/S4eB&#10;B6G3t+1iXky+zPRyv97jG7WDvaWitK8nfxfexjX5QyegJj35q4km/3alI3/scV5L//iSDN8a0NH2&#10;u4j6mDGcw3j49ebmXwAAAP//AwBQSwMEFAAGAAgAAAAhAH9+MinhAAAADAEAAA8AAABkcnMvZG93&#10;bnJldi54bWxMj01Lw0AQhu+C/2EZwZvdTWxsidmUUtRTEdoK4m2bTJPQ7GzIbpP03zs96W1e5uH9&#10;yFaTbcWAvW8caYhmCgRS4cqGKg1fh/enJQgfDJWmdYQaruhhld/fZSYt3Ug7HPahEmxCPjUa6hC6&#10;VEpf1GiNn7kOiX8n11sTWPaVLHszsrltZazUi7SmIU6oTYebGovz/mI1fIxmXD9Hb8P2fNpcfw7J&#10;5/c2Qq0fH6b1K4iAU/iD4Vafq0POnY7uQqUXLet5nDCqYRnPQdwAtVjwuiNfUawSkHkm/4/IfwEA&#10;AP//AwBQSwECLQAUAAYACAAAACEAtoM4kv4AAADhAQAAEwAAAAAAAAAAAAAAAAAAAAAAW0NvbnRl&#10;bnRfVHlwZXNdLnhtbFBLAQItABQABgAIAAAAIQA4/SH/1gAAAJQBAAALAAAAAAAAAAAAAAAAAC8B&#10;AABfcmVscy8ucmVsc1BLAQItABQABgAIAAAAIQDs0ZFM2gQAAAUSAAAOAAAAAAAAAAAAAAAAAC4C&#10;AABkcnMvZTJvRG9jLnhtbFBLAQItABQABgAIAAAAIQB/fjIp4QAAAAwBAAAPAAAAAAAAAAAAAAAA&#10;ADQHAABkcnMvZG93bnJldi54bWxQSwUGAAAAAAQABADzAAAAQggAAAAA&#10;">
                <v:shape id="AutoShape 2" o:spid="_x0000_s1081" style="position:absolute;width:63093;height:6841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fzMEA&#10;AADbAAAADwAAAGRycy9kb3ducmV2LnhtbERPS2rDMBDdB3IHMYHuEimhlNS1HJJAoIu2wU4PMLWm&#10;tqk1Mpbiz+2rRaHLx/unh8m2YqDeN441bDcKBHHpTMOVhs/bZb0H4QOywdYxaZjJwyFbLlJMjBs5&#10;p6EIlYgh7BPUUIfQJVL6siaLfuM64sh9u95iiLCvpOlxjOG2lTulnqTFhmNDjR2dayp/irvVcP1w&#10;N/W8/VJv7/vryc/59GiGk9YPq+n4AiLQFP7Ff+5Xo2EX18cv8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X8zBAAAA2wAAAA8AAAAAAAAAAAAAAAAAmAIAAGRycy9kb3du&#10;cmV2LnhtbFBLBQYAAAAABAAEAPUAAACGAwAAAAA=&#10;" path="m,l21600,r,21599l,21599,,xe" fillcolor="#ebf1de" strokeweight="1.5pt">
                  <v:stroke miterlimit="0" joinstyle="miter"/>
                  <v:path arrowok="t" o:connecttype="custom" o:connectlocs="3154681,3420746;3154681,3420746;3154681,3420746;3154681,3420746" o:connectangles="0,0,0,0"/>
                </v:shape>
                <v:shape id="_x0000_s1082" style="position:absolute;width:63093;height:68414;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d6MUA&#10;AADbAAAADwAAAGRycy9kb3ducmV2LnhtbESPQWsCMRSE74X+h/AKvWlWQSmrUeyipWIPrYp4fGye&#10;2aWbl2WTxu2/bwShx2FmvmHmy942IlLna8cKRsMMBHHpdM1GwfGwGbyA8AFZY+OYFPySh+Xi8WGO&#10;uXZX/qK4D0YkCPscFVQhtLmUvqzIoh+6ljh5F9dZDEl2RuoOrwluGznOsqm0WHNaqLCloqLye/9j&#10;FcRjPBW77cSY9efb6zmbfBRFLJV6fupXMxCB+vAfvrfftYLxCG5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x3oxQAAANsAAAAPAAAAAAAAAAAAAAAAAJgCAABkcnMv&#10;ZG93bnJldi54bWxQSwUGAAAAAAQABAD1AAAAigMAAAAA&#10;" adj="-11796480,,5400" path="m,l21600,r,21599l,21599,,xe" filled="f" stroked="f" strokeweight="1pt">
                  <v:stroke miterlimit="0" joinstyle="miter"/>
                  <v:formulas/>
                  <v:path arrowok="t" o:connecttype="custom" o:connectlocs="3154681,3420746;3154681,3420746;3154681,3420746;3154681,3420746" o:connectangles="0,0,0,0" textboxrect="0,0,21600,21600"/>
                  <v:textbox inset="2.53997mm,2.53997mm,2.53997mm,2.53997mm">
                    <w:txbxContent>
                      <w:p w:rsidR="00EA3B8B" w:rsidRPr="00FD03D6" w:rsidRDefault="00EA3B8B" w:rsidP="00663037">
                        <w:pPr>
                          <w:pStyle w:val="Body"/>
                          <w:spacing w:after="0" w:line="240" w:lineRule="auto"/>
                          <w:jc w:val="center"/>
                          <w:rPr>
                            <w:b/>
                            <w:bCs/>
                            <w:i/>
                            <w:iCs/>
                            <w:sz w:val="18"/>
                            <w:szCs w:val="18"/>
                            <w:lang w:val="fr-FR"/>
                          </w:rPr>
                        </w:pPr>
                        <w:r w:rsidRPr="00FD03D6">
                          <w:rPr>
                            <w:b/>
                            <w:bCs/>
                            <w:i/>
                            <w:iCs/>
                            <w:sz w:val="18"/>
                            <w:szCs w:val="18"/>
                            <w:lang w:val="fr-FR"/>
                          </w:rPr>
                          <w:t>Box 4.1 : CoreFamilyShelter for Building Resilient Habitat (CDMP-II)</w:t>
                        </w:r>
                      </w:p>
                      <w:p w:rsidR="00EA3B8B" w:rsidRPr="00843749" w:rsidRDefault="00EA3B8B" w:rsidP="00663037">
                        <w:pPr>
                          <w:pStyle w:val="Body"/>
                          <w:spacing w:after="0" w:line="240" w:lineRule="auto"/>
                          <w:jc w:val="center"/>
                          <w:rPr>
                            <w:b/>
                            <w:bCs/>
                            <w:i/>
                            <w:iCs/>
                            <w:sz w:val="10"/>
                            <w:szCs w:val="18"/>
                          </w:rPr>
                        </w:pPr>
                      </w:p>
                      <w:p w:rsidR="00EA3B8B" w:rsidRPr="00120CC7" w:rsidRDefault="00EA3B8B" w:rsidP="00A27897">
                        <w:pPr>
                          <w:spacing w:after="0" w:line="240" w:lineRule="auto"/>
                          <w:jc w:val="both"/>
                          <w:rPr>
                            <w:rFonts w:cs="Calibri"/>
                            <w:i/>
                            <w:iCs/>
                            <w:sz w:val="18"/>
                            <w:szCs w:val="18"/>
                          </w:rPr>
                        </w:pPr>
                        <w:r w:rsidRPr="00120CC7">
                          <w:rPr>
                            <w:rFonts w:cs="Calibri"/>
                            <w:i/>
                            <w:iCs/>
                            <w:sz w:val="18"/>
                            <w:szCs w:val="18"/>
                          </w:rPr>
                          <w:t>“Now I am in [a] much better condition. For example here I got [a] house to live, [a] yard to grow vegetables, [a] source of clean drinking water. Previously I had to travel a long distance to collect drinking water from other people</w:t>
                        </w:r>
                        <w:r w:rsidRPr="00120CC7">
                          <w:rPr>
                            <w:rFonts w:cs="Calibri"/>
                            <w:i/>
                            <w:iCs/>
                            <w:sz w:val="18"/>
                            <w:szCs w:val="18"/>
                            <w:lang w:val="fr-FR"/>
                          </w:rPr>
                          <w:t>’</w:t>
                        </w:r>
                        <w:r w:rsidRPr="00120CC7">
                          <w:rPr>
                            <w:rFonts w:cs="Calibri"/>
                            <w:i/>
                            <w:iCs/>
                            <w:sz w:val="18"/>
                            <w:szCs w:val="18"/>
                          </w:rPr>
                          <w:t xml:space="preserve">s pond[s] and tube well[s]. They sometimes rebuked us, saying that we disturb them always, and sometimes they threw our water pot away. But we had no other option but to bring water from their ponds or tube well[s]. Now, we do not have those sorts of problem[s] with drinking water. I clean the water tank every year with cleaning powder. First we wash it with powder, then wash out all dirts with rain water and after cleaning we store [the] rain water. We learned those [skills] from training…we are very confident with the house [we] now live in. We grow vegetables at our yard, we sell them in [the] market, which is good enough for my family.Yet we [also] go for work for our better future…” - </w:t>
                        </w:r>
                        <w:r w:rsidRPr="00120CC7">
                          <w:rPr>
                            <w:rFonts w:cs="Calibri"/>
                            <w:sz w:val="18"/>
                            <w:szCs w:val="18"/>
                          </w:rPr>
                          <w:t>Rashida Begum (30), Baine Para Resilient Habitat, Suterkhali Union, DacopeUpazilla, Khulna</w:t>
                        </w:r>
                      </w:p>
                      <w:p w:rsidR="00EA3B8B" w:rsidRPr="00120CC7" w:rsidRDefault="00EA3B8B" w:rsidP="00A27897">
                        <w:pPr>
                          <w:spacing w:after="0" w:line="240" w:lineRule="auto"/>
                          <w:jc w:val="both"/>
                          <w:rPr>
                            <w:rFonts w:cs="Calibri"/>
                            <w:color w:val="231F20"/>
                            <w:sz w:val="18"/>
                            <w:szCs w:val="18"/>
                            <w:u w:color="231F20"/>
                          </w:rPr>
                        </w:pPr>
                      </w:p>
                      <w:p w:rsidR="00EA3B8B" w:rsidRPr="00120CC7" w:rsidRDefault="00EA3B8B" w:rsidP="00A27897">
                        <w:pPr>
                          <w:spacing w:after="0" w:line="240" w:lineRule="auto"/>
                          <w:jc w:val="both"/>
                          <w:rPr>
                            <w:rFonts w:cs="Calibri"/>
                            <w:i/>
                            <w:iCs/>
                            <w:sz w:val="18"/>
                            <w:szCs w:val="18"/>
                          </w:rPr>
                        </w:pPr>
                        <w:r w:rsidRPr="00120CC7">
                          <w:rPr>
                            <w:rFonts w:cs="Calibri"/>
                            <w:i/>
                            <w:iCs/>
                            <w:sz w:val="18"/>
                            <w:szCs w:val="18"/>
                          </w:rPr>
                          <w:t>“During Cyclone Mohasen we did not go to [the] cyclone shelter; rather, other people took shelter at our home. I got training on what to do during [a] cyclone and if [a] warning goes on. I can get news on cyclones via [my] mobile and listen [to] weather news. I learned all these from training. Now I can go outside for work without worrying about my family members, as I have a good house and caring neighbours. Now, I am better than ever before…”</w:t>
                        </w:r>
                        <w:r w:rsidRPr="00120CC7">
                          <w:rPr>
                            <w:rFonts w:cs="Calibri"/>
                            <w:i/>
                            <w:iCs/>
                            <w:sz w:val="18"/>
                            <w:szCs w:val="18"/>
                            <w:lang w:val="it-IT"/>
                          </w:rPr>
                          <w:t>__Wajib Ali (55), Bain Para Resilient Habitat, Suterkhali Union, Dacope Upazila, Khulna.</w:t>
                        </w:r>
                      </w:p>
                      <w:p w:rsidR="00EA3B8B" w:rsidRPr="00120CC7" w:rsidRDefault="00EA3B8B" w:rsidP="00A27897">
                        <w:pPr>
                          <w:spacing w:after="0" w:line="240" w:lineRule="auto"/>
                          <w:jc w:val="both"/>
                          <w:rPr>
                            <w:rFonts w:cs="Calibri"/>
                            <w:color w:val="231F20"/>
                            <w:sz w:val="18"/>
                            <w:szCs w:val="18"/>
                            <w:u w:color="231F20"/>
                          </w:rPr>
                        </w:pPr>
                      </w:p>
                      <w:p w:rsidR="00EA3B8B" w:rsidRPr="00120CC7" w:rsidRDefault="00EA3B8B" w:rsidP="00A27897">
                        <w:pPr>
                          <w:spacing w:after="0" w:line="240" w:lineRule="auto"/>
                          <w:jc w:val="both"/>
                          <w:rPr>
                            <w:rFonts w:cs="Calibri"/>
                            <w:color w:val="231F20"/>
                            <w:sz w:val="18"/>
                            <w:szCs w:val="18"/>
                            <w:u w:color="231F20"/>
                          </w:rPr>
                        </w:pPr>
                        <w:r w:rsidRPr="00120CC7">
                          <w:rPr>
                            <w:rFonts w:cs="Calibri"/>
                            <w:color w:val="231F20"/>
                            <w:sz w:val="18"/>
                            <w:szCs w:val="18"/>
                            <w:u w:color="231F20"/>
                          </w:rPr>
                          <w:t>These are the words of two beneficiaries of the Core Family Shelter (Resilient Habitat) programme, which has adopted a community-managed disaster mitigation approach with comprehensive risk reduction and adaptation interventions that reduced vulnerability and provided more secure and dignified living for the coastal poor. This cost-effective and alternative approach strives towards sustainable solutions. The programme engages technology, physical and social infrastructure, local knowledge and social capital to complement available resources and promote DRR and CCA resilience through better living. In the event of major disasters, the at-risk communities thus avert mass displacement, destruction of assets, and expensive rehabilitation or reconstruction. Core Family Shelters help fortify and uplift the living conditions of a larger number of vulnerable communities.</w:t>
                        </w:r>
                      </w:p>
                      <w:p w:rsidR="00EA3B8B" w:rsidRPr="00120CC7" w:rsidRDefault="00EA3B8B" w:rsidP="00A27897">
                        <w:pPr>
                          <w:pStyle w:val="Default"/>
                          <w:jc w:val="both"/>
                          <w:rPr>
                            <w:rFonts w:ascii="Calibri" w:eastAsia="Calibri" w:hAnsi="Calibri" w:cs="Calibri"/>
                            <w:sz w:val="18"/>
                            <w:szCs w:val="18"/>
                          </w:rPr>
                        </w:pPr>
                      </w:p>
                      <w:p w:rsidR="00EA3B8B" w:rsidRPr="00120CC7" w:rsidRDefault="00EA3B8B" w:rsidP="00A27897">
                        <w:pPr>
                          <w:spacing w:after="0" w:line="240" w:lineRule="auto"/>
                          <w:jc w:val="both"/>
                          <w:rPr>
                            <w:rFonts w:cs="Calibri"/>
                            <w:color w:val="231F20"/>
                            <w:sz w:val="18"/>
                            <w:szCs w:val="18"/>
                            <w:u w:color="231F20"/>
                          </w:rPr>
                        </w:pPr>
                        <w:r w:rsidRPr="00120CC7">
                          <w:rPr>
                            <w:rFonts w:cs="Calibri"/>
                            <w:sz w:val="18"/>
                            <w:szCs w:val="18"/>
                          </w:rPr>
                          <w:t xml:space="preserve">The </w:t>
                        </w:r>
                        <w:r w:rsidRPr="00120CC7">
                          <w:rPr>
                            <w:rFonts w:cs="Calibri"/>
                            <w:color w:val="231F20"/>
                            <w:sz w:val="18"/>
                            <w:szCs w:val="18"/>
                            <w:u w:color="231F20"/>
                            <w:lang w:val="de-DE"/>
                          </w:rPr>
                          <w:t>Comprehensive Disaster Management Programme (CDMP II) (2010-2014, US $</w:t>
                        </w:r>
                        <w:r w:rsidRPr="00120CC7">
                          <w:rPr>
                            <w:rFonts w:cs="Calibri"/>
                            <w:sz w:val="18"/>
                            <w:szCs w:val="18"/>
                            <w:lang w:val="de-DE"/>
                          </w:rPr>
                          <w:t>75.24 Million</w:t>
                        </w:r>
                        <w:r w:rsidRPr="00120CC7">
                          <w:rPr>
                            <w:rFonts w:cs="Calibri"/>
                            <w:color w:val="231F20"/>
                            <w:sz w:val="18"/>
                            <w:szCs w:val="18"/>
                            <w:u w:color="231F20"/>
                          </w:rPr>
                          <w:t>) is piloting "Climate Resilient Habitat" development by building Core Family Shelters in Bain</w:t>
                        </w:r>
                        <w:r>
                          <w:rPr>
                            <w:rFonts w:cs="Calibri"/>
                            <w:color w:val="231F20"/>
                            <w:sz w:val="18"/>
                            <w:szCs w:val="18"/>
                            <w:u w:color="231F20"/>
                          </w:rPr>
                          <w:t>e</w:t>
                        </w:r>
                        <w:r w:rsidRPr="00120CC7">
                          <w:rPr>
                            <w:rFonts w:cs="Calibri"/>
                            <w:color w:val="231F20"/>
                            <w:sz w:val="18"/>
                            <w:szCs w:val="18"/>
                            <w:u w:color="231F20"/>
                          </w:rPr>
                          <w:t>para and Gazipara, two cyclone-affected villages of Sutarkhali Union under DacopeUpazila in Khulna District. L</w:t>
                        </w:r>
                        <w:r w:rsidRPr="00120CC7">
                          <w:rPr>
                            <w:rFonts w:cs="Calibri"/>
                            <w:color w:val="231F20"/>
                            <w:sz w:val="18"/>
                            <w:szCs w:val="18"/>
                            <w:u w:color="231F20"/>
                            <w:lang w:val="it-IT"/>
                          </w:rPr>
                          <w:t>essons</w:t>
                        </w:r>
                        <w:r w:rsidRPr="00120CC7">
                          <w:rPr>
                            <w:rFonts w:cs="Calibri"/>
                            <w:color w:val="231F20"/>
                            <w:sz w:val="18"/>
                            <w:szCs w:val="18"/>
                            <w:u w:color="231F20"/>
                          </w:rPr>
                          <w:t xml:space="preserve"> learned from this pilot intervention will help build communities in southwestern Bangladesh that can withstand reoccurring disasters, fight back climate change impacts and achieve sustainable growth. Much of the community consists of internally displaced people and assetless coastal poor without livelihood options due to reoccurring disasters and climate change.</w:t>
                        </w:r>
                      </w:p>
                      <w:p w:rsidR="00EA3B8B" w:rsidRPr="00120CC7" w:rsidRDefault="00EA3B8B" w:rsidP="00A27897">
                        <w:pPr>
                          <w:spacing w:after="0" w:line="240" w:lineRule="auto"/>
                          <w:rPr>
                            <w:rFonts w:cs="Calibri"/>
                            <w:color w:val="4F81BD"/>
                            <w:sz w:val="18"/>
                            <w:szCs w:val="18"/>
                            <w:u w:color="4F81BD"/>
                          </w:rPr>
                        </w:pPr>
                      </w:p>
                      <w:p w:rsidR="00EA3B8B" w:rsidRPr="00120CC7" w:rsidRDefault="00EA3B8B" w:rsidP="00A27897">
                        <w:pPr>
                          <w:spacing w:after="0" w:line="240" w:lineRule="auto"/>
                          <w:jc w:val="both"/>
                          <w:rPr>
                            <w:rFonts w:cs="Calibri"/>
                            <w:sz w:val="18"/>
                            <w:szCs w:val="18"/>
                          </w:rPr>
                        </w:pPr>
                        <w:r w:rsidRPr="00120CC7">
                          <w:rPr>
                            <w:rFonts w:cs="Calibri"/>
                            <w:color w:val="231F20"/>
                            <w:sz w:val="18"/>
                            <w:szCs w:val="18"/>
                            <w:u w:color="231F20"/>
                          </w:rPr>
                          <w:t>Core Family Shelters, as a component of CDMP II, were cyclone and salinity-resistant houses designed to withstand the worst recorded tidal surges from the last 100 years and 215 kph wind gusts. Plinths of community structures and core shelter households were raised above normal flood level to protect lives and assets. Alternative and diversified livelihood options were also integrated to ensure climate resilience. There is a common grazing field in each settlement, as livestock raising is one of the main livelihood options for the coastal poor. Also built were medium and small-</w:t>
                        </w:r>
                        <w:r w:rsidRPr="00120CC7">
                          <w:rPr>
                            <w:rFonts w:cs="Calibri"/>
                            <w:color w:val="231F20"/>
                            <w:sz w:val="18"/>
                            <w:szCs w:val="18"/>
                            <w:u w:color="231F20"/>
                            <w:lang w:val="it-IT"/>
                          </w:rPr>
                          <w:t>size</w:t>
                        </w:r>
                        <w:r w:rsidRPr="00120CC7">
                          <w:rPr>
                            <w:rFonts w:cs="Calibri"/>
                            <w:color w:val="231F20"/>
                            <w:sz w:val="18"/>
                            <w:szCs w:val="18"/>
                            <w:u w:color="231F20"/>
                          </w:rPr>
                          <w:t>d</w:t>
                        </w:r>
                        <w:r w:rsidRPr="00120CC7">
                          <w:rPr>
                            <w:rFonts w:cs="Calibri"/>
                            <w:color w:val="231F20"/>
                            <w:sz w:val="18"/>
                            <w:szCs w:val="18"/>
                            <w:u w:color="231F20"/>
                            <w:lang w:val="it-IT"/>
                          </w:rPr>
                          <w:t xml:space="preserve"> dairy farm</w:t>
                        </w:r>
                        <w:r w:rsidRPr="00120CC7">
                          <w:rPr>
                            <w:rFonts w:cs="Calibri"/>
                            <w:color w:val="231F20"/>
                            <w:sz w:val="18"/>
                            <w:szCs w:val="18"/>
                            <w:u w:color="231F20"/>
                          </w:rPr>
                          <w:t>s, ponds for aquaculture, backyard farms, and communal</w:t>
                        </w:r>
                        <w:r w:rsidRPr="00120CC7">
                          <w:rPr>
                            <w:rFonts w:cs="Calibri"/>
                            <w:color w:val="231F20"/>
                            <w:sz w:val="18"/>
                            <w:szCs w:val="18"/>
                            <w:u w:color="231F20"/>
                            <w:lang w:val="fr-FR"/>
                          </w:rPr>
                          <w:t xml:space="preserve"> production center</w:t>
                        </w:r>
                        <w:r w:rsidRPr="00120CC7">
                          <w:rPr>
                            <w:rFonts w:cs="Calibri"/>
                            <w:color w:val="231F20"/>
                            <w:sz w:val="18"/>
                            <w:szCs w:val="18"/>
                            <w:u w:color="231F20"/>
                          </w:rPr>
                          <w:t>s</w:t>
                        </w:r>
                        <w:r w:rsidRPr="00120CC7">
                          <w:rPr>
                            <w:rFonts w:cs="Calibri"/>
                            <w:color w:val="231F20"/>
                            <w:sz w:val="18"/>
                            <w:szCs w:val="18"/>
                            <w:u w:color="231F20"/>
                            <w:lang w:val="da-DK"/>
                          </w:rPr>
                          <w:t xml:space="preserve"> for hand</w:t>
                        </w:r>
                        <w:r w:rsidRPr="00120CC7">
                          <w:rPr>
                            <w:rFonts w:cs="Calibri"/>
                            <w:color w:val="231F20"/>
                            <w:sz w:val="18"/>
                            <w:szCs w:val="18"/>
                            <w:u w:color="231F20"/>
                          </w:rPr>
                          <w:t>-</w:t>
                        </w:r>
                        <w:r w:rsidRPr="00120CC7">
                          <w:rPr>
                            <w:rFonts w:cs="Calibri"/>
                            <w:color w:val="231F20"/>
                            <w:sz w:val="18"/>
                            <w:szCs w:val="18"/>
                            <w:u w:color="231F20"/>
                            <w:lang w:val="nl-NL"/>
                          </w:rPr>
                          <w:t>loom</w:t>
                        </w:r>
                        <w:r w:rsidRPr="00120CC7">
                          <w:rPr>
                            <w:rFonts w:cs="Calibri"/>
                            <w:color w:val="231F20"/>
                            <w:sz w:val="18"/>
                            <w:szCs w:val="18"/>
                            <w:u w:color="231F20"/>
                          </w:rPr>
                          <w:t xml:space="preserve">ing, tailoring, handicrafts, baking, and gardening. Theses climate resilient habitats promoted the development of small-scale renewable energy sources such as solar panels and bio-gas plants to meet household energy needs. Besides developing ground water sources, the habitat piloted innovative ways of ensuring access to safe water including rain water harvesting tanks and solar power desalination panels.  Special attention was given to the protection of the most marginalized and vulnerable groups. As a result of these CDMP II activities, the estimated </w:t>
                        </w:r>
                        <w:r w:rsidRPr="00120CC7">
                          <w:rPr>
                            <w:rFonts w:cs="Calibri"/>
                            <w:b/>
                            <w:bCs/>
                            <w:sz w:val="18"/>
                            <w:szCs w:val="18"/>
                          </w:rPr>
                          <w:t xml:space="preserve">Value for </w:t>
                        </w:r>
                        <w:r>
                          <w:rPr>
                            <w:rFonts w:cs="Calibri"/>
                            <w:b/>
                            <w:bCs/>
                            <w:sz w:val="18"/>
                            <w:szCs w:val="18"/>
                          </w:rPr>
                          <w:t>Money is: Net Present Value (NPV</w:t>
                        </w:r>
                        <w:r w:rsidRPr="00120CC7">
                          <w:rPr>
                            <w:rFonts w:cs="Calibri"/>
                            <w:b/>
                            <w:bCs/>
                            <w:sz w:val="18"/>
                            <w:szCs w:val="18"/>
                          </w:rPr>
                          <w:t>) is Tk. 1183,000, the Benefit Cost Ratio (BCR) is 2.76:1, and Internal Rate of Return (IRR) is 20.30%.</w:t>
                        </w:r>
                      </w:p>
                      <w:p w:rsidR="00EA3B8B" w:rsidRDefault="00EA3B8B" w:rsidP="00BB189A">
                        <w:pPr>
                          <w:pStyle w:val="Body"/>
                          <w:spacing w:after="0" w:line="240" w:lineRule="auto"/>
                          <w:jc w:val="both"/>
                          <w:rPr>
                            <w:rFonts w:ascii="Times New Roman" w:eastAsia="Arial Unicode MS" w:hAnsi="Times New Roman" w:cs="Times New Roman"/>
                            <w:color w:val="auto"/>
                            <w:sz w:val="20"/>
                            <w:szCs w:val="20"/>
                          </w:rPr>
                        </w:pPr>
                      </w:p>
                    </w:txbxContent>
                  </v:textbox>
                </v:shape>
                <w10:wrap type="topAndBottom" anchorx="page" anchory="page"/>
              </v:group>
            </w:pict>
          </mc:Fallback>
        </mc:AlternateContent>
      </w:r>
      <w:r w:rsidR="00BB189A" w:rsidRPr="009B1C91">
        <w:rPr>
          <w:rFonts w:asciiTheme="minorHAnsi" w:hAnsiTheme="minorHAnsi" w:cstheme="minorHAnsi"/>
          <w:b/>
          <w:bCs/>
          <w:lang w:val="en-US"/>
        </w:rPr>
        <w:t>Table 4.2.3.1: Fund utilization per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5181"/>
      </w:tblGrid>
      <w:tr w:rsidR="00BB189A" w:rsidRPr="009B1C91" w:rsidTr="00E84761">
        <w:trPr>
          <w:cantSplit/>
          <w:trHeight w:val="20"/>
        </w:trPr>
        <w:tc>
          <w:tcPr>
            <w:tcW w:w="2947" w:type="dxa"/>
            <w:shd w:val="clear" w:color="auto" w:fill="8DB3E2"/>
            <w:tcMar>
              <w:top w:w="0" w:type="dxa"/>
              <w:left w:w="86" w:type="dxa"/>
              <w:bottom w:w="0" w:type="dxa"/>
              <w:right w:w="86" w:type="dxa"/>
            </w:tcMar>
          </w:tcPr>
          <w:p w:rsidR="00BB189A" w:rsidRPr="009B1C91" w:rsidRDefault="00BB189A" w:rsidP="00F653F8">
            <w:pPr>
              <w:pStyle w:val="LightList-Accent110"/>
              <w:jc w:val="both"/>
              <w:rPr>
                <w:rFonts w:asciiTheme="minorHAnsi" w:hAnsiTheme="minorHAnsi" w:cstheme="minorHAnsi"/>
                <w:b/>
                <w:bCs/>
                <w:sz w:val="20"/>
                <w:szCs w:val="20"/>
              </w:rPr>
            </w:pPr>
            <w:r w:rsidRPr="009B1C91">
              <w:rPr>
                <w:rFonts w:asciiTheme="minorHAnsi" w:hAnsiTheme="minorHAnsi" w:cstheme="minorHAnsi"/>
                <w:b/>
                <w:bCs/>
                <w:sz w:val="20"/>
                <w:szCs w:val="20"/>
              </w:rPr>
              <w:t>Year</w:t>
            </w:r>
          </w:p>
        </w:tc>
        <w:tc>
          <w:tcPr>
            <w:tcW w:w="5181" w:type="dxa"/>
            <w:shd w:val="clear" w:color="auto" w:fill="8DB3E2"/>
            <w:tcMar>
              <w:top w:w="0" w:type="dxa"/>
              <w:left w:w="86" w:type="dxa"/>
              <w:bottom w:w="0" w:type="dxa"/>
              <w:right w:w="86" w:type="dxa"/>
            </w:tcMar>
          </w:tcPr>
          <w:p w:rsidR="00BB189A" w:rsidRPr="009B1C91" w:rsidRDefault="005935B0" w:rsidP="00F653F8">
            <w:pPr>
              <w:pStyle w:val="LightList-Accent110"/>
              <w:jc w:val="both"/>
              <w:rPr>
                <w:rFonts w:asciiTheme="minorHAnsi" w:hAnsiTheme="minorHAnsi" w:cstheme="minorHAnsi"/>
                <w:b/>
                <w:bCs/>
                <w:sz w:val="20"/>
                <w:szCs w:val="20"/>
              </w:rPr>
            </w:pPr>
            <w:r w:rsidRPr="009B1C91">
              <w:rPr>
                <w:rFonts w:asciiTheme="minorHAnsi" w:hAnsiTheme="minorHAnsi" w:cstheme="minorHAnsi"/>
                <w:b/>
                <w:bCs/>
                <w:sz w:val="20"/>
                <w:szCs w:val="20"/>
              </w:rPr>
              <w:t>Utilization</w:t>
            </w:r>
            <w:r w:rsidR="00BB189A" w:rsidRPr="009B1C91">
              <w:rPr>
                <w:rFonts w:asciiTheme="minorHAnsi" w:hAnsiTheme="minorHAnsi" w:cstheme="minorHAnsi"/>
                <w:b/>
                <w:bCs/>
                <w:sz w:val="20"/>
                <w:szCs w:val="20"/>
              </w:rPr>
              <w:t xml:space="preserve"> (</w:t>
            </w:r>
            <w:r w:rsidRPr="009B1C91">
              <w:rPr>
                <w:rFonts w:asciiTheme="minorHAnsi" w:hAnsiTheme="minorHAnsi" w:cstheme="minorHAnsi"/>
                <w:b/>
                <w:bCs/>
                <w:sz w:val="20"/>
                <w:szCs w:val="20"/>
              </w:rPr>
              <w:t>S</w:t>
            </w:r>
            <w:r w:rsidR="00BB189A" w:rsidRPr="009B1C91">
              <w:rPr>
                <w:rFonts w:asciiTheme="minorHAnsi" w:hAnsiTheme="minorHAnsi" w:cstheme="minorHAnsi"/>
                <w:b/>
                <w:bCs/>
                <w:sz w:val="20"/>
                <w:szCs w:val="20"/>
              </w:rPr>
              <w:t xml:space="preserve">pent </w:t>
            </w:r>
            <w:r w:rsidRPr="009B1C91">
              <w:rPr>
                <w:rFonts w:asciiTheme="minorHAnsi" w:hAnsiTheme="minorHAnsi" w:cstheme="minorHAnsi"/>
                <w:b/>
                <w:bCs/>
                <w:sz w:val="20"/>
                <w:szCs w:val="20"/>
              </w:rPr>
              <w:t>A</w:t>
            </w:r>
            <w:r w:rsidR="00BB189A" w:rsidRPr="009B1C91">
              <w:rPr>
                <w:rFonts w:asciiTheme="minorHAnsi" w:hAnsiTheme="minorHAnsi" w:cstheme="minorHAnsi"/>
                <w:b/>
                <w:bCs/>
                <w:sz w:val="20"/>
                <w:szCs w:val="20"/>
              </w:rPr>
              <w:t xml:space="preserve">gainst </w:t>
            </w:r>
            <w:r w:rsidRPr="009B1C91">
              <w:rPr>
                <w:rFonts w:asciiTheme="minorHAnsi" w:hAnsiTheme="minorHAnsi" w:cstheme="minorHAnsi"/>
                <w:b/>
                <w:bCs/>
                <w:sz w:val="20"/>
                <w:szCs w:val="20"/>
              </w:rPr>
              <w:t>F</w:t>
            </w:r>
            <w:r w:rsidR="00BB189A" w:rsidRPr="009B1C91">
              <w:rPr>
                <w:rFonts w:asciiTheme="minorHAnsi" w:hAnsiTheme="minorHAnsi" w:cstheme="minorHAnsi"/>
                <w:b/>
                <w:bCs/>
                <w:sz w:val="20"/>
                <w:szCs w:val="20"/>
              </w:rPr>
              <w:t>orecast)</w:t>
            </w:r>
          </w:p>
        </w:tc>
      </w:tr>
      <w:tr w:rsidR="00BB189A" w:rsidRPr="009B1C91" w:rsidTr="00E84761">
        <w:trPr>
          <w:cantSplit/>
          <w:trHeight w:val="20"/>
        </w:trPr>
        <w:tc>
          <w:tcPr>
            <w:tcW w:w="2947" w:type="dxa"/>
            <w:shd w:val="clear" w:color="auto" w:fill="auto"/>
            <w:tcMar>
              <w:top w:w="0" w:type="dxa"/>
              <w:left w:w="86" w:type="dxa"/>
              <w:bottom w:w="0" w:type="dxa"/>
              <w:right w:w="86" w:type="dxa"/>
            </w:tcMar>
          </w:tcPr>
          <w:p w:rsidR="00BB189A" w:rsidRPr="009B1C91" w:rsidRDefault="00BB189A" w:rsidP="00F653F8">
            <w:pPr>
              <w:pStyle w:val="LightList-Accent110"/>
              <w:jc w:val="both"/>
              <w:rPr>
                <w:rFonts w:asciiTheme="minorHAnsi" w:hAnsiTheme="minorHAnsi" w:cstheme="minorHAnsi"/>
                <w:b/>
                <w:bCs/>
                <w:sz w:val="20"/>
                <w:szCs w:val="20"/>
              </w:rPr>
            </w:pPr>
            <w:r w:rsidRPr="009B1C91">
              <w:rPr>
                <w:rFonts w:asciiTheme="minorHAnsi" w:hAnsiTheme="minorHAnsi" w:cstheme="minorHAnsi"/>
                <w:b/>
                <w:bCs/>
                <w:sz w:val="20"/>
                <w:szCs w:val="20"/>
              </w:rPr>
              <w:t>2010</w:t>
            </w:r>
          </w:p>
        </w:tc>
        <w:tc>
          <w:tcPr>
            <w:tcW w:w="5181" w:type="dxa"/>
            <w:shd w:val="clear" w:color="auto" w:fill="auto"/>
            <w:tcMar>
              <w:top w:w="0" w:type="dxa"/>
              <w:left w:w="86" w:type="dxa"/>
              <w:bottom w:w="0" w:type="dxa"/>
              <w:right w:w="86" w:type="dxa"/>
            </w:tcMar>
          </w:tcPr>
          <w:p w:rsidR="00BB189A" w:rsidRPr="009B1C91" w:rsidRDefault="00BB189A" w:rsidP="00F653F8">
            <w:pPr>
              <w:pStyle w:val="LightList-Accent110"/>
              <w:jc w:val="both"/>
              <w:rPr>
                <w:rFonts w:asciiTheme="minorHAnsi" w:hAnsiTheme="minorHAnsi" w:cstheme="minorHAnsi"/>
                <w:sz w:val="20"/>
                <w:szCs w:val="20"/>
              </w:rPr>
            </w:pPr>
            <w:r w:rsidRPr="009B1C91">
              <w:rPr>
                <w:rFonts w:asciiTheme="minorHAnsi" w:hAnsiTheme="minorHAnsi" w:cstheme="minorHAnsi"/>
                <w:sz w:val="20"/>
                <w:szCs w:val="20"/>
              </w:rPr>
              <w:t>51%</w:t>
            </w:r>
          </w:p>
        </w:tc>
      </w:tr>
      <w:tr w:rsidR="00BB189A" w:rsidRPr="009B1C91" w:rsidTr="00E84761">
        <w:trPr>
          <w:cantSplit/>
          <w:trHeight w:val="20"/>
        </w:trPr>
        <w:tc>
          <w:tcPr>
            <w:tcW w:w="2947" w:type="dxa"/>
            <w:shd w:val="clear" w:color="auto" w:fill="auto"/>
            <w:tcMar>
              <w:top w:w="0" w:type="dxa"/>
              <w:left w:w="86" w:type="dxa"/>
              <w:bottom w:w="0" w:type="dxa"/>
              <w:right w:w="86" w:type="dxa"/>
            </w:tcMar>
          </w:tcPr>
          <w:p w:rsidR="00BB189A" w:rsidRPr="009B1C91" w:rsidRDefault="00BB189A" w:rsidP="00F653F8">
            <w:pPr>
              <w:pStyle w:val="LightList-Accent110"/>
              <w:jc w:val="both"/>
              <w:rPr>
                <w:rFonts w:asciiTheme="minorHAnsi" w:hAnsiTheme="minorHAnsi" w:cstheme="minorHAnsi"/>
                <w:b/>
                <w:bCs/>
                <w:sz w:val="20"/>
                <w:szCs w:val="20"/>
              </w:rPr>
            </w:pPr>
            <w:r w:rsidRPr="009B1C91">
              <w:rPr>
                <w:rFonts w:asciiTheme="minorHAnsi" w:hAnsiTheme="minorHAnsi" w:cstheme="minorHAnsi"/>
                <w:b/>
                <w:bCs/>
                <w:sz w:val="20"/>
                <w:szCs w:val="20"/>
              </w:rPr>
              <w:t>2011</w:t>
            </w:r>
          </w:p>
        </w:tc>
        <w:tc>
          <w:tcPr>
            <w:tcW w:w="5181" w:type="dxa"/>
            <w:shd w:val="clear" w:color="auto" w:fill="auto"/>
            <w:tcMar>
              <w:top w:w="0" w:type="dxa"/>
              <w:left w:w="86" w:type="dxa"/>
              <w:bottom w:w="0" w:type="dxa"/>
              <w:right w:w="86" w:type="dxa"/>
            </w:tcMar>
          </w:tcPr>
          <w:p w:rsidR="00BB189A" w:rsidRPr="009B1C91" w:rsidRDefault="00BB189A" w:rsidP="00F653F8">
            <w:pPr>
              <w:pStyle w:val="LightList-Accent110"/>
              <w:jc w:val="both"/>
              <w:rPr>
                <w:rFonts w:asciiTheme="minorHAnsi" w:hAnsiTheme="minorHAnsi" w:cstheme="minorHAnsi"/>
                <w:sz w:val="20"/>
                <w:szCs w:val="20"/>
              </w:rPr>
            </w:pPr>
            <w:r w:rsidRPr="009B1C91">
              <w:rPr>
                <w:rFonts w:asciiTheme="minorHAnsi" w:hAnsiTheme="minorHAnsi" w:cstheme="minorHAnsi"/>
                <w:sz w:val="20"/>
                <w:szCs w:val="20"/>
              </w:rPr>
              <w:t>31%</w:t>
            </w:r>
          </w:p>
        </w:tc>
      </w:tr>
      <w:tr w:rsidR="00BB189A" w:rsidRPr="009B1C91" w:rsidTr="00E84761">
        <w:trPr>
          <w:cantSplit/>
          <w:trHeight w:val="242"/>
        </w:trPr>
        <w:tc>
          <w:tcPr>
            <w:tcW w:w="2947" w:type="dxa"/>
            <w:shd w:val="clear" w:color="auto" w:fill="auto"/>
            <w:tcMar>
              <w:top w:w="0" w:type="dxa"/>
              <w:left w:w="86" w:type="dxa"/>
              <w:bottom w:w="0" w:type="dxa"/>
              <w:right w:w="86" w:type="dxa"/>
            </w:tcMar>
          </w:tcPr>
          <w:p w:rsidR="00BB189A" w:rsidRPr="009B1C91" w:rsidRDefault="00BB189A" w:rsidP="00F653F8">
            <w:pPr>
              <w:pStyle w:val="LightList-Accent110"/>
              <w:jc w:val="both"/>
              <w:rPr>
                <w:rFonts w:asciiTheme="minorHAnsi" w:hAnsiTheme="minorHAnsi" w:cstheme="minorHAnsi"/>
                <w:b/>
                <w:bCs/>
                <w:sz w:val="20"/>
                <w:szCs w:val="20"/>
              </w:rPr>
            </w:pPr>
            <w:r w:rsidRPr="009B1C91">
              <w:rPr>
                <w:rFonts w:asciiTheme="minorHAnsi" w:hAnsiTheme="minorHAnsi" w:cstheme="minorHAnsi"/>
                <w:b/>
                <w:bCs/>
                <w:sz w:val="20"/>
                <w:szCs w:val="20"/>
              </w:rPr>
              <w:t>2012</w:t>
            </w:r>
          </w:p>
        </w:tc>
        <w:tc>
          <w:tcPr>
            <w:tcW w:w="5181" w:type="dxa"/>
            <w:shd w:val="clear" w:color="auto" w:fill="auto"/>
            <w:tcMar>
              <w:top w:w="0" w:type="dxa"/>
              <w:left w:w="86" w:type="dxa"/>
              <w:bottom w:w="0" w:type="dxa"/>
              <w:right w:w="86" w:type="dxa"/>
            </w:tcMar>
          </w:tcPr>
          <w:p w:rsidR="00BB189A" w:rsidRPr="009B1C91" w:rsidRDefault="00BB189A" w:rsidP="00F653F8">
            <w:pPr>
              <w:pStyle w:val="LightList-Accent110"/>
              <w:jc w:val="both"/>
              <w:rPr>
                <w:rFonts w:asciiTheme="minorHAnsi" w:hAnsiTheme="minorHAnsi" w:cstheme="minorHAnsi"/>
                <w:sz w:val="20"/>
                <w:szCs w:val="20"/>
              </w:rPr>
            </w:pPr>
            <w:r w:rsidRPr="009B1C91">
              <w:rPr>
                <w:rFonts w:asciiTheme="minorHAnsi" w:hAnsiTheme="minorHAnsi" w:cstheme="minorHAnsi"/>
                <w:sz w:val="20"/>
                <w:szCs w:val="20"/>
              </w:rPr>
              <w:t>44%</w:t>
            </w:r>
          </w:p>
        </w:tc>
      </w:tr>
      <w:tr w:rsidR="00BB189A" w:rsidRPr="009B1C91" w:rsidTr="00E84761">
        <w:trPr>
          <w:cantSplit/>
          <w:trHeight w:val="20"/>
        </w:trPr>
        <w:tc>
          <w:tcPr>
            <w:tcW w:w="2947" w:type="dxa"/>
            <w:shd w:val="clear" w:color="auto" w:fill="auto"/>
            <w:tcMar>
              <w:top w:w="0" w:type="dxa"/>
              <w:left w:w="86" w:type="dxa"/>
              <w:bottom w:w="0" w:type="dxa"/>
              <w:right w:w="86" w:type="dxa"/>
            </w:tcMar>
          </w:tcPr>
          <w:p w:rsidR="00BB189A" w:rsidRPr="009B1C91" w:rsidRDefault="00BB189A" w:rsidP="00F653F8">
            <w:pPr>
              <w:pStyle w:val="LightList-Accent110"/>
              <w:jc w:val="both"/>
              <w:rPr>
                <w:rFonts w:asciiTheme="minorHAnsi" w:hAnsiTheme="minorHAnsi" w:cstheme="minorHAnsi"/>
                <w:b/>
                <w:bCs/>
                <w:sz w:val="20"/>
                <w:szCs w:val="20"/>
              </w:rPr>
            </w:pPr>
            <w:r w:rsidRPr="009B1C91">
              <w:rPr>
                <w:rFonts w:asciiTheme="minorHAnsi" w:hAnsiTheme="minorHAnsi" w:cstheme="minorHAnsi"/>
                <w:b/>
                <w:bCs/>
                <w:sz w:val="20"/>
                <w:szCs w:val="20"/>
              </w:rPr>
              <w:t>2013</w:t>
            </w:r>
          </w:p>
        </w:tc>
        <w:tc>
          <w:tcPr>
            <w:tcW w:w="5181" w:type="dxa"/>
            <w:shd w:val="clear" w:color="auto" w:fill="auto"/>
            <w:tcMar>
              <w:top w:w="0" w:type="dxa"/>
              <w:left w:w="86" w:type="dxa"/>
              <w:bottom w:w="0" w:type="dxa"/>
              <w:right w:w="86" w:type="dxa"/>
            </w:tcMar>
          </w:tcPr>
          <w:p w:rsidR="00BB189A" w:rsidRPr="009B1C91" w:rsidRDefault="00BB189A" w:rsidP="00F653F8">
            <w:pPr>
              <w:pStyle w:val="LightList-Accent110"/>
              <w:jc w:val="both"/>
              <w:rPr>
                <w:rFonts w:asciiTheme="minorHAnsi" w:hAnsiTheme="minorHAnsi" w:cstheme="minorHAnsi"/>
                <w:sz w:val="20"/>
                <w:szCs w:val="20"/>
              </w:rPr>
            </w:pPr>
            <w:r w:rsidRPr="009B1C91">
              <w:rPr>
                <w:rFonts w:asciiTheme="minorHAnsi" w:hAnsiTheme="minorHAnsi" w:cstheme="minorHAnsi"/>
                <w:sz w:val="20"/>
                <w:szCs w:val="20"/>
              </w:rPr>
              <w:t>84%</w:t>
            </w:r>
          </w:p>
        </w:tc>
      </w:tr>
      <w:tr w:rsidR="00BB189A" w:rsidRPr="009B1C91" w:rsidTr="00E84761">
        <w:trPr>
          <w:cantSplit/>
          <w:trHeight w:val="20"/>
        </w:trPr>
        <w:tc>
          <w:tcPr>
            <w:tcW w:w="2947" w:type="dxa"/>
            <w:shd w:val="clear" w:color="auto" w:fill="auto"/>
            <w:tcMar>
              <w:top w:w="0" w:type="dxa"/>
              <w:left w:w="86" w:type="dxa"/>
              <w:bottom w:w="0" w:type="dxa"/>
              <w:right w:w="86" w:type="dxa"/>
            </w:tcMar>
          </w:tcPr>
          <w:p w:rsidR="00BB189A" w:rsidRPr="009B1C91" w:rsidRDefault="00BB189A" w:rsidP="00F653F8">
            <w:pPr>
              <w:pStyle w:val="LightList-Accent110"/>
              <w:jc w:val="both"/>
              <w:rPr>
                <w:rFonts w:asciiTheme="minorHAnsi" w:hAnsiTheme="minorHAnsi" w:cstheme="minorHAnsi"/>
                <w:b/>
                <w:bCs/>
                <w:sz w:val="20"/>
                <w:szCs w:val="20"/>
              </w:rPr>
            </w:pPr>
            <w:r w:rsidRPr="009B1C91">
              <w:rPr>
                <w:rFonts w:asciiTheme="minorHAnsi" w:hAnsiTheme="minorHAnsi" w:cstheme="minorHAnsi"/>
                <w:b/>
                <w:bCs/>
                <w:sz w:val="20"/>
                <w:szCs w:val="20"/>
              </w:rPr>
              <w:t>2014</w:t>
            </w:r>
          </w:p>
        </w:tc>
        <w:tc>
          <w:tcPr>
            <w:tcW w:w="5181" w:type="dxa"/>
            <w:shd w:val="clear" w:color="auto" w:fill="auto"/>
            <w:tcMar>
              <w:top w:w="0" w:type="dxa"/>
              <w:left w:w="86" w:type="dxa"/>
              <w:bottom w:w="0" w:type="dxa"/>
              <w:right w:w="86" w:type="dxa"/>
            </w:tcMar>
          </w:tcPr>
          <w:p w:rsidR="00BB189A" w:rsidRPr="009B1C91" w:rsidRDefault="00BB189A" w:rsidP="00F653F8">
            <w:pPr>
              <w:pStyle w:val="LightList-Accent110"/>
              <w:jc w:val="both"/>
              <w:rPr>
                <w:rFonts w:asciiTheme="minorHAnsi" w:hAnsiTheme="minorHAnsi" w:cstheme="minorHAnsi"/>
                <w:sz w:val="20"/>
                <w:szCs w:val="20"/>
              </w:rPr>
            </w:pPr>
            <w:r w:rsidRPr="009B1C91">
              <w:rPr>
                <w:rFonts w:asciiTheme="minorHAnsi" w:hAnsiTheme="minorHAnsi" w:cstheme="minorHAnsi"/>
                <w:sz w:val="20"/>
                <w:szCs w:val="20"/>
              </w:rPr>
              <w:t>90%</w:t>
            </w:r>
          </w:p>
        </w:tc>
      </w:tr>
    </w:tbl>
    <w:p w:rsidR="00BB189A" w:rsidRPr="009B1C91" w:rsidRDefault="00BB189A"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        Source: CDMP-II </w:t>
      </w:r>
      <w:r w:rsidR="00066177">
        <w:rPr>
          <w:rFonts w:asciiTheme="minorHAnsi" w:hAnsiTheme="minorHAnsi" w:cstheme="minorHAnsi"/>
          <w:lang w:val="en-US"/>
        </w:rPr>
        <w:t>Value for Money Analysis Report, 2015.</w:t>
      </w:r>
    </w:p>
    <w:p w:rsidR="00D06088" w:rsidRPr="009B1C91" w:rsidRDefault="00D06088" w:rsidP="00F653F8">
      <w:pPr>
        <w:pStyle w:val="Body"/>
        <w:spacing w:after="0" w:line="240" w:lineRule="auto"/>
        <w:jc w:val="both"/>
        <w:rPr>
          <w:rFonts w:asciiTheme="minorHAnsi" w:hAnsiTheme="minorHAnsi" w:cstheme="minorHAnsi"/>
        </w:rPr>
      </w:pPr>
    </w:p>
    <w:p w:rsidR="00BB189A" w:rsidRPr="009B1C91" w:rsidRDefault="00BB189A" w:rsidP="00F653F8">
      <w:pPr>
        <w:pStyle w:val="Default"/>
        <w:jc w:val="both"/>
        <w:rPr>
          <w:rFonts w:asciiTheme="minorHAnsi" w:eastAsia="Calibri" w:hAnsiTheme="minorHAnsi" w:cstheme="minorHAnsi"/>
          <w:sz w:val="22"/>
          <w:szCs w:val="22"/>
        </w:rPr>
      </w:pPr>
      <w:r w:rsidRPr="009B1C91">
        <w:rPr>
          <w:rFonts w:asciiTheme="minorHAnsi" w:eastAsia="Calibri" w:hAnsiTheme="minorHAnsi" w:cstheme="minorHAnsi"/>
          <w:sz w:val="22"/>
          <w:szCs w:val="22"/>
        </w:rPr>
        <w:lastRenderedPageBreak/>
        <w:t xml:space="preserve">The project implementation agency expected to have spent 85% of its available funds by the termination of the program in December 2014. As the UNDP requirement is 96%, budget utilization falls substantially short, indicating inadequate financial planning and implementation capacity.  The evaluation team concur with the observations of the DFID assessment that CDMP II has offered ‘good economy’ (e.g. lower management costs than some other UNDP projects) and exhibited numerous good practice examples over the years.  In terms achieving programme results, most targeted outputs were achieved, as revealed by the key indicators (e.g., number of beneficiaries, skill development through training programmes).  Also, due to CDMP II’s positive economic performance, output visibility, and earned reputation, new programmes in the country are adopting its lessons and principles (e.g. an over $14 m project on Seismic Risk Mitigation and Emergency Preparedness, $125 m project on Urban Resilience Project). The Evaluation Team recognizes that upon implementation of the entire project cycle, benefits of the CDMP II interventions, especially from Early Warning System and Core Family Shelters </w:t>
      </w:r>
      <w:r w:rsidR="00555232" w:rsidRPr="009B1C91">
        <w:rPr>
          <w:rFonts w:asciiTheme="minorHAnsi" w:eastAsia="Calibri" w:hAnsiTheme="minorHAnsi" w:cstheme="minorHAnsi"/>
          <w:color w:val="auto"/>
          <w:sz w:val="22"/>
          <w:szCs w:val="22"/>
          <w:u w:color="FF0000"/>
        </w:rPr>
        <w:t>(see Box 4.1</w:t>
      </w:r>
      <w:r w:rsidRPr="009B1C91">
        <w:rPr>
          <w:rFonts w:asciiTheme="minorHAnsi" w:eastAsia="Calibri" w:hAnsiTheme="minorHAnsi" w:cstheme="minorHAnsi"/>
          <w:color w:val="auto"/>
          <w:sz w:val="22"/>
          <w:szCs w:val="22"/>
          <w:u w:color="FF0000"/>
        </w:rPr>
        <w:t>– VfM),</w:t>
      </w:r>
      <w:r w:rsidRPr="009B1C91">
        <w:rPr>
          <w:rFonts w:asciiTheme="minorHAnsi" w:eastAsia="Calibri" w:hAnsiTheme="minorHAnsi" w:cstheme="minorHAnsi"/>
          <w:sz w:val="22"/>
          <w:szCs w:val="22"/>
        </w:rPr>
        <w:t xml:space="preserve"> would outweigh the costs, and provide extremely high value for money. This is more valid particularly for the Early Warning System (EWS) interventions.  It is important to highlight here that clearer evidence is required to conclude on VfM definitively across all activities and/or components. It also requires close and effective monitoring of results and book keeping on output-based costing. DFID VfM assessment demonstrated the significance of output-based costing, which revealed varying performance by outcome area whereby outcome 1 has been slowest spender and outcome 5 has achieved highest utilization </w:t>
      </w:r>
      <w:r w:rsidRPr="009B1C91">
        <w:rPr>
          <w:rFonts w:asciiTheme="minorHAnsi" w:eastAsia="Calibri" w:hAnsiTheme="minorHAnsi" w:cstheme="minorHAnsi"/>
          <w:color w:val="auto"/>
          <w:sz w:val="22"/>
          <w:szCs w:val="22"/>
        </w:rPr>
        <w:t xml:space="preserve">rate </w:t>
      </w:r>
      <w:r w:rsidRPr="009B1C91">
        <w:rPr>
          <w:rFonts w:asciiTheme="minorHAnsi" w:eastAsia="Calibri" w:hAnsiTheme="minorHAnsi" w:cstheme="minorHAnsi"/>
          <w:color w:val="auto"/>
          <w:sz w:val="22"/>
          <w:szCs w:val="22"/>
          <w:u w:color="FF0000"/>
        </w:rPr>
        <w:t>(Table 4.2.3.2).</w:t>
      </w:r>
    </w:p>
    <w:p w:rsidR="00BB189A" w:rsidRPr="009B1C91" w:rsidRDefault="00BB189A" w:rsidP="00F653F8">
      <w:pPr>
        <w:pStyle w:val="Default"/>
        <w:jc w:val="both"/>
        <w:rPr>
          <w:rFonts w:asciiTheme="minorHAnsi" w:eastAsia="Calibri" w:hAnsiTheme="minorHAnsi" w:cstheme="minorHAnsi"/>
          <w:color w:val="FF0000"/>
          <w:sz w:val="22"/>
          <w:szCs w:val="22"/>
          <w:u w:color="FF0000"/>
        </w:rPr>
      </w:pPr>
    </w:p>
    <w:p w:rsidR="00BB189A" w:rsidRPr="009B1C91" w:rsidRDefault="00BB189A" w:rsidP="00F653F8">
      <w:pPr>
        <w:pStyle w:val="Body"/>
        <w:spacing w:after="0" w:line="240" w:lineRule="auto"/>
        <w:jc w:val="both"/>
        <w:rPr>
          <w:rFonts w:asciiTheme="minorHAnsi" w:hAnsiTheme="minorHAnsi" w:cstheme="minorHAnsi"/>
          <w:b/>
          <w:bCs/>
          <w:lang w:val="en-US"/>
        </w:rPr>
      </w:pPr>
      <w:r w:rsidRPr="009B1C91">
        <w:rPr>
          <w:rFonts w:asciiTheme="minorHAnsi" w:hAnsiTheme="minorHAnsi" w:cstheme="minorHAnsi"/>
          <w:b/>
          <w:bCs/>
          <w:lang w:val="en-US"/>
        </w:rPr>
        <w:t>Table 4.2.3.2:  Expenditure by Outcome Area, CDMP II,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9"/>
        <w:gridCol w:w="3329"/>
        <w:gridCol w:w="2161"/>
      </w:tblGrid>
      <w:tr w:rsidR="00BB189A" w:rsidRPr="009B1C91" w:rsidTr="00637187">
        <w:trPr>
          <w:cantSplit/>
          <w:trHeight w:val="20"/>
        </w:trPr>
        <w:tc>
          <w:tcPr>
            <w:tcW w:w="3979" w:type="dxa"/>
            <w:shd w:val="clear" w:color="auto" w:fill="B6DDE8"/>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b/>
                <w:bCs/>
                <w:sz w:val="20"/>
                <w:szCs w:val="20"/>
              </w:rPr>
            </w:pPr>
            <w:r w:rsidRPr="009B1C91">
              <w:rPr>
                <w:rFonts w:asciiTheme="minorHAnsi" w:hAnsiTheme="minorHAnsi" w:cstheme="minorHAnsi"/>
                <w:b/>
                <w:bCs/>
                <w:sz w:val="20"/>
                <w:szCs w:val="20"/>
              </w:rPr>
              <w:t>Outcome area</w:t>
            </w:r>
          </w:p>
        </w:tc>
        <w:tc>
          <w:tcPr>
            <w:tcW w:w="3329" w:type="dxa"/>
            <w:shd w:val="clear" w:color="auto" w:fill="B6DDE8"/>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b/>
                <w:bCs/>
                <w:sz w:val="20"/>
                <w:szCs w:val="20"/>
              </w:rPr>
            </w:pPr>
            <w:r w:rsidRPr="009B1C91">
              <w:rPr>
                <w:rFonts w:asciiTheme="minorHAnsi" w:hAnsiTheme="minorHAnsi" w:cstheme="minorHAnsi"/>
                <w:b/>
                <w:bCs/>
                <w:sz w:val="20"/>
                <w:szCs w:val="20"/>
              </w:rPr>
              <w:t>Expenditure as of End of 2014 ($)</w:t>
            </w:r>
          </w:p>
        </w:tc>
        <w:tc>
          <w:tcPr>
            <w:tcW w:w="2161" w:type="dxa"/>
            <w:shd w:val="clear" w:color="auto" w:fill="B6DDE8"/>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b/>
                <w:bCs/>
                <w:sz w:val="20"/>
                <w:szCs w:val="20"/>
              </w:rPr>
            </w:pPr>
            <w:r w:rsidRPr="009B1C91">
              <w:rPr>
                <w:rFonts w:asciiTheme="minorHAnsi" w:hAnsiTheme="minorHAnsi" w:cstheme="minorHAnsi"/>
                <w:b/>
                <w:bCs/>
                <w:sz w:val="20"/>
                <w:szCs w:val="20"/>
              </w:rPr>
              <w:t>Budget Utilization</w:t>
            </w:r>
          </w:p>
        </w:tc>
      </w:tr>
      <w:tr w:rsidR="00BB189A" w:rsidRPr="009B1C91" w:rsidTr="00637187">
        <w:trPr>
          <w:cantSplit/>
          <w:trHeight w:val="20"/>
        </w:trPr>
        <w:tc>
          <w:tcPr>
            <w:tcW w:w="3979" w:type="dxa"/>
            <w:shd w:val="clear" w:color="auto" w:fill="B6DDE8"/>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b/>
                <w:bCs/>
                <w:sz w:val="20"/>
                <w:szCs w:val="20"/>
              </w:rPr>
            </w:pPr>
            <w:r w:rsidRPr="009B1C91">
              <w:rPr>
                <w:rFonts w:asciiTheme="minorHAnsi" w:hAnsiTheme="minorHAnsi" w:cstheme="minorHAnsi"/>
                <w:b/>
                <w:bCs/>
                <w:sz w:val="20"/>
                <w:szCs w:val="20"/>
              </w:rPr>
              <w:t>Outcome 1 (institutionalization of DM)</w:t>
            </w:r>
          </w:p>
        </w:tc>
        <w:tc>
          <w:tcPr>
            <w:tcW w:w="3329" w:type="dxa"/>
            <w:shd w:val="clear" w:color="auto" w:fill="D8D8D8"/>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sz w:val="20"/>
                <w:szCs w:val="20"/>
              </w:rPr>
            </w:pPr>
            <w:r w:rsidRPr="009B1C91">
              <w:rPr>
                <w:rFonts w:asciiTheme="minorHAnsi" w:hAnsiTheme="minorHAnsi" w:cstheme="minorHAnsi"/>
                <w:sz w:val="20"/>
                <w:szCs w:val="20"/>
              </w:rPr>
              <w:t>1,997,376</w:t>
            </w:r>
          </w:p>
        </w:tc>
        <w:tc>
          <w:tcPr>
            <w:tcW w:w="2161" w:type="dxa"/>
            <w:shd w:val="clear" w:color="auto" w:fill="D8D8D8"/>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sz w:val="20"/>
                <w:szCs w:val="20"/>
              </w:rPr>
            </w:pPr>
            <w:r w:rsidRPr="009B1C91">
              <w:rPr>
                <w:rFonts w:asciiTheme="minorHAnsi" w:hAnsiTheme="minorHAnsi" w:cstheme="minorHAnsi"/>
                <w:sz w:val="20"/>
                <w:szCs w:val="20"/>
              </w:rPr>
              <w:t>58%</w:t>
            </w:r>
          </w:p>
        </w:tc>
      </w:tr>
      <w:tr w:rsidR="00BB189A" w:rsidRPr="009B1C91" w:rsidTr="00637187">
        <w:trPr>
          <w:cantSplit/>
          <w:trHeight w:val="20"/>
        </w:trPr>
        <w:tc>
          <w:tcPr>
            <w:tcW w:w="3979" w:type="dxa"/>
            <w:shd w:val="clear" w:color="auto" w:fill="B6DDE8"/>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b/>
                <w:bCs/>
                <w:sz w:val="20"/>
                <w:szCs w:val="20"/>
              </w:rPr>
            </w:pPr>
            <w:r w:rsidRPr="009B1C91">
              <w:rPr>
                <w:rFonts w:asciiTheme="minorHAnsi" w:hAnsiTheme="minorHAnsi" w:cstheme="minorHAnsi"/>
                <w:b/>
                <w:bCs/>
                <w:sz w:val="20"/>
                <w:szCs w:val="20"/>
              </w:rPr>
              <w:t>Outcome 2 (LDRRF)</w:t>
            </w:r>
          </w:p>
        </w:tc>
        <w:tc>
          <w:tcPr>
            <w:tcW w:w="3329" w:type="dxa"/>
            <w:shd w:val="clear" w:color="auto" w:fill="auto"/>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sz w:val="20"/>
                <w:szCs w:val="20"/>
              </w:rPr>
            </w:pPr>
            <w:r w:rsidRPr="009B1C91">
              <w:rPr>
                <w:rFonts w:asciiTheme="minorHAnsi" w:hAnsiTheme="minorHAnsi" w:cstheme="minorHAnsi"/>
                <w:sz w:val="20"/>
                <w:szCs w:val="20"/>
              </w:rPr>
              <w:t>22,724,525</w:t>
            </w:r>
          </w:p>
        </w:tc>
        <w:tc>
          <w:tcPr>
            <w:tcW w:w="2161" w:type="dxa"/>
            <w:shd w:val="clear" w:color="auto" w:fill="auto"/>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sz w:val="20"/>
                <w:szCs w:val="20"/>
              </w:rPr>
            </w:pPr>
            <w:r w:rsidRPr="009B1C91">
              <w:rPr>
                <w:rFonts w:asciiTheme="minorHAnsi" w:hAnsiTheme="minorHAnsi" w:cstheme="minorHAnsi"/>
                <w:sz w:val="20"/>
                <w:szCs w:val="20"/>
              </w:rPr>
              <w:t>69%</w:t>
            </w:r>
          </w:p>
        </w:tc>
      </w:tr>
      <w:tr w:rsidR="00BB189A" w:rsidRPr="009B1C91" w:rsidTr="00637187">
        <w:trPr>
          <w:cantSplit/>
          <w:trHeight w:val="20"/>
        </w:trPr>
        <w:tc>
          <w:tcPr>
            <w:tcW w:w="3979" w:type="dxa"/>
            <w:shd w:val="clear" w:color="auto" w:fill="B6DDE8"/>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b/>
                <w:bCs/>
                <w:sz w:val="20"/>
                <w:szCs w:val="20"/>
              </w:rPr>
            </w:pPr>
            <w:r w:rsidRPr="009B1C91">
              <w:rPr>
                <w:rFonts w:asciiTheme="minorHAnsi" w:hAnsiTheme="minorHAnsi" w:cstheme="minorHAnsi"/>
                <w:b/>
                <w:bCs/>
                <w:sz w:val="20"/>
                <w:szCs w:val="20"/>
              </w:rPr>
              <w:t>Outcome 3 (urban risk reduction)</w:t>
            </w:r>
          </w:p>
        </w:tc>
        <w:tc>
          <w:tcPr>
            <w:tcW w:w="3329" w:type="dxa"/>
            <w:shd w:val="clear" w:color="auto" w:fill="D8D8D8"/>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sz w:val="20"/>
                <w:szCs w:val="20"/>
              </w:rPr>
            </w:pPr>
            <w:r w:rsidRPr="009B1C91">
              <w:rPr>
                <w:rFonts w:asciiTheme="minorHAnsi" w:hAnsiTheme="minorHAnsi" w:cstheme="minorHAnsi"/>
                <w:sz w:val="20"/>
                <w:szCs w:val="20"/>
              </w:rPr>
              <w:t>10,661,564</w:t>
            </w:r>
          </w:p>
        </w:tc>
        <w:tc>
          <w:tcPr>
            <w:tcW w:w="2161" w:type="dxa"/>
            <w:shd w:val="clear" w:color="auto" w:fill="D8D8D8"/>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sz w:val="20"/>
                <w:szCs w:val="20"/>
              </w:rPr>
            </w:pPr>
            <w:r w:rsidRPr="009B1C91">
              <w:rPr>
                <w:rFonts w:asciiTheme="minorHAnsi" w:hAnsiTheme="minorHAnsi" w:cstheme="minorHAnsi"/>
                <w:sz w:val="20"/>
                <w:szCs w:val="20"/>
              </w:rPr>
              <w:t>80%</w:t>
            </w:r>
          </w:p>
        </w:tc>
      </w:tr>
      <w:tr w:rsidR="00BB189A" w:rsidRPr="009B1C91" w:rsidTr="00637187">
        <w:trPr>
          <w:cantSplit/>
          <w:trHeight w:val="20"/>
        </w:trPr>
        <w:tc>
          <w:tcPr>
            <w:tcW w:w="3979" w:type="dxa"/>
            <w:shd w:val="clear" w:color="auto" w:fill="B6DDE8"/>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b/>
                <w:bCs/>
                <w:sz w:val="20"/>
                <w:szCs w:val="20"/>
              </w:rPr>
            </w:pPr>
            <w:r w:rsidRPr="009B1C91">
              <w:rPr>
                <w:rFonts w:asciiTheme="minorHAnsi" w:hAnsiTheme="minorHAnsi" w:cstheme="minorHAnsi"/>
                <w:b/>
                <w:bCs/>
                <w:sz w:val="20"/>
                <w:szCs w:val="20"/>
              </w:rPr>
              <w:t>Outcome 4 (early warning)</w:t>
            </w:r>
          </w:p>
        </w:tc>
        <w:tc>
          <w:tcPr>
            <w:tcW w:w="3329" w:type="dxa"/>
            <w:shd w:val="clear" w:color="auto" w:fill="auto"/>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sz w:val="20"/>
                <w:szCs w:val="20"/>
              </w:rPr>
            </w:pPr>
            <w:r w:rsidRPr="009B1C91">
              <w:rPr>
                <w:rFonts w:asciiTheme="minorHAnsi" w:hAnsiTheme="minorHAnsi" w:cstheme="minorHAnsi"/>
                <w:sz w:val="20"/>
                <w:szCs w:val="20"/>
              </w:rPr>
              <w:t>8,016,704</w:t>
            </w:r>
          </w:p>
        </w:tc>
        <w:tc>
          <w:tcPr>
            <w:tcW w:w="2161" w:type="dxa"/>
            <w:shd w:val="clear" w:color="auto" w:fill="auto"/>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sz w:val="20"/>
                <w:szCs w:val="20"/>
              </w:rPr>
            </w:pPr>
            <w:r w:rsidRPr="009B1C91">
              <w:rPr>
                <w:rFonts w:asciiTheme="minorHAnsi" w:hAnsiTheme="minorHAnsi" w:cstheme="minorHAnsi"/>
                <w:sz w:val="20"/>
                <w:szCs w:val="20"/>
              </w:rPr>
              <w:t>75%</w:t>
            </w:r>
          </w:p>
        </w:tc>
      </w:tr>
      <w:tr w:rsidR="00BB189A" w:rsidRPr="009B1C91" w:rsidTr="00637187">
        <w:trPr>
          <w:cantSplit/>
          <w:trHeight w:val="20"/>
        </w:trPr>
        <w:tc>
          <w:tcPr>
            <w:tcW w:w="3979" w:type="dxa"/>
            <w:shd w:val="clear" w:color="auto" w:fill="B6DDE8"/>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b/>
                <w:bCs/>
                <w:sz w:val="20"/>
                <w:szCs w:val="20"/>
              </w:rPr>
            </w:pPr>
            <w:r w:rsidRPr="009B1C91">
              <w:rPr>
                <w:rFonts w:asciiTheme="minorHAnsi" w:hAnsiTheme="minorHAnsi" w:cstheme="minorHAnsi"/>
                <w:b/>
                <w:bCs/>
                <w:sz w:val="20"/>
                <w:szCs w:val="20"/>
              </w:rPr>
              <w:t>Outcome 5 (capacity building)</w:t>
            </w:r>
          </w:p>
        </w:tc>
        <w:tc>
          <w:tcPr>
            <w:tcW w:w="3329" w:type="dxa"/>
            <w:shd w:val="clear" w:color="auto" w:fill="D8D8D8"/>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sz w:val="20"/>
                <w:szCs w:val="20"/>
              </w:rPr>
            </w:pPr>
            <w:r w:rsidRPr="009B1C91">
              <w:rPr>
                <w:rFonts w:asciiTheme="minorHAnsi" w:hAnsiTheme="minorHAnsi" w:cstheme="minorHAnsi"/>
                <w:sz w:val="20"/>
                <w:szCs w:val="20"/>
              </w:rPr>
              <w:t>11,628,440</w:t>
            </w:r>
          </w:p>
        </w:tc>
        <w:tc>
          <w:tcPr>
            <w:tcW w:w="2161" w:type="dxa"/>
            <w:shd w:val="clear" w:color="auto" w:fill="D8D8D8"/>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sz w:val="20"/>
                <w:szCs w:val="20"/>
              </w:rPr>
            </w:pPr>
            <w:r w:rsidRPr="009B1C91">
              <w:rPr>
                <w:rFonts w:asciiTheme="minorHAnsi" w:hAnsiTheme="minorHAnsi" w:cstheme="minorHAnsi"/>
                <w:sz w:val="20"/>
                <w:szCs w:val="20"/>
              </w:rPr>
              <w:t>86%</w:t>
            </w:r>
          </w:p>
        </w:tc>
      </w:tr>
      <w:tr w:rsidR="00BB189A" w:rsidRPr="009B1C91" w:rsidTr="00637187">
        <w:trPr>
          <w:cantSplit/>
          <w:trHeight w:val="20"/>
        </w:trPr>
        <w:tc>
          <w:tcPr>
            <w:tcW w:w="3979" w:type="dxa"/>
            <w:shd w:val="clear" w:color="auto" w:fill="B6DDE8"/>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b/>
                <w:bCs/>
                <w:sz w:val="20"/>
                <w:szCs w:val="20"/>
              </w:rPr>
            </w:pPr>
            <w:r w:rsidRPr="009B1C91">
              <w:rPr>
                <w:rFonts w:asciiTheme="minorHAnsi" w:hAnsiTheme="minorHAnsi" w:cstheme="minorHAnsi"/>
                <w:b/>
                <w:bCs/>
                <w:sz w:val="20"/>
                <w:szCs w:val="20"/>
              </w:rPr>
              <w:t>Outcome 6 (CCA)</w:t>
            </w:r>
          </w:p>
        </w:tc>
        <w:tc>
          <w:tcPr>
            <w:tcW w:w="3329" w:type="dxa"/>
            <w:shd w:val="clear" w:color="auto" w:fill="auto"/>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sz w:val="20"/>
                <w:szCs w:val="20"/>
              </w:rPr>
            </w:pPr>
            <w:r w:rsidRPr="009B1C91">
              <w:rPr>
                <w:rFonts w:asciiTheme="minorHAnsi" w:hAnsiTheme="minorHAnsi" w:cstheme="minorHAnsi"/>
                <w:sz w:val="20"/>
                <w:szCs w:val="20"/>
              </w:rPr>
              <w:t>1,166,469</w:t>
            </w:r>
          </w:p>
        </w:tc>
        <w:tc>
          <w:tcPr>
            <w:tcW w:w="2161" w:type="dxa"/>
            <w:shd w:val="clear" w:color="auto" w:fill="auto"/>
            <w:tcMar>
              <w:top w:w="0" w:type="dxa"/>
              <w:left w:w="86" w:type="dxa"/>
              <w:bottom w:w="0" w:type="dxa"/>
              <w:right w:w="86" w:type="dxa"/>
            </w:tcMar>
          </w:tcPr>
          <w:p w:rsidR="00BB189A" w:rsidRPr="009B1C91" w:rsidRDefault="00BB189A" w:rsidP="00F653F8">
            <w:pPr>
              <w:pStyle w:val="MediumShading2-Accent11"/>
              <w:jc w:val="both"/>
              <w:rPr>
                <w:rFonts w:asciiTheme="minorHAnsi" w:hAnsiTheme="minorHAnsi" w:cstheme="minorHAnsi"/>
                <w:sz w:val="20"/>
                <w:szCs w:val="20"/>
              </w:rPr>
            </w:pPr>
            <w:r w:rsidRPr="009B1C91">
              <w:rPr>
                <w:rFonts w:asciiTheme="minorHAnsi" w:hAnsiTheme="minorHAnsi" w:cstheme="minorHAnsi"/>
                <w:sz w:val="20"/>
                <w:szCs w:val="20"/>
              </w:rPr>
              <w:t>81%</w:t>
            </w:r>
          </w:p>
        </w:tc>
      </w:tr>
    </w:tbl>
    <w:p w:rsidR="00BB189A" w:rsidRPr="009B1C91" w:rsidRDefault="00BB189A" w:rsidP="00F653F8">
      <w:pPr>
        <w:pStyle w:val="Body"/>
        <w:spacing w:after="0" w:line="240" w:lineRule="auto"/>
        <w:jc w:val="both"/>
        <w:rPr>
          <w:rFonts w:asciiTheme="minorHAnsi" w:hAnsiTheme="minorHAnsi" w:cstheme="minorHAnsi"/>
        </w:rPr>
      </w:pPr>
      <w:r w:rsidRPr="009B1C91">
        <w:rPr>
          <w:rFonts w:asciiTheme="minorHAnsi" w:hAnsiTheme="minorHAnsi" w:cstheme="minorHAnsi"/>
          <w:lang w:val="en-US"/>
        </w:rPr>
        <w:t>Source: CDMP-II Value for Money Analysis Report</w:t>
      </w:r>
      <w:r w:rsidR="00066177">
        <w:rPr>
          <w:rFonts w:asciiTheme="minorHAnsi" w:hAnsiTheme="minorHAnsi" w:cstheme="minorHAnsi"/>
          <w:lang w:val="en-US"/>
        </w:rPr>
        <w:t>, 2015.</w:t>
      </w:r>
    </w:p>
    <w:p w:rsidR="00BB189A" w:rsidRPr="009B1C91" w:rsidRDefault="00BB189A" w:rsidP="00F653F8">
      <w:pPr>
        <w:pStyle w:val="Body"/>
        <w:spacing w:after="0" w:line="240" w:lineRule="auto"/>
        <w:jc w:val="both"/>
        <w:rPr>
          <w:rFonts w:asciiTheme="minorHAnsi" w:hAnsiTheme="minorHAnsi" w:cstheme="minorHAnsi"/>
          <w:i/>
          <w:iCs/>
          <w:lang w:val="en-US"/>
        </w:rPr>
      </w:pPr>
    </w:p>
    <w:p w:rsidR="00BB189A" w:rsidRPr="009B1C91" w:rsidRDefault="00BB189A" w:rsidP="00F653F8">
      <w:pPr>
        <w:pStyle w:val="Body"/>
        <w:spacing w:after="0" w:line="240" w:lineRule="auto"/>
        <w:jc w:val="both"/>
        <w:rPr>
          <w:rFonts w:asciiTheme="minorHAnsi" w:hAnsiTheme="minorHAnsi" w:cstheme="minorHAnsi"/>
        </w:rPr>
      </w:pPr>
      <w:r w:rsidRPr="009B1C91">
        <w:rPr>
          <w:rFonts w:asciiTheme="minorHAnsi" w:hAnsiTheme="minorHAnsi" w:cstheme="minorHAnsi"/>
          <w:i/>
          <w:iCs/>
          <w:lang w:val="en-US"/>
        </w:rPr>
        <w:t>Early Recovery Facility (ERF)</w:t>
      </w:r>
      <w:r w:rsidRPr="009B1C91">
        <w:rPr>
          <w:rFonts w:asciiTheme="minorHAnsi" w:hAnsiTheme="minorHAnsi" w:cstheme="minorHAnsi"/>
          <w:lang w:val="en-US"/>
        </w:rPr>
        <w:t xml:space="preserve">: ER project interventions appear to be generally cost-effective. The unit cost of Disaster Resilient Core Family Shelters, for example, was quite competitive market price-wise at the time of implementation. However, the lessons learned from these shelter programmes indicate that linking the disaster shelter programmes with livelihood opportunities make then considerably more efficient and </w:t>
      </w:r>
      <w:r w:rsidRPr="009B1C91">
        <w:rPr>
          <w:rFonts w:asciiTheme="minorHAnsi" w:hAnsiTheme="minorHAnsi" w:cstheme="minorHAnsi"/>
          <w:color w:val="auto"/>
          <w:lang w:val="en-US"/>
        </w:rPr>
        <w:t>effective (</w:t>
      </w:r>
      <w:r w:rsidRPr="009B1C91">
        <w:rPr>
          <w:rFonts w:asciiTheme="minorHAnsi" w:hAnsiTheme="minorHAnsi" w:cstheme="minorHAnsi"/>
          <w:color w:val="auto"/>
          <w:u w:color="FF0000"/>
          <w:lang w:val="en-US"/>
        </w:rPr>
        <w:t>as elaborated in Sub-section 4.1.1).</w:t>
      </w:r>
      <w:r w:rsidRPr="009B1C91">
        <w:rPr>
          <w:rFonts w:asciiTheme="minorHAnsi" w:hAnsiTheme="minorHAnsi" w:cstheme="minorHAnsi"/>
          <w:lang w:val="en-US"/>
        </w:rPr>
        <w:t xml:space="preserve">Under the Kedarbazar Resilient Habitat programme at Kedarbazar, Padmapukur, 43 disaster resistant houses were constructed, at a cost of approximately US $211,754. At the time of its implementation, it was a very innovative initiative. These </w:t>
      </w:r>
      <w:r w:rsidRPr="009B1C91">
        <w:rPr>
          <w:rFonts w:asciiTheme="minorHAnsi" w:hAnsiTheme="minorHAnsi" w:cstheme="minorHAnsi"/>
        </w:rPr>
        <w:t>‘</w:t>
      </w:r>
      <w:r w:rsidRPr="009B1C91">
        <w:rPr>
          <w:rFonts w:asciiTheme="minorHAnsi" w:hAnsiTheme="minorHAnsi" w:cstheme="minorHAnsi"/>
          <w:lang w:val="en-US"/>
        </w:rPr>
        <w:t>resilient housing</w:t>
      </w:r>
      <w:r w:rsidRPr="009B1C91">
        <w:rPr>
          <w:rFonts w:asciiTheme="minorHAnsi" w:hAnsiTheme="minorHAnsi" w:cstheme="minorHAnsi"/>
          <w:lang w:val="fr-FR"/>
        </w:rPr>
        <w:t xml:space="preserve">’ </w:t>
      </w:r>
      <w:r w:rsidRPr="009B1C91">
        <w:rPr>
          <w:rFonts w:asciiTheme="minorHAnsi" w:hAnsiTheme="minorHAnsi" w:cstheme="minorHAnsi"/>
          <w:lang w:val="en-US"/>
        </w:rPr>
        <w:t>structures have provided a sense of dignity, safety and security against catastrophic cyclones and storm surges to the landless recipients. However, the evaluation team learned that the clay-tile roofs are prone to leakage,</w:t>
      </w:r>
      <w:r w:rsidRPr="009B1C91">
        <w:rPr>
          <w:rFonts w:asciiTheme="minorHAnsi" w:hAnsiTheme="minorHAnsi" w:cstheme="minorHAnsi"/>
          <w:lang w:val="fr-FR"/>
        </w:rPr>
        <w:t>revealing</w:t>
      </w:r>
      <w:r w:rsidRPr="009B1C91">
        <w:rPr>
          <w:rFonts w:asciiTheme="minorHAnsi" w:hAnsiTheme="minorHAnsi" w:cstheme="minorHAnsi"/>
          <w:lang w:val="en-US"/>
        </w:rPr>
        <w:t>poor-quality construction; further, the staircases were of poor design and several children were injured falling through the gaps between steps. Subsequently, ERF provided white corrugated iron sheets to address the roof leakage</w:t>
      </w:r>
      <w:r w:rsidRPr="009B1C91">
        <w:rPr>
          <w:rFonts w:asciiTheme="minorHAnsi" w:hAnsiTheme="minorHAnsi" w:cstheme="minorHAnsi"/>
        </w:rPr>
        <w:t xml:space="preserve"> problem</w:t>
      </w:r>
      <w:r w:rsidRPr="009B1C91">
        <w:rPr>
          <w:rFonts w:asciiTheme="minorHAnsi" w:hAnsiTheme="minorHAnsi" w:cstheme="minorHAnsi"/>
          <w:lang w:val="en-US"/>
        </w:rPr>
        <w:t xml:space="preserve">.Even though the quality of </w:t>
      </w:r>
      <w:r w:rsidRPr="009B1C91">
        <w:rPr>
          <w:rFonts w:asciiTheme="minorHAnsi" w:hAnsiTheme="minorHAnsi" w:cstheme="minorHAnsi"/>
        </w:rPr>
        <w:t>‘</w:t>
      </w:r>
      <w:r w:rsidRPr="009B1C91">
        <w:rPr>
          <w:rFonts w:asciiTheme="minorHAnsi" w:hAnsiTheme="minorHAnsi" w:cstheme="minorHAnsi"/>
          <w:lang w:val="en-US"/>
        </w:rPr>
        <w:t>resilient houses</w:t>
      </w:r>
      <w:r w:rsidRPr="009B1C91">
        <w:rPr>
          <w:rFonts w:asciiTheme="minorHAnsi" w:hAnsiTheme="minorHAnsi" w:cstheme="minorHAnsi"/>
          <w:lang w:val="fr-FR"/>
        </w:rPr>
        <w:t xml:space="preserve">’ </w:t>
      </w:r>
      <w:r w:rsidRPr="009B1C91">
        <w:rPr>
          <w:rFonts w:asciiTheme="minorHAnsi" w:hAnsiTheme="minorHAnsi" w:cstheme="minorHAnsi"/>
          <w:lang w:val="en-US"/>
        </w:rPr>
        <w:t>has suffered, economically these shelters proved to be efficient, witha</w:t>
      </w:r>
      <w:r w:rsidRPr="009B1C91">
        <w:rPr>
          <w:rFonts w:asciiTheme="minorHAnsi" w:hAnsiTheme="minorHAnsi" w:cstheme="minorHAnsi"/>
        </w:rPr>
        <w:t xml:space="preserve"> Benefit Cost Ratio (BCR) </w:t>
      </w:r>
      <w:r w:rsidRPr="009B1C91">
        <w:rPr>
          <w:rFonts w:asciiTheme="minorHAnsi" w:hAnsiTheme="minorHAnsi" w:cstheme="minorHAnsi"/>
          <w:lang w:val="en-US"/>
        </w:rPr>
        <w:t>of</w:t>
      </w:r>
      <w:r w:rsidRPr="009B1C91">
        <w:rPr>
          <w:rFonts w:asciiTheme="minorHAnsi" w:hAnsiTheme="minorHAnsi" w:cstheme="minorHAnsi"/>
        </w:rPr>
        <w:t>is 1.88:1.</w:t>
      </w:r>
    </w:p>
    <w:p w:rsidR="00BB189A" w:rsidRPr="009B1C91" w:rsidRDefault="00BB189A" w:rsidP="00F653F8">
      <w:pPr>
        <w:pStyle w:val="Body"/>
        <w:spacing w:after="0" w:line="240" w:lineRule="auto"/>
        <w:jc w:val="both"/>
        <w:rPr>
          <w:rFonts w:asciiTheme="minorHAnsi" w:hAnsiTheme="minorHAnsi" w:cstheme="minorHAnsi"/>
          <w:i/>
          <w:iCs/>
          <w:lang w:val="en-US"/>
        </w:rPr>
      </w:pPr>
    </w:p>
    <w:p w:rsidR="00BB189A" w:rsidRPr="009B1C91" w:rsidRDefault="00BB189A" w:rsidP="00F653F8">
      <w:pPr>
        <w:pStyle w:val="Body"/>
        <w:spacing w:after="0" w:line="240" w:lineRule="auto"/>
        <w:jc w:val="both"/>
        <w:rPr>
          <w:rFonts w:asciiTheme="minorHAnsi" w:hAnsiTheme="minorHAnsi" w:cstheme="minorHAnsi"/>
          <w:i/>
          <w:iCs/>
          <w:lang w:val="en-US"/>
        </w:rPr>
      </w:pPr>
    </w:p>
    <w:p w:rsidR="00BB189A" w:rsidRPr="009B1C91" w:rsidRDefault="00B652A0" w:rsidP="00F653F8">
      <w:pPr>
        <w:pStyle w:val="Body"/>
        <w:spacing w:after="0" w:line="240" w:lineRule="auto"/>
        <w:jc w:val="both"/>
        <w:rPr>
          <w:rFonts w:asciiTheme="minorHAnsi" w:hAnsiTheme="minorHAnsi" w:cstheme="minorHAnsi"/>
          <w:i/>
          <w:iCs/>
          <w:lang w:val="en-US"/>
        </w:rPr>
      </w:pPr>
      <w:r>
        <w:rPr>
          <w:rFonts w:asciiTheme="minorHAnsi" w:hAnsiTheme="minorHAnsi" w:cstheme="minorHAnsi"/>
          <w:i/>
          <w:iCs/>
          <w:noProof/>
          <w:lang w:val="en-US" w:eastAsia="en-US"/>
        </w:rPr>
        <w:lastRenderedPageBreak/>
        <mc:AlternateContent>
          <mc:Choice Requires="wpg">
            <w:drawing>
              <wp:anchor distT="152400" distB="152400" distL="152400" distR="152400" simplePos="0" relativeHeight="251656192" behindDoc="0" locked="0" layoutInCell="1" allowOverlap="1" wp14:anchorId="1CC85295" wp14:editId="4C14E77C">
                <wp:simplePos x="0" y="0"/>
                <wp:positionH relativeFrom="page">
                  <wp:posOffset>914400</wp:posOffset>
                </wp:positionH>
                <wp:positionV relativeFrom="page">
                  <wp:posOffset>683895</wp:posOffset>
                </wp:positionV>
                <wp:extent cx="6000750" cy="7707630"/>
                <wp:effectExtent l="0" t="0" r="19050" b="26670"/>
                <wp:wrapTopAndBottom/>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7707630"/>
                          <a:chOff x="0" y="0"/>
                          <a:chExt cx="6490336" cy="7595869"/>
                        </a:xfrm>
                      </wpg:grpSpPr>
                      <wps:wsp>
                        <wps:cNvPr id="17" name="AutoShape 5"/>
                        <wps:cNvSpPr>
                          <a:spLocks/>
                        </wps:cNvSpPr>
                        <wps:spPr bwMode="auto">
                          <a:xfrm flipH="1">
                            <a:off x="0" y="0"/>
                            <a:ext cx="6490336" cy="7595869"/>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EBF1DE"/>
                          </a:solidFill>
                          <a:ln w="19050">
                            <a:solidFill>
                              <a:srgbClr val="000000"/>
                            </a:solidFill>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AutoShape 6"/>
                        <wps:cNvSpPr>
                          <a:spLocks/>
                        </wps:cNvSpPr>
                        <wps:spPr bwMode="auto">
                          <a:xfrm>
                            <a:off x="0" y="0"/>
                            <a:ext cx="6490336" cy="7595869"/>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EA3B8B" w:rsidRDefault="00EA3B8B" w:rsidP="00A27897">
                              <w:pPr>
                                <w:pStyle w:val="Body"/>
                                <w:spacing w:after="0" w:line="240" w:lineRule="auto"/>
                                <w:jc w:val="center"/>
                                <w:rPr>
                                  <w:b/>
                                  <w:bCs/>
                                  <w:i/>
                                  <w:iCs/>
                                  <w:sz w:val="18"/>
                                  <w:szCs w:val="18"/>
                                  <w:lang w:val="fr-FR"/>
                                </w:rPr>
                              </w:pPr>
                              <w:r>
                                <w:rPr>
                                  <w:b/>
                                  <w:bCs/>
                                  <w:i/>
                                  <w:iCs/>
                                  <w:sz w:val="18"/>
                                  <w:szCs w:val="18"/>
                                  <w:lang w:val="fr-FR"/>
                                </w:rPr>
                                <w:t>Box 4.2 : DisasterResilient Habitat (ERF)</w:t>
                              </w:r>
                            </w:p>
                            <w:p w:rsidR="00EA3B8B" w:rsidRPr="00C3339A" w:rsidRDefault="00EA3B8B" w:rsidP="00A27897">
                              <w:pPr>
                                <w:pStyle w:val="Body"/>
                                <w:spacing w:after="0" w:line="240" w:lineRule="auto"/>
                                <w:jc w:val="center"/>
                                <w:rPr>
                                  <w:b/>
                                  <w:bCs/>
                                  <w:i/>
                                  <w:iCs/>
                                  <w:sz w:val="18"/>
                                  <w:szCs w:val="18"/>
                                </w:rPr>
                              </w:pPr>
                            </w:p>
                            <w:p w:rsidR="00EA3B8B" w:rsidRPr="00120CC7" w:rsidRDefault="00EA3B8B" w:rsidP="00C3339A">
                              <w:pPr>
                                <w:spacing w:after="0" w:line="240" w:lineRule="auto"/>
                                <w:jc w:val="both"/>
                                <w:rPr>
                                  <w:rFonts w:cs="Calibri"/>
                                  <w:i/>
                                  <w:iCs/>
                                  <w:sz w:val="18"/>
                                  <w:szCs w:val="18"/>
                                </w:rPr>
                              </w:pPr>
                              <w:r w:rsidRPr="00120CC7">
                                <w:rPr>
                                  <w:rFonts w:cs="Calibri"/>
                                  <w:sz w:val="18"/>
                                  <w:szCs w:val="18"/>
                                </w:rPr>
                                <w:t>“</w:t>
                              </w:r>
                              <w:r w:rsidRPr="00120CC7">
                                <w:rPr>
                                  <w:rFonts w:cs="Calibri"/>
                                  <w:i/>
                                  <w:iCs/>
                                  <w:sz w:val="18"/>
                                  <w:szCs w:val="18"/>
                                </w:rPr>
                                <w:t xml:space="preserve">It was very helpful that UNDP built that house for us, which we could not afford, and [that] they also gave us 10,000 BDT cash. We do some fishery in the pond to meet our own demand, and occasionally we sell some. Ponds were damaged during Cyclone Aila, [and] we repaired them by ourselves. We think, if there is another cyclone like Aila, then we will not be swamp[ed] away. We can take shelter at our own home; the base of our home is constructed very strongly. We got training on health, on sanitation issues, and what should we do during disaster[s] and how should we prepare ourselves. Now we are [more] prepared than ever before…” </w:t>
                              </w:r>
                              <w:r w:rsidRPr="00120CC7">
                                <w:rPr>
                                  <w:rFonts w:cs="Calibri"/>
                                  <w:sz w:val="18"/>
                                  <w:szCs w:val="18"/>
                                </w:rPr>
                                <w:t>Alauddin Par (40), a beneficiary of Kedarbazar Disaster Resilient Habitat</w:t>
                              </w:r>
                            </w:p>
                            <w:p w:rsidR="00EA3B8B" w:rsidRPr="00C3339A" w:rsidRDefault="00EA3B8B" w:rsidP="00C3339A">
                              <w:pPr>
                                <w:spacing w:after="0" w:line="240" w:lineRule="auto"/>
                                <w:jc w:val="both"/>
                                <w:rPr>
                                  <w:rFonts w:cs="Calibri"/>
                                  <w:i/>
                                  <w:iCs/>
                                  <w:sz w:val="18"/>
                                  <w:szCs w:val="18"/>
                                </w:rPr>
                              </w:pPr>
                            </w:p>
                            <w:p w:rsidR="00EA3B8B" w:rsidRPr="00120CC7" w:rsidRDefault="00EA3B8B" w:rsidP="00C3339A">
                              <w:pPr>
                                <w:spacing w:after="0" w:line="240" w:lineRule="auto"/>
                                <w:jc w:val="both"/>
                                <w:rPr>
                                  <w:rFonts w:cs="Calibri"/>
                                  <w:sz w:val="18"/>
                                  <w:szCs w:val="18"/>
                                </w:rPr>
                              </w:pPr>
                              <w:r w:rsidRPr="00120CC7">
                                <w:rPr>
                                  <w:rFonts w:cs="Calibri"/>
                                  <w:sz w:val="18"/>
                                  <w:szCs w:val="18"/>
                                </w:rPr>
                                <w:t>Reflecting on changes made by the Disaster Resilient Habitat (DRH), constructed in 2011 and aiming to reduce risks and exposure to consequences of extreme natural events (such as, tidal surges, cyclones), Mr. Par expressed the above. The UNDP-supported DRH programme, as a component of the Early Recovery Facility (ERF) (2011-2015) project, intended to strengthen the community</w:t>
                              </w:r>
                              <w:r w:rsidRPr="00120CC7">
                                <w:rPr>
                                  <w:rFonts w:cs="Calibri"/>
                                  <w:sz w:val="18"/>
                                  <w:szCs w:val="18"/>
                                  <w:lang w:val="fr-FR"/>
                                </w:rPr>
                                <w:t>’</w:t>
                              </w:r>
                              <w:r w:rsidRPr="00120CC7">
                                <w:rPr>
                                  <w:rFonts w:cs="Calibri"/>
                                  <w:sz w:val="18"/>
                                  <w:szCs w:val="18"/>
                                </w:rPr>
                                <w:t>s resilience and provide income-generating opportunities for community members in the village of KederbazarAdarsha Gram, situated in northeast Padmapukur union in Satkhira district. The village – known as Adarsha Gram - was established for 68 families with 43 households in 1987. In 2009, cyclone Aila completely destroyed the village and left the area inundated for months.</w:t>
                              </w:r>
                            </w:p>
                            <w:p w:rsidR="00EA3B8B" w:rsidRPr="00C3339A" w:rsidRDefault="00EA3B8B" w:rsidP="00C3339A">
                              <w:pPr>
                                <w:pStyle w:val="Default"/>
                                <w:jc w:val="both"/>
                                <w:rPr>
                                  <w:rFonts w:ascii="Calibri" w:eastAsia="Calibri" w:hAnsi="Calibri" w:cs="Calibri"/>
                                  <w:sz w:val="18"/>
                                  <w:szCs w:val="18"/>
                                </w:rPr>
                              </w:pPr>
                            </w:p>
                            <w:p w:rsidR="00EA3B8B" w:rsidRPr="00120CC7" w:rsidRDefault="00EA3B8B" w:rsidP="00C3339A">
                              <w:pPr>
                                <w:pStyle w:val="Default"/>
                                <w:jc w:val="both"/>
                                <w:rPr>
                                  <w:rFonts w:ascii="Calibri" w:eastAsia="Calibri" w:hAnsi="Calibri" w:cs="Calibri"/>
                                  <w:sz w:val="18"/>
                                  <w:szCs w:val="18"/>
                                </w:rPr>
                              </w:pPr>
                              <w:r w:rsidRPr="00120CC7">
                                <w:rPr>
                                  <w:rFonts w:ascii="Calibri" w:eastAsia="Calibri" w:hAnsi="Calibri" w:cs="Calibri"/>
                                  <w:sz w:val="18"/>
                                  <w:szCs w:val="18"/>
                                </w:rPr>
                                <w:t xml:space="preserve">In order to restore the lives of these villagers and improve their coping ability, UNDP and BRAC, in cooperation with the Department of Architecture of BRAC University, extended their support to reconstruct the village’s infrastructure. Under the Early Recovery Facility (ERF) project, this initiative was carried out in cooperation with local inhabitants and administration between November 2009 and October 2011 by applying the concept of “build back better“after a disaster.  The UNDP Early Recovery Facility (ERF) project promotes national ownership of the post-disaster early recovery process through the fullest possible engagement of national and local authorities in the planning, execution, and monitoring of recovery actions. The ERF Project is working towards establishing a coordinated early-recovery mechanism in Bangladesh by setting up a functional early-recovery mechanism, enhancing the capability of the government’s disaster management officials, and networking disaster management volunteers ready to respond during emergencies. </w:t>
                              </w:r>
                            </w:p>
                            <w:p w:rsidR="00EA3B8B" w:rsidRPr="00C3339A" w:rsidRDefault="00EA3B8B" w:rsidP="00A27897">
                              <w:pPr>
                                <w:spacing w:after="0" w:line="240" w:lineRule="auto"/>
                                <w:jc w:val="both"/>
                                <w:rPr>
                                  <w:rFonts w:cs="Calibri"/>
                                  <w:sz w:val="18"/>
                                  <w:szCs w:val="18"/>
                                </w:rPr>
                              </w:pPr>
                            </w:p>
                            <w:p w:rsidR="00EA3B8B" w:rsidRPr="00120CC7" w:rsidRDefault="00EA3B8B" w:rsidP="00A27897">
                              <w:pPr>
                                <w:spacing w:after="0" w:line="240" w:lineRule="auto"/>
                                <w:jc w:val="both"/>
                                <w:rPr>
                                  <w:rFonts w:cs="Calibri"/>
                                  <w:b/>
                                  <w:bCs/>
                                  <w:sz w:val="18"/>
                                  <w:szCs w:val="18"/>
                                </w:rPr>
                              </w:pPr>
                              <w:r w:rsidRPr="00120CC7">
                                <w:rPr>
                                  <w:rFonts w:cs="Calibri"/>
                                  <w:sz w:val="18"/>
                                  <w:szCs w:val="18"/>
                                </w:rPr>
                                <w:t>As a component of ERF, in the village of Kederbazar</w:t>
                              </w:r>
                              <w:r>
                                <w:rPr>
                                  <w:rFonts w:cs="Calibri"/>
                                  <w:sz w:val="18"/>
                                  <w:szCs w:val="18"/>
                                </w:rPr>
                                <w:t xml:space="preserve"> </w:t>
                              </w:r>
                              <w:r w:rsidRPr="00120CC7">
                                <w:rPr>
                                  <w:rFonts w:cs="Calibri"/>
                                  <w:sz w:val="18"/>
                                  <w:szCs w:val="18"/>
                                </w:rPr>
                                <w:t xml:space="preserve">Adarsha Gram the concept of tile-covered structures elevated on pillars was applied to 43 houses with the intention of exploring new options for disaster-resilient habitats in exposed coastal areas. The estimated </w:t>
                              </w:r>
                              <w:r w:rsidRPr="00120CC7">
                                <w:rPr>
                                  <w:rFonts w:cs="Calibri"/>
                                  <w:b/>
                                  <w:bCs/>
                                  <w:sz w:val="18"/>
                                  <w:szCs w:val="18"/>
                                </w:rPr>
                                <w:t>Value for Money of th</w:t>
                              </w:r>
                              <w:r>
                                <w:rPr>
                                  <w:rFonts w:cs="Calibri"/>
                                  <w:b/>
                                  <w:bCs/>
                                  <w:sz w:val="18"/>
                                  <w:szCs w:val="18"/>
                                </w:rPr>
                                <w:t>e DRH is: Net Present Value (NPV</w:t>
                              </w:r>
                              <w:r w:rsidRPr="00120CC7">
                                <w:rPr>
                                  <w:rFonts w:cs="Calibri"/>
                                  <w:b/>
                                  <w:bCs/>
                                  <w:sz w:val="18"/>
                                  <w:szCs w:val="18"/>
                                </w:rPr>
                                <w:t xml:space="preserve">) is Tk. </w:t>
                              </w:r>
                              <w:r w:rsidRPr="00120CC7">
                                <w:rPr>
                                  <w:rFonts w:cs="Calibri"/>
                                  <w:sz w:val="18"/>
                                  <w:szCs w:val="18"/>
                                </w:rPr>
                                <w:t>468,000</w:t>
                              </w:r>
                              <w:r w:rsidRPr="00120CC7">
                                <w:rPr>
                                  <w:rFonts w:cs="Calibri"/>
                                  <w:b/>
                                  <w:bCs/>
                                  <w:sz w:val="18"/>
                                  <w:szCs w:val="18"/>
                                </w:rPr>
                                <w:t>, Benefit Cost Ratio (BCR) is 1.88:1, and Internal Rate of Return (IRR) is 10.50%.</w:t>
                              </w:r>
                            </w:p>
                            <w:p w:rsidR="00EA3B8B" w:rsidRPr="00C3339A" w:rsidRDefault="00EA3B8B" w:rsidP="00A27897">
                              <w:pPr>
                                <w:spacing w:after="0" w:line="240" w:lineRule="auto"/>
                                <w:jc w:val="both"/>
                                <w:rPr>
                                  <w:rFonts w:cs="Calibri"/>
                                  <w:b/>
                                  <w:bCs/>
                                  <w:sz w:val="18"/>
                                  <w:szCs w:val="18"/>
                                </w:rPr>
                              </w:pPr>
                            </w:p>
                            <w:p w:rsidR="00EA3B8B" w:rsidRPr="00120CC7" w:rsidRDefault="00EA3B8B" w:rsidP="00A27897">
                              <w:pPr>
                                <w:spacing w:after="0" w:line="240" w:lineRule="auto"/>
                                <w:jc w:val="both"/>
                                <w:rPr>
                                  <w:rFonts w:cs="Calibri"/>
                                  <w:sz w:val="18"/>
                                  <w:szCs w:val="18"/>
                                </w:rPr>
                              </w:pPr>
                              <w:r w:rsidRPr="00120CC7">
                                <w:rPr>
                                  <w:rFonts w:cs="Calibri"/>
                                  <w:sz w:val="18"/>
                                  <w:szCs w:val="18"/>
                                </w:rPr>
                                <w:t>The adopted design, along with the fully participatory design and implementation concept, appeared viable and successful in the initial phase. However, the design exhibited some deficiencies due to extreme ‘physical exposure‘</w:t>
                              </w:r>
                              <w:r>
                                <w:rPr>
                                  <w:rFonts w:cs="Calibri"/>
                                  <w:sz w:val="18"/>
                                  <w:szCs w:val="18"/>
                                </w:rPr>
                                <w:t xml:space="preserve"> </w:t>
                              </w:r>
                              <w:r w:rsidRPr="00120CC7">
                                <w:rPr>
                                  <w:rFonts w:cs="Calibri"/>
                                  <w:sz w:val="18"/>
                                  <w:szCs w:val="18"/>
                                </w:rPr>
                                <w:t xml:space="preserve">of the location and ongoing usage of the structures.  Over time, it became evident that the community was unable to properly maintain the infrastructure due to inadequate engagement with income-generating activities. </w:t>
                              </w:r>
                            </w:p>
                            <w:p w:rsidR="00EA3B8B" w:rsidRPr="00C3339A" w:rsidRDefault="00EA3B8B" w:rsidP="00A27897">
                              <w:pPr>
                                <w:spacing w:after="0" w:line="240" w:lineRule="auto"/>
                                <w:jc w:val="both"/>
                                <w:rPr>
                                  <w:rFonts w:cs="Calibri"/>
                                  <w:sz w:val="18"/>
                                  <w:szCs w:val="18"/>
                                </w:rPr>
                              </w:pPr>
                            </w:p>
                            <w:p w:rsidR="00EA3B8B" w:rsidRPr="00120CC7" w:rsidRDefault="00EA3B8B" w:rsidP="00A27897">
                              <w:pPr>
                                <w:spacing w:after="0" w:line="240" w:lineRule="auto"/>
                                <w:jc w:val="both"/>
                                <w:rPr>
                                  <w:rFonts w:cs="Calibri"/>
                                  <w:sz w:val="18"/>
                                  <w:szCs w:val="18"/>
                                </w:rPr>
                              </w:pPr>
                              <w:r w:rsidRPr="00120CC7">
                                <w:rPr>
                                  <w:rFonts w:cs="Calibri"/>
                                  <w:sz w:val="18"/>
                                  <w:szCs w:val="18"/>
                                </w:rPr>
                                <w:t xml:space="preserve">In order to ensure sustainability of the project and durably strengthen the community's resilience to disasters and climate change-induced vulnerability, UNDP intended to commit additional funds for structural rehabilitation, infrastructure improvement, and capacity building on WASH awareness and livelihood sensitization. This marked the beginning of phase II of the DRH project in Kederbazar. </w:t>
                              </w:r>
                            </w:p>
                            <w:p w:rsidR="00EA3B8B" w:rsidRPr="00C3339A" w:rsidRDefault="00EA3B8B" w:rsidP="00A27897">
                              <w:pPr>
                                <w:spacing w:after="0" w:line="240" w:lineRule="auto"/>
                                <w:jc w:val="both"/>
                                <w:rPr>
                                  <w:rFonts w:cs="Calibri"/>
                                  <w:sz w:val="18"/>
                                  <w:szCs w:val="18"/>
                                </w:rPr>
                              </w:pPr>
                            </w:p>
                            <w:p w:rsidR="00EA3B8B" w:rsidRPr="00120CC7" w:rsidRDefault="00EA3B8B" w:rsidP="00A27897">
                              <w:pPr>
                                <w:spacing w:after="0" w:line="240" w:lineRule="auto"/>
                                <w:jc w:val="both"/>
                                <w:rPr>
                                  <w:rFonts w:cs="Calibri"/>
                                  <w:sz w:val="18"/>
                                  <w:szCs w:val="18"/>
                                </w:rPr>
                              </w:pPr>
                              <w:r w:rsidRPr="00120CC7">
                                <w:rPr>
                                  <w:rFonts w:cs="Calibri"/>
                                  <w:sz w:val="18"/>
                                  <w:szCs w:val="18"/>
                                </w:rPr>
                                <w:t>Social power structures play a role in the state vulnerability of the poor. “</w:t>
                              </w:r>
                              <w:r w:rsidRPr="00120CC7">
                                <w:rPr>
                                  <w:rFonts w:cs="Calibri"/>
                                  <w:i/>
                                  <w:iCs/>
                                  <w:sz w:val="18"/>
                                  <w:szCs w:val="18"/>
                                </w:rPr>
                                <w:t>Because of shrimp farm[s] (gher) we the poor people are suffering most. For example, previously people cultivated paddy [and] from that we used to get straw as fuel for five to six months. Besides that, we produce vegetables around our homestead and used to work in the paddy field and carry paddy at farmers</w:t>
                              </w:r>
                              <w:r w:rsidRPr="00120CC7">
                                <w:rPr>
                                  <w:rFonts w:cs="Calibri"/>
                                  <w:i/>
                                  <w:iCs/>
                                  <w:sz w:val="18"/>
                                  <w:szCs w:val="18"/>
                                  <w:lang w:val="fr-FR"/>
                                </w:rPr>
                                <w:t xml:space="preserve">’ </w:t>
                              </w:r>
                              <w:r w:rsidRPr="00120CC7">
                                <w:rPr>
                                  <w:rFonts w:cs="Calibri"/>
                                  <w:i/>
                                  <w:iCs/>
                                  <w:sz w:val="18"/>
                                  <w:szCs w:val="18"/>
                                </w:rPr>
                                <w:t xml:space="preserve">house, and they give us paddy which was enough for five to six months’ household demands of rice. Now we do not have that opportunity, now everybody is leasing their land to shrimp businessman. Shrimp farms (gher) contain salt water, and during cyclones salty water increases very rapidly. Moreover, because of salty water [from] shrimp farms we cannot grow vegetables, and our trees do not grow quickly. For earning, we have to look for our own way and many of us have to migrate to outside for seasonal works, even the females...” </w:t>
                              </w:r>
                              <w:r w:rsidRPr="00120CC7">
                                <w:rPr>
                                  <w:rFonts w:cs="Calibri"/>
                                  <w:sz w:val="18"/>
                                  <w:szCs w:val="18"/>
                                </w:rPr>
                                <w:t>Alauddin Par (40), a beneficiary of Kedarbazar Disaster Resilient Habitat.</w:t>
                              </w:r>
                            </w:p>
                            <w:p w:rsidR="00EA3B8B" w:rsidRPr="00C3339A" w:rsidRDefault="00EA3B8B" w:rsidP="00A27897">
                              <w:pPr>
                                <w:spacing w:after="0" w:line="240" w:lineRule="auto"/>
                                <w:jc w:val="both"/>
                                <w:rPr>
                                  <w:rFonts w:cs="Calibri"/>
                                  <w:sz w:val="8"/>
                                  <w:szCs w:val="18"/>
                                </w:rPr>
                              </w:pPr>
                            </w:p>
                            <w:p w:rsidR="00EA3B8B" w:rsidRPr="00120CC7" w:rsidRDefault="00EA3B8B" w:rsidP="00A27897">
                              <w:pPr>
                                <w:spacing w:after="0" w:line="240" w:lineRule="auto"/>
                                <w:jc w:val="both"/>
                                <w:rPr>
                                  <w:rFonts w:cs="Calibri"/>
                                  <w:i/>
                                  <w:iCs/>
                                  <w:sz w:val="18"/>
                                  <w:szCs w:val="18"/>
                                </w:rPr>
                              </w:pPr>
                              <w:r w:rsidRPr="00120CC7">
                                <w:rPr>
                                  <w:rFonts w:cs="Calibri"/>
                                  <w:sz w:val="18"/>
                                  <w:szCs w:val="18"/>
                                </w:rPr>
                                <w:t>The villagers exhibit resilience to these social stresses through migration and other adaptive measures while their vulnerability to disasters is reduced significantly by the DRH houses.</w:t>
                              </w:r>
                            </w:p>
                            <w:p w:rsidR="00EA3B8B" w:rsidRDefault="00EA3B8B" w:rsidP="00BB189A">
                              <w:pPr>
                                <w:pStyle w:val="Default"/>
                                <w:jc w:val="both"/>
                                <w:rPr>
                                  <w:rFonts w:ascii="Calibri" w:eastAsia="Calibri" w:hAnsi="Calibri" w:cs="Calibri"/>
                                  <w:sz w:val="18"/>
                                  <w:szCs w:val="18"/>
                                </w:rPr>
                              </w:pPr>
                            </w:p>
                            <w:p w:rsidR="00EA3B8B" w:rsidRDefault="00EA3B8B" w:rsidP="00BB189A">
                              <w:pPr>
                                <w:pStyle w:val="Body"/>
                                <w:spacing w:after="0" w:line="240" w:lineRule="auto"/>
                                <w:jc w:val="both"/>
                                <w:rPr>
                                  <w:b/>
                                  <w:bCs/>
                                  <w:sz w:val="20"/>
                                  <w:szCs w:val="20"/>
                                </w:rPr>
                              </w:pPr>
                            </w:p>
                            <w:p w:rsidR="00EA3B8B" w:rsidRDefault="00EA3B8B" w:rsidP="00BB189A">
                              <w:pPr>
                                <w:pStyle w:val="Body"/>
                                <w:spacing w:after="0" w:line="240" w:lineRule="auto"/>
                                <w:jc w:val="both"/>
                                <w:rPr>
                                  <w:sz w:val="20"/>
                                  <w:szCs w:val="20"/>
                                </w:rPr>
                              </w:pPr>
                            </w:p>
                            <w:p w:rsidR="00EA3B8B" w:rsidRDefault="00EA3B8B" w:rsidP="00BB189A">
                              <w:pPr>
                                <w:pStyle w:val="Body"/>
                                <w:spacing w:after="0" w:line="240" w:lineRule="auto"/>
                                <w:jc w:val="both"/>
                                <w:rPr>
                                  <w:sz w:val="20"/>
                                  <w:szCs w:val="20"/>
                                </w:rPr>
                              </w:pPr>
                            </w:p>
                            <w:p w:rsidR="00EA3B8B" w:rsidRDefault="00EA3B8B" w:rsidP="00BB189A">
                              <w:pPr>
                                <w:pStyle w:val="Body"/>
                                <w:spacing w:after="0" w:line="240" w:lineRule="auto"/>
                                <w:jc w:val="both"/>
                                <w:rPr>
                                  <w:rFonts w:ascii="Times New Roman" w:eastAsia="Arial Unicode MS" w:hAnsi="Times New Roman" w:cs="Times New Roman"/>
                                  <w:color w:val="auto"/>
                                  <w:sz w:val="20"/>
                                  <w:szCs w:val="20"/>
                                </w:rPr>
                              </w:pPr>
                            </w:p>
                          </w:txbxContent>
                        </wps:txbx>
                        <wps:bodyPr rot="0" vert="horz" wrap="square" lIns="91439" tIns="91439" rIns="91439" bIns="91439"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85295" id="Group 4" o:spid="_x0000_s1083" style="position:absolute;left:0;text-align:left;margin-left:1in;margin-top:53.85pt;width:472.5pt;height:606.9pt;z-index:251656192;mso-wrap-distance-left:12pt;mso-wrap-distance-top:12pt;mso-wrap-distance-right:12pt;mso-wrap-distance-bottom:12pt;mso-position-horizontal-relative:page;mso-position-vertical-relative:page" coordsize="64903,7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Hb2QQAAAUSAAAOAAAAZHJzL2Uyb0RvYy54bWzsWEtv4zYQvhfofyB0LKBYsmXJMuIsYltO&#10;F0jbBZKiZ1pvVBJVko6cFv3vHQ4lRX5ts5ti0UN8kElxNJz5ZjjfSNcf9mVBnmIuclYtDPvKMkhc&#10;hSzKq3Rh/Pq4MWcGEZJWES1YFS+M51gYH26+/+66qefxmGWsiGJOQEkl5k29MDIp6/loJMIsLqm4&#10;YnVcwWLCeEklTHk6ijhtQHtZjMaW5Y4axqOaszAWAu6u9aJxg/qTJA7lL0kiYkmKhQG2SbxyvG7V&#10;dXRzTecpp3WWh60Z9CusKGlewaa9qjWVlOx4fqKqzEPOBEvkVcjKEUuSPIzRB/DGto68ueNsV6Mv&#10;6bxJ6x4mgPYIp69WG/789ImTPILYuQapaAkxwm2Jo7Bp6nQOIne8fqg/ce0gDO9Z+LuA5dHxupqn&#10;Wphsm59YBOroTjLEZp/wUqkAr8keQ/DchyDeSxLCTdeyLG8KkQphzfMsz520QQoziOTJc2EWdE86&#10;vjWZgBP45NSfzlxfuTCic70xGtsapzyDhBMvmIq3YfqQ0TrGUAkFWIep12F6CyCgDJlqXFGsA1UM&#10;ER2sKCMFAH8eS5IUef0jRA7R/Syq/4YNnYc7Ie9ihgGiT/dC6pMRwQjDHrXJ8QixScoCDskPI2Jb&#10;M8siDRnbELf2LPWC9olgdl5wfCJ4QePkRPCCRudE8ILG6YngBY2QV6/zGiJ+JDjQCLmYdojSrAM5&#10;3FctyjAiVFVOC0NaM6ESXkEOp+HRbtMZpFRILggDmkp48iphAEoJY06CcZ/XDBgoYW+oWT/Ums+h&#10;3B4XWm4QKLRbnRw1lcprZb0akmZh6NQhWTdSayV7ih8ZSsmjEw/7vawW1VCq1QQmYiqCZLfe/deo&#10;7UWuT9uLshr5c3JhwUSsy4tyBetM755CZXCeBCvyaJMXhXJJ8HS7Kjh5okBJwXJjr4MW0AOxolLo&#10;2L4FxRAfu6gDKib8zukocwnkWuRlX2azmEZBFeHZljQv9BjdV5vEyJhdXkJNboOlqjOy2V+3m6nl&#10;OZOZ6XnTielMAstczjYr83Zlu64XLFfLwP5bGWw78yyPorgKUCckMnI83H9doW1pXtNiT6+9gcpa&#10;tgP3HrKoIVEugNknU38MRSfKgd/HnkaF0CKFxiSUkIecyd9ymWEZ7o7YQTRmUM5mHZK9dgztYOPR&#10;iW9aYg95DUh2qAHd6OKtuWbLomco5GCD2lq1TDDIGP/TIA20HwtD/LGjPDZI8bECLvJtxwExiRNn&#10;6o1hwocr2+EKrUJQtTCkAeVDDVcSZvDIruZ5msFOmiMqpngoyVVxR/u0Ve0E6PBb8SJ0hbrXeOFF&#10;V2Wwwgzo8228iLlxpldQWYw9xjsbnifidzZ8Z0NNaR1jdv+aOaGgALu+lQ0rpqgQKajARqa/8QU8&#10;5Ft+MAtmjumM3cB0rPXavN2sHNPd2N50PVmvVusjHlKb/jckdMDTBwSywd8pFQ8oQ7cBmieQcntq&#10;9e2xYy3HvrlxZ57pbJyp6XvWzLRsf+m7luM7680htd7nVfx2l7DPUHz5DfqMvitQpnd0eQjD/6XD&#10;wIPQ29t2MS8mX2Z6ud/u8Y1av7kqSvty8p/4HflDJ6AmPfmriSb/dqUjf+xx3kr/+JIM3xrQ0fa7&#10;iPqYMZzDePj15uYfAAAA//8DAFBLAwQUAAYACAAAACEAHTLgfeEAAAANAQAADwAAAGRycy9kb3du&#10;cmV2LnhtbExPy27CMBC8V+o/WFupt+KER6FpHIRQ2xNCKlRC3Ey8JBHxOopNEv6+y6m9zeyMZmfS&#10;5WBr0WHrK0cK4lEEAil3pqJCwc/+82UBwgdNRteOUMENPSyzx4dUJ8b19I3dLhSCQ8gnWkEZQpNI&#10;6fMSrfYj1yCxdnat1YFpW0jT6p7DbS3HUfQqra6IP5S6wXWJ+WV3tQq+et2vJvFHt7mc17fjfrY9&#10;bGJU6vlpWL2DCDiEPzPc63N1yLjTyV3JeFEzn055S2AQzecg7o5o8canE6PJOJ6BzFL5f0X2CwAA&#10;//8DAFBLAQItABQABgAIAAAAIQC2gziS/gAAAOEBAAATAAAAAAAAAAAAAAAAAAAAAABbQ29udGVu&#10;dF9UeXBlc10ueG1sUEsBAi0AFAAGAAgAAAAhADj9If/WAAAAlAEAAAsAAAAAAAAAAAAAAAAALwEA&#10;AF9yZWxzLy5yZWxzUEsBAi0AFAAGAAgAAAAhAAelsdvZBAAABRIAAA4AAAAAAAAAAAAAAAAALgIA&#10;AGRycy9lMm9Eb2MueG1sUEsBAi0AFAAGAAgAAAAhAB0y4H3hAAAADQEAAA8AAAAAAAAAAAAAAAAA&#10;MwcAAGRycy9kb3ducmV2LnhtbFBLBQYAAAAABAAEAPMAAABBCAAAAAA=&#10;">
                <v:shape id="AutoShape 5" o:spid="_x0000_s1084" style="position:absolute;width:64903;height:7595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NBcEA&#10;AADbAAAADwAAAGRycy9kb3ducmV2LnhtbERP24rCMBB9F/Yfwiz4ponL4qUaZV1Y8MELXj5gbMa2&#10;2ExKk631740g+DaHc53ZorWlaKj2hWMNg74CQZw6U3Cm4XT8641B+IBssHRMGu7kYTH/6MwwMe7G&#10;e2oOIRMxhH2CGvIQqkRKn+Zk0fddRRy5i6sthgjrTJoabzHclvJLqaG0WHBsyLGi35zS6+Hfatht&#10;3VFNBme13ox3S3/ft9+mWWrd/Wx/piACteEtfrlXJs4fwfOXe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sDQXBAAAA2wAAAA8AAAAAAAAAAAAAAAAAmAIAAGRycy9kb3du&#10;cmV2LnhtbFBLBQYAAAAABAAEAPUAAACGAwAAAAA=&#10;" path="m,l21600,r,21600l,21600,,xe" fillcolor="#ebf1de" strokeweight="1.5pt">
                  <v:stroke miterlimit="0" joinstyle="miter"/>
                  <v:path arrowok="t" o:connecttype="custom" o:connectlocs="3245168,3797935;3245168,3797935;3245168,3797935;3245168,3797935" o:connectangles="0,0,0,0"/>
                </v:shape>
                <v:shape id="AutoShape 6" o:spid="_x0000_s1085" style="position:absolute;width:64903;height:75958;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1+yMUA&#10;AADbAAAADwAAAGRycy9kb3ducmV2LnhtbESPT0sDMRDF70K/Q5iCN5tVaJG1adFFRamH/kM8Dpsx&#10;u7iZLJuYbr995yB4m+G9ee83y/XoO5VpiG1gA7ezAhRxHWzLzsDx8HJzDyomZItdYDJwpgjr1eRq&#10;iaUNJ95R3ienJIRjiQaalPpS61g35DHOQk8s2ncYPCZZB6ftgCcJ952+K4qF9tiyNDTYU9VQ/bP/&#10;9QbyMX9Wm/e5c8/b16evYv5RVbk25no6Pj6ASjSmf/Pf9ZsVfIGVX2Q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3X7IxQAAANsAAAAPAAAAAAAAAAAAAAAAAJgCAABkcnMv&#10;ZG93bnJldi54bWxQSwUGAAAAAAQABAD1AAAAigMAAAAA&#10;" adj="-11796480,,5400" path="m,l21600,r,21600l,21600,,xe" filled="f" stroked="f" strokeweight="1pt">
                  <v:stroke miterlimit="0" joinstyle="miter"/>
                  <v:formulas/>
                  <v:path arrowok="t" o:connecttype="custom" o:connectlocs="3245168,3797935;3245168,3797935;3245168,3797935;3245168,3797935" o:connectangles="0,0,0,0" textboxrect="0,0,21600,21600"/>
                  <v:textbox inset="2.53997mm,2.53997mm,2.53997mm,2.53997mm">
                    <w:txbxContent>
                      <w:p w:rsidR="00EA3B8B" w:rsidRDefault="00EA3B8B" w:rsidP="00A27897">
                        <w:pPr>
                          <w:pStyle w:val="Body"/>
                          <w:spacing w:after="0" w:line="240" w:lineRule="auto"/>
                          <w:jc w:val="center"/>
                          <w:rPr>
                            <w:b/>
                            <w:bCs/>
                            <w:i/>
                            <w:iCs/>
                            <w:sz w:val="18"/>
                            <w:szCs w:val="18"/>
                            <w:lang w:val="fr-FR"/>
                          </w:rPr>
                        </w:pPr>
                        <w:r>
                          <w:rPr>
                            <w:b/>
                            <w:bCs/>
                            <w:i/>
                            <w:iCs/>
                            <w:sz w:val="18"/>
                            <w:szCs w:val="18"/>
                            <w:lang w:val="fr-FR"/>
                          </w:rPr>
                          <w:t>Box 4.2 : DisasterResilient Habitat (ERF)</w:t>
                        </w:r>
                      </w:p>
                      <w:p w:rsidR="00EA3B8B" w:rsidRPr="00C3339A" w:rsidRDefault="00EA3B8B" w:rsidP="00A27897">
                        <w:pPr>
                          <w:pStyle w:val="Body"/>
                          <w:spacing w:after="0" w:line="240" w:lineRule="auto"/>
                          <w:jc w:val="center"/>
                          <w:rPr>
                            <w:b/>
                            <w:bCs/>
                            <w:i/>
                            <w:iCs/>
                            <w:sz w:val="18"/>
                            <w:szCs w:val="18"/>
                          </w:rPr>
                        </w:pPr>
                      </w:p>
                      <w:p w:rsidR="00EA3B8B" w:rsidRPr="00120CC7" w:rsidRDefault="00EA3B8B" w:rsidP="00C3339A">
                        <w:pPr>
                          <w:spacing w:after="0" w:line="240" w:lineRule="auto"/>
                          <w:jc w:val="both"/>
                          <w:rPr>
                            <w:rFonts w:cs="Calibri"/>
                            <w:i/>
                            <w:iCs/>
                            <w:sz w:val="18"/>
                            <w:szCs w:val="18"/>
                          </w:rPr>
                        </w:pPr>
                        <w:r w:rsidRPr="00120CC7">
                          <w:rPr>
                            <w:rFonts w:cs="Calibri"/>
                            <w:sz w:val="18"/>
                            <w:szCs w:val="18"/>
                          </w:rPr>
                          <w:t>“</w:t>
                        </w:r>
                        <w:r w:rsidRPr="00120CC7">
                          <w:rPr>
                            <w:rFonts w:cs="Calibri"/>
                            <w:i/>
                            <w:iCs/>
                            <w:sz w:val="18"/>
                            <w:szCs w:val="18"/>
                          </w:rPr>
                          <w:t xml:space="preserve">It was very helpful that UNDP built that house for us, which we could not afford, and [that] they also gave us 10,000 BDT cash. We do some fishery in the pond to meet our own demand, and occasionally we sell some. Ponds were damaged during Cyclone Aila, [and] we repaired them by ourselves. We think, if there is another cyclone like Aila, then we will not be swamp[ed] away. We can take shelter at our own home; the base of our home is constructed very strongly. We got training on health, on sanitation issues, and what should we do during disaster[s] and how should we prepare ourselves. Now we are [more] prepared than ever before…” </w:t>
                        </w:r>
                        <w:r w:rsidRPr="00120CC7">
                          <w:rPr>
                            <w:rFonts w:cs="Calibri"/>
                            <w:sz w:val="18"/>
                            <w:szCs w:val="18"/>
                          </w:rPr>
                          <w:t>Alauddin Par (40), a beneficiary of Kedarbazar Disaster Resilient Habitat</w:t>
                        </w:r>
                      </w:p>
                      <w:p w:rsidR="00EA3B8B" w:rsidRPr="00C3339A" w:rsidRDefault="00EA3B8B" w:rsidP="00C3339A">
                        <w:pPr>
                          <w:spacing w:after="0" w:line="240" w:lineRule="auto"/>
                          <w:jc w:val="both"/>
                          <w:rPr>
                            <w:rFonts w:cs="Calibri"/>
                            <w:i/>
                            <w:iCs/>
                            <w:sz w:val="18"/>
                            <w:szCs w:val="18"/>
                          </w:rPr>
                        </w:pPr>
                      </w:p>
                      <w:p w:rsidR="00EA3B8B" w:rsidRPr="00120CC7" w:rsidRDefault="00EA3B8B" w:rsidP="00C3339A">
                        <w:pPr>
                          <w:spacing w:after="0" w:line="240" w:lineRule="auto"/>
                          <w:jc w:val="both"/>
                          <w:rPr>
                            <w:rFonts w:cs="Calibri"/>
                            <w:sz w:val="18"/>
                            <w:szCs w:val="18"/>
                          </w:rPr>
                        </w:pPr>
                        <w:r w:rsidRPr="00120CC7">
                          <w:rPr>
                            <w:rFonts w:cs="Calibri"/>
                            <w:sz w:val="18"/>
                            <w:szCs w:val="18"/>
                          </w:rPr>
                          <w:t>Reflecting on changes made by the Disaster Resilient Habitat (DRH), constructed in 2011 and aiming to reduce risks and exposure to consequences of extreme natural events (such as, tidal surges, cyclones), Mr. Par expressed the above. The UNDP-supported DRH programme, as a component of the Early Recovery Facility (ERF) (2011-2015) project, intended to strengthen the community</w:t>
                        </w:r>
                        <w:r w:rsidRPr="00120CC7">
                          <w:rPr>
                            <w:rFonts w:cs="Calibri"/>
                            <w:sz w:val="18"/>
                            <w:szCs w:val="18"/>
                            <w:lang w:val="fr-FR"/>
                          </w:rPr>
                          <w:t>’</w:t>
                        </w:r>
                        <w:r w:rsidRPr="00120CC7">
                          <w:rPr>
                            <w:rFonts w:cs="Calibri"/>
                            <w:sz w:val="18"/>
                            <w:szCs w:val="18"/>
                          </w:rPr>
                          <w:t>s resilience and provide income-generating opportunities for community members in the village of KederbazarAdarsha Gram, situated in northeast Padmapukur union in Satkhira district. The village – known as Adarsha Gram - was established for 68 families with 43 households in 1987. In 2009, cyclone Aila completely destroyed the village and left the area inundated for months.</w:t>
                        </w:r>
                      </w:p>
                      <w:p w:rsidR="00EA3B8B" w:rsidRPr="00C3339A" w:rsidRDefault="00EA3B8B" w:rsidP="00C3339A">
                        <w:pPr>
                          <w:pStyle w:val="Default"/>
                          <w:jc w:val="both"/>
                          <w:rPr>
                            <w:rFonts w:ascii="Calibri" w:eastAsia="Calibri" w:hAnsi="Calibri" w:cs="Calibri"/>
                            <w:sz w:val="18"/>
                            <w:szCs w:val="18"/>
                          </w:rPr>
                        </w:pPr>
                      </w:p>
                      <w:p w:rsidR="00EA3B8B" w:rsidRPr="00120CC7" w:rsidRDefault="00EA3B8B" w:rsidP="00C3339A">
                        <w:pPr>
                          <w:pStyle w:val="Default"/>
                          <w:jc w:val="both"/>
                          <w:rPr>
                            <w:rFonts w:ascii="Calibri" w:eastAsia="Calibri" w:hAnsi="Calibri" w:cs="Calibri"/>
                            <w:sz w:val="18"/>
                            <w:szCs w:val="18"/>
                          </w:rPr>
                        </w:pPr>
                        <w:r w:rsidRPr="00120CC7">
                          <w:rPr>
                            <w:rFonts w:ascii="Calibri" w:eastAsia="Calibri" w:hAnsi="Calibri" w:cs="Calibri"/>
                            <w:sz w:val="18"/>
                            <w:szCs w:val="18"/>
                          </w:rPr>
                          <w:t xml:space="preserve">In order to restore the lives of these villagers and improve their coping ability, UNDP and BRAC, in cooperation with the Department of Architecture of BRAC University, extended their support to reconstruct the village’s infrastructure. Under the Early Recovery Facility (ERF) project, this initiative was carried out in cooperation with local inhabitants and administration between November 2009 and October 2011 by applying the concept of “build back better“after a disaster.  The UNDP Early Recovery Facility (ERF) project promotes national ownership of the post-disaster early recovery process through the fullest possible engagement of national and local authorities in the planning, execution, and monitoring of recovery actions. The ERF Project is working towards establishing a coordinated early-recovery mechanism in Bangladesh by setting up a functional early-recovery mechanism, enhancing the capability of the government’s disaster management officials, and networking disaster management volunteers ready to respond during emergencies. </w:t>
                        </w:r>
                      </w:p>
                      <w:p w:rsidR="00EA3B8B" w:rsidRPr="00C3339A" w:rsidRDefault="00EA3B8B" w:rsidP="00A27897">
                        <w:pPr>
                          <w:spacing w:after="0" w:line="240" w:lineRule="auto"/>
                          <w:jc w:val="both"/>
                          <w:rPr>
                            <w:rFonts w:cs="Calibri"/>
                            <w:sz w:val="18"/>
                            <w:szCs w:val="18"/>
                          </w:rPr>
                        </w:pPr>
                      </w:p>
                      <w:p w:rsidR="00EA3B8B" w:rsidRPr="00120CC7" w:rsidRDefault="00EA3B8B" w:rsidP="00A27897">
                        <w:pPr>
                          <w:spacing w:after="0" w:line="240" w:lineRule="auto"/>
                          <w:jc w:val="both"/>
                          <w:rPr>
                            <w:rFonts w:cs="Calibri"/>
                            <w:b/>
                            <w:bCs/>
                            <w:sz w:val="18"/>
                            <w:szCs w:val="18"/>
                          </w:rPr>
                        </w:pPr>
                        <w:r w:rsidRPr="00120CC7">
                          <w:rPr>
                            <w:rFonts w:cs="Calibri"/>
                            <w:sz w:val="18"/>
                            <w:szCs w:val="18"/>
                          </w:rPr>
                          <w:t>As a component of ERF, in the village of Kederbazar</w:t>
                        </w:r>
                        <w:r>
                          <w:rPr>
                            <w:rFonts w:cs="Calibri"/>
                            <w:sz w:val="18"/>
                            <w:szCs w:val="18"/>
                          </w:rPr>
                          <w:t xml:space="preserve"> </w:t>
                        </w:r>
                        <w:r w:rsidRPr="00120CC7">
                          <w:rPr>
                            <w:rFonts w:cs="Calibri"/>
                            <w:sz w:val="18"/>
                            <w:szCs w:val="18"/>
                          </w:rPr>
                          <w:t xml:space="preserve">Adarsha Gram the concept of tile-covered structures elevated on pillars was applied to 43 houses with the intention of exploring new options for disaster-resilient habitats in exposed coastal areas. The estimated </w:t>
                        </w:r>
                        <w:r w:rsidRPr="00120CC7">
                          <w:rPr>
                            <w:rFonts w:cs="Calibri"/>
                            <w:b/>
                            <w:bCs/>
                            <w:sz w:val="18"/>
                            <w:szCs w:val="18"/>
                          </w:rPr>
                          <w:t>Value for Money of th</w:t>
                        </w:r>
                        <w:r>
                          <w:rPr>
                            <w:rFonts w:cs="Calibri"/>
                            <w:b/>
                            <w:bCs/>
                            <w:sz w:val="18"/>
                            <w:szCs w:val="18"/>
                          </w:rPr>
                          <w:t>e DRH is: Net Present Value (NPV</w:t>
                        </w:r>
                        <w:r w:rsidRPr="00120CC7">
                          <w:rPr>
                            <w:rFonts w:cs="Calibri"/>
                            <w:b/>
                            <w:bCs/>
                            <w:sz w:val="18"/>
                            <w:szCs w:val="18"/>
                          </w:rPr>
                          <w:t xml:space="preserve">) is Tk. </w:t>
                        </w:r>
                        <w:r w:rsidRPr="00120CC7">
                          <w:rPr>
                            <w:rFonts w:cs="Calibri"/>
                            <w:sz w:val="18"/>
                            <w:szCs w:val="18"/>
                          </w:rPr>
                          <w:t>468,000</w:t>
                        </w:r>
                        <w:r w:rsidRPr="00120CC7">
                          <w:rPr>
                            <w:rFonts w:cs="Calibri"/>
                            <w:b/>
                            <w:bCs/>
                            <w:sz w:val="18"/>
                            <w:szCs w:val="18"/>
                          </w:rPr>
                          <w:t>, Benefit Cost Ratio (BCR) is 1.88:1, and Internal Rate of Return (IRR) is 10.50%.</w:t>
                        </w:r>
                      </w:p>
                      <w:p w:rsidR="00EA3B8B" w:rsidRPr="00C3339A" w:rsidRDefault="00EA3B8B" w:rsidP="00A27897">
                        <w:pPr>
                          <w:spacing w:after="0" w:line="240" w:lineRule="auto"/>
                          <w:jc w:val="both"/>
                          <w:rPr>
                            <w:rFonts w:cs="Calibri"/>
                            <w:b/>
                            <w:bCs/>
                            <w:sz w:val="18"/>
                            <w:szCs w:val="18"/>
                          </w:rPr>
                        </w:pPr>
                      </w:p>
                      <w:p w:rsidR="00EA3B8B" w:rsidRPr="00120CC7" w:rsidRDefault="00EA3B8B" w:rsidP="00A27897">
                        <w:pPr>
                          <w:spacing w:after="0" w:line="240" w:lineRule="auto"/>
                          <w:jc w:val="both"/>
                          <w:rPr>
                            <w:rFonts w:cs="Calibri"/>
                            <w:sz w:val="18"/>
                            <w:szCs w:val="18"/>
                          </w:rPr>
                        </w:pPr>
                        <w:r w:rsidRPr="00120CC7">
                          <w:rPr>
                            <w:rFonts w:cs="Calibri"/>
                            <w:sz w:val="18"/>
                            <w:szCs w:val="18"/>
                          </w:rPr>
                          <w:t>The adopted design, along with the fully participatory design and implementation concept, appeared viable and successful in the initial phase. However, the design exhibited some deficiencies due to extreme ‘physical exposure‘</w:t>
                        </w:r>
                        <w:r>
                          <w:rPr>
                            <w:rFonts w:cs="Calibri"/>
                            <w:sz w:val="18"/>
                            <w:szCs w:val="18"/>
                          </w:rPr>
                          <w:t xml:space="preserve"> </w:t>
                        </w:r>
                        <w:r w:rsidRPr="00120CC7">
                          <w:rPr>
                            <w:rFonts w:cs="Calibri"/>
                            <w:sz w:val="18"/>
                            <w:szCs w:val="18"/>
                          </w:rPr>
                          <w:t xml:space="preserve">of the location and ongoing usage of the structures.  Over time, it became evident that the community was unable to properly maintain the infrastructure due to inadequate engagement with income-generating activities. </w:t>
                        </w:r>
                      </w:p>
                      <w:p w:rsidR="00EA3B8B" w:rsidRPr="00C3339A" w:rsidRDefault="00EA3B8B" w:rsidP="00A27897">
                        <w:pPr>
                          <w:spacing w:after="0" w:line="240" w:lineRule="auto"/>
                          <w:jc w:val="both"/>
                          <w:rPr>
                            <w:rFonts w:cs="Calibri"/>
                            <w:sz w:val="18"/>
                            <w:szCs w:val="18"/>
                          </w:rPr>
                        </w:pPr>
                      </w:p>
                      <w:p w:rsidR="00EA3B8B" w:rsidRPr="00120CC7" w:rsidRDefault="00EA3B8B" w:rsidP="00A27897">
                        <w:pPr>
                          <w:spacing w:after="0" w:line="240" w:lineRule="auto"/>
                          <w:jc w:val="both"/>
                          <w:rPr>
                            <w:rFonts w:cs="Calibri"/>
                            <w:sz w:val="18"/>
                            <w:szCs w:val="18"/>
                          </w:rPr>
                        </w:pPr>
                        <w:r w:rsidRPr="00120CC7">
                          <w:rPr>
                            <w:rFonts w:cs="Calibri"/>
                            <w:sz w:val="18"/>
                            <w:szCs w:val="18"/>
                          </w:rPr>
                          <w:t xml:space="preserve">In order to ensure sustainability of the project and durably strengthen the community's resilience to disasters and climate change-induced vulnerability, UNDP intended to commit additional funds for structural rehabilitation, infrastructure improvement, and capacity building on WASH awareness and livelihood sensitization. This marked the beginning of phase II of the DRH project in Kederbazar. </w:t>
                        </w:r>
                      </w:p>
                      <w:p w:rsidR="00EA3B8B" w:rsidRPr="00C3339A" w:rsidRDefault="00EA3B8B" w:rsidP="00A27897">
                        <w:pPr>
                          <w:spacing w:after="0" w:line="240" w:lineRule="auto"/>
                          <w:jc w:val="both"/>
                          <w:rPr>
                            <w:rFonts w:cs="Calibri"/>
                            <w:sz w:val="18"/>
                            <w:szCs w:val="18"/>
                          </w:rPr>
                        </w:pPr>
                      </w:p>
                      <w:p w:rsidR="00EA3B8B" w:rsidRPr="00120CC7" w:rsidRDefault="00EA3B8B" w:rsidP="00A27897">
                        <w:pPr>
                          <w:spacing w:after="0" w:line="240" w:lineRule="auto"/>
                          <w:jc w:val="both"/>
                          <w:rPr>
                            <w:rFonts w:cs="Calibri"/>
                            <w:sz w:val="18"/>
                            <w:szCs w:val="18"/>
                          </w:rPr>
                        </w:pPr>
                        <w:r w:rsidRPr="00120CC7">
                          <w:rPr>
                            <w:rFonts w:cs="Calibri"/>
                            <w:sz w:val="18"/>
                            <w:szCs w:val="18"/>
                          </w:rPr>
                          <w:t>Social power structures play a role in the state vulnerability of the poor. “</w:t>
                        </w:r>
                        <w:r w:rsidRPr="00120CC7">
                          <w:rPr>
                            <w:rFonts w:cs="Calibri"/>
                            <w:i/>
                            <w:iCs/>
                            <w:sz w:val="18"/>
                            <w:szCs w:val="18"/>
                          </w:rPr>
                          <w:t>Because of shrimp farm[s] (gher) we the poor people are suffering most. For example, previously people cultivated paddy [and] from that we used to get straw as fuel for five to six months. Besides that, we produce vegetables around our homestead and used to work in the paddy field and carry paddy at farmers</w:t>
                        </w:r>
                        <w:r w:rsidRPr="00120CC7">
                          <w:rPr>
                            <w:rFonts w:cs="Calibri"/>
                            <w:i/>
                            <w:iCs/>
                            <w:sz w:val="18"/>
                            <w:szCs w:val="18"/>
                            <w:lang w:val="fr-FR"/>
                          </w:rPr>
                          <w:t xml:space="preserve">’ </w:t>
                        </w:r>
                        <w:r w:rsidRPr="00120CC7">
                          <w:rPr>
                            <w:rFonts w:cs="Calibri"/>
                            <w:i/>
                            <w:iCs/>
                            <w:sz w:val="18"/>
                            <w:szCs w:val="18"/>
                          </w:rPr>
                          <w:t xml:space="preserve">house, and they give us paddy which was enough for five to six months’ household demands of rice. Now we do not have that opportunity, now everybody is leasing their land to shrimp businessman. Shrimp farms (gher) contain salt water, and during cyclones salty water increases very rapidly. Moreover, because of salty water [from] shrimp farms we cannot grow vegetables, and our trees do not grow quickly. For earning, we have to look for our own way and many of us have to migrate to outside for seasonal works, even the females...” </w:t>
                        </w:r>
                        <w:r w:rsidRPr="00120CC7">
                          <w:rPr>
                            <w:rFonts w:cs="Calibri"/>
                            <w:sz w:val="18"/>
                            <w:szCs w:val="18"/>
                          </w:rPr>
                          <w:t>Alauddin Par (40), a beneficiary of Kedarbazar Disaster Resilient Habitat.</w:t>
                        </w:r>
                      </w:p>
                      <w:p w:rsidR="00EA3B8B" w:rsidRPr="00C3339A" w:rsidRDefault="00EA3B8B" w:rsidP="00A27897">
                        <w:pPr>
                          <w:spacing w:after="0" w:line="240" w:lineRule="auto"/>
                          <w:jc w:val="both"/>
                          <w:rPr>
                            <w:rFonts w:cs="Calibri"/>
                            <w:sz w:val="8"/>
                            <w:szCs w:val="18"/>
                          </w:rPr>
                        </w:pPr>
                      </w:p>
                      <w:p w:rsidR="00EA3B8B" w:rsidRPr="00120CC7" w:rsidRDefault="00EA3B8B" w:rsidP="00A27897">
                        <w:pPr>
                          <w:spacing w:after="0" w:line="240" w:lineRule="auto"/>
                          <w:jc w:val="both"/>
                          <w:rPr>
                            <w:rFonts w:cs="Calibri"/>
                            <w:i/>
                            <w:iCs/>
                            <w:sz w:val="18"/>
                            <w:szCs w:val="18"/>
                          </w:rPr>
                        </w:pPr>
                        <w:r w:rsidRPr="00120CC7">
                          <w:rPr>
                            <w:rFonts w:cs="Calibri"/>
                            <w:sz w:val="18"/>
                            <w:szCs w:val="18"/>
                          </w:rPr>
                          <w:t>The villagers exhibit resilience to these social stresses through migration and other adaptive measures while their vulnerability to disasters is reduced significantly by the DRH houses.</w:t>
                        </w:r>
                      </w:p>
                      <w:p w:rsidR="00EA3B8B" w:rsidRDefault="00EA3B8B" w:rsidP="00BB189A">
                        <w:pPr>
                          <w:pStyle w:val="Default"/>
                          <w:jc w:val="both"/>
                          <w:rPr>
                            <w:rFonts w:ascii="Calibri" w:eastAsia="Calibri" w:hAnsi="Calibri" w:cs="Calibri"/>
                            <w:sz w:val="18"/>
                            <w:szCs w:val="18"/>
                          </w:rPr>
                        </w:pPr>
                      </w:p>
                      <w:p w:rsidR="00EA3B8B" w:rsidRDefault="00EA3B8B" w:rsidP="00BB189A">
                        <w:pPr>
                          <w:pStyle w:val="Body"/>
                          <w:spacing w:after="0" w:line="240" w:lineRule="auto"/>
                          <w:jc w:val="both"/>
                          <w:rPr>
                            <w:b/>
                            <w:bCs/>
                            <w:sz w:val="20"/>
                            <w:szCs w:val="20"/>
                          </w:rPr>
                        </w:pPr>
                      </w:p>
                      <w:p w:rsidR="00EA3B8B" w:rsidRDefault="00EA3B8B" w:rsidP="00BB189A">
                        <w:pPr>
                          <w:pStyle w:val="Body"/>
                          <w:spacing w:after="0" w:line="240" w:lineRule="auto"/>
                          <w:jc w:val="both"/>
                          <w:rPr>
                            <w:sz w:val="20"/>
                            <w:szCs w:val="20"/>
                          </w:rPr>
                        </w:pPr>
                      </w:p>
                      <w:p w:rsidR="00EA3B8B" w:rsidRDefault="00EA3B8B" w:rsidP="00BB189A">
                        <w:pPr>
                          <w:pStyle w:val="Body"/>
                          <w:spacing w:after="0" w:line="240" w:lineRule="auto"/>
                          <w:jc w:val="both"/>
                          <w:rPr>
                            <w:sz w:val="20"/>
                            <w:szCs w:val="20"/>
                          </w:rPr>
                        </w:pPr>
                      </w:p>
                      <w:p w:rsidR="00EA3B8B" w:rsidRDefault="00EA3B8B" w:rsidP="00BB189A">
                        <w:pPr>
                          <w:pStyle w:val="Body"/>
                          <w:spacing w:after="0" w:line="240" w:lineRule="auto"/>
                          <w:jc w:val="both"/>
                          <w:rPr>
                            <w:rFonts w:ascii="Times New Roman" w:eastAsia="Arial Unicode MS" w:hAnsi="Times New Roman" w:cs="Times New Roman"/>
                            <w:color w:val="auto"/>
                            <w:sz w:val="20"/>
                            <w:szCs w:val="20"/>
                          </w:rPr>
                        </w:pPr>
                      </w:p>
                    </w:txbxContent>
                  </v:textbox>
                </v:shape>
                <w10:wrap type="topAndBottom" anchorx="page" anchory="page"/>
              </v:group>
            </w:pict>
          </mc:Fallback>
        </mc:AlternateContent>
      </w:r>
      <w:r w:rsidR="00BB189A" w:rsidRPr="009B1C91">
        <w:rPr>
          <w:rFonts w:asciiTheme="minorHAnsi" w:hAnsiTheme="minorHAnsi" w:cstheme="minorHAnsi"/>
          <w:i/>
          <w:iCs/>
          <w:lang w:val="en-US"/>
        </w:rPr>
        <w:t xml:space="preserve">Poverty Environment Climate Mainstreaming (PECM): </w:t>
      </w:r>
      <w:r w:rsidR="00BB189A" w:rsidRPr="009B1C91">
        <w:rPr>
          <w:rFonts w:asciiTheme="minorHAnsi" w:hAnsiTheme="minorHAnsi" w:cstheme="minorHAnsi"/>
          <w:lang w:val="en-US"/>
        </w:rPr>
        <w:t>All outputs have been delivered within the stipulated timeframe o</w:t>
      </w:r>
      <w:r w:rsidR="00837842">
        <w:rPr>
          <w:rFonts w:asciiTheme="minorHAnsi" w:hAnsiTheme="minorHAnsi" w:cstheme="minorHAnsi"/>
          <w:lang w:val="en-US"/>
        </w:rPr>
        <w:t>f 3.25 years</w:t>
      </w:r>
      <w:r w:rsidR="00BB189A" w:rsidRPr="009B1C91">
        <w:rPr>
          <w:rFonts w:asciiTheme="minorHAnsi" w:hAnsiTheme="minorHAnsi" w:cstheme="minorHAnsi"/>
          <w:color w:val="auto"/>
          <w:u w:color="FF0000"/>
          <w:lang w:val="en-US"/>
        </w:rPr>
        <w:t>.</w:t>
      </w:r>
      <w:r w:rsidR="00A109A2">
        <w:rPr>
          <w:rFonts w:asciiTheme="minorHAnsi" w:hAnsiTheme="minorHAnsi" w:cstheme="minorHAnsi"/>
          <w:color w:val="auto"/>
          <w:u w:color="FF0000"/>
          <w:lang w:val="en-US"/>
        </w:rPr>
        <w:t xml:space="preserve"> </w:t>
      </w:r>
      <w:r w:rsidR="00BB189A" w:rsidRPr="009B1C91">
        <w:rPr>
          <w:rFonts w:asciiTheme="minorHAnsi" w:hAnsiTheme="minorHAnsi" w:cstheme="minorHAnsi"/>
          <w:lang w:val="en-US"/>
        </w:rPr>
        <w:t>Necessary line alloca</w:t>
      </w:r>
      <w:r w:rsidR="00CC5264" w:rsidRPr="009B1C91">
        <w:rPr>
          <w:rFonts w:asciiTheme="minorHAnsi" w:hAnsiTheme="minorHAnsi" w:cstheme="minorHAnsi"/>
          <w:lang w:val="en-US"/>
        </w:rPr>
        <w:t xml:space="preserve">tions were </w:t>
      </w:r>
      <w:r w:rsidR="00837842">
        <w:rPr>
          <w:rFonts w:asciiTheme="minorHAnsi" w:hAnsiTheme="minorHAnsi" w:cstheme="minorHAnsi"/>
          <w:lang w:val="en-US"/>
        </w:rPr>
        <w:t>adjusted</w:t>
      </w:r>
      <w:r w:rsidR="00BB189A" w:rsidRPr="009B1C91">
        <w:rPr>
          <w:rFonts w:asciiTheme="minorHAnsi" w:hAnsiTheme="minorHAnsi" w:cstheme="minorHAnsi"/>
          <w:lang w:val="en-US"/>
        </w:rPr>
        <w:t xml:space="preserve">, more was spent on Outputs 3 and 5 than the budgeted allocation, and the over- expenditure was adjusted by cuts in Output </w:t>
      </w:r>
      <w:r w:rsidR="00BB189A" w:rsidRPr="009B1C91">
        <w:rPr>
          <w:rFonts w:asciiTheme="minorHAnsi" w:hAnsiTheme="minorHAnsi" w:cstheme="minorHAnsi"/>
          <w:lang w:val="en-US"/>
        </w:rPr>
        <w:lastRenderedPageBreak/>
        <w:t>1 and Output 6. The delivery efforts were conducted with respect to economic dimensions. Although the results can hardly be monetized, the PECM interventions tend to generate high Value for Money, particularly considering relatively small budget ($1.0 m).</w:t>
      </w:r>
    </w:p>
    <w:p w:rsidR="00BB189A" w:rsidRPr="009B1C91" w:rsidRDefault="00BB189A" w:rsidP="00F653F8">
      <w:pPr>
        <w:pStyle w:val="Body"/>
        <w:spacing w:after="0" w:line="240" w:lineRule="auto"/>
        <w:jc w:val="both"/>
        <w:rPr>
          <w:rFonts w:asciiTheme="minorHAnsi" w:hAnsiTheme="minorHAnsi" w:cstheme="minorHAnsi"/>
          <w:b/>
          <w:bCs/>
          <w:lang w:val="en-US"/>
        </w:rPr>
      </w:pPr>
    </w:p>
    <w:p w:rsidR="00BB189A" w:rsidRPr="009B1C91" w:rsidRDefault="00BB189A"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i/>
          <w:iCs/>
          <w:lang w:val="en-US"/>
        </w:rPr>
        <w:t>Community Based Adaptation to Climate Change through Costal Afforestation in Bangladesh (CBACC-CF)</w:t>
      </w:r>
      <w:r w:rsidRPr="009B1C91">
        <w:rPr>
          <w:rFonts w:asciiTheme="minorHAnsi" w:hAnsiTheme="minorHAnsi" w:cstheme="minorHAnsi"/>
          <w:lang w:val="en-US"/>
        </w:rPr>
        <w:t xml:space="preserve">: Both the MTR and evaluation team observed that the project disbursement is relatively low at 76% as of 2014 (4th year of the project implementation period). Coastal communities have not only pursued regular, short-term and medium-term alternative income options, but also planted forest tree species on their </w:t>
      </w:r>
      <w:r w:rsidR="00A109A2" w:rsidRPr="009B1C91">
        <w:rPr>
          <w:rFonts w:asciiTheme="minorHAnsi" w:hAnsiTheme="minorHAnsi" w:cstheme="minorHAnsi"/>
          <w:lang w:val="en-US"/>
        </w:rPr>
        <w:t>dikes in</w:t>
      </w:r>
      <w:r w:rsidRPr="009B1C91">
        <w:rPr>
          <w:rFonts w:asciiTheme="minorHAnsi" w:hAnsiTheme="minorHAnsi" w:cstheme="minorHAnsi"/>
          <w:lang w:val="en-US"/>
        </w:rPr>
        <w:t xml:space="preserve"> order to reap long-term benefits. Planting trees and palms on dikes provided communities with long-term timber and mid-term fuel wood from branch pruning, as well as food (e.g., coconut) products. The project has until now been able to increase the average annual income of landless and marginalized groups through enhancing their adaptive capacity. The Triple F Model is an important component of the CBACC-CF project that provides very high value for money with a BCR as high as 5: 1. Many of the planned outputs are ahead of schedule, while others are generally regarded as secondary. The project overall has been efficient in achieving the targeted outputs; however, their sustainability and outcome results remain major concerns. </w:t>
      </w:r>
    </w:p>
    <w:p w:rsidR="00C3339A" w:rsidRPr="009B1C91" w:rsidRDefault="00C3339A" w:rsidP="00F653F8">
      <w:pPr>
        <w:pStyle w:val="Body"/>
        <w:spacing w:after="0" w:line="240" w:lineRule="auto"/>
        <w:jc w:val="both"/>
        <w:rPr>
          <w:rFonts w:asciiTheme="minorHAnsi" w:hAnsiTheme="minorHAnsi" w:cstheme="minorHAnsi"/>
          <w:i/>
          <w:iCs/>
          <w:lang w:val="en-US"/>
        </w:rPr>
      </w:pPr>
    </w:p>
    <w:p w:rsidR="00C3339A" w:rsidRPr="009B1C91" w:rsidRDefault="00C3339A" w:rsidP="00F653F8">
      <w:pPr>
        <w:pStyle w:val="Body"/>
        <w:spacing w:after="0" w:line="240" w:lineRule="auto"/>
        <w:jc w:val="both"/>
        <w:rPr>
          <w:rFonts w:asciiTheme="minorHAnsi" w:hAnsiTheme="minorHAnsi" w:cstheme="minorHAnsi"/>
          <w:b/>
          <w:bCs/>
          <w:lang w:val="en-US"/>
        </w:rPr>
      </w:pPr>
      <w:r w:rsidRPr="009B1C91">
        <w:rPr>
          <w:rFonts w:asciiTheme="minorHAnsi" w:hAnsiTheme="minorHAnsi" w:cstheme="minorHAnsi"/>
          <w:i/>
          <w:iCs/>
          <w:lang w:val="en-US"/>
        </w:rPr>
        <w:t>Barrier Removal for Energy Standards and Labeling (BRESL)</w:t>
      </w:r>
      <w:r w:rsidRPr="009B1C91">
        <w:rPr>
          <w:rFonts w:asciiTheme="minorHAnsi" w:hAnsiTheme="minorHAnsi" w:cstheme="minorHAnsi"/>
        </w:rPr>
        <w:t xml:space="preserve">: </w:t>
      </w:r>
      <w:r w:rsidRPr="009B1C91">
        <w:rPr>
          <w:rFonts w:asciiTheme="minorHAnsi" w:hAnsiTheme="minorHAnsi" w:cstheme="minorHAnsi"/>
          <w:lang w:val="en-US"/>
        </w:rPr>
        <w:t>the BRESL Project was supposed to start in 2009, but finalization of TPP (approval) and hiring of Project Staff delay</w:t>
      </w:r>
      <w:r w:rsidRPr="009B1C91">
        <w:rPr>
          <w:rFonts w:asciiTheme="minorHAnsi" w:hAnsiTheme="minorHAnsi" w:cstheme="minorHAnsi"/>
        </w:rPr>
        <w:t>ed</w:t>
      </w:r>
      <w:r w:rsidRPr="009B1C91">
        <w:rPr>
          <w:rFonts w:asciiTheme="minorHAnsi" w:hAnsiTheme="minorHAnsi" w:cstheme="minorHAnsi"/>
          <w:lang w:val="en-US"/>
        </w:rPr>
        <w:t xml:space="preserve"> implementation by almost 1 year. Therefore, project activities began in July 2010withthe nomination of a National Project Director (NPD) from BSTI under the Ministry of Industries (MoI). More than 85% of allotted</w:t>
      </w:r>
      <w:r w:rsidRPr="009B1C91">
        <w:rPr>
          <w:rFonts w:asciiTheme="minorHAnsi" w:hAnsiTheme="minorHAnsi" w:cstheme="minorHAnsi"/>
        </w:rPr>
        <w:t xml:space="preserve"> fund</w:t>
      </w:r>
      <w:r w:rsidRPr="009B1C91">
        <w:rPr>
          <w:rFonts w:asciiTheme="minorHAnsi" w:hAnsiTheme="minorHAnsi" w:cstheme="minorHAnsi"/>
          <w:lang w:val="en-US"/>
        </w:rPr>
        <w:t>s have already been utilized by the project</w:t>
      </w:r>
      <w:r w:rsidR="00A109A2">
        <w:rPr>
          <w:rFonts w:asciiTheme="minorHAnsi" w:hAnsiTheme="minorHAnsi" w:cstheme="minorHAnsi"/>
          <w:lang w:val="en-US"/>
        </w:rPr>
        <w:t xml:space="preserve"> </w:t>
      </w:r>
      <w:r w:rsidRPr="009B1C91">
        <w:rPr>
          <w:rFonts w:asciiTheme="minorHAnsi" w:hAnsiTheme="minorHAnsi" w:cstheme="minorHAnsi"/>
          <w:lang w:val="en-US"/>
        </w:rPr>
        <w:t xml:space="preserve">and it is likely that more than 90% (UNDP requirement) of targets will be met by the end of the project in 2015. </w:t>
      </w:r>
    </w:p>
    <w:p w:rsidR="00C3339A" w:rsidRPr="009B1C91" w:rsidRDefault="00C3339A" w:rsidP="00F653F8">
      <w:pPr>
        <w:pStyle w:val="Body"/>
        <w:spacing w:after="0" w:line="240" w:lineRule="auto"/>
        <w:jc w:val="both"/>
        <w:rPr>
          <w:rFonts w:asciiTheme="minorHAnsi" w:hAnsiTheme="minorHAnsi" w:cstheme="minorHAnsi"/>
          <w:b/>
          <w:bCs/>
          <w:lang w:val="en-US"/>
        </w:rPr>
      </w:pPr>
    </w:p>
    <w:p w:rsidR="0038137A" w:rsidRPr="009B1C91" w:rsidRDefault="0038137A" w:rsidP="0038137A">
      <w:pPr>
        <w:spacing w:after="0" w:line="240" w:lineRule="auto"/>
        <w:rPr>
          <w:rFonts w:asciiTheme="minorHAnsi" w:hAnsiTheme="minorHAnsi" w:cstheme="minorHAnsi"/>
          <w:b/>
        </w:rPr>
      </w:pPr>
      <w:r w:rsidRPr="009B1C91">
        <w:rPr>
          <w:rFonts w:asciiTheme="minorHAnsi" w:hAnsiTheme="minorHAnsi" w:cstheme="minorHAnsi"/>
          <w:b/>
        </w:rPr>
        <w:t>Table</w:t>
      </w:r>
      <w:r w:rsidR="00F42A22" w:rsidRPr="009B1C91">
        <w:rPr>
          <w:rFonts w:asciiTheme="minorHAnsi" w:hAnsiTheme="minorHAnsi" w:cstheme="minorHAnsi"/>
          <w:b/>
        </w:rPr>
        <w:t xml:space="preserve"> 4.2.3.1</w:t>
      </w:r>
      <w:r w:rsidRPr="009B1C91">
        <w:rPr>
          <w:rFonts w:asciiTheme="minorHAnsi" w:hAnsiTheme="minorHAnsi" w:cstheme="minorHAnsi"/>
          <w:b/>
        </w:rPr>
        <w:t>: Actual launching and Mid-Term Review (MTR). In comparison with Scheduled launching and MTR period</w:t>
      </w:r>
    </w:p>
    <w:tbl>
      <w:tblPr>
        <w:tblStyle w:val="MediumShading2-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625"/>
        <w:gridCol w:w="1180"/>
        <w:gridCol w:w="1108"/>
        <w:gridCol w:w="1271"/>
        <w:gridCol w:w="1146"/>
        <w:gridCol w:w="1088"/>
      </w:tblGrid>
      <w:tr w:rsidR="0038137A" w:rsidRPr="009B1C91" w:rsidTr="0038137A">
        <w:trPr>
          <w:cnfStyle w:val="100000000000" w:firstRow="1" w:lastRow="0" w:firstColumn="0" w:lastColumn="0" w:oddVBand="0" w:evenVBand="0" w:oddHBand="0" w:evenHBand="0" w:firstRowFirstColumn="0" w:firstRowLastColumn="0" w:lastRowFirstColumn="0" w:lastRowLastColumn="0"/>
          <w:trHeight w:val="845"/>
        </w:trPr>
        <w:tc>
          <w:tcPr>
            <w:cnfStyle w:val="001000000100" w:firstRow="0" w:lastRow="0" w:firstColumn="1" w:lastColumn="0" w:oddVBand="0" w:evenVBand="0" w:oddHBand="0" w:evenHBand="0" w:firstRowFirstColumn="1" w:firstRowLastColumn="0" w:lastRowFirstColumn="0" w:lastRowLastColumn="0"/>
            <w:tcW w:w="5868"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8137A" w:rsidRPr="009B1C91" w:rsidRDefault="0038137A" w:rsidP="0038137A">
            <w:pPr>
              <w:spacing w:after="0" w:line="240" w:lineRule="auto"/>
              <w:jc w:val="center"/>
              <w:rPr>
                <w:rFonts w:cstheme="minorHAnsi"/>
                <w:color w:val="auto"/>
                <w:sz w:val="20"/>
                <w:szCs w:val="20"/>
              </w:rPr>
            </w:pPr>
            <w:r w:rsidRPr="009B1C91">
              <w:rPr>
                <w:rFonts w:cstheme="minorHAnsi"/>
                <w:color w:val="auto"/>
                <w:sz w:val="20"/>
                <w:szCs w:val="20"/>
              </w:rPr>
              <w:t>Name of the project</w:t>
            </w:r>
          </w:p>
        </w:tc>
        <w:tc>
          <w:tcPr>
            <w:tcW w:w="144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8137A" w:rsidRPr="009B1C91" w:rsidRDefault="0038137A" w:rsidP="0038137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9B1C91">
              <w:rPr>
                <w:rFonts w:cstheme="minorHAnsi"/>
                <w:color w:val="auto"/>
                <w:sz w:val="20"/>
                <w:szCs w:val="20"/>
              </w:rPr>
              <w:t>Scheduled launching year</w:t>
            </w:r>
          </w:p>
        </w:tc>
        <w:tc>
          <w:tcPr>
            <w:tcW w:w="135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8137A" w:rsidRPr="009B1C91" w:rsidRDefault="0038137A" w:rsidP="0038137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9B1C91">
              <w:rPr>
                <w:rFonts w:cstheme="minorHAnsi"/>
                <w:color w:val="auto"/>
                <w:sz w:val="20"/>
                <w:szCs w:val="20"/>
              </w:rPr>
              <w:t xml:space="preserve">Actual </w:t>
            </w:r>
          </w:p>
          <w:p w:rsidR="0038137A" w:rsidRPr="009B1C91" w:rsidRDefault="0038137A" w:rsidP="0038137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9B1C91">
              <w:rPr>
                <w:rFonts w:cstheme="minorHAnsi"/>
                <w:color w:val="auto"/>
                <w:sz w:val="20"/>
                <w:szCs w:val="20"/>
              </w:rPr>
              <w:t>launching year</w:t>
            </w:r>
          </w:p>
        </w:tc>
        <w:tc>
          <w:tcPr>
            <w:tcW w:w="162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8137A" w:rsidRPr="009B1C91" w:rsidRDefault="0038137A" w:rsidP="0038137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9B1C91">
              <w:rPr>
                <w:rFonts w:cstheme="minorHAnsi"/>
                <w:color w:val="auto"/>
                <w:sz w:val="20"/>
                <w:szCs w:val="20"/>
              </w:rPr>
              <w:t xml:space="preserve">Scheduled </w:t>
            </w:r>
          </w:p>
          <w:p w:rsidR="0038137A" w:rsidRPr="009B1C91" w:rsidRDefault="0038137A" w:rsidP="0038137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9B1C91">
              <w:rPr>
                <w:rFonts w:cstheme="minorHAnsi"/>
                <w:color w:val="auto"/>
                <w:sz w:val="20"/>
                <w:szCs w:val="20"/>
              </w:rPr>
              <w:t>Mid-Term Review</w:t>
            </w:r>
          </w:p>
        </w:tc>
        <w:tc>
          <w:tcPr>
            <w:tcW w:w="162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8137A" w:rsidRPr="009B1C91" w:rsidRDefault="0038137A" w:rsidP="0038137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9B1C91">
              <w:rPr>
                <w:rFonts w:cstheme="minorHAnsi"/>
                <w:color w:val="auto"/>
                <w:sz w:val="20"/>
                <w:szCs w:val="20"/>
              </w:rPr>
              <w:t xml:space="preserve">Actual </w:t>
            </w:r>
          </w:p>
          <w:p w:rsidR="0038137A" w:rsidRPr="009B1C91" w:rsidRDefault="0038137A" w:rsidP="0038137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9B1C91">
              <w:rPr>
                <w:rFonts w:cstheme="minorHAnsi"/>
                <w:color w:val="auto"/>
                <w:sz w:val="20"/>
                <w:szCs w:val="20"/>
              </w:rPr>
              <w:t>Mid-Term Review</w:t>
            </w:r>
          </w:p>
        </w:tc>
        <w:tc>
          <w:tcPr>
            <w:tcW w:w="126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8137A" w:rsidRPr="009B1C91" w:rsidRDefault="0038137A" w:rsidP="0038137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9B1C91">
              <w:rPr>
                <w:rFonts w:cstheme="minorHAnsi"/>
                <w:color w:val="auto"/>
                <w:sz w:val="20"/>
                <w:szCs w:val="20"/>
              </w:rPr>
              <w:t>Remarks</w:t>
            </w:r>
          </w:p>
        </w:tc>
      </w:tr>
      <w:tr w:rsidR="0038137A" w:rsidRPr="009B1C91" w:rsidTr="0038137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868" w:type="dxa"/>
            <w:tcBorders>
              <w:left w:val="none" w:sz="0" w:space="0" w:color="auto"/>
              <w:bottom w:val="none" w:sz="0" w:space="0" w:color="auto"/>
              <w:right w:val="none" w:sz="0" w:space="0" w:color="auto"/>
            </w:tcBorders>
            <w:shd w:val="clear" w:color="auto" w:fill="B6DDE8" w:themeFill="accent5" w:themeFillTint="66"/>
          </w:tcPr>
          <w:p w:rsidR="0038137A" w:rsidRPr="009B1C91" w:rsidRDefault="0038137A" w:rsidP="0038137A">
            <w:pPr>
              <w:spacing w:after="0" w:line="240" w:lineRule="auto"/>
              <w:rPr>
                <w:rFonts w:cstheme="minorHAnsi"/>
                <w:color w:val="auto"/>
                <w:sz w:val="20"/>
                <w:szCs w:val="20"/>
              </w:rPr>
            </w:pPr>
            <w:r w:rsidRPr="009B1C91">
              <w:rPr>
                <w:rFonts w:cstheme="minorHAnsi"/>
                <w:color w:val="auto"/>
                <w:sz w:val="20"/>
                <w:szCs w:val="20"/>
              </w:rPr>
              <w:t>Comprehensive Disaster Management Programme (CDMP-II) (2010-2014)</w:t>
            </w:r>
          </w:p>
        </w:tc>
        <w:tc>
          <w:tcPr>
            <w:tcW w:w="1440" w:type="dxa"/>
          </w:tcPr>
          <w:p w:rsidR="0038137A" w:rsidRPr="009B1C91" w:rsidRDefault="0038137A" w:rsidP="00381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C91">
              <w:rPr>
                <w:rFonts w:cstheme="minorHAnsi"/>
                <w:sz w:val="20"/>
                <w:szCs w:val="20"/>
              </w:rPr>
              <w:t>2010</w:t>
            </w:r>
          </w:p>
        </w:tc>
        <w:tc>
          <w:tcPr>
            <w:tcW w:w="1350" w:type="dxa"/>
          </w:tcPr>
          <w:p w:rsidR="0038137A" w:rsidRPr="009B1C91" w:rsidRDefault="0038137A" w:rsidP="00381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C91">
              <w:rPr>
                <w:rFonts w:cstheme="minorHAnsi"/>
                <w:sz w:val="20"/>
                <w:szCs w:val="20"/>
              </w:rPr>
              <w:t>2010</w:t>
            </w:r>
          </w:p>
        </w:tc>
        <w:tc>
          <w:tcPr>
            <w:tcW w:w="1620" w:type="dxa"/>
          </w:tcPr>
          <w:p w:rsidR="0038137A" w:rsidRPr="009B1C91" w:rsidRDefault="0038137A" w:rsidP="00381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C91">
              <w:rPr>
                <w:rFonts w:cstheme="minorHAnsi"/>
                <w:sz w:val="20"/>
                <w:szCs w:val="20"/>
              </w:rPr>
              <w:t>2012</w:t>
            </w:r>
          </w:p>
        </w:tc>
        <w:tc>
          <w:tcPr>
            <w:tcW w:w="1620" w:type="dxa"/>
          </w:tcPr>
          <w:p w:rsidR="0038137A" w:rsidRPr="009B1C91" w:rsidRDefault="0038137A" w:rsidP="00381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C91">
              <w:rPr>
                <w:rFonts w:cstheme="minorHAnsi"/>
                <w:sz w:val="20"/>
                <w:szCs w:val="20"/>
              </w:rPr>
              <w:t>2012</w:t>
            </w:r>
          </w:p>
        </w:tc>
        <w:tc>
          <w:tcPr>
            <w:tcW w:w="1260" w:type="dxa"/>
            <w:shd w:val="clear" w:color="auto" w:fill="92D050"/>
          </w:tcPr>
          <w:p w:rsidR="0038137A" w:rsidRPr="009B1C91" w:rsidRDefault="0038137A" w:rsidP="00381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C91">
              <w:rPr>
                <w:rFonts w:cstheme="minorHAnsi"/>
                <w:sz w:val="20"/>
                <w:szCs w:val="20"/>
              </w:rPr>
              <w:t>On time</w:t>
            </w:r>
          </w:p>
        </w:tc>
      </w:tr>
      <w:tr w:rsidR="0038137A" w:rsidRPr="009B1C91" w:rsidTr="0038137A">
        <w:trPr>
          <w:trHeight w:val="350"/>
        </w:trPr>
        <w:tc>
          <w:tcPr>
            <w:cnfStyle w:val="001000000000" w:firstRow="0" w:lastRow="0" w:firstColumn="1" w:lastColumn="0" w:oddVBand="0" w:evenVBand="0" w:oddHBand="0" w:evenHBand="0" w:firstRowFirstColumn="0" w:firstRowLastColumn="0" w:lastRowFirstColumn="0" w:lastRowLastColumn="0"/>
            <w:tcW w:w="5868" w:type="dxa"/>
            <w:tcBorders>
              <w:left w:val="none" w:sz="0" w:space="0" w:color="auto"/>
              <w:bottom w:val="none" w:sz="0" w:space="0" w:color="auto"/>
              <w:right w:val="none" w:sz="0" w:space="0" w:color="auto"/>
            </w:tcBorders>
            <w:shd w:val="clear" w:color="auto" w:fill="B6DDE8" w:themeFill="accent5" w:themeFillTint="66"/>
          </w:tcPr>
          <w:p w:rsidR="0038137A" w:rsidRPr="009B1C91" w:rsidRDefault="0038137A" w:rsidP="0038137A">
            <w:pPr>
              <w:spacing w:after="0" w:line="240" w:lineRule="auto"/>
              <w:rPr>
                <w:rFonts w:cstheme="minorHAnsi"/>
                <w:color w:val="auto"/>
                <w:sz w:val="20"/>
                <w:szCs w:val="20"/>
              </w:rPr>
            </w:pPr>
            <w:r w:rsidRPr="009B1C91">
              <w:rPr>
                <w:rFonts w:cstheme="minorHAnsi"/>
                <w:color w:val="auto"/>
                <w:sz w:val="20"/>
                <w:szCs w:val="20"/>
              </w:rPr>
              <w:t>Early Recovery facility (ERF) (2011-2015)</w:t>
            </w:r>
          </w:p>
        </w:tc>
        <w:tc>
          <w:tcPr>
            <w:tcW w:w="1440" w:type="dxa"/>
          </w:tcPr>
          <w:p w:rsidR="0038137A" w:rsidRPr="009B1C91" w:rsidRDefault="0038137A" w:rsidP="00381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C91">
              <w:rPr>
                <w:rFonts w:cstheme="minorHAnsi"/>
                <w:sz w:val="20"/>
                <w:szCs w:val="20"/>
              </w:rPr>
              <w:t>2011</w:t>
            </w:r>
          </w:p>
        </w:tc>
        <w:tc>
          <w:tcPr>
            <w:tcW w:w="1350" w:type="dxa"/>
          </w:tcPr>
          <w:p w:rsidR="0038137A" w:rsidRPr="009B1C91" w:rsidRDefault="0038137A" w:rsidP="00381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C91">
              <w:rPr>
                <w:rFonts w:cstheme="minorHAnsi"/>
                <w:sz w:val="20"/>
                <w:szCs w:val="20"/>
              </w:rPr>
              <w:t>2011</w:t>
            </w:r>
          </w:p>
        </w:tc>
        <w:tc>
          <w:tcPr>
            <w:tcW w:w="1620" w:type="dxa"/>
          </w:tcPr>
          <w:p w:rsidR="0038137A" w:rsidRPr="009B1C91" w:rsidRDefault="0038137A" w:rsidP="00381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C91">
              <w:rPr>
                <w:rFonts w:cstheme="minorHAnsi"/>
                <w:sz w:val="20"/>
                <w:szCs w:val="20"/>
              </w:rPr>
              <w:t>2013</w:t>
            </w:r>
          </w:p>
        </w:tc>
        <w:tc>
          <w:tcPr>
            <w:tcW w:w="1620" w:type="dxa"/>
          </w:tcPr>
          <w:p w:rsidR="0038137A" w:rsidRPr="009B1C91" w:rsidRDefault="0038137A" w:rsidP="00381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C91">
              <w:rPr>
                <w:rFonts w:cstheme="minorHAnsi"/>
                <w:sz w:val="20"/>
                <w:szCs w:val="20"/>
              </w:rPr>
              <w:t>2014</w:t>
            </w:r>
          </w:p>
        </w:tc>
        <w:tc>
          <w:tcPr>
            <w:tcW w:w="1260" w:type="dxa"/>
            <w:shd w:val="clear" w:color="auto" w:fill="92D050"/>
          </w:tcPr>
          <w:p w:rsidR="0038137A" w:rsidRPr="009B1C91" w:rsidRDefault="0038137A" w:rsidP="00381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C91">
              <w:rPr>
                <w:rFonts w:cstheme="minorHAnsi"/>
                <w:sz w:val="20"/>
                <w:szCs w:val="20"/>
              </w:rPr>
              <w:t>On time</w:t>
            </w:r>
          </w:p>
        </w:tc>
      </w:tr>
      <w:tr w:rsidR="0038137A" w:rsidRPr="009B1C91" w:rsidTr="0038137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868" w:type="dxa"/>
            <w:tcBorders>
              <w:left w:val="none" w:sz="0" w:space="0" w:color="auto"/>
              <w:bottom w:val="none" w:sz="0" w:space="0" w:color="auto"/>
              <w:right w:val="none" w:sz="0" w:space="0" w:color="auto"/>
            </w:tcBorders>
            <w:shd w:val="clear" w:color="auto" w:fill="B6DDE8" w:themeFill="accent5" w:themeFillTint="66"/>
          </w:tcPr>
          <w:p w:rsidR="0038137A" w:rsidRPr="009B1C91" w:rsidRDefault="0038137A" w:rsidP="0038137A">
            <w:pPr>
              <w:spacing w:after="0" w:line="240" w:lineRule="auto"/>
              <w:rPr>
                <w:rFonts w:cstheme="minorHAnsi"/>
                <w:color w:val="auto"/>
                <w:sz w:val="20"/>
                <w:szCs w:val="20"/>
              </w:rPr>
            </w:pPr>
            <w:r w:rsidRPr="009B1C91">
              <w:rPr>
                <w:rFonts w:cstheme="minorHAnsi"/>
                <w:color w:val="auto"/>
                <w:sz w:val="20"/>
                <w:szCs w:val="20"/>
              </w:rPr>
              <w:t>Poverty Environment Climate Mainstreaming (PECM) (2010-2013)</w:t>
            </w:r>
          </w:p>
        </w:tc>
        <w:tc>
          <w:tcPr>
            <w:tcW w:w="1440" w:type="dxa"/>
          </w:tcPr>
          <w:p w:rsidR="0038137A" w:rsidRPr="009B1C91" w:rsidRDefault="0038137A" w:rsidP="00381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C91">
              <w:rPr>
                <w:rFonts w:cstheme="minorHAnsi"/>
                <w:sz w:val="20"/>
                <w:szCs w:val="20"/>
              </w:rPr>
              <w:t>2010</w:t>
            </w:r>
          </w:p>
        </w:tc>
        <w:tc>
          <w:tcPr>
            <w:tcW w:w="1350" w:type="dxa"/>
          </w:tcPr>
          <w:p w:rsidR="0038137A" w:rsidRPr="009B1C91" w:rsidRDefault="0038137A" w:rsidP="00381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C91">
              <w:rPr>
                <w:rFonts w:cstheme="minorHAnsi"/>
                <w:sz w:val="20"/>
                <w:szCs w:val="20"/>
              </w:rPr>
              <w:t>2010</w:t>
            </w:r>
          </w:p>
        </w:tc>
        <w:tc>
          <w:tcPr>
            <w:tcW w:w="1620" w:type="dxa"/>
          </w:tcPr>
          <w:p w:rsidR="0038137A" w:rsidRPr="009B1C91" w:rsidRDefault="0038137A" w:rsidP="00381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C91">
              <w:rPr>
                <w:rFonts w:cstheme="minorHAnsi"/>
                <w:sz w:val="20"/>
                <w:szCs w:val="20"/>
              </w:rPr>
              <w:t>2012</w:t>
            </w:r>
          </w:p>
        </w:tc>
        <w:tc>
          <w:tcPr>
            <w:tcW w:w="1620" w:type="dxa"/>
          </w:tcPr>
          <w:p w:rsidR="0038137A" w:rsidRPr="009B1C91" w:rsidRDefault="0038137A" w:rsidP="00381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C91">
              <w:rPr>
                <w:rFonts w:cstheme="minorHAnsi"/>
                <w:sz w:val="20"/>
                <w:szCs w:val="20"/>
              </w:rPr>
              <w:t>2013</w:t>
            </w:r>
          </w:p>
        </w:tc>
        <w:tc>
          <w:tcPr>
            <w:tcW w:w="1260" w:type="dxa"/>
            <w:shd w:val="clear" w:color="auto" w:fill="FFFF00"/>
          </w:tcPr>
          <w:p w:rsidR="0038137A" w:rsidRPr="009B1C91" w:rsidRDefault="0038137A" w:rsidP="00381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C91">
              <w:rPr>
                <w:rFonts w:cstheme="minorHAnsi"/>
                <w:sz w:val="20"/>
                <w:szCs w:val="20"/>
              </w:rPr>
              <w:t>Delayed</w:t>
            </w:r>
          </w:p>
        </w:tc>
      </w:tr>
      <w:tr w:rsidR="0038137A" w:rsidRPr="009B1C91" w:rsidTr="0038137A">
        <w:trPr>
          <w:trHeight w:val="800"/>
        </w:trPr>
        <w:tc>
          <w:tcPr>
            <w:cnfStyle w:val="001000000000" w:firstRow="0" w:lastRow="0" w:firstColumn="1" w:lastColumn="0" w:oddVBand="0" w:evenVBand="0" w:oddHBand="0" w:evenHBand="0" w:firstRowFirstColumn="0" w:firstRowLastColumn="0" w:lastRowFirstColumn="0" w:lastRowLastColumn="0"/>
            <w:tcW w:w="5868" w:type="dxa"/>
            <w:tcBorders>
              <w:left w:val="none" w:sz="0" w:space="0" w:color="auto"/>
              <w:bottom w:val="none" w:sz="0" w:space="0" w:color="auto"/>
              <w:right w:val="none" w:sz="0" w:space="0" w:color="auto"/>
            </w:tcBorders>
            <w:shd w:val="clear" w:color="auto" w:fill="B6DDE8" w:themeFill="accent5" w:themeFillTint="66"/>
          </w:tcPr>
          <w:p w:rsidR="0038137A" w:rsidRPr="009B1C91" w:rsidRDefault="0038137A" w:rsidP="0038137A">
            <w:pPr>
              <w:spacing w:after="0" w:line="240" w:lineRule="auto"/>
              <w:rPr>
                <w:rFonts w:cstheme="minorHAnsi"/>
                <w:color w:val="auto"/>
                <w:sz w:val="20"/>
                <w:szCs w:val="20"/>
              </w:rPr>
            </w:pPr>
            <w:r w:rsidRPr="009B1C91">
              <w:rPr>
                <w:rFonts w:cstheme="minorHAnsi"/>
                <w:color w:val="auto"/>
                <w:sz w:val="20"/>
                <w:szCs w:val="20"/>
              </w:rPr>
              <w:t>Community Based Adaptation to Climate Change through Coastal Afforestation in Bangladesh (CBACC-CF) (2009-2013)</w:t>
            </w:r>
          </w:p>
        </w:tc>
        <w:tc>
          <w:tcPr>
            <w:tcW w:w="1440" w:type="dxa"/>
          </w:tcPr>
          <w:p w:rsidR="0038137A" w:rsidRPr="009B1C91" w:rsidRDefault="0038137A" w:rsidP="00381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C91">
              <w:rPr>
                <w:rFonts w:cstheme="minorHAnsi"/>
                <w:sz w:val="20"/>
                <w:szCs w:val="20"/>
              </w:rPr>
              <w:t>2009</w:t>
            </w:r>
          </w:p>
        </w:tc>
        <w:tc>
          <w:tcPr>
            <w:tcW w:w="1350" w:type="dxa"/>
          </w:tcPr>
          <w:p w:rsidR="0038137A" w:rsidRPr="009B1C91" w:rsidRDefault="0038137A" w:rsidP="00381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C91">
              <w:rPr>
                <w:rFonts w:cstheme="minorHAnsi"/>
                <w:sz w:val="20"/>
                <w:szCs w:val="20"/>
              </w:rPr>
              <w:t>2009</w:t>
            </w:r>
          </w:p>
        </w:tc>
        <w:tc>
          <w:tcPr>
            <w:tcW w:w="1620" w:type="dxa"/>
          </w:tcPr>
          <w:p w:rsidR="0038137A" w:rsidRPr="009B1C91" w:rsidRDefault="0038137A" w:rsidP="00381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C91">
              <w:rPr>
                <w:rFonts w:cstheme="minorHAnsi"/>
                <w:sz w:val="20"/>
                <w:szCs w:val="20"/>
              </w:rPr>
              <w:t>2011</w:t>
            </w:r>
          </w:p>
        </w:tc>
        <w:tc>
          <w:tcPr>
            <w:tcW w:w="1620" w:type="dxa"/>
          </w:tcPr>
          <w:p w:rsidR="0038137A" w:rsidRPr="009B1C91" w:rsidRDefault="0038137A" w:rsidP="00381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C91">
              <w:rPr>
                <w:rFonts w:cstheme="minorHAnsi"/>
                <w:sz w:val="20"/>
                <w:szCs w:val="20"/>
              </w:rPr>
              <w:t>2012</w:t>
            </w:r>
          </w:p>
        </w:tc>
        <w:tc>
          <w:tcPr>
            <w:tcW w:w="1260" w:type="dxa"/>
            <w:shd w:val="clear" w:color="auto" w:fill="FFFF00"/>
          </w:tcPr>
          <w:p w:rsidR="0038137A" w:rsidRPr="009B1C91" w:rsidRDefault="0038137A" w:rsidP="00381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C91">
              <w:rPr>
                <w:rFonts w:cstheme="minorHAnsi"/>
                <w:sz w:val="20"/>
                <w:szCs w:val="20"/>
              </w:rPr>
              <w:t>Delayed</w:t>
            </w:r>
          </w:p>
        </w:tc>
      </w:tr>
      <w:tr w:rsidR="0038137A" w:rsidRPr="009B1C91" w:rsidTr="0038137A">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868" w:type="dxa"/>
            <w:tcBorders>
              <w:left w:val="none" w:sz="0" w:space="0" w:color="auto"/>
              <w:bottom w:val="none" w:sz="0" w:space="0" w:color="auto"/>
              <w:right w:val="none" w:sz="0" w:space="0" w:color="auto"/>
            </w:tcBorders>
            <w:shd w:val="clear" w:color="auto" w:fill="B6DDE8" w:themeFill="accent5" w:themeFillTint="66"/>
          </w:tcPr>
          <w:p w:rsidR="0038137A" w:rsidRPr="009B1C91" w:rsidRDefault="0038137A" w:rsidP="0038137A">
            <w:pPr>
              <w:spacing w:after="0" w:line="240" w:lineRule="auto"/>
              <w:rPr>
                <w:rFonts w:cstheme="minorHAnsi"/>
                <w:color w:val="auto"/>
                <w:sz w:val="20"/>
                <w:szCs w:val="20"/>
              </w:rPr>
            </w:pPr>
            <w:r w:rsidRPr="009B1C91">
              <w:rPr>
                <w:rFonts w:cstheme="minorHAnsi"/>
                <w:color w:val="auto"/>
                <w:sz w:val="20"/>
                <w:szCs w:val="20"/>
              </w:rPr>
              <w:t>Barrier Removal for Energy Standards and Labeling (BRESL) (2006-2013)</w:t>
            </w:r>
          </w:p>
        </w:tc>
        <w:tc>
          <w:tcPr>
            <w:tcW w:w="1440" w:type="dxa"/>
          </w:tcPr>
          <w:p w:rsidR="0038137A" w:rsidRPr="009B1C91" w:rsidRDefault="0038137A" w:rsidP="00381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C91">
              <w:rPr>
                <w:rFonts w:cstheme="minorHAnsi"/>
                <w:sz w:val="20"/>
                <w:szCs w:val="20"/>
              </w:rPr>
              <w:t>2009</w:t>
            </w:r>
          </w:p>
        </w:tc>
        <w:tc>
          <w:tcPr>
            <w:tcW w:w="1350" w:type="dxa"/>
          </w:tcPr>
          <w:p w:rsidR="0038137A" w:rsidRPr="009B1C91" w:rsidRDefault="0038137A" w:rsidP="00381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C91">
              <w:rPr>
                <w:rFonts w:cstheme="minorHAnsi"/>
                <w:sz w:val="20"/>
                <w:szCs w:val="20"/>
              </w:rPr>
              <w:t>2010</w:t>
            </w:r>
          </w:p>
        </w:tc>
        <w:tc>
          <w:tcPr>
            <w:tcW w:w="1620" w:type="dxa"/>
          </w:tcPr>
          <w:p w:rsidR="0038137A" w:rsidRPr="009B1C91" w:rsidRDefault="0038137A" w:rsidP="00381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C91">
              <w:rPr>
                <w:rFonts w:cstheme="minorHAnsi"/>
                <w:sz w:val="20"/>
                <w:szCs w:val="20"/>
              </w:rPr>
              <w:t>2013</w:t>
            </w:r>
          </w:p>
        </w:tc>
        <w:tc>
          <w:tcPr>
            <w:tcW w:w="1620" w:type="dxa"/>
          </w:tcPr>
          <w:p w:rsidR="0038137A" w:rsidRPr="009B1C91" w:rsidRDefault="0038137A" w:rsidP="00381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C91">
              <w:rPr>
                <w:rFonts w:cstheme="minorHAnsi"/>
                <w:sz w:val="20"/>
                <w:szCs w:val="20"/>
              </w:rPr>
              <w:t>Not  Yet</w:t>
            </w:r>
          </w:p>
        </w:tc>
        <w:tc>
          <w:tcPr>
            <w:tcW w:w="1260" w:type="dxa"/>
            <w:shd w:val="clear" w:color="auto" w:fill="FF0000"/>
          </w:tcPr>
          <w:p w:rsidR="0038137A" w:rsidRPr="009B1C91" w:rsidRDefault="0038137A" w:rsidP="00381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C91">
              <w:rPr>
                <w:rFonts w:cstheme="minorHAnsi"/>
                <w:sz w:val="20"/>
                <w:szCs w:val="20"/>
              </w:rPr>
              <w:t>No Mid-Term Evaluation</w:t>
            </w:r>
          </w:p>
        </w:tc>
      </w:tr>
      <w:tr w:rsidR="0038137A" w:rsidRPr="009B1C91" w:rsidTr="0038137A">
        <w:trPr>
          <w:trHeight w:val="620"/>
        </w:trPr>
        <w:tc>
          <w:tcPr>
            <w:cnfStyle w:val="001000000000" w:firstRow="0" w:lastRow="0" w:firstColumn="1" w:lastColumn="0" w:oddVBand="0" w:evenVBand="0" w:oddHBand="0" w:evenHBand="0" w:firstRowFirstColumn="0" w:firstRowLastColumn="0" w:lastRowFirstColumn="0" w:lastRowLastColumn="0"/>
            <w:tcW w:w="5868" w:type="dxa"/>
            <w:tcBorders>
              <w:left w:val="none" w:sz="0" w:space="0" w:color="auto"/>
              <w:bottom w:val="none" w:sz="0" w:space="0" w:color="auto"/>
              <w:right w:val="none" w:sz="0" w:space="0" w:color="auto"/>
            </w:tcBorders>
            <w:shd w:val="clear" w:color="auto" w:fill="B6DDE8" w:themeFill="accent5" w:themeFillTint="66"/>
          </w:tcPr>
          <w:p w:rsidR="0038137A" w:rsidRPr="009B1C91" w:rsidRDefault="0038137A" w:rsidP="0038137A">
            <w:pPr>
              <w:spacing w:after="0" w:line="240" w:lineRule="auto"/>
              <w:rPr>
                <w:rFonts w:cstheme="minorHAnsi"/>
                <w:color w:val="auto"/>
                <w:sz w:val="20"/>
                <w:szCs w:val="20"/>
              </w:rPr>
            </w:pPr>
            <w:r w:rsidRPr="009B1C91">
              <w:rPr>
                <w:rFonts w:cstheme="minorHAnsi"/>
                <w:color w:val="auto"/>
                <w:sz w:val="20"/>
                <w:szCs w:val="20"/>
              </w:rPr>
              <w:t>Improving Kiln Efficiency in the Brick Making Industry (IKEBMI) (2009-2014)</w:t>
            </w:r>
          </w:p>
        </w:tc>
        <w:tc>
          <w:tcPr>
            <w:tcW w:w="1440" w:type="dxa"/>
          </w:tcPr>
          <w:p w:rsidR="0038137A" w:rsidRPr="009B1C91" w:rsidRDefault="0038137A" w:rsidP="00381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C91">
              <w:rPr>
                <w:rFonts w:cstheme="minorHAnsi"/>
                <w:sz w:val="20"/>
                <w:szCs w:val="20"/>
              </w:rPr>
              <w:t>2009</w:t>
            </w:r>
          </w:p>
        </w:tc>
        <w:tc>
          <w:tcPr>
            <w:tcW w:w="1350" w:type="dxa"/>
          </w:tcPr>
          <w:p w:rsidR="0038137A" w:rsidRPr="009B1C91" w:rsidRDefault="0038137A" w:rsidP="00381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C91">
              <w:rPr>
                <w:rFonts w:cstheme="minorHAnsi"/>
                <w:sz w:val="20"/>
                <w:szCs w:val="20"/>
              </w:rPr>
              <w:t>2010</w:t>
            </w:r>
          </w:p>
        </w:tc>
        <w:tc>
          <w:tcPr>
            <w:tcW w:w="1620" w:type="dxa"/>
          </w:tcPr>
          <w:p w:rsidR="0038137A" w:rsidRPr="009B1C91" w:rsidRDefault="0038137A" w:rsidP="00381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C91">
              <w:rPr>
                <w:rFonts w:cstheme="minorHAnsi"/>
                <w:sz w:val="20"/>
                <w:szCs w:val="20"/>
              </w:rPr>
              <w:t>2012</w:t>
            </w:r>
          </w:p>
        </w:tc>
        <w:tc>
          <w:tcPr>
            <w:tcW w:w="1620" w:type="dxa"/>
          </w:tcPr>
          <w:p w:rsidR="0038137A" w:rsidRPr="009B1C91" w:rsidRDefault="0038137A" w:rsidP="00381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C91">
              <w:rPr>
                <w:rFonts w:cstheme="minorHAnsi"/>
                <w:sz w:val="20"/>
                <w:szCs w:val="20"/>
              </w:rPr>
              <w:t>2014</w:t>
            </w:r>
          </w:p>
        </w:tc>
        <w:tc>
          <w:tcPr>
            <w:tcW w:w="1260" w:type="dxa"/>
            <w:shd w:val="clear" w:color="auto" w:fill="FFFF00"/>
          </w:tcPr>
          <w:p w:rsidR="0038137A" w:rsidRPr="009B1C91" w:rsidRDefault="0038137A" w:rsidP="003813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r w:rsidRPr="009B1C91">
              <w:rPr>
                <w:rFonts w:cstheme="minorHAnsi"/>
                <w:sz w:val="20"/>
                <w:szCs w:val="20"/>
                <w:highlight w:val="yellow"/>
              </w:rPr>
              <w:t>Delayed</w:t>
            </w:r>
          </w:p>
        </w:tc>
      </w:tr>
    </w:tbl>
    <w:p w:rsidR="0038137A" w:rsidRPr="009B1C91" w:rsidRDefault="0038137A" w:rsidP="0038137A">
      <w:pPr>
        <w:rPr>
          <w:rFonts w:asciiTheme="minorHAnsi" w:hAnsiTheme="minorHAnsi" w:cstheme="minorHAnsi"/>
        </w:rPr>
      </w:pPr>
    </w:p>
    <w:p w:rsidR="0038137A" w:rsidRPr="009B1C91" w:rsidRDefault="0038137A" w:rsidP="00F653F8">
      <w:pPr>
        <w:pStyle w:val="Body"/>
        <w:spacing w:after="0" w:line="240" w:lineRule="auto"/>
        <w:jc w:val="both"/>
        <w:rPr>
          <w:rFonts w:asciiTheme="minorHAnsi" w:hAnsiTheme="minorHAnsi" w:cstheme="minorHAnsi"/>
          <w:b/>
          <w:bCs/>
          <w:lang w:val="en-US"/>
        </w:rPr>
      </w:pPr>
    </w:p>
    <w:p w:rsidR="0038137A" w:rsidRPr="009B1C91" w:rsidRDefault="0038137A" w:rsidP="00F653F8">
      <w:pPr>
        <w:pStyle w:val="Body"/>
        <w:spacing w:after="0" w:line="240" w:lineRule="auto"/>
        <w:jc w:val="both"/>
        <w:rPr>
          <w:rFonts w:asciiTheme="minorHAnsi" w:hAnsiTheme="minorHAnsi" w:cstheme="minorHAnsi"/>
          <w:b/>
          <w:bCs/>
          <w:lang w:val="en-US"/>
        </w:rPr>
      </w:pPr>
    </w:p>
    <w:p w:rsidR="00684647" w:rsidRPr="009B1C91" w:rsidRDefault="00684647" w:rsidP="00F653F8">
      <w:pPr>
        <w:pStyle w:val="Body"/>
        <w:spacing w:after="0" w:line="240" w:lineRule="auto"/>
        <w:jc w:val="both"/>
        <w:rPr>
          <w:rFonts w:asciiTheme="minorHAnsi" w:hAnsiTheme="minorHAnsi" w:cstheme="minorHAnsi"/>
          <w:i/>
          <w:iCs/>
          <w:lang w:val="en-US"/>
        </w:rPr>
      </w:pPr>
    </w:p>
    <w:p w:rsidR="00684647" w:rsidRPr="009B1C91" w:rsidRDefault="00B652A0" w:rsidP="00F653F8">
      <w:pPr>
        <w:pStyle w:val="Body"/>
        <w:spacing w:after="0" w:line="240" w:lineRule="auto"/>
        <w:jc w:val="both"/>
        <w:rPr>
          <w:rFonts w:asciiTheme="minorHAnsi" w:hAnsiTheme="minorHAnsi" w:cstheme="minorHAnsi"/>
          <w:i/>
          <w:iCs/>
          <w:lang w:val="en-US"/>
        </w:rPr>
      </w:pPr>
      <w:r>
        <w:rPr>
          <w:rFonts w:asciiTheme="minorHAnsi" w:hAnsiTheme="minorHAnsi" w:cstheme="minorHAnsi"/>
          <w:i/>
          <w:iCs/>
          <w:noProof/>
          <w:lang w:val="en-US" w:eastAsia="en-US"/>
        </w:rPr>
        <w:lastRenderedPageBreak/>
        <mc:AlternateContent>
          <mc:Choice Requires="wpg">
            <w:drawing>
              <wp:anchor distT="152400" distB="152400" distL="152400" distR="152400" simplePos="0" relativeHeight="251667456" behindDoc="0" locked="0" layoutInCell="1" allowOverlap="1" wp14:anchorId="59015337" wp14:editId="22E256A6">
                <wp:simplePos x="0" y="0"/>
                <wp:positionH relativeFrom="page">
                  <wp:posOffset>887730</wp:posOffset>
                </wp:positionH>
                <wp:positionV relativeFrom="page">
                  <wp:posOffset>790575</wp:posOffset>
                </wp:positionV>
                <wp:extent cx="5894070" cy="5895975"/>
                <wp:effectExtent l="0" t="0" r="11430" b="28575"/>
                <wp:wrapTopAndBottom/>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070" cy="5895975"/>
                          <a:chOff x="0" y="0"/>
                          <a:chExt cx="6309361" cy="6956425"/>
                        </a:xfrm>
                      </wpg:grpSpPr>
                      <wps:wsp>
                        <wps:cNvPr id="14" name="AutoShape 8"/>
                        <wps:cNvSpPr>
                          <a:spLocks/>
                        </wps:cNvSpPr>
                        <wps:spPr bwMode="auto">
                          <a:xfrm flipH="1">
                            <a:off x="0" y="0"/>
                            <a:ext cx="6309361" cy="6956425"/>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599"/>
                                </a:lnTo>
                                <a:lnTo>
                                  <a:pt x="0" y="21599"/>
                                </a:lnTo>
                                <a:close/>
                              </a:path>
                            </a:pathLst>
                          </a:custGeom>
                          <a:solidFill>
                            <a:srgbClr val="EBF1DE"/>
                          </a:solidFill>
                          <a:ln w="19050">
                            <a:solidFill>
                              <a:srgbClr val="000000"/>
                            </a:solidFill>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AutoShape 9"/>
                        <wps:cNvSpPr>
                          <a:spLocks/>
                        </wps:cNvSpPr>
                        <wps:spPr bwMode="auto">
                          <a:xfrm>
                            <a:off x="0" y="0"/>
                            <a:ext cx="6309361" cy="6956425"/>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599"/>
                                </a:lnTo>
                                <a:lnTo>
                                  <a:pt x="0" y="21599"/>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EA3B8B" w:rsidRDefault="00EA3B8B" w:rsidP="00684647">
                              <w:pPr>
                                <w:pStyle w:val="Body"/>
                                <w:spacing w:after="0" w:line="240" w:lineRule="auto"/>
                                <w:jc w:val="center"/>
                                <w:rPr>
                                  <w:b/>
                                  <w:bCs/>
                                  <w:i/>
                                  <w:iCs/>
                                  <w:sz w:val="18"/>
                                  <w:szCs w:val="18"/>
                                  <w:lang w:val="fr-FR"/>
                                </w:rPr>
                              </w:pPr>
                              <w:r>
                                <w:rPr>
                                  <w:b/>
                                  <w:bCs/>
                                  <w:i/>
                                  <w:iCs/>
                                  <w:sz w:val="18"/>
                                  <w:szCs w:val="18"/>
                                  <w:lang w:val="fr-FR"/>
                                </w:rPr>
                                <w:t>Box 4.3 : Triple F (Forest, Fish and Fruit) Model (CBACC-CF)</w:t>
                              </w:r>
                            </w:p>
                            <w:p w:rsidR="00EA3B8B" w:rsidRPr="00A13374" w:rsidRDefault="00EA3B8B" w:rsidP="00684647">
                              <w:pPr>
                                <w:pStyle w:val="Body"/>
                                <w:spacing w:after="0" w:line="240" w:lineRule="auto"/>
                                <w:jc w:val="center"/>
                                <w:rPr>
                                  <w:b/>
                                  <w:bCs/>
                                  <w:i/>
                                  <w:iCs/>
                                  <w:sz w:val="16"/>
                                  <w:szCs w:val="18"/>
                                </w:rPr>
                              </w:pPr>
                            </w:p>
                            <w:p w:rsidR="00EA3B8B" w:rsidRPr="00120CC7" w:rsidRDefault="00EA3B8B" w:rsidP="00684647">
                              <w:pPr>
                                <w:spacing w:after="0" w:line="240" w:lineRule="auto"/>
                                <w:jc w:val="both"/>
                                <w:rPr>
                                  <w:rFonts w:cs="Calibri"/>
                                  <w:sz w:val="18"/>
                                  <w:szCs w:val="18"/>
                                  <w:lang w:val="it-IT"/>
                                </w:rPr>
                              </w:pPr>
                              <w:r w:rsidRPr="00120CC7">
                                <w:rPr>
                                  <w:rFonts w:cs="Calibri"/>
                                  <w:i/>
                                  <w:iCs/>
                                  <w:sz w:val="18"/>
                                  <w:szCs w:val="18"/>
                                </w:rPr>
                                <w:t>“The ditch and dyke (Triple F Model) has changed my life. I got fish spawn from [the] Fishery Department and as per their instruction we created [a] water body for fishery with rain water. I also got some seeds from [the] agriculture office and bought some by myself and I grow vegetables such as squash, pepper, melon, and palm. If I can work hard I can grow vegetable[s] all the year round... These ditches were given to us because we live close [to the] ditch and dyke, and can look after them. Besides, [</w:t>
                              </w:r>
                              <w:r w:rsidRPr="00120CC7">
                                <w:rPr>
                                  <w:rFonts w:cs="Calibri"/>
                                  <w:i/>
                                  <w:iCs/>
                                  <w:sz w:val="18"/>
                                  <w:szCs w:val="18"/>
                                  <w:lang w:val="fr-FR"/>
                                </w:rPr>
                                <w:t>Project personnel</w:t>
                              </w:r>
                              <w:r w:rsidRPr="00120CC7">
                                <w:rPr>
                                  <w:rFonts w:cs="Calibri"/>
                                  <w:i/>
                                  <w:iCs/>
                                  <w:sz w:val="18"/>
                                  <w:szCs w:val="18"/>
                                </w:rPr>
                                <w:t>]</w:t>
                              </w:r>
                              <w:r w:rsidRPr="00120CC7">
                                <w:rPr>
                                  <w:rFonts w:cs="Calibri"/>
                                  <w:i/>
                                  <w:iCs/>
                                  <w:sz w:val="18"/>
                                  <w:szCs w:val="18"/>
                                  <w:lang w:val="da-DK"/>
                                </w:rPr>
                                <w:t xml:space="preserve"> gave </w:t>
                              </w:r>
                              <w:r w:rsidRPr="00120CC7">
                                <w:rPr>
                                  <w:rFonts w:cs="Calibri"/>
                                  <w:i/>
                                  <w:iCs/>
                                  <w:sz w:val="18"/>
                                  <w:szCs w:val="18"/>
                                </w:rPr>
                                <w:t xml:space="preserve">to those who are poor, those of us [who] live on and close to river. Because of the difficulty of coming to the ditch during [the] rainy season often other people steal our fish and vegetables. But [the] ditch does not go under water unless there is another Cyclone like Sidr. From [the] ditch I earned 5000 BDT by selling squash at market and ate some squash worth 1000 BDT. It has become an additional income source for me. I was able to spend some money for my children, especially for their education, [and] bought some sweets for them. Moreover, for three months (Bengali Poush, Mag, Falgun) we do not have work in the field or fish in the river, no work in the area, then the ditch and dyke help us to earn and make a living…” </w:t>
                              </w:r>
                              <w:r w:rsidRPr="00120CC7">
                                <w:rPr>
                                  <w:rFonts w:cs="Calibri"/>
                                  <w:sz w:val="18"/>
                                  <w:szCs w:val="18"/>
                                  <w:lang w:val="it-IT"/>
                                </w:rPr>
                                <w:t>Tofazzol Hawlader (30), a Triple F model participant in Naltona Union, Barguna Sadr Upazila, Barguna.</w:t>
                              </w:r>
                            </w:p>
                            <w:p w:rsidR="00EA3B8B" w:rsidRPr="00A13374" w:rsidRDefault="00EA3B8B" w:rsidP="00684647">
                              <w:pPr>
                                <w:spacing w:after="0" w:line="240" w:lineRule="auto"/>
                                <w:jc w:val="both"/>
                                <w:rPr>
                                  <w:rFonts w:cs="Calibri"/>
                                  <w:color w:val="231F20"/>
                                  <w:sz w:val="18"/>
                                  <w:szCs w:val="18"/>
                                  <w:u w:color="231F20"/>
                                </w:rPr>
                              </w:pPr>
                            </w:p>
                            <w:p w:rsidR="00EA3B8B" w:rsidRPr="00120CC7" w:rsidRDefault="00EA3B8B" w:rsidP="00684647">
                              <w:pPr>
                                <w:spacing w:after="0" w:line="240" w:lineRule="auto"/>
                                <w:jc w:val="both"/>
                                <w:rPr>
                                  <w:rFonts w:cs="Calibri"/>
                                  <w:i/>
                                  <w:iCs/>
                                  <w:color w:val="231F20"/>
                                  <w:sz w:val="18"/>
                                  <w:szCs w:val="18"/>
                                  <w:u w:color="231F20"/>
                                </w:rPr>
                              </w:pPr>
                              <w:r w:rsidRPr="00120CC7">
                                <w:rPr>
                                  <w:rFonts w:cs="Calibri"/>
                                  <w:i/>
                                  <w:iCs/>
                                  <w:color w:val="231F20"/>
                                  <w:sz w:val="18"/>
                                  <w:szCs w:val="18"/>
                                  <w:u w:color="231F20"/>
                                </w:rPr>
                                <w:t>“Cyclone Sidr took away everything including my house and all assets. [The]</w:t>
                              </w:r>
                              <w:r>
                                <w:rPr>
                                  <w:rFonts w:cs="Calibri"/>
                                  <w:i/>
                                  <w:iCs/>
                                  <w:color w:val="231F20"/>
                                  <w:sz w:val="18"/>
                                  <w:szCs w:val="18"/>
                                  <w:u w:color="231F20"/>
                                </w:rPr>
                                <w:t xml:space="preserve"> </w:t>
                              </w:r>
                              <w:r w:rsidRPr="00120CC7">
                                <w:rPr>
                                  <w:rFonts w:cs="Calibri"/>
                                  <w:i/>
                                  <w:iCs/>
                                  <w:sz w:val="18"/>
                                  <w:szCs w:val="18"/>
                                </w:rPr>
                                <w:t>ditch and dyke (Triple F model) helped me a lot [in] terms of my loss recovery. It has been five years since I was involved wit</w:t>
                              </w:r>
                              <w:r>
                                <w:rPr>
                                  <w:rFonts w:cs="Calibri"/>
                                  <w:i/>
                                  <w:iCs/>
                                  <w:sz w:val="18"/>
                                  <w:szCs w:val="18"/>
                                </w:rPr>
                                <w:t xml:space="preserve">h </w:t>
                              </w:r>
                              <w:r w:rsidRPr="00120CC7">
                                <w:rPr>
                                  <w:rFonts w:cs="Calibri"/>
                                  <w:i/>
                                  <w:iCs/>
                                  <w:sz w:val="18"/>
                                  <w:szCs w:val="18"/>
                                </w:rPr>
                                <w:t xml:space="preserve">[the] ditch and dyke model. Last year I sold vegetable of thirty thousand taka, this year I am sick that is why I could not do well. Ditch and dyke is good for me and also for our community…” </w:t>
                              </w:r>
                              <w:r w:rsidRPr="00120CC7">
                                <w:rPr>
                                  <w:rFonts w:cs="Calibri"/>
                                  <w:sz w:val="18"/>
                                  <w:szCs w:val="18"/>
                                </w:rPr>
                                <w:t>ShanuMollick (42), a project beneficiary of Sonatala village of Naltona Union, BargunaSadar, Barguna.</w:t>
                              </w:r>
                            </w:p>
                            <w:p w:rsidR="00EA3B8B" w:rsidRPr="00A13374" w:rsidRDefault="00EA3B8B" w:rsidP="00684647">
                              <w:pPr>
                                <w:spacing w:after="0" w:line="240" w:lineRule="auto"/>
                                <w:jc w:val="both"/>
                                <w:rPr>
                                  <w:rFonts w:cs="Calibri"/>
                                  <w:color w:val="231F20"/>
                                  <w:sz w:val="18"/>
                                  <w:szCs w:val="18"/>
                                  <w:u w:color="231F20"/>
                                </w:rPr>
                              </w:pPr>
                            </w:p>
                            <w:p w:rsidR="00EA3B8B" w:rsidRPr="00120CC7" w:rsidRDefault="00EA3B8B" w:rsidP="00684647">
                              <w:pPr>
                                <w:spacing w:after="0" w:line="240" w:lineRule="auto"/>
                                <w:jc w:val="both"/>
                                <w:rPr>
                                  <w:rFonts w:cs="Calibri"/>
                                  <w:b/>
                                  <w:bCs/>
                                  <w:sz w:val="18"/>
                                  <w:szCs w:val="18"/>
                                </w:rPr>
                              </w:pPr>
                              <w:r w:rsidRPr="00120CC7">
                                <w:rPr>
                                  <w:rFonts w:cs="Calibri"/>
                                  <w:color w:val="231F20"/>
                                  <w:sz w:val="18"/>
                                  <w:szCs w:val="18"/>
                                  <w:u w:color="231F20"/>
                                </w:rPr>
                                <w:t>The Triple F (Forest, Fish and Fruit) model is an innovative and integrated land-use practice pioneered by the CBACC-CF project, which provides climate-resilient livelihoods for coastal communities living around the coastal forests. The model was implemented in the encroached, periodically-inundated and unproductive fallow lands behind the mangrove forests to develop participatory ownership and adaptation practices. The Triple F model was developed to explore new options for resource and income generation by integrating agriculture, forestry, fisheries and livestock in one system for continuous resource generation. It comprises resource generation measures that contribute to recurrent income generation, leading to livelihood sustainability and increased adaptive capacity for poor coas</w:t>
                              </w:r>
                              <w:r w:rsidRPr="00C3339A">
                                <w:rPr>
                                  <w:rFonts w:cs="Calibri"/>
                                  <w:color w:val="231F20"/>
                                  <w:sz w:val="18"/>
                                  <w:szCs w:val="18"/>
                                  <w:u w:color="231F20"/>
                                </w:rPr>
                                <w:t xml:space="preserve">tal communities. Consequently, </w:t>
                              </w:r>
                              <w:r w:rsidRPr="00120CC7">
                                <w:rPr>
                                  <w:rFonts w:cs="Calibri"/>
                                  <w:color w:val="231F20"/>
                                  <w:sz w:val="18"/>
                                  <w:szCs w:val="18"/>
                                  <w:u w:color="231F20"/>
                                </w:rPr>
                                <w:t xml:space="preserve">the estimated </w:t>
                              </w:r>
                              <w:r w:rsidRPr="00120CC7">
                                <w:rPr>
                                  <w:rFonts w:cs="Calibri"/>
                                  <w:b/>
                                  <w:bCs/>
                                  <w:sz w:val="18"/>
                                  <w:szCs w:val="18"/>
                                </w:rPr>
                                <w:t>Value for Money of the Triple F Model per beneficiary househo</w:t>
                              </w:r>
                              <w:r>
                                <w:rPr>
                                  <w:rFonts w:cs="Calibri"/>
                                  <w:b/>
                                  <w:bCs/>
                                  <w:sz w:val="18"/>
                                  <w:szCs w:val="18"/>
                                </w:rPr>
                                <w:t xml:space="preserve">ld is: Net Present Value (NPV) </w:t>
                              </w:r>
                              <w:r w:rsidRPr="00120CC7">
                                <w:rPr>
                                  <w:rFonts w:cs="Calibri"/>
                                  <w:b/>
                                  <w:bCs/>
                                  <w:sz w:val="18"/>
                                  <w:szCs w:val="18"/>
                                </w:rPr>
                                <w:t>Tk. 870,000, Benefit Cost Ratio (BCR) 4.88:1, and Internal Rate of Return (IRR) 50.90%.</w:t>
                              </w:r>
                            </w:p>
                            <w:p w:rsidR="00EA3B8B" w:rsidRPr="00A13374" w:rsidRDefault="00EA3B8B" w:rsidP="00684647">
                              <w:pPr>
                                <w:spacing w:after="0" w:line="240" w:lineRule="auto"/>
                                <w:jc w:val="both"/>
                                <w:rPr>
                                  <w:rFonts w:cs="Calibri"/>
                                  <w:color w:val="231F20"/>
                                  <w:sz w:val="18"/>
                                  <w:szCs w:val="18"/>
                                  <w:u w:color="231F20"/>
                                </w:rPr>
                              </w:pPr>
                            </w:p>
                            <w:p w:rsidR="00EA3B8B" w:rsidRPr="00120CC7" w:rsidRDefault="00EA3B8B" w:rsidP="00684647">
                              <w:pPr>
                                <w:spacing w:after="0" w:line="240" w:lineRule="auto"/>
                                <w:jc w:val="both"/>
                                <w:rPr>
                                  <w:rFonts w:cs="Calibri"/>
                                  <w:sz w:val="18"/>
                                  <w:szCs w:val="18"/>
                                </w:rPr>
                              </w:pPr>
                              <w:r w:rsidRPr="00120CC7">
                                <w:rPr>
                                  <w:rFonts w:cs="Calibri"/>
                                  <w:color w:val="231F20"/>
                                  <w:sz w:val="18"/>
                                  <w:szCs w:val="18"/>
                                  <w:u w:color="231F20"/>
                                </w:rPr>
                                <w:t xml:space="preserve">Under the UNDP-supported CBACC-CF project, the Triple F model is being implemented on 112 ha of fallow land as a pilot adaptation intervention in three coastal districts. In each hectare, eight ditches and nine dykes were developed and distributed to eight families on a ten-year land ownership agreement with renewal opportunities depending on beneficiary performance. </w:t>
                              </w:r>
                              <w:r w:rsidRPr="00120CC7">
                                <w:rPr>
                                  <w:rFonts w:cs="Calibri"/>
                                  <w:sz w:val="18"/>
                                  <w:szCs w:val="18"/>
                                </w:rPr>
                                <w:t>Additionally, the project trains farmers to switch from single to double-cropping patterns, and provides a high-yield, salt-</w:t>
                              </w:r>
                              <w:r w:rsidRPr="00120CC7">
                                <w:rPr>
                                  <w:rFonts w:cs="Calibri"/>
                                  <w:sz w:val="18"/>
                                  <w:szCs w:val="18"/>
                                  <w:lang w:val="it-IT"/>
                                </w:rPr>
                                <w:t>tolerant rice variety</w:t>
                              </w:r>
                              <w:r w:rsidRPr="00120CC7">
                                <w:rPr>
                                  <w:rFonts w:cs="Calibri"/>
                                  <w:sz w:val="18"/>
                                  <w:szCs w:val="18"/>
                                </w:rPr>
                                <w:t xml:space="preserve"> and improved fruit varieties. These strategies improve and diversify livelihoods, thus increasing the adaptive capacity of local communities and engaging community members. Building on the success of the project, the Government of Bangladesh is currently working to mainstream climate change resilience into national coastal zone management policies, including developing coastal land use policies that will make it easier to identify suitable lands for Triple F arrangement.</w:t>
                              </w:r>
                            </w:p>
                            <w:p w:rsidR="00EA3B8B" w:rsidRDefault="00EA3B8B" w:rsidP="00684647">
                              <w:pPr>
                                <w:pStyle w:val="Body"/>
                                <w:spacing w:after="0" w:line="240" w:lineRule="auto"/>
                                <w:jc w:val="both"/>
                                <w:rPr>
                                  <w:rFonts w:ascii="Times New Roman" w:eastAsia="Arial Unicode MS" w:hAnsi="Times New Roman" w:cs="Times New Roman"/>
                                  <w:color w:val="auto"/>
                                  <w:sz w:val="20"/>
                                  <w:szCs w:val="20"/>
                                </w:rPr>
                              </w:pPr>
                            </w:p>
                          </w:txbxContent>
                        </wps:txbx>
                        <wps:bodyPr rot="0" vert="horz" wrap="square" lIns="91439" tIns="91439" rIns="91439" bIns="91439"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15337" id="Group 7" o:spid="_x0000_s1086" style="position:absolute;left:0;text-align:left;margin-left:69.9pt;margin-top:62.25pt;width:464.1pt;height:464.25pt;z-index:251667456;mso-wrap-distance-left:12pt;mso-wrap-distance-top:12pt;mso-wrap-distance-right:12pt;mso-wrap-distance-bottom:12pt;mso-position-horizontal-relative:page;mso-position-vertical-relative:page" coordsize="63093,69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M3AQAAAUSAAAOAAAAZHJzL2Uyb0RvYy54bWzsWFlv4zYQfi/Q/0DosYCiwzqNOIv4ShfI&#10;bhdIij7TOiyhkqiSdOy06H/vcCgpPuJtdhMUfYgfJFIcDWe+Gc431uWHXV2Rh4yLkjUTw7mwDZI1&#10;CUvLZj0xfr1fmpFBhKRNSivWZBPjMRPGh6sff7jctuPMZQWr0owTUNKI8badGIWU7diyRFJkNRUX&#10;rM0aWMwZr6mEKV9bKadb0F5XlmvbgbVlPG05SzIh4OlcLxpXqD/Ps0T+kucik6SaGGCbxCvH60pd&#10;ratLOl5z2hZl0plBv8OKmpYNbDqomlNJyYaXJ6rqMuFMsFxeJKy2WJ6XSYY+gDeOfeTNDWebFn1Z&#10;j7frdoAJoD3C6bvVJp8fvnBSphC7kUEaWkOMcFsSKmy27XoMIje8vWu/cO0gDG9Z8ruAZet4Xc3X&#10;Wpistp9YCuroRjLEZpfzWqkAr8kOQ/A4hCDbSZLAQz+KPTuESCWwBhM/Dn0dpKSASJ68lxSL7s1g&#10;ZMejwNFvBrEfeC6+adGx3hiN7YxTnkHCiSdMxeswvStom2GohAKsx9TrMb0GEFCGRBpXFOtBFfuI&#10;7q0oIwUA/zyWJK/K9meIHKL7NVT/FRs6TjZC3mQMA0QfboXUJyOFEYY97ZLjHmKT1xUckp8s4tiR&#10;bZMtcZ3A7s/SIAihOBIsnhd0TwTPaIQMfZlGgP1I8IxG/0TwjI3BieAZjeGJ4J5GyMV1jygtepCT&#10;XdOhDCNCVeW0MaQtEyrhFeRwGu4dlTmgAqRUSM4IA5pKePQiYQBKCfcH5euaAQMljIWhN0PfO/M5&#10;lNvjQssNAoV2pc9wS6XyWlmvhmQ7MXTqkKIfqbWaPWT3DKXk0YmH/Z5Wq2ZfqtMEJmIqgmS/3t9b&#10;1PYk5zp+HHc49TL9Xctq5J+TSyomMh0P5QoGZnBPobJ3ngSrynRZVpVySfD1alZx8kCBkhbTpTNf&#10;dCYciFWNQseJbV/nwsHigQ4bf8/pqEsJ5FqV9VBmi4ymiybFsy1pWekxQqVsy5Ax+7yEmtwFS1Vn&#10;ZLO/rpe+HXqjyAxDf2R6o4VtTqPlzLyeOUEQLqaz6cL5WyWv442LMk2zZoE6IZGR4+H5ywptR/Oa&#10;Fgd6HQxU1rINuHdXpFuSlgKYfeTHLhSdtAR+d0ONCqHVGhqTREIeciZ/K2WBZbg/YgdIRlDOoj55&#10;Bu0Y2r2NrRPftMQO8hqQ7FEDutHFW3PNiqWPUMjBBrW1aplgUDD+p0G20H5MDPHHhvLMINXHBrgo&#10;djwPxCROPD90YcL3V1b7K7RJQNXEkAaUDzWcSZjBK5uWl+sCdtIc0TDFQ3mpijvap63qJkCH/xUv&#10;Qt3VvcYTL+JBVJgBfb6OFzE3nukVVBarHuOdDc9w1zsbvrOhprSeBfv7W7JhwxQVIgVV2MgMD76B&#10;h2I7XkSLyDM9N1iYnj2fm9fLmWcGSyf056P5bDY/4iG16duQ0HkqXuLvlIr3KEO3AZonkHIHao0d&#10;17Onbmwugyg0vaXnm3FoR6btxNM4sL3Ymy8PqfW2bLLXu4R9huJL7DnPO/cWfcbQFSjTe7o8hOH/&#10;0mHgQRjs7bqYJ5PPM73crXb4j3qEDbuitG8n/1Hckz90AmoykL+aaPLvVnryxx7ntfSPf5LhWwM6&#10;2n0XUR8z9ucw3v96c/UPAAAA//8DAFBLAwQUAAYACAAAACEA+mADauEAAAANAQAADwAAAGRycy9k&#10;b3ducmV2LnhtbEyPwWrDMBBE74X+g9hCb43kuA6JYzmE0PYUCk0KpTfF2tgmlmQsxXb+vutTc5th&#10;h9k32WY0Deux87WzEqKZAIa2cLq2pYTv4/vLEpgPymrVOIsSbuhhkz8+ZCrVbrBf2B9CyajE+lRJ&#10;qEJoU859UaFRfuZatHQ7u86oQLYrue7UQOWm4XMhFtyo2tKHSrW4q7C4HK5Gwseghm0cvfX7y3l3&#10;+z0mnz/7CKV8fhq3a2ABx/Afhgmf0CEnppO7Wu1ZQz5eEXogMX9NgE0JsVjSvNOkklgAzzN+vyL/&#10;AwAA//8DAFBLAQItABQABgAIAAAAIQC2gziS/gAAAOEBAAATAAAAAAAAAAAAAAAAAAAAAABbQ29u&#10;dGVudF9UeXBlc10ueG1sUEsBAi0AFAAGAAgAAAAhADj9If/WAAAAlAEAAAsAAAAAAAAAAAAAAAAA&#10;LwEAAF9yZWxzLy5yZWxzUEsBAi0AFAAGAAgAAAAhABX9RwzcBAAABRIAAA4AAAAAAAAAAAAAAAAA&#10;LgIAAGRycy9lMm9Eb2MueG1sUEsBAi0AFAAGAAgAAAAhAPpgA2rhAAAADQEAAA8AAAAAAAAAAAAA&#10;AAAANgcAAGRycy9kb3ducmV2LnhtbFBLBQYAAAAABAAEAPMAAABECAAAAAA=&#10;">
                <v:shape id="AutoShape 8" o:spid="_x0000_s1087" style="position:absolute;width:63093;height:6956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TcsIA&#10;AADbAAAADwAAAGRycy9kb3ducmV2LnhtbERPzWrCQBC+F/oOyxR6q7sWKRpdpRaEHlpDkj7ANDsm&#10;odnZkF1j8vZdQfA2H9/vbHajbcVAvW8ca5jPFAji0pmGKw0/xeFlCcIHZIOtY9IwkYfd9vFhg4lx&#10;F85oyEMlYgj7BDXUIXSJlL6syaKfuY44cifXWwwR9pU0PV5iuG3lq1Jv0mLDsaHGjj5qKv/ys9WQ&#10;Hl2hVvNf9fW9TPd+ysaFGfZaPz+N72sQgcZwF9/cnybOX8D1l3i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pNywgAAANsAAAAPAAAAAAAAAAAAAAAAAJgCAABkcnMvZG93&#10;bnJldi54bWxQSwUGAAAAAAQABAD1AAAAhwMAAAAA&#10;" path="m,l21600,r,21599l,21599,,xe" fillcolor="#ebf1de" strokeweight="1.5pt">
                  <v:stroke miterlimit="0" joinstyle="miter"/>
                  <v:path arrowok="t" o:connecttype="custom" o:connectlocs="3154681,3478213;3154681,3478213;3154681,3478213;3154681,3478213" o:connectangles="0,0,0,0"/>
                </v:shape>
                <v:shape id="AutoShape 9" o:spid="_x0000_s1088" style="position:absolute;width:63093;height:69564;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zRVsMA&#10;AADbAAAADwAAAGRycy9kb3ducmV2LnhtbERP32vCMBB+H/g/hBN809RBx+iMMosTx/awOREfj+aW&#10;FptLaWLs/vtlIOztPr6ft1gNthWRet84VjCfZSCIK6cbNgoOXy/TRxA+IGtsHZOCH/KwWo7uFlho&#10;d+VPivtgRAphX6CCOoSukNJXNVn0M9cRJ+7b9RZDgr2RusdrCretvM+yB2mx4dRQY0dlTdV5f7EK&#10;4iEey7fX3JjNx3Z9yvL3soyVUpPx8PwEItAQ/sU3906n+Tn8/ZI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zRVsMAAADbAAAADwAAAAAAAAAAAAAAAACYAgAAZHJzL2Rv&#10;d25yZXYueG1sUEsFBgAAAAAEAAQA9QAAAIgDAAAAAA==&#10;" adj="-11796480,,5400" path="m,l21600,r,21599l,21599,,xe" filled="f" stroked="f" strokeweight="1pt">
                  <v:stroke miterlimit="0" joinstyle="miter"/>
                  <v:formulas/>
                  <v:path arrowok="t" o:connecttype="custom" o:connectlocs="3154681,3478213;3154681,3478213;3154681,3478213;3154681,3478213" o:connectangles="0,0,0,0" textboxrect="0,0,21600,21600"/>
                  <v:textbox inset="2.53997mm,2.53997mm,2.53997mm,2.53997mm">
                    <w:txbxContent>
                      <w:p w:rsidR="00EA3B8B" w:rsidRDefault="00EA3B8B" w:rsidP="00684647">
                        <w:pPr>
                          <w:pStyle w:val="Body"/>
                          <w:spacing w:after="0" w:line="240" w:lineRule="auto"/>
                          <w:jc w:val="center"/>
                          <w:rPr>
                            <w:b/>
                            <w:bCs/>
                            <w:i/>
                            <w:iCs/>
                            <w:sz w:val="18"/>
                            <w:szCs w:val="18"/>
                            <w:lang w:val="fr-FR"/>
                          </w:rPr>
                        </w:pPr>
                        <w:r>
                          <w:rPr>
                            <w:b/>
                            <w:bCs/>
                            <w:i/>
                            <w:iCs/>
                            <w:sz w:val="18"/>
                            <w:szCs w:val="18"/>
                            <w:lang w:val="fr-FR"/>
                          </w:rPr>
                          <w:t>Box 4.3 : Triple F (Forest, Fish and Fruit) Model (CBACC-CF)</w:t>
                        </w:r>
                      </w:p>
                      <w:p w:rsidR="00EA3B8B" w:rsidRPr="00A13374" w:rsidRDefault="00EA3B8B" w:rsidP="00684647">
                        <w:pPr>
                          <w:pStyle w:val="Body"/>
                          <w:spacing w:after="0" w:line="240" w:lineRule="auto"/>
                          <w:jc w:val="center"/>
                          <w:rPr>
                            <w:b/>
                            <w:bCs/>
                            <w:i/>
                            <w:iCs/>
                            <w:sz w:val="16"/>
                            <w:szCs w:val="18"/>
                          </w:rPr>
                        </w:pPr>
                      </w:p>
                      <w:p w:rsidR="00EA3B8B" w:rsidRPr="00120CC7" w:rsidRDefault="00EA3B8B" w:rsidP="00684647">
                        <w:pPr>
                          <w:spacing w:after="0" w:line="240" w:lineRule="auto"/>
                          <w:jc w:val="both"/>
                          <w:rPr>
                            <w:rFonts w:cs="Calibri"/>
                            <w:sz w:val="18"/>
                            <w:szCs w:val="18"/>
                            <w:lang w:val="it-IT"/>
                          </w:rPr>
                        </w:pPr>
                        <w:r w:rsidRPr="00120CC7">
                          <w:rPr>
                            <w:rFonts w:cs="Calibri"/>
                            <w:i/>
                            <w:iCs/>
                            <w:sz w:val="18"/>
                            <w:szCs w:val="18"/>
                          </w:rPr>
                          <w:t>“The ditch and dyke (Triple F Model) has changed my life. I got fish spawn from [the] Fishery Department and as per their instruction we created [a] water body for fishery with rain water. I also got some seeds from [the] agriculture office and bought some by myself and I grow vegetables such as squash, pepper, melon, and palm. If I can work hard I can grow vegetable[s] all the year round... These ditches were given to us because we live close [to the] ditch and dyke, and can look after them. Besides, [</w:t>
                        </w:r>
                        <w:r w:rsidRPr="00120CC7">
                          <w:rPr>
                            <w:rFonts w:cs="Calibri"/>
                            <w:i/>
                            <w:iCs/>
                            <w:sz w:val="18"/>
                            <w:szCs w:val="18"/>
                            <w:lang w:val="fr-FR"/>
                          </w:rPr>
                          <w:t>Project personnel</w:t>
                        </w:r>
                        <w:r w:rsidRPr="00120CC7">
                          <w:rPr>
                            <w:rFonts w:cs="Calibri"/>
                            <w:i/>
                            <w:iCs/>
                            <w:sz w:val="18"/>
                            <w:szCs w:val="18"/>
                          </w:rPr>
                          <w:t>]</w:t>
                        </w:r>
                        <w:r w:rsidRPr="00120CC7">
                          <w:rPr>
                            <w:rFonts w:cs="Calibri"/>
                            <w:i/>
                            <w:iCs/>
                            <w:sz w:val="18"/>
                            <w:szCs w:val="18"/>
                            <w:lang w:val="da-DK"/>
                          </w:rPr>
                          <w:t xml:space="preserve"> gave </w:t>
                        </w:r>
                        <w:r w:rsidRPr="00120CC7">
                          <w:rPr>
                            <w:rFonts w:cs="Calibri"/>
                            <w:i/>
                            <w:iCs/>
                            <w:sz w:val="18"/>
                            <w:szCs w:val="18"/>
                          </w:rPr>
                          <w:t xml:space="preserve">to those who are poor, those of us [who] live on and close to river. Because of the difficulty of coming to the ditch during [the] rainy season often other people steal our fish and vegetables. But [the] ditch does not go under water unless there is another Cyclone like Sidr. From [the] ditch I earned 5000 BDT by selling squash at market and ate some squash worth 1000 BDT. It has become an additional income source for me. I was able to spend some money for my children, especially for their education, [and] bought some sweets for them. Moreover, for three months (Bengali Poush, Mag, Falgun) we do not have work in the field or fish in the river, no work in the area, then the ditch and dyke help us to earn and make a living…” </w:t>
                        </w:r>
                        <w:r w:rsidRPr="00120CC7">
                          <w:rPr>
                            <w:rFonts w:cs="Calibri"/>
                            <w:sz w:val="18"/>
                            <w:szCs w:val="18"/>
                            <w:lang w:val="it-IT"/>
                          </w:rPr>
                          <w:t>Tofazzol Hawlader (30), a Triple F model participant in Naltona Union, Barguna Sadr Upazila, Barguna.</w:t>
                        </w:r>
                      </w:p>
                      <w:p w:rsidR="00EA3B8B" w:rsidRPr="00A13374" w:rsidRDefault="00EA3B8B" w:rsidP="00684647">
                        <w:pPr>
                          <w:spacing w:after="0" w:line="240" w:lineRule="auto"/>
                          <w:jc w:val="both"/>
                          <w:rPr>
                            <w:rFonts w:cs="Calibri"/>
                            <w:color w:val="231F20"/>
                            <w:sz w:val="18"/>
                            <w:szCs w:val="18"/>
                            <w:u w:color="231F20"/>
                          </w:rPr>
                        </w:pPr>
                      </w:p>
                      <w:p w:rsidR="00EA3B8B" w:rsidRPr="00120CC7" w:rsidRDefault="00EA3B8B" w:rsidP="00684647">
                        <w:pPr>
                          <w:spacing w:after="0" w:line="240" w:lineRule="auto"/>
                          <w:jc w:val="both"/>
                          <w:rPr>
                            <w:rFonts w:cs="Calibri"/>
                            <w:i/>
                            <w:iCs/>
                            <w:color w:val="231F20"/>
                            <w:sz w:val="18"/>
                            <w:szCs w:val="18"/>
                            <w:u w:color="231F20"/>
                          </w:rPr>
                        </w:pPr>
                        <w:r w:rsidRPr="00120CC7">
                          <w:rPr>
                            <w:rFonts w:cs="Calibri"/>
                            <w:i/>
                            <w:iCs/>
                            <w:color w:val="231F20"/>
                            <w:sz w:val="18"/>
                            <w:szCs w:val="18"/>
                            <w:u w:color="231F20"/>
                          </w:rPr>
                          <w:t>“Cyclone Sidr took away everything including my house and all assets. [The]</w:t>
                        </w:r>
                        <w:r>
                          <w:rPr>
                            <w:rFonts w:cs="Calibri"/>
                            <w:i/>
                            <w:iCs/>
                            <w:color w:val="231F20"/>
                            <w:sz w:val="18"/>
                            <w:szCs w:val="18"/>
                            <w:u w:color="231F20"/>
                          </w:rPr>
                          <w:t xml:space="preserve"> </w:t>
                        </w:r>
                        <w:r w:rsidRPr="00120CC7">
                          <w:rPr>
                            <w:rFonts w:cs="Calibri"/>
                            <w:i/>
                            <w:iCs/>
                            <w:sz w:val="18"/>
                            <w:szCs w:val="18"/>
                          </w:rPr>
                          <w:t>ditch and dyke (Triple F model) helped me a lot [in] terms of my loss recovery. It has been five years since I was involved wit</w:t>
                        </w:r>
                        <w:r>
                          <w:rPr>
                            <w:rFonts w:cs="Calibri"/>
                            <w:i/>
                            <w:iCs/>
                            <w:sz w:val="18"/>
                            <w:szCs w:val="18"/>
                          </w:rPr>
                          <w:t xml:space="preserve">h </w:t>
                        </w:r>
                        <w:r w:rsidRPr="00120CC7">
                          <w:rPr>
                            <w:rFonts w:cs="Calibri"/>
                            <w:i/>
                            <w:iCs/>
                            <w:sz w:val="18"/>
                            <w:szCs w:val="18"/>
                          </w:rPr>
                          <w:t xml:space="preserve">[the] ditch and dyke model. Last year I sold vegetable of thirty thousand taka, this year I am sick that is why I could not do well. Ditch and dyke is good for me and also for our community…” </w:t>
                        </w:r>
                        <w:r w:rsidRPr="00120CC7">
                          <w:rPr>
                            <w:rFonts w:cs="Calibri"/>
                            <w:sz w:val="18"/>
                            <w:szCs w:val="18"/>
                          </w:rPr>
                          <w:t>ShanuMollick (42), a project beneficiary of Sonatala village of Naltona Union, BargunaSadar, Barguna.</w:t>
                        </w:r>
                      </w:p>
                      <w:p w:rsidR="00EA3B8B" w:rsidRPr="00A13374" w:rsidRDefault="00EA3B8B" w:rsidP="00684647">
                        <w:pPr>
                          <w:spacing w:after="0" w:line="240" w:lineRule="auto"/>
                          <w:jc w:val="both"/>
                          <w:rPr>
                            <w:rFonts w:cs="Calibri"/>
                            <w:color w:val="231F20"/>
                            <w:sz w:val="18"/>
                            <w:szCs w:val="18"/>
                            <w:u w:color="231F20"/>
                          </w:rPr>
                        </w:pPr>
                      </w:p>
                      <w:p w:rsidR="00EA3B8B" w:rsidRPr="00120CC7" w:rsidRDefault="00EA3B8B" w:rsidP="00684647">
                        <w:pPr>
                          <w:spacing w:after="0" w:line="240" w:lineRule="auto"/>
                          <w:jc w:val="both"/>
                          <w:rPr>
                            <w:rFonts w:cs="Calibri"/>
                            <w:b/>
                            <w:bCs/>
                            <w:sz w:val="18"/>
                            <w:szCs w:val="18"/>
                          </w:rPr>
                        </w:pPr>
                        <w:r w:rsidRPr="00120CC7">
                          <w:rPr>
                            <w:rFonts w:cs="Calibri"/>
                            <w:color w:val="231F20"/>
                            <w:sz w:val="18"/>
                            <w:szCs w:val="18"/>
                            <w:u w:color="231F20"/>
                          </w:rPr>
                          <w:t>The Triple F (Forest, Fish and Fruit) model is an innovative and integrated land-use practice pioneered by the CBACC-CF project, which provides climate-resilient livelihoods for coastal communities living around the coastal forests. The model was implemented in the encroached, periodically-inundated and unproductive fallow lands behind the mangrove forests to develop participatory ownership and adaptation practices. The Triple F model was developed to explore new options for resource and income generation by integrating agriculture, forestry, fisheries and livestock in one system for continuous resource generation. It comprises resource generation measures that contribute to recurrent income generation, leading to livelihood sustainability and increased adaptive capacity for poor coas</w:t>
                        </w:r>
                        <w:r w:rsidRPr="00C3339A">
                          <w:rPr>
                            <w:rFonts w:cs="Calibri"/>
                            <w:color w:val="231F20"/>
                            <w:sz w:val="18"/>
                            <w:szCs w:val="18"/>
                            <w:u w:color="231F20"/>
                          </w:rPr>
                          <w:t xml:space="preserve">tal communities. Consequently, </w:t>
                        </w:r>
                        <w:r w:rsidRPr="00120CC7">
                          <w:rPr>
                            <w:rFonts w:cs="Calibri"/>
                            <w:color w:val="231F20"/>
                            <w:sz w:val="18"/>
                            <w:szCs w:val="18"/>
                            <w:u w:color="231F20"/>
                          </w:rPr>
                          <w:t xml:space="preserve">the estimated </w:t>
                        </w:r>
                        <w:r w:rsidRPr="00120CC7">
                          <w:rPr>
                            <w:rFonts w:cs="Calibri"/>
                            <w:b/>
                            <w:bCs/>
                            <w:sz w:val="18"/>
                            <w:szCs w:val="18"/>
                          </w:rPr>
                          <w:t>Value for Money of the Triple F Model per beneficiary househo</w:t>
                        </w:r>
                        <w:r>
                          <w:rPr>
                            <w:rFonts w:cs="Calibri"/>
                            <w:b/>
                            <w:bCs/>
                            <w:sz w:val="18"/>
                            <w:szCs w:val="18"/>
                          </w:rPr>
                          <w:t xml:space="preserve">ld is: Net Present Value (NPV) </w:t>
                        </w:r>
                        <w:r w:rsidRPr="00120CC7">
                          <w:rPr>
                            <w:rFonts w:cs="Calibri"/>
                            <w:b/>
                            <w:bCs/>
                            <w:sz w:val="18"/>
                            <w:szCs w:val="18"/>
                          </w:rPr>
                          <w:t>Tk. 870,000, Benefit Cost Ratio (BCR) 4.88:1, and Internal Rate of Return (IRR) 50.90%.</w:t>
                        </w:r>
                      </w:p>
                      <w:p w:rsidR="00EA3B8B" w:rsidRPr="00A13374" w:rsidRDefault="00EA3B8B" w:rsidP="00684647">
                        <w:pPr>
                          <w:spacing w:after="0" w:line="240" w:lineRule="auto"/>
                          <w:jc w:val="both"/>
                          <w:rPr>
                            <w:rFonts w:cs="Calibri"/>
                            <w:color w:val="231F20"/>
                            <w:sz w:val="18"/>
                            <w:szCs w:val="18"/>
                            <w:u w:color="231F20"/>
                          </w:rPr>
                        </w:pPr>
                      </w:p>
                      <w:p w:rsidR="00EA3B8B" w:rsidRPr="00120CC7" w:rsidRDefault="00EA3B8B" w:rsidP="00684647">
                        <w:pPr>
                          <w:spacing w:after="0" w:line="240" w:lineRule="auto"/>
                          <w:jc w:val="both"/>
                          <w:rPr>
                            <w:rFonts w:cs="Calibri"/>
                            <w:sz w:val="18"/>
                            <w:szCs w:val="18"/>
                          </w:rPr>
                        </w:pPr>
                        <w:r w:rsidRPr="00120CC7">
                          <w:rPr>
                            <w:rFonts w:cs="Calibri"/>
                            <w:color w:val="231F20"/>
                            <w:sz w:val="18"/>
                            <w:szCs w:val="18"/>
                            <w:u w:color="231F20"/>
                          </w:rPr>
                          <w:t xml:space="preserve">Under the UNDP-supported CBACC-CF project, the Triple F model is being implemented on 112 ha of fallow land as a pilot adaptation intervention in three coastal districts. In each hectare, eight ditches and nine dykes were developed and distributed to eight families on a ten-year land ownership agreement with renewal opportunities depending on beneficiary performance. </w:t>
                        </w:r>
                        <w:r w:rsidRPr="00120CC7">
                          <w:rPr>
                            <w:rFonts w:cs="Calibri"/>
                            <w:sz w:val="18"/>
                            <w:szCs w:val="18"/>
                          </w:rPr>
                          <w:t>Additionally, the project trains farmers to switch from single to double-cropping patterns, and provides a high-yield, salt-</w:t>
                        </w:r>
                        <w:r w:rsidRPr="00120CC7">
                          <w:rPr>
                            <w:rFonts w:cs="Calibri"/>
                            <w:sz w:val="18"/>
                            <w:szCs w:val="18"/>
                            <w:lang w:val="it-IT"/>
                          </w:rPr>
                          <w:t>tolerant rice variety</w:t>
                        </w:r>
                        <w:r w:rsidRPr="00120CC7">
                          <w:rPr>
                            <w:rFonts w:cs="Calibri"/>
                            <w:sz w:val="18"/>
                            <w:szCs w:val="18"/>
                          </w:rPr>
                          <w:t xml:space="preserve"> and improved fruit varieties. These strategies improve and diversify livelihoods, thus increasing the adaptive capacity of local communities and engaging community members. Building on the success of the project, the Government of Bangladesh is currently working to mainstream climate change resilience into national coastal zone management policies, including developing coastal land use policies that will make it easier to identify suitable lands for Triple F arrangement.</w:t>
                        </w:r>
                      </w:p>
                      <w:p w:rsidR="00EA3B8B" w:rsidRDefault="00EA3B8B" w:rsidP="00684647">
                        <w:pPr>
                          <w:pStyle w:val="Body"/>
                          <w:spacing w:after="0" w:line="240" w:lineRule="auto"/>
                          <w:jc w:val="both"/>
                          <w:rPr>
                            <w:rFonts w:ascii="Times New Roman" w:eastAsia="Arial Unicode MS" w:hAnsi="Times New Roman" w:cs="Times New Roman"/>
                            <w:color w:val="auto"/>
                            <w:sz w:val="20"/>
                            <w:szCs w:val="20"/>
                          </w:rPr>
                        </w:pPr>
                      </w:p>
                    </w:txbxContent>
                  </v:textbox>
                </v:shape>
                <w10:wrap type="topAndBottom" anchorx="page" anchory="page"/>
              </v:group>
            </w:pict>
          </mc:Fallback>
        </mc:AlternateContent>
      </w:r>
    </w:p>
    <w:p w:rsidR="00C3339A" w:rsidRPr="009B1C91" w:rsidRDefault="00C3339A" w:rsidP="00F653F8">
      <w:pPr>
        <w:pStyle w:val="Body"/>
        <w:spacing w:after="0" w:line="240" w:lineRule="auto"/>
        <w:jc w:val="both"/>
        <w:rPr>
          <w:rFonts w:asciiTheme="minorHAnsi" w:hAnsiTheme="minorHAnsi" w:cstheme="minorHAnsi"/>
          <w:lang w:val="en-US"/>
        </w:rPr>
      </w:pPr>
      <w:r w:rsidRPr="001D4C99">
        <w:rPr>
          <w:rFonts w:asciiTheme="minorHAnsi" w:hAnsiTheme="minorHAnsi" w:cstheme="minorHAnsi"/>
          <w:i/>
          <w:iCs/>
          <w:lang w:val="en-US"/>
        </w:rPr>
        <w:t>Improving Kiln Efficiency in the Brick Making Industry (IKEBMI)</w:t>
      </w:r>
      <w:r w:rsidRPr="001D4C99">
        <w:rPr>
          <w:rFonts w:asciiTheme="minorHAnsi" w:hAnsiTheme="minorHAnsi" w:cstheme="minorHAnsi"/>
          <w:lang w:val="en-US"/>
        </w:rPr>
        <w:t>: Considerable delays occurred in the start-up of the IKEBMI project, but it was eventually implemented within the scheduled 5 years. However, the project produced fewer outputs than expected. Cooperation with one technology provider partially hampered the efficiency of the project as this provider was distracted by other contracts (e.g. a World Bank project). Also, it opened up the project to criticism because the focus was placed more on technology demonstration than on reaching a larger audience of potential stakeholders.</w:t>
      </w:r>
    </w:p>
    <w:p w:rsidR="00C3339A" w:rsidRPr="009B1C91" w:rsidRDefault="00C3339A" w:rsidP="00F653F8">
      <w:pPr>
        <w:pStyle w:val="Body"/>
        <w:spacing w:after="0" w:line="240" w:lineRule="auto"/>
        <w:jc w:val="both"/>
        <w:rPr>
          <w:rFonts w:asciiTheme="minorHAnsi" w:hAnsiTheme="minorHAnsi" w:cstheme="minorHAnsi"/>
          <w:lang w:val="en-US"/>
        </w:rPr>
      </w:pPr>
    </w:p>
    <w:p w:rsidR="00C3339A" w:rsidRPr="009B1C91" w:rsidRDefault="00C3339A"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However, a comparative financial analysis between traditional and low carbon emission-based (Green Brick) brick making activities was carried out during this mid-term evaluation effort. It revealed that Green Brick making is more efficient than traditional methods, the BCR being 1.92: 1for Green Brick making compared to 1.48: 1 for traditional manufacturing.  The NPV for Green Brick is Taka 87 million compared Taka 27 million for traditional brick manufacturing.</w:t>
      </w:r>
    </w:p>
    <w:p w:rsidR="00684647" w:rsidRDefault="00B652A0" w:rsidP="00684647">
      <w:pPr>
        <w:pStyle w:val="Body"/>
        <w:spacing w:after="0" w:line="240" w:lineRule="auto"/>
        <w:jc w:val="both"/>
        <w:rPr>
          <w:rFonts w:asciiTheme="minorHAnsi" w:hAnsiTheme="minorHAnsi" w:cstheme="minorHAnsi"/>
          <w:lang w:val="en-US"/>
        </w:rPr>
      </w:pPr>
      <w:r>
        <w:rPr>
          <w:rFonts w:asciiTheme="minorHAnsi" w:hAnsiTheme="minorHAnsi" w:cstheme="minorHAnsi"/>
          <w:noProof/>
          <w:lang w:val="en-US" w:eastAsia="en-US"/>
        </w:rPr>
        <w:lastRenderedPageBreak/>
        <mc:AlternateContent>
          <mc:Choice Requires="wpg">
            <w:drawing>
              <wp:anchor distT="152400" distB="152400" distL="152400" distR="152400" simplePos="0" relativeHeight="251664384" behindDoc="0" locked="0" layoutInCell="1" allowOverlap="1" wp14:anchorId="6022E6D5" wp14:editId="35FE72FD">
                <wp:simplePos x="0" y="0"/>
                <wp:positionH relativeFrom="page">
                  <wp:posOffset>857250</wp:posOffset>
                </wp:positionH>
                <wp:positionV relativeFrom="page">
                  <wp:posOffset>438150</wp:posOffset>
                </wp:positionV>
                <wp:extent cx="6153150" cy="7515225"/>
                <wp:effectExtent l="0" t="0" r="19050" b="2857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7515225"/>
                          <a:chOff x="0" y="0"/>
                          <a:chExt cx="64401" cy="93630"/>
                        </a:xfrm>
                      </wpg:grpSpPr>
                      <wps:wsp>
                        <wps:cNvPr id="11" name="AutoShape 11"/>
                        <wps:cNvSpPr>
                          <a:spLocks/>
                        </wps:cNvSpPr>
                        <wps:spPr bwMode="auto">
                          <a:xfrm flipH="1">
                            <a:off x="0" y="0"/>
                            <a:ext cx="64401" cy="93630"/>
                          </a:xfrm>
                          <a:custGeom>
                            <a:avLst/>
                            <a:gdLst>
                              <a:gd name="T0" fmla="*/ 3220086 w 21600"/>
                              <a:gd name="T1" fmla="*/ 4681538 h 21600"/>
                              <a:gd name="T2" fmla="*/ 3220086 w 21600"/>
                              <a:gd name="T3" fmla="*/ 4681538 h 21600"/>
                              <a:gd name="T4" fmla="*/ 3220086 w 21600"/>
                              <a:gd name="T5" fmla="*/ 4681538 h 21600"/>
                              <a:gd name="T6" fmla="*/ 3220086 w 21600"/>
                              <a:gd name="T7" fmla="*/ 4681538 h 216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lnTo>
                                  <a:pt x="21600" y="21599"/>
                                </a:lnTo>
                                <a:lnTo>
                                  <a:pt x="0" y="21599"/>
                                </a:lnTo>
                                <a:lnTo>
                                  <a:pt x="0" y="0"/>
                                </a:lnTo>
                                <a:close/>
                              </a:path>
                            </a:pathLst>
                          </a:custGeom>
                          <a:solidFill>
                            <a:srgbClr val="EBF1DE"/>
                          </a:solidFill>
                          <a:ln w="19050">
                            <a:solidFill>
                              <a:srgbClr val="000000"/>
                            </a:solidFill>
                            <a:miter lim="0"/>
                            <a:headEnd/>
                            <a:tailEnd/>
                          </a:ln>
                        </wps:spPr>
                        <wps:bodyPr rot="0" vert="horz" wrap="square" lIns="91440" tIns="45720" rIns="91440" bIns="45720" anchor="t" anchorCtr="0" upright="1">
                          <a:noAutofit/>
                        </wps:bodyPr>
                      </wps:wsp>
                      <wps:wsp>
                        <wps:cNvPr id="12" name="AutoShape 12"/>
                        <wps:cNvSpPr>
                          <a:spLocks/>
                        </wps:cNvSpPr>
                        <wps:spPr bwMode="auto">
                          <a:xfrm>
                            <a:off x="0" y="0"/>
                            <a:ext cx="64401" cy="93630"/>
                          </a:xfrm>
                          <a:custGeom>
                            <a:avLst/>
                            <a:gdLst>
                              <a:gd name="T0" fmla="*/ 3220086 w 21600"/>
                              <a:gd name="T1" fmla="*/ 4681538 h 21600"/>
                              <a:gd name="T2" fmla="*/ 3220086 w 21600"/>
                              <a:gd name="T3" fmla="*/ 4681538 h 21600"/>
                              <a:gd name="T4" fmla="*/ 3220086 w 21600"/>
                              <a:gd name="T5" fmla="*/ 4681538 h 21600"/>
                              <a:gd name="T6" fmla="*/ 3220086 w 21600"/>
                              <a:gd name="T7" fmla="*/ 4681538 h 21600"/>
                              <a:gd name="T8" fmla="*/ 0 60000 65536"/>
                              <a:gd name="T9" fmla="*/ 0 60000 65536"/>
                              <a:gd name="T10" fmla="*/ 0 60000 65536"/>
                              <a:gd name="T11" fmla="*/ 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599"/>
                                </a:lnTo>
                                <a:lnTo>
                                  <a:pt x="0" y="21599"/>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wps:spPr>
                        <wps:txbx>
                          <w:txbxContent>
                            <w:p w:rsidR="00EA3B8B" w:rsidRDefault="00EA3B8B" w:rsidP="00493FB6">
                              <w:pPr>
                                <w:pStyle w:val="Body"/>
                                <w:spacing w:after="0" w:line="240" w:lineRule="auto"/>
                                <w:jc w:val="center"/>
                                <w:rPr>
                                  <w:b/>
                                  <w:bCs/>
                                  <w:i/>
                                  <w:iCs/>
                                  <w:sz w:val="18"/>
                                  <w:szCs w:val="18"/>
                                </w:rPr>
                              </w:pPr>
                              <w:r>
                                <w:rPr>
                                  <w:b/>
                                  <w:bCs/>
                                  <w:i/>
                                  <w:iCs/>
                                  <w:sz w:val="18"/>
                                  <w:szCs w:val="18"/>
                                  <w:lang w:val="fr-FR"/>
                                </w:rPr>
                                <w:t xml:space="preserve">Box 4.4 : Green Bricks vs. Traditional Bricks </w:t>
                              </w:r>
                            </w:p>
                            <w:p w:rsidR="00EA3B8B" w:rsidRDefault="00EA3B8B" w:rsidP="00493FB6">
                              <w:pPr>
                                <w:pStyle w:val="Body"/>
                                <w:spacing w:after="0" w:line="240" w:lineRule="auto"/>
                                <w:rPr>
                                  <w:color w:val="4F81BD"/>
                                  <w:sz w:val="12"/>
                                  <w:szCs w:val="12"/>
                                  <w:u w:color="4F81BD"/>
                                </w:rPr>
                              </w:pPr>
                            </w:p>
                            <w:p w:rsidR="00EA3B8B" w:rsidRPr="001D4C99" w:rsidRDefault="00EA3B8B" w:rsidP="00493FB6">
                              <w:pPr>
                                <w:spacing w:after="0" w:line="240" w:lineRule="auto"/>
                                <w:jc w:val="both"/>
                                <w:rPr>
                                  <w:rFonts w:cs="Calibri"/>
                                  <w:sz w:val="18"/>
                                  <w:szCs w:val="18"/>
                                </w:rPr>
                              </w:pPr>
                              <w:r w:rsidRPr="001D4C99">
                                <w:rPr>
                                  <w:rFonts w:cs="Calibri"/>
                                  <w:i/>
                                  <w:iCs/>
                                  <w:color w:val="231F20"/>
                                  <w:sz w:val="18"/>
                                  <w:szCs w:val="18"/>
                                  <w:u w:color="231F20"/>
                                </w:rPr>
                                <w:t>“Green brick making in improved tunnel kilns saves 35% coal [compared to] the traditional brick making kiln which ultimately [reduces] CO</w:t>
                              </w:r>
                              <w:r w:rsidRPr="001D4C99">
                                <w:rPr>
                                  <w:rFonts w:cs="Calibri"/>
                                  <w:i/>
                                  <w:iCs/>
                                  <w:color w:val="231F20"/>
                                  <w:sz w:val="18"/>
                                  <w:szCs w:val="18"/>
                                  <w:u w:color="231F20"/>
                                  <w:vertAlign w:val="subscript"/>
                                </w:rPr>
                                <w:t xml:space="preserve">2 </w:t>
                              </w:r>
                              <w:r w:rsidRPr="001D4C99">
                                <w:rPr>
                                  <w:rFonts w:cs="Calibri"/>
                                  <w:i/>
                                  <w:iCs/>
                                  <w:color w:val="231F20"/>
                                  <w:sz w:val="18"/>
                                  <w:szCs w:val="18"/>
                                  <w:u w:color="231F20"/>
                                </w:rPr>
                                <w:t>emission in [the] air. Traditional brick making industry owners need awareness and technological training about the benefits of the green brick making and [the] establishment of the improved kiln. [The] government should come forward in providing necessary support and incentives to establish improved tunnel kilns. [The] banking sector can play a big role in providing loans [for] establishing tunnel kiln (HHK) as [the] investment cost is more than Tk. 20 million. Consumers are also more interested [in buying] green bricks with higher prices than the traditional one”-</w:t>
                              </w:r>
                              <w:r w:rsidRPr="001D4C99">
                                <w:rPr>
                                  <w:rFonts w:cs="Calibri"/>
                                  <w:sz w:val="18"/>
                                  <w:szCs w:val="18"/>
                                  <w:lang w:val="fr-FR"/>
                                </w:rPr>
                                <w:t>LiaquatHossain,</w:t>
                              </w:r>
                              <w:r>
                                <w:rPr>
                                  <w:rFonts w:cs="Calibri"/>
                                  <w:sz w:val="18"/>
                                  <w:szCs w:val="18"/>
                                  <w:lang w:val="fr-FR"/>
                                </w:rPr>
                                <w:t xml:space="preserve"> </w:t>
                              </w:r>
                              <w:r w:rsidRPr="001D4C99">
                                <w:rPr>
                                  <w:rFonts w:cs="Calibri"/>
                                  <w:sz w:val="18"/>
                                  <w:szCs w:val="18"/>
                                </w:rPr>
                                <w:t>Project Engineer, Universal Bricks (Green Bricks project), Dhamrai, Dhaka</w:t>
                              </w:r>
                            </w:p>
                            <w:p w:rsidR="00EA3B8B" w:rsidRPr="001D4C99" w:rsidRDefault="00EA3B8B" w:rsidP="00493FB6">
                              <w:pPr>
                                <w:pStyle w:val="NormalWeb1"/>
                                <w:spacing w:before="0" w:after="0"/>
                                <w:jc w:val="both"/>
                                <w:rPr>
                                  <w:rFonts w:ascii="Calibri" w:eastAsia="Calibri" w:hAnsi="Calibri" w:cs="Calibri"/>
                                  <w:sz w:val="18"/>
                                  <w:szCs w:val="18"/>
                                </w:rPr>
                              </w:pPr>
                            </w:p>
                            <w:p w:rsidR="00EA3B8B" w:rsidRPr="00120CC7" w:rsidRDefault="00EA3B8B" w:rsidP="00493FB6">
                              <w:pPr>
                                <w:pStyle w:val="NormalWeb1"/>
                                <w:spacing w:before="0" w:after="0"/>
                                <w:jc w:val="both"/>
                                <w:rPr>
                                  <w:rFonts w:ascii="Calibri" w:eastAsia="Calibri" w:hAnsi="Calibri" w:cs="Calibri"/>
                                  <w:sz w:val="18"/>
                                  <w:szCs w:val="18"/>
                                </w:rPr>
                              </w:pPr>
                              <w:r w:rsidRPr="001D4C99">
                                <w:rPr>
                                  <w:rFonts w:ascii="Calibri" w:eastAsia="Calibri" w:hAnsi="Calibri" w:cs="Calibri"/>
                                  <w:sz w:val="18"/>
                                  <w:szCs w:val="18"/>
                                </w:rPr>
                                <w:t>Explaining the prospect of ‘Green Bricks’ that have</w:t>
                              </w:r>
                              <w:r w:rsidRPr="00120CC7">
                                <w:rPr>
                                  <w:rFonts w:ascii="Calibri" w:eastAsia="Calibri" w:hAnsi="Calibri" w:cs="Calibri"/>
                                  <w:sz w:val="18"/>
                                  <w:szCs w:val="18"/>
                                </w:rPr>
                                <w:t xml:space="preserve"> been piloted by the “Improving Kiln Efficiency in the Brick Making Industry” (IKEBMI) (2009-2014, 3.0 m USD) project, these were the words of an engineer who was helping in the implementation of the programme. Branded as the GREEN Brick Project of UNDP Bangladesh, it is designed to remove barriers to the widespread adoption of energy efficient (EE) Brick kilns in the brick making industry (BMI). This project is providing better technology options to existing BMI entrepreneurs, replacing the traditional, highly-polluting kilns, exploring environment friendly brick making procedures, and initiating sustainable green business options. Traditional brick making operations are one of the largest sources of greenhouse gas emissions in the country, estimated at 6 million tons of carbon dioxide (CO</w:t>
                              </w:r>
                              <w:r w:rsidRPr="00120CC7">
                                <w:rPr>
                                  <w:rFonts w:ascii="Calibri" w:eastAsia="Calibri" w:hAnsi="Calibri" w:cs="Calibri"/>
                                  <w:sz w:val="18"/>
                                  <w:szCs w:val="18"/>
                                  <w:vertAlign w:val="subscript"/>
                                </w:rPr>
                                <w:t>2</w:t>
                              </w:r>
                              <w:r w:rsidRPr="00120CC7">
                                <w:rPr>
                                  <w:rFonts w:ascii="Calibri" w:eastAsia="Calibri" w:hAnsi="Calibri" w:cs="Calibri"/>
                                  <w:sz w:val="18"/>
                                  <w:szCs w:val="18"/>
                                </w:rPr>
                                <w:t xml:space="preserve">) annually. It is also a major source of land degradation and deforestation. The Green Brick Project to implement 15 demonstrations of energy efficient kilns over a five year period. It is expected to result in the direct energy savings </w:t>
                              </w:r>
                              <w:r w:rsidRPr="006C11FC">
                                <w:rPr>
                                  <w:rFonts w:ascii="Calibri" w:eastAsia="Calibri" w:hAnsi="Calibri" w:cs="Calibri"/>
                                  <w:sz w:val="18"/>
                                  <w:szCs w:val="18"/>
                                </w:rPr>
                                <w:t xml:space="preserve">of 314 kilotons of coal by the end of the project. Following this, direct greenhouse gas emission reductions next 15 years should be </w:t>
                              </w:r>
                              <w:r w:rsidRPr="006C11FC">
                                <w:rPr>
                                  <w:rFonts w:ascii="Calibri" w:eastAsia="Calibri" w:hAnsi="Calibri" w:cs="Calibri"/>
                                  <w:color w:val="auto"/>
                                  <w:sz w:val="18"/>
                                  <w:szCs w:val="18"/>
                                </w:rPr>
                                <w:t>of 1,464 kilotons of CO</w:t>
                              </w:r>
                              <w:r w:rsidRPr="006C11FC">
                                <w:rPr>
                                  <w:rFonts w:ascii="Calibri" w:eastAsia="Calibri" w:hAnsi="Calibri" w:cs="Calibri"/>
                                  <w:color w:val="auto"/>
                                  <w:sz w:val="18"/>
                                  <w:szCs w:val="18"/>
                                  <w:vertAlign w:val="subscript"/>
                                </w:rPr>
                                <w:t>2</w:t>
                              </w:r>
                              <w:r w:rsidRPr="006C11FC">
                                <w:rPr>
                                  <w:rFonts w:ascii="Calibri" w:eastAsia="Calibri" w:hAnsi="Calibri" w:cs="Calibri"/>
                                  <w:sz w:val="18"/>
                                  <w:szCs w:val="18"/>
                                </w:rPr>
                                <w:t>.</w:t>
                              </w:r>
                            </w:p>
                            <w:p w:rsidR="00EA3B8B" w:rsidRPr="00A13374" w:rsidRDefault="00EA3B8B" w:rsidP="00493FB6">
                              <w:pPr>
                                <w:spacing w:after="0" w:line="240" w:lineRule="auto"/>
                                <w:jc w:val="both"/>
                                <w:rPr>
                                  <w:rFonts w:cs="Calibri"/>
                                  <w:sz w:val="18"/>
                                  <w:szCs w:val="18"/>
                                </w:rPr>
                              </w:pPr>
                            </w:p>
                            <w:p w:rsidR="00EA3B8B" w:rsidRPr="00120CC7" w:rsidRDefault="00EA3B8B" w:rsidP="00493FB6">
                              <w:pPr>
                                <w:spacing w:after="0" w:line="240" w:lineRule="auto"/>
                                <w:jc w:val="both"/>
                                <w:rPr>
                                  <w:rFonts w:cs="Calibri"/>
                                  <w:sz w:val="18"/>
                                  <w:szCs w:val="18"/>
                                </w:rPr>
                              </w:pPr>
                              <w:r w:rsidRPr="00120CC7">
                                <w:rPr>
                                  <w:rFonts w:cs="Calibri"/>
                                  <w:sz w:val="18"/>
                                  <w:szCs w:val="18"/>
                                </w:rPr>
                                <w:t xml:space="preserve">While the project built a significantly reduced number of demonstration facilities only, the outreach and public resonance of the project lead to a sustainable and lasting impact. The project triggered a discussion about this technology and ultimately led to legal action prohibiting the worst traditional kilns, mitigating some of the environmental consequences and opening minds to the possibilities of modern tunnel kilns. </w:t>
                              </w:r>
                            </w:p>
                            <w:p w:rsidR="00EA3B8B" w:rsidRPr="00A13374" w:rsidRDefault="00EA3B8B" w:rsidP="00493FB6">
                              <w:pPr>
                                <w:spacing w:after="0" w:line="240" w:lineRule="auto"/>
                                <w:jc w:val="both"/>
                                <w:rPr>
                                  <w:rFonts w:cs="Calibri"/>
                                  <w:sz w:val="18"/>
                                  <w:szCs w:val="18"/>
                                </w:rPr>
                              </w:pPr>
                            </w:p>
                            <w:p w:rsidR="00EA3B8B" w:rsidRPr="00120CC7" w:rsidRDefault="00EA3B8B" w:rsidP="00493FB6">
                              <w:pPr>
                                <w:spacing w:after="0" w:line="240" w:lineRule="auto"/>
                                <w:jc w:val="both"/>
                                <w:rPr>
                                  <w:rFonts w:cs="Calibri"/>
                                  <w:sz w:val="18"/>
                                  <w:szCs w:val="18"/>
                                </w:rPr>
                              </w:pPr>
                              <w:r w:rsidRPr="00120CC7">
                                <w:rPr>
                                  <w:rFonts w:cs="Calibri"/>
                                  <w:sz w:val="18"/>
                                  <w:szCs w:val="18"/>
                                </w:rPr>
                                <w:t>This project paid special attention to the gender dimension. The work force at traditional kilns is 15% women, at HHK 23%. Separate sanitary facilities exist in the demonstration projects, but more importantly the project added awareness components in their work with brick kiln owners and provided explicit and specific monitoring information on gender balance. As work in HHK is not seasonal, these kilns do not employ migratory workers and thus offer employment to the local population. A crucial fact is that women are now more often permanent staff, and are paid directly even if their husbands work in the same plant. Out  of  5 women who were giving birth, just  1  remained  jobless  while 4  said  they were  paid  by the kiln owners during maternity leave, “a scenario quite unimaginable in the traditional system.” (Chisty, 2013)</w:t>
                              </w:r>
                            </w:p>
                            <w:p w:rsidR="00EA3B8B" w:rsidRPr="00A13374" w:rsidRDefault="00EA3B8B" w:rsidP="00493FB6">
                              <w:pPr>
                                <w:spacing w:after="0" w:line="240" w:lineRule="auto"/>
                                <w:rPr>
                                  <w:rFonts w:cs="Calibri"/>
                                  <w:color w:val="4F81BD"/>
                                  <w:sz w:val="18"/>
                                  <w:szCs w:val="18"/>
                                  <w:u w:color="4F81BD"/>
                                </w:rPr>
                              </w:pPr>
                            </w:p>
                            <w:p w:rsidR="00EA3B8B" w:rsidRPr="00A03946" w:rsidRDefault="00EA3B8B" w:rsidP="00493FB6">
                              <w:pPr>
                                <w:spacing w:after="0" w:line="240" w:lineRule="auto"/>
                                <w:jc w:val="both"/>
                                <w:rPr>
                                  <w:rFonts w:cs="Calibri"/>
                                  <w:b/>
                                  <w:bCs/>
                                  <w:sz w:val="18"/>
                                  <w:szCs w:val="18"/>
                                </w:rPr>
                              </w:pPr>
                              <w:r w:rsidRPr="00A03946">
                                <w:rPr>
                                  <w:rFonts w:cs="Calibri"/>
                                  <w:sz w:val="18"/>
                                  <w:szCs w:val="18"/>
                                </w:rPr>
                                <w:t xml:space="preserve">A comparative financial analysis was carried out for both traditional and green brick making activities. It can be seen that Green Brick making is more efficient from financial point of view. BCR for Green Brick is estimated as 1.92 compared to 1.48 for traditional brick. NPV for Green Brick is estimated as Tk. 87 million compared to Tk. 27 million for traditional brick.  The estimated </w:t>
                              </w:r>
                              <w:r w:rsidRPr="00A03946">
                                <w:rPr>
                                  <w:rFonts w:cs="Calibri"/>
                                  <w:b/>
                                  <w:bCs/>
                                  <w:sz w:val="18"/>
                                  <w:szCs w:val="18"/>
                                </w:rPr>
                                <w:t>Value for Money for Green Bricks is: Net Present Value (NPP) is Tk. 87 Million, Benefit Cost Ratio (BCR) is 1.92:1, and Internal Rate of Return (IRR) is 10.5%, whereas the Value for Money for Traditional Bricks is: Net Present Value (NPV) is Tk. 24 Million, Benefit Cost Ratio (BCR) is 1.48:1, and Internal Rate of Return (IRR) is 6.9%.</w:t>
                              </w:r>
                            </w:p>
                            <w:p w:rsidR="00EA3B8B" w:rsidRPr="00A03946" w:rsidRDefault="00EA3B8B" w:rsidP="00493FB6">
                              <w:pPr>
                                <w:spacing w:after="0" w:line="240" w:lineRule="auto"/>
                                <w:jc w:val="both"/>
                                <w:rPr>
                                  <w:rFonts w:cs="Calibri"/>
                                  <w:b/>
                                  <w:bCs/>
                                  <w:sz w:val="18"/>
                                  <w:szCs w:val="18"/>
                                </w:rPr>
                              </w:pPr>
                            </w:p>
                            <w:p w:rsidR="00EA3B8B" w:rsidRPr="00A03946" w:rsidRDefault="00EA3B8B" w:rsidP="00493FB6">
                              <w:pPr>
                                <w:spacing w:after="0" w:line="240" w:lineRule="auto"/>
                                <w:jc w:val="both"/>
                                <w:rPr>
                                  <w:rFonts w:cs="Calibri"/>
                                  <w:sz w:val="18"/>
                                  <w:szCs w:val="18"/>
                                </w:rPr>
                              </w:pPr>
                              <w:r w:rsidRPr="00A03946">
                                <w:rPr>
                                  <w:rFonts w:cs="Calibri"/>
                                  <w:sz w:val="18"/>
                                  <w:szCs w:val="18"/>
                                </w:rPr>
                                <w:t>The sustainability of the project demonstration facilities is high; these are long-term investments. The</w:t>
                              </w:r>
                              <w:r w:rsidRPr="00120CC7">
                                <w:rPr>
                                  <w:rFonts w:cs="Calibri"/>
                                  <w:sz w:val="18"/>
                                  <w:szCs w:val="18"/>
                                </w:rPr>
                                <w:t xml:space="preserve"> 4 demonstration projects have already led to significant replication.  Through triggering national discussion, the project might lead to the widespread adoption of even more environmental friendly technology.  On the other hand, these new technologies will reduce the labor input and thus potentially cause income losses to migratory workers.  In addition, most traditional kiln owners will not have sufficient capital resources to invest in new technologies, which are much more expensive than the traditional kilns. This will raise political resistance and ultimately put them out of business. The Bricks MTR finds that some challenges of the project might be associated with faulty assessments by the project implementer. The Review </w:t>
                              </w:r>
                              <w:r w:rsidRPr="00A03946">
                                <w:rPr>
                                  <w:rFonts w:cs="Calibri"/>
                                  <w:sz w:val="18"/>
                                  <w:szCs w:val="18"/>
                                </w:rPr>
                                <w:t>suggested that “lessons to UNDP in structuring partnerships, quality assurance, monitoring the “big picture” (in addition to the SMART indicators), and how to design demo projects” may all be derived from this experience.</w:t>
                              </w:r>
                            </w:p>
                            <w:p w:rsidR="00EA3B8B" w:rsidRPr="00A03946" w:rsidRDefault="00EA3B8B" w:rsidP="00493FB6">
                              <w:pPr>
                                <w:spacing w:after="0" w:line="240" w:lineRule="auto"/>
                                <w:rPr>
                                  <w:rFonts w:cs="Calibri"/>
                                  <w:sz w:val="8"/>
                                  <w:szCs w:val="18"/>
                                </w:rPr>
                              </w:pPr>
                            </w:p>
                            <w:p w:rsidR="00EA3B8B" w:rsidRDefault="00EA3B8B" w:rsidP="00493FB6">
                              <w:pPr>
                                <w:pStyle w:val="Body"/>
                                <w:spacing w:after="0" w:line="240" w:lineRule="auto"/>
                                <w:jc w:val="both"/>
                                <w:rPr>
                                  <w:sz w:val="20"/>
                                  <w:szCs w:val="20"/>
                                </w:rPr>
                              </w:pPr>
                              <w:r w:rsidRPr="00A03946">
                                <w:rPr>
                                  <w:sz w:val="18"/>
                                  <w:szCs w:val="18"/>
                                </w:rPr>
                                <w:t>Overall, the project was the first of a larger group of efforts to promote investments into more modern brick technologies</w:t>
                              </w:r>
                              <w:r w:rsidRPr="00120CC7">
                                <w:rPr>
                                  <w:sz w:val="18"/>
                                  <w:szCs w:val="18"/>
                                </w:rPr>
                                <w:t xml:space="preserve"> – a trend that is going to continue.</w:t>
                              </w:r>
                            </w:p>
                            <w:p w:rsidR="00EA3B8B" w:rsidRDefault="00EA3B8B" w:rsidP="00493FB6">
                              <w:pPr>
                                <w:pStyle w:val="Body"/>
                                <w:spacing w:after="0" w:line="240" w:lineRule="auto"/>
                                <w:jc w:val="both"/>
                                <w:rPr>
                                  <w:b/>
                                  <w:bCs/>
                                  <w:sz w:val="20"/>
                                  <w:szCs w:val="20"/>
                                </w:rPr>
                              </w:pPr>
                            </w:p>
                            <w:p w:rsidR="00EA3B8B" w:rsidRDefault="00EA3B8B" w:rsidP="00493FB6">
                              <w:pPr>
                                <w:pStyle w:val="Body"/>
                                <w:spacing w:after="0" w:line="240" w:lineRule="auto"/>
                                <w:jc w:val="both"/>
                                <w:rPr>
                                  <w:b/>
                                  <w:bCs/>
                                  <w:sz w:val="20"/>
                                  <w:szCs w:val="20"/>
                                </w:rPr>
                              </w:pPr>
                            </w:p>
                            <w:p w:rsidR="00EA3B8B" w:rsidRDefault="00EA3B8B" w:rsidP="00493FB6">
                              <w:pPr>
                                <w:pStyle w:val="Body"/>
                                <w:spacing w:after="0" w:line="240" w:lineRule="auto"/>
                                <w:jc w:val="both"/>
                                <w:rPr>
                                  <w:b/>
                                  <w:bCs/>
                                  <w:sz w:val="20"/>
                                  <w:szCs w:val="20"/>
                                </w:rPr>
                              </w:pPr>
                            </w:p>
                            <w:p w:rsidR="00EA3B8B" w:rsidRDefault="00EA3B8B" w:rsidP="00493FB6">
                              <w:pPr>
                                <w:pStyle w:val="Body"/>
                                <w:spacing w:after="0" w:line="240" w:lineRule="auto"/>
                                <w:jc w:val="both"/>
                                <w:rPr>
                                  <w:b/>
                                  <w:bCs/>
                                  <w:sz w:val="20"/>
                                  <w:szCs w:val="20"/>
                                </w:rPr>
                              </w:pPr>
                            </w:p>
                            <w:p w:rsidR="00EA3B8B" w:rsidRDefault="00EA3B8B" w:rsidP="00493FB6">
                              <w:pPr>
                                <w:pStyle w:val="Body"/>
                                <w:spacing w:after="0" w:line="240" w:lineRule="auto"/>
                                <w:jc w:val="both"/>
                                <w:rPr>
                                  <w:i/>
                                  <w:iCs/>
                                  <w:sz w:val="20"/>
                                  <w:szCs w:val="20"/>
                                </w:rPr>
                              </w:pPr>
                            </w:p>
                            <w:p w:rsidR="00EA3B8B" w:rsidRDefault="00EA3B8B" w:rsidP="00493FB6">
                              <w:pPr>
                                <w:pStyle w:val="Body"/>
                                <w:spacing w:after="0" w:line="240" w:lineRule="auto"/>
                                <w:jc w:val="both"/>
                                <w:rPr>
                                  <w:sz w:val="20"/>
                                  <w:szCs w:val="20"/>
                                </w:rPr>
                              </w:pPr>
                            </w:p>
                            <w:p w:rsidR="00EA3B8B" w:rsidRDefault="00EA3B8B" w:rsidP="00493FB6">
                              <w:pPr>
                                <w:pStyle w:val="Body"/>
                                <w:spacing w:after="0" w:line="240" w:lineRule="auto"/>
                                <w:jc w:val="both"/>
                                <w:rPr>
                                  <w:sz w:val="20"/>
                                  <w:szCs w:val="20"/>
                                </w:rPr>
                              </w:pPr>
                            </w:p>
                            <w:p w:rsidR="00EA3B8B" w:rsidRDefault="00EA3B8B" w:rsidP="00493FB6">
                              <w:pPr>
                                <w:pStyle w:val="Body"/>
                                <w:spacing w:after="0" w:line="240" w:lineRule="auto"/>
                                <w:jc w:val="both"/>
                                <w:rPr>
                                  <w:rFonts w:ascii="Times New Roman" w:eastAsia="Arial Unicode MS" w:hAnsi="Times New Roman" w:cs="Times New Roman"/>
                                  <w:color w:val="auto"/>
                                  <w:sz w:val="20"/>
                                  <w:szCs w:val="20"/>
                                </w:rPr>
                              </w:pPr>
                            </w:p>
                          </w:txbxContent>
                        </wps:txbx>
                        <wps:bodyPr rot="0" vert="horz" wrap="square" lIns="91439" tIns="91439" rIns="91439" bIns="91439"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2E6D5" id="Group 10" o:spid="_x0000_s1089" style="position:absolute;left:0;text-align:left;margin-left:67.5pt;margin-top:34.5pt;width:484.5pt;height:591.75pt;z-index:251664384;mso-wrap-distance-left:12pt;mso-wrap-distance-top:12pt;mso-wrap-distance-right:12pt;mso-wrap-distance-bottom:12pt;mso-position-horizontal-relative:page;mso-position-vertical-relative:page" coordsize="64401,9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KywQAAFUSAAAOAAAAZHJzL2Uyb0RvYy54bWzsWNtu4zYQfS/QfyD0WMBrUZZkS4iz2MR2&#10;WiBtF1j3A2hdLKGSqJJy7LTov/eQlBTZuTjdLPrS5MEhzaPRzBlyztAXHw9lQe4SIXNezS36wbZI&#10;UkU8zqvt3PptvRrNLCIbVsWs4FUyt+4TaX28/P67i30dJg7PeBEngsBIJcN9PbeypqnD8VhGWVIy&#10;+YHXSYXFlIuSNZiK7TgWbA/rZTF2bNsf77mIa8GjREp8uzCL1qW2n6ZJ1PyapjJpSDG34FujP4X+&#10;3KjP8eUFC7eC1VketW6wr/CiZHmFl/amFqxhZCfyR6bKPBJc8rT5EPFyzNM0jxIdA6Kh9kk0N4Lv&#10;ah3LNtxv654mUHvC01ebjX65+yxIHiN3oKdiJXKkX0swBzn7ehsCcyPqL/VnYSLE8JZHv0ssj0/X&#10;1XxrwGSz/5nHsMd2DdfkHFJRKhMImxx0Du77HCSHhkT40qfehHrwJcLa1KOe43gmS1GGVD56LsqW&#10;3ZOua1PzXDDxJ9r9MQvNS7WjrWMqKuw2+UCofBuhXzJWJzpPUpHVEQpnDKGfQIDGEEoNqRrXMSqH&#10;dA5WlJcSrD9NJEmLvP4RedPUvkjpS8SwMNrJ5ibhOjPs7lY25kzEGOl8x20UayQlLQscjx/GZOLg&#10;9M18sicO9e3uHPVQhN5DXX+GnM5I9jTUGUDPWJ0MoGesugPoGaveAHrGqj+AnrE6HUDPWEWJ7Mmy&#10;Cdi08el5E7+tTj2rwWuB6iy/ziQ25AtIHJ9ttw9Y1m2N6FC1ewMjwlSlX8/0Lqy5VAdU7RSc3rXe&#10;7LABmNpJD+jgCI0doNATFe5TaESjHu+MI7UKrqvCk3BzIjo4cqbg06F181gbhIBInMqDsAjkYWMS&#10;ULNGxa59wJDs55bZ9CTrRmqt5HfJmmtUc1Km8L6H1aIaolpLcLErWN1697/W1h5wDvWCoI2mw3T/&#10;DdbQ/1rc6XujgsvEpEJFrnPSU6CYG9QLyYs8XuVFocKWYru5LgS5YxDb5dWKLpatm0ewolIM0sBG&#10;ldePPWtDnQRTW/DaIxtl3qBtKPKy148sYfGyinXtalhemDGeK7D3UP1NKTWlf8Pje5RVwU07gPYF&#10;g4yLPy2yRyswt+QfOyYSixQ/VZCGgKKAonfQE9ebOpiI4cpmuMKqCKbmVmPhaKjhdWP6jV0t8m2G&#10;N5n9WXElC2muyq32z3jVTqBO/5VM4fg9kilHJU6RBjl7m0ypDL+Lk2Jh29fxd3H6FuI0ZJQOuwj7&#10;2a5k2EDYzzUkdJgeXXaftTdsHQxy0OSg9vx/xHOtMoDatqbgGPVurViEhK5p2733CgIhfxfRIxGt&#10;uFJQrVxKrFjYf9HKFwtxO2o7EHVP0hfLvwI7WM6WM3fkOv5y5NqLxejT6tod+Ss69RaTxfX1gv6t&#10;FJa6YZbHcVKp13SXXOq+7s7TXrfN9bS/5h6J8ZHur/TfY90fH7uhuwrEosIdhEQd175ygtHKn01H&#10;7sr1RsHUno1sGlwFvu0G7mJ1HNJtXiVvD0k3JM4UvYby5/ngvkVD0mdDuf5AA1LdJfmkW2kOm4O+&#10;oU96Vf73DcwEdwfTwKCbUZO+gVET08C0K10DEzXogt/awuh7N3670IG2v7OoH0eGc4yHvwZd/gMA&#10;AP//AwBQSwMEFAAGAAgAAAAhAKoSPBLgAAAADAEAAA8AAABkcnMvZG93bnJldi54bWxMT8FKw0AU&#10;vAv+w/IEb3aT1BSN2ZRS1FMRbIXS2zb7moRm34bsNkn/3teTnt4MM8ybyZeTbcWAvW8cKYhnEQik&#10;0pmGKgU/u4+nFxA+aDK6dYQKruhhWdzf5TozbqRvHLahEhxCPtMK6hC6TEpf1mi1n7kOibWT660O&#10;TPtKml6PHG5bmUTRQlrdEH+odYfrGsvz9mIVfI56XM3j92FzPq2vh136td/EqNTjw7R6AxFwCn9m&#10;uNXn6lBwp6O7kPGiZT5PeUtQsHjlezPE0TOjI6MkTVKQRS7/jyh+AQAA//8DAFBLAQItABQABgAI&#10;AAAAIQC2gziS/gAAAOEBAAATAAAAAAAAAAAAAAAAAAAAAABbQ29udGVudF9UeXBlc10ueG1sUEsB&#10;Ai0AFAAGAAgAAAAhADj9If/WAAAAlAEAAAsAAAAAAAAAAAAAAAAALwEAAF9yZWxzLy5yZWxzUEsB&#10;Ai0AFAAGAAgAAAAhAJQFb4rLBAAAVRIAAA4AAAAAAAAAAAAAAAAALgIAAGRycy9lMm9Eb2MueG1s&#10;UEsBAi0AFAAGAAgAAAAhAKoSPBLgAAAADAEAAA8AAAAAAAAAAAAAAAAAJQcAAGRycy9kb3ducmV2&#10;LnhtbFBLBQYAAAAABAAEAPMAAAAyCAAAAAA=&#10;">
                <v:shape id="AutoShape 11" o:spid="_x0000_s1090" style="position:absolute;width:64401;height:9363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w6sIA&#10;AADbAAAADwAAAGRycy9kb3ducmV2LnhtbERP22rCQBB9L/gPywh9a3ZTSrHRVVQo+NBWNP2AMTsm&#10;wexsyK65/H23UOjbHM51VpvRNqKnzteONaSJAkFcOFNzqeE7f39agPAB2WDjmDRM5GGznj2sMDNu&#10;4BP151CKGMI+Qw1VCG0mpS8qsugT1xJH7uo6iyHCrpSmwyGG20Y+K/UqLdYcGypsaV9RcTvfrYbj&#10;l8vVW3pRH5+L485Pp/HF9DutH+fjdgki0Bj+xX/ug4nzU/j9JR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TDqwgAAANsAAAAPAAAAAAAAAAAAAAAAAJgCAABkcnMvZG93&#10;bnJldi54bWxQSwUGAAAAAAQABAD1AAAAhwMAAAAA&#10;" path="m,l21600,r,21599l,21599,,xe" fillcolor="#ebf1de" strokeweight="1.5pt">
                  <v:stroke miterlimit="0" joinstyle="miter"/>
                  <v:path arrowok="t" o:connecttype="custom" o:connectlocs="9600776,20293167;9600776,20293167;9600776,20293167;9600776,20293167" o:connectangles="0,0,0,0"/>
                </v:shape>
                <v:shape id="AutoShape 12" o:spid="_x0000_s1091" style="position:absolute;width:64401;height:93630;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JIsIA&#10;AADbAAAADwAAAGRycy9kb3ducmV2LnhtbERPS2sCMRC+F/ofwhS81ayCpaxG0aWVlvbgC/E4bMbs&#10;4maybNK4/ntTKPQ2H99zZoveNiJS52vHCkbDDARx6XTNRsFh//78CsIHZI2NY1JwIw+L+ePDDHPt&#10;rryluAtGpBD2OSqoQmhzKX1ZkUU/dC1x4s6usxgS7IzUHV5TuG3kOMtepMWaU0OFLRUVlZfdj1UQ&#10;D/FYfH1OjHnbrFenbPJdFLFUavDUL6cgAvXhX/zn/tBp/hh+f0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UkiwgAAANsAAAAPAAAAAAAAAAAAAAAAAJgCAABkcnMvZG93&#10;bnJldi54bWxQSwUGAAAAAAQABAD1AAAAhwMAAAAA&#10;" adj="-11796480,,5400" path="m,l21600,r,21599l,21599,,xe" filled="f" stroked="f" strokeweight="1pt">
                  <v:stroke miterlimit="0" joinstyle="miter"/>
                  <v:formulas/>
                  <v:path arrowok="t" o:connecttype="custom" o:connectlocs="9600776,20293167;9600776,20293167;9600776,20293167;9600776,20293167" o:connectangles="0,0,0,0" textboxrect="0,0,21600,21600"/>
                  <v:textbox inset="2.53997mm,2.53997mm,2.53997mm,2.53997mm">
                    <w:txbxContent>
                      <w:p w:rsidR="00EA3B8B" w:rsidRDefault="00EA3B8B" w:rsidP="00493FB6">
                        <w:pPr>
                          <w:pStyle w:val="Body"/>
                          <w:spacing w:after="0" w:line="240" w:lineRule="auto"/>
                          <w:jc w:val="center"/>
                          <w:rPr>
                            <w:b/>
                            <w:bCs/>
                            <w:i/>
                            <w:iCs/>
                            <w:sz w:val="18"/>
                            <w:szCs w:val="18"/>
                          </w:rPr>
                        </w:pPr>
                        <w:r>
                          <w:rPr>
                            <w:b/>
                            <w:bCs/>
                            <w:i/>
                            <w:iCs/>
                            <w:sz w:val="18"/>
                            <w:szCs w:val="18"/>
                            <w:lang w:val="fr-FR"/>
                          </w:rPr>
                          <w:t xml:space="preserve">Box 4.4 : Green Bricks vs. Traditional Bricks </w:t>
                        </w:r>
                      </w:p>
                      <w:p w:rsidR="00EA3B8B" w:rsidRDefault="00EA3B8B" w:rsidP="00493FB6">
                        <w:pPr>
                          <w:pStyle w:val="Body"/>
                          <w:spacing w:after="0" w:line="240" w:lineRule="auto"/>
                          <w:rPr>
                            <w:color w:val="4F81BD"/>
                            <w:sz w:val="12"/>
                            <w:szCs w:val="12"/>
                            <w:u w:color="4F81BD"/>
                          </w:rPr>
                        </w:pPr>
                      </w:p>
                      <w:p w:rsidR="00EA3B8B" w:rsidRPr="001D4C99" w:rsidRDefault="00EA3B8B" w:rsidP="00493FB6">
                        <w:pPr>
                          <w:spacing w:after="0" w:line="240" w:lineRule="auto"/>
                          <w:jc w:val="both"/>
                          <w:rPr>
                            <w:rFonts w:cs="Calibri"/>
                            <w:sz w:val="18"/>
                            <w:szCs w:val="18"/>
                          </w:rPr>
                        </w:pPr>
                        <w:r w:rsidRPr="001D4C99">
                          <w:rPr>
                            <w:rFonts w:cs="Calibri"/>
                            <w:i/>
                            <w:iCs/>
                            <w:color w:val="231F20"/>
                            <w:sz w:val="18"/>
                            <w:szCs w:val="18"/>
                            <w:u w:color="231F20"/>
                          </w:rPr>
                          <w:t>“Green brick making in improved tunnel kilns saves 35% coal [compared to] the traditional brick making kiln which ultimately [reduces] CO</w:t>
                        </w:r>
                        <w:r w:rsidRPr="001D4C99">
                          <w:rPr>
                            <w:rFonts w:cs="Calibri"/>
                            <w:i/>
                            <w:iCs/>
                            <w:color w:val="231F20"/>
                            <w:sz w:val="18"/>
                            <w:szCs w:val="18"/>
                            <w:u w:color="231F20"/>
                            <w:vertAlign w:val="subscript"/>
                          </w:rPr>
                          <w:t xml:space="preserve">2 </w:t>
                        </w:r>
                        <w:r w:rsidRPr="001D4C99">
                          <w:rPr>
                            <w:rFonts w:cs="Calibri"/>
                            <w:i/>
                            <w:iCs/>
                            <w:color w:val="231F20"/>
                            <w:sz w:val="18"/>
                            <w:szCs w:val="18"/>
                            <w:u w:color="231F20"/>
                          </w:rPr>
                          <w:t>emission in [the] air. Traditional brick making industry owners need awareness and technological training about the benefits of the green brick making and [the] establishment of the improved kiln. [The] government should come forward in providing necessary support and incentives to establish improved tunnel kilns. [The] banking sector can play a big role in providing loans [for] establishing tunnel kiln (HHK) as [the] investment cost is more than Tk. 20 million. Consumers are also more interested [in buying] green bricks with higher prices than the traditional one”-</w:t>
                        </w:r>
                        <w:r w:rsidRPr="001D4C99">
                          <w:rPr>
                            <w:rFonts w:cs="Calibri"/>
                            <w:sz w:val="18"/>
                            <w:szCs w:val="18"/>
                            <w:lang w:val="fr-FR"/>
                          </w:rPr>
                          <w:t>LiaquatHossain,</w:t>
                        </w:r>
                        <w:r>
                          <w:rPr>
                            <w:rFonts w:cs="Calibri"/>
                            <w:sz w:val="18"/>
                            <w:szCs w:val="18"/>
                            <w:lang w:val="fr-FR"/>
                          </w:rPr>
                          <w:t xml:space="preserve"> </w:t>
                        </w:r>
                        <w:r w:rsidRPr="001D4C99">
                          <w:rPr>
                            <w:rFonts w:cs="Calibri"/>
                            <w:sz w:val="18"/>
                            <w:szCs w:val="18"/>
                          </w:rPr>
                          <w:t>Project Engineer, Universal Bricks (Green Bricks project), Dhamrai, Dhaka</w:t>
                        </w:r>
                      </w:p>
                      <w:p w:rsidR="00EA3B8B" w:rsidRPr="001D4C99" w:rsidRDefault="00EA3B8B" w:rsidP="00493FB6">
                        <w:pPr>
                          <w:pStyle w:val="NormalWeb1"/>
                          <w:spacing w:before="0" w:after="0"/>
                          <w:jc w:val="both"/>
                          <w:rPr>
                            <w:rFonts w:ascii="Calibri" w:eastAsia="Calibri" w:hAnsi="Calibri" w:cs="Calibri"/>
                            <w:sz w:val="18"/>
                            <w:szCs w:val="18"/>
                          </w:rPr>
                        </w:pPr>
                      </w:p>
                      <w:p w:rsidR="00EA3B8B" w:rsidRPr="00120CC7" w:rsidRDefault="00EA3B8B" w:rsidP="00493FB6">
                        <w:pPr>
                          <w:pStyle w:val="NormalWeb1"/>
                          <w:spacing w:before="0" w:after="0"/>
                          <w:jc w:val="both"/>
                          <w:rPr>
                            <w:rFonts w:ascii="Calibri" w:eastAsia="Calibri" w:hAnsi="Calibri" w:cs="Calibri"/>
                            <w:sz w:val="18"/>
                            <w:szCs w:val="18"/>
                          </w:rPr>
                        </w:pPr>
                        <w:r w:rsidRPr="001D4C99">
                          <w:rPr>
                            <w:rFonts w:ascii="Calibri" w:eastAsia="Calibri" w:hAnsi="Calibri" w:cs="Calibri"/>
                            <w:sz w:val="18"/>
                            <w:szCs w:val="18"/>
                          </w:rPr>
                          <w:t>Explaining the prospect of ‘Green Bricks’ that have</w:t>
                        </w:r>
                        <w:r w:rsidRPr="00120CC7">
                          <w:rPr>
                            <w:rFonts w:ascii="Calibri" w:eastAsia="Calibri" w:hAnsi="Calibri" w:cs="Calibri"/>
                            <w:sz w:val="18"/>
                            <w:szCs w:val="18"/>
                          </w:rPr>
                          <w:t xml:space="preserve"> been piloted by the “Improving Kiln Efficiency in the Brick Making Industry” (IKEBMI) (2009-2014, 3.0 m USD) project, these were the words of an engineer who was helping in the implementation of the programme. Branded as the GREEN Brick Project of UNDP Bangladesh, it is designed to remove barriers to the widespread adoption of energy efficient (EE) Brick kilns in the brick making industry (BMI). This project is providing better technology options to existing BMI entrepreneurs, replacing the traditional, highly-polluting kilns, exploring environment friendly brick making procedures, and initiating sustainable green business options. Traditional brick making operations are one of the largest sources of greenhouse gas emissions in the country, estimated at 6 million tons of carbon dioxide (CO</w:t>
                        </w:r>
                        <w:r w:rsidRPr="00120CC7">
                          <w:rPr>
                            <w:rFonts w:ascii="Calibri" w:eastAsia="Calibri" w:hAnsi="Calibri" w:cs="Calibri"/>
                            <w:sz w:val="18"/>
                            <w:szCs w:val="18"/>
                            <w:vertAlign w:val="subscript"/>
                          </w:rPr>
                          <w:t>2</w:t>
                        </w:r>
                        <w:r w:rsidRPr="00120CC7">
                          <w:rPr>
                            <w:rFonts w:ascii="Calibri" w:eastAsia="Calibri" w:hAnsi="Calibri" w:cs="Calibri"/>
                            <w:sz w:val="18"/>
                            <w:szCs w:val="18"/>
                          </w:rPr>
                          <w:t xml:space="preserve">) annually. It is also a major source of land degradation and deforestation. The Green Brick Project to implement 15 demonstrations of energy efficient kilns over a five year period. It is expected to result in the direct energy savings </w:t>
                        </w:r>
                        <w:r w:rsidRPr="006C11FC">
                          <w:rPr>
                            <w:rFonts w:ascii="Calibri" w:eastAsia="Calibri" w:hAnsi="Calibri" w:cs="Calibri"/>
                            <w:sz w:val="18"/>
                            <w:szCs w:val="18"/>
                          </w:rPr>
                          <w:t xml:space="preserve">of 314 kilotons of coal by the end of the project. Following this, direct greenhouse gas emission reductions next 15 years should be </w:t>
                        </w:r>
                        <w:r w:rsidRPr="006C11FC">
                          <w:rPr>
                            <w:rFonts w:ascii="Calibri" w:eastAsia="Calibri" w:hAnsi="Calibri" w:cs="Calibri"/>
                            <w:color w:val="auto"/>
                            <w:sz w:val="18"/>
                            <w:szCs w:val="18"/>
                          </w:rPr>
                          <w:t>of 1,464 kilotons of CO</w:t>
                        </w:r>
                        <w:r w:rsidRPr="006C11FC">
                          <w:rPr>
                            <w:rFonts w:ascii="Calibri" w:eastAsia="Calibri" w:hAnsi="Calibri" w:cs="Calibri"/>
                            <w:color w:val="auto"/>
                            <w:sz w:val="18"/>
                            <w:szCs w:val="18"/>
                            <w:vertAlign w:val="subscript"/>
                          </w:rPr>
                          <w:t>2</w:t>
                        </w:r>
                        <w:r w:rsidRPr="006C11FC">
                          <w:rPr>
                            <w:rFonts w:ascii="Calibri" w:eastAsia="Calibri" w:hAnsi="Calibri" w:cs="Calibri"/>
                            <w:sz w:val="18"/>
                            <w:szCs w:val="18"/>
                          </w:rPr>
                          <w:t>.</w:t>
                        </w:r>
                      </w:p>
                      <w:p w:rsidR="00EA3B8B" w:rsidRPr="00A13374" w:rsidRDefault="00EA3B8B" w:rsidP="00493FB6">
                        <w:pPr>
                          <w:spacing w:after="0" w:line="240" w:lineRule="auto"/>
                          <w:jc w:val="both"/>
                          <w:rPr>
                            <w:rFonts w:cs="Calibri"/>
                            <w:sz w:val="18"/>
                            <w:szCs w:val="18"/>
                          </w:rPr>
                        </w:pPr>
                      </w:p>
                      <w:p w:rsidR="00EA3B8B" w:rsidRPr="00120CC7" w:rsidRDefault="00EA3B8B" w:rsidP="00493FB6">
                        <w:pPr>
                          <w:spacing w:after="0" w:line="240" w:lineRule="auto"/>
                          <w:jc w:val="both"/>
                          <w:rPr>
                            <w:rFonts w:cs="Calibri"/>
                            <w:sz w:val="18"/>
                            <w:szCs w:val="18"/>
                          </w:rPr>
                        </w:pPr>
                        <w:r w:rsidRPr="00120CC7">
                          <w:rPr>
                            <w:rFonts w:cs="Calibri"/>
                            <w:sz w:val="18"/>
                            <w:szCs w:val="18"/>
                          </w:rPr>
                          <w:t xml:space="preserve">While the project built a significantly reduced number of demonstration facilities only, the outreach and public resonance of the project lead to a sustainable and lasting impact. The project triggered a discussion about this technology and ultimately led to legal action prohibiting the worst traditional kilns, mitigating some of the environmental consequences and opening minds to the possibilities of modern tunnel kilns. </w:t>
                        </w:r>
                      </w:p>
                      <w:p w:rsidR="00EA3B8B" w:rsidRPr="00A13374" w:rsidRDefault="00EA3B8B" w:rsidP="00493FB6">
                        <w:pPr>
                          <w:spacing w:after="0" w:line="240" w:lineRule="auto"/>
                          <w:jc w:val="both"/>
                          <w:rPr>
                            <w:rFonts w:cs="Calibri"/>
                            <w:sz w:val="18"/>
                            <w:szCs w:val="18"/>
                          </w:rPr>
                        </w:pPr>
                      </w:p>
                      <w:p w:rsidR="00EA3B8B" w:rsidRPr="00120CC7" w:rsidRDefault="00EA3B8B" w:rsidP="00493FB6">
                        <w:pPr>
                          <w:spacing w:after="0" w:line="240" w:lineRule="auto"/>
                          <w:jc w:val="both"/>
                          <w:rPr>
                            <w:rFonts w:cs="Calibri"/>
                            <w:sz w:val="18"/>
                            <w:szCs w:val="18"/>
                          </w:rPr>
                        </w:pPr>
                        <w:r w:rsidRPr="00120CC7">
                          <w:rPr>
                            <w:rFonts w:cs="Calibri"/>
                            <w:sz w:val="18"/>
                            <w:szCs w:val="18"/>
                          </w:rPr>
                          <w:t>This project paid special attention to the gender dimension. The work force at traditional kilns is 15% women, at HHK 23%. Separate sanitary facilities exist in the demonstration projects, but more importantly the project added awareness components in their work with brick kiln owners and provided explicit and specific monitoring information on gender balance. As work in HHK is not seasonal, these kilns do not employ migratory workers and thus offer employment to the local population. A crucial fact is that women are now more often permanent staff, and are paid directly even if their husbands work in the same plant. Out  of  5 women who were giving birth, just  1  remained  jobless  while 4  said  they were  paid  by the kiln owners during maternity leave, “a scenario quite unimaginable in the traditional system.” (Chisty, 2013)</w:t>
                        </w:r>
                      </w:p>
                      <w:p w:rsidR="00EA3B8B" w:rsidRPr="00A13374" w:rsidRDefault="00EA3B8B" w:rsidP="00493FB6">
                        <w:pPr>
                          <w:spacing w:after="0" w:line="240" w:lineRule="auto"/>
                          <w:rPr>
                            <w:rFonts w:cs="Calibri"/>
                            <w:color w:val="4F81BD"/>
                            <w:sz w:val="18"/>
                            <w:szCs w:val="18"/>
                            <w:u w:color="4F81BD"/>
                          </w:rPr>
                        </w:pPr>
                      </w:p>
                      <w:p w:rsidR="00EA3B8B" w:rsidRPr="00A03946" w:rsidRDefault="00EA3B8B" w:rsidP="00493FB6">
                        <w:pPr>
                          <w:spacing w:after="0" w:line="240" w:lineRule="auto"/>
                          <w:jc w:val="both"/>
                          <w:rPr>
                            <w:rFonts w:cs="Calibri"/>
                            <w:b/>
                            <w:bCs/>
                            <w:sz w:val="18"/>
                            <w:szCs w:val="18"/>
                          </w:rPr>
                        </w:pPr>
                        <w:r w:rsidRPr="00A03946">
                          <w:rPr>
                            <w:rFonts w:cs="Calibri"/>
                            <w:sz w:val="18"/>
                            <w:szCs w:val="18"/>
                          </w:rPr>
                          <w:t xml:space="preserve">A comparative financial analysis was carried out for both traditional and green brick making activities. It can be seen that Green Brick making is more efficient from financial point of view. BCR for Green Brick is estimated as 1.92 compared to 1.48 for traditional brick. NPV for Green Brick is estimated as Tk. 87 million compared to Tk. 27 million for traditional brick.  The estimated </w:t>
                        </w:r>
                        <w:r w:rsidRPr="00A03946">
                          <w:rPr>
                            <w:rFonts w:cs="Calibri"/>
                            <w:b/>
                            <w:bCs/>
                            <w:sz w:val="18"/>
                            <w:szCs w:val="18"/>
                          </w:rPr>
                          <w:t>Value for Money for Green Bricks is: Net Present Value (NPP) is Tk. 87 Million, Benefit Cost Ratio (BCR) is 1.92:1, and Internal Rate of Return (IRR) is 10.5%, whereas the Value for Money for Traditional Bricks is: Net Present Value (NPV) is Tk. 24 Million, Benefit Cost Ratio (BCR) is 1.48:1, and Internal Rate of Return (IRR) is 6.9%.</w:t>
                        </w:r>
                      </w:p>
                      <w:p w:rsidR="00EA3B8B" w:rsidRPr="00A03946" w:rsidRDefault="00EA3B8B" w:rsidP="00493FB6">
                        <w:pPr>
                          <w:spacing w:after="0" w:line="240" w:lineRule="auto"/>
                          <w:jc w:val="both"/>
                          <w:rPr>
                            <w:rFonts w:cs="Calibri"/>
                            <w:b/>
                            <w:bCs/>
                            <w:sz w:val="18"/>
                            <w:szCs w:val="18"/>
                          </w:rPr>
                        </w:pPr>
                      </w:p>
                      <w:p w:rsidR="00EA3B8B" w:rsidRPr="00A03946" w:rsidRDefault="00EA3B8B" w:rsidP="00493FB6">
                        <w:pPr>
                          <w:spacing w:after="0" w:line="240" w:lineRule="auto"/>
                          <w:jc w:val="both"/>
                          <w:rPr>
                            <w:rFonts w:cs="Calibri"/>
                            <w:sz w:val="18"/>
                            <w:szCs w:val="18"/>
                          </w:rPr>
                        </w:pPr>
                        <w:r w:rsidRPr="00A03946">
                          <w:rPr>
                            <w:rFonts w:cs="Calibri"/>
                            <w:sz w:val="18"/>
                            <w:szCs w:val="18"/>
                          </w:rPr>
                          <w:t>The sustainability of the project demonstration facilities is high; these are long-term investments. The</w:t>
                        </w:r>
                        <w:r w:rsidRPr="00120CC7">
                          <w:rPr>
                            <w:rFonts w:cs="Calibri"/>
                            <w:sz w:val="18"/>
                            <w:szCs w:val="18"/>
                          </w:rPr>
                          <w:t xml:space="preserve"> 4 demonstration projects have already led to significant replication.  Through triggering national discussion, the project might lead to the widespread adoption of even more environmental friendly technology.  On the other hand, these new technologies will reduce the labor input and thus potentially cause income losses to migratory workers.  In addition, most traditional kiln owners will not have sufficient capital resources to invest in new technologies, which are much more expensive than the traditional kilns. This will raise political resistance and ultimately put them out of business. The Bricks MTR finds that some challenges of the project might be associated with faulty assessments by the project implementer. The Review </w:t>
                        </w:r>
                        <w:r w:rsidRPr="00A03946">
                          <w:rPr>
                            <w:rFonts w:cs="Calibri"/>
                            <w:sz w:val="18"/>
                            <w:szCs w:val="18"/>
                          </w:rPr>
                          <w:t>suggested that “lessons to UNDP in structuring partnerships, quality assurance, monitoring the “big picture” (in addition to the SMART indicators), and how to design demo projects” may all be derived from this experience.</w:t>
                        </w:r>
                      </w:p>
                      <w:p w:rsidR="00EA3B8B" w:rsidRPr="00A03946" w:rsidRDefault="00EA3B8B" w:rsidP="00493FB6">
                        <w:pPr>
                          <w:spacing w:after="0" w:line="240" w:lineRule="auto"/>
                          <w:rPr>
                            <w:rFonts w:cs="Calibri"/>
                            <w:sz w:val="8"/>
                            <w:szCs w:val="18"/>
                          </w:rPr>
                        </w:pPr>
                      </w:p>
                      <w:p w:rsidR="00EA3B8B" w:rsidRDefault="00EA3B8B" w:rsidP="00493FB6">
                        <w:pPr>
                          <w:pStyle w:val="Body"/>
                          <w:spacing w:after="0" w:line="240" w:lineRule="auto"/>
                          <w:jc w:val="both"/>
                          <w:rPr>
                            <w:sz w:val="20"/>
                            <w:szCs w:val="20"/>
                          </w:rPr>
                        </w:pPr>
                        <w:r w:rsidRPr="00A03946">
                          <w:rPr>
                            <w:sz w:val="18"/>
                            <w:szCs w:val="18"/>
                          </w:rPr>
                          <w:t>Overall, the project was the first of a larger group of efforts to promote investments into more modern brick technologies</w:t>
                        </w:r>
                        <w:r w:rsidRPr="00120CC7">
                          <w:rPr>
                            <w:sz w:val="18"/>
                            <w:szCs w:val="18"/>
                          </w:rPr>
                          <w:t xml:space="preserve"> – a trend that is going to continue.</w:t>
                        </w:r>
                      </w:p>
                      <w:p w:rsidR="00EA3B8B" w:rsidRDefault="00EA3B8B" w:rsidP="00493FB6">
                        <w:pPr>
                          <w:pStyle w:val="Body"/>
                          <w:spacing w:after="0" w:line="240" w:lineRule="auto"/>
                          <w:jc w:val="both"/>
                          <w:rPr>
                            <w:b/>
                            <w:bCs/>
                            <w:sz w:val="20"/>
                            <w:szCs w:val="20"/>
                          </w:rPr>
                        </w:pPr>
                      </w:p>
                      <w:p w:rsidR="00EA3B8B" w:rsidRDefault="00EA3B8B" w:rsidP="00493FB6">
                        <w:pPr>
                          <w:pStyle w:val="Body"/>
                          <w:spacing w:after="0" w:line="240" w:lineRule="auto"/>
                          <w:jc w:val="both"/>
                          <w:rPr>
                            <w:b/>
                            <w:bCs/>
                            <w:sz w:val="20"/>
                            <w:szCs w:val="20"/>
                          </w:rPr>
                        </w:pPr>
                      </w:p>
                      <w:p w:rsidR="00EA3B8B" w:rsidRDefault="00EA3B8B" w:rsidP="00493FB6">
                        <w:pPr>
                          <w:pStyle w:val="Body"/>
                          <w:spacing w:after="0" w:line="240" w:lineRule="auto"/>
                          <w:jc w:val="both"/>
                          <w:rPr>
                            <w:b/>
                            <w:bCs/>
                            <w:sz w:val="20"/>
                            <w:szCs w:val="20"/>
                          </w:rPr>
                        </w:pPr>
                      </w:p>
                      <w:p w:rsidR="00EA3B8B" w:rsidRDefault="00EA3B8B" w:rsidP="00493FB6">
                        <w:pPr>
                          <w:pStyle w:val="Body"/>
                          <w:spacing w:after="0" w:line="240" w:lineRule="auto"/>
                          <w:jc w:val="both"/>
                          <w:rPr>
                            <w:b/>
                            <w:bCs/>
                            <w:sz w:val="20"/>
                            <w:szCs w:val="20"/>
                          </w:rPr>
                        </w:pPr>
                      </w:p>
                      <w:p w:rsidR="00EA3B8B" w:rsidRDefault="00EA3B8B" w:rsidP="00493FB6">
                        <w:pPr>
                          <w:pStyle w:val="Body"/>
                          <w:spacing w:after="0" w:line="240" w:lineRule="auto"/>
                          <w:jc w:val="both"/>
                          <w:rPr>
                            <w:i/>
                            <w:iCs/>
                            <w:sz w:val="20"/>
                            <w:szCs w:val="20"/>
                          </w:rPr>
                        </w:pPr>
                      </w:p>
                      <w:p w:rsidR="00EA3B8B" w:rsidRDefault="00EA3B8B" w:rsidP="00493FB6">
                        <w:pPr>
                          <w:pStyle w:val="Body"/>
                          <w:spacing w:after="0" w:line="240" w:lineRule="auto"/>
                          <w:jc w:val="both"/>
                          <w:rPr>
                            <w:sz w:val="20"/>
                            <w:szCs w:val="20"/>
                          </w:rPr>
                        </w:pPr>
                      </w:p>
                      <w:p w:rsidR="00EA3B8B" w:rsidRDefault="00EA3B8B" w:rsidP="00493FB6">
                        <w:pPr>
                          <w:pStyle w:val="Body"/>
                          <w:spacing w:after="0" w:line="240" w:lineRule="auto"/>
                          <w:jc w:val="both"/>
                          <w:rPr>
                            <w:sz w:val="20"/>
                            <w:szCs w:val="20"/>
                          </w:rPr>
                        </w:pPr>
                      </w:p>
                      <w:p w:rsidR="00EA3B8B" w:rsidRDefault="00EA3B8B" w:rsidP="00493FB6">
                        <w:pPr>
                          <w:pStyle w:val="Body"/>
                          <w:spacing w:after="0" w:line="240" w:lineRule="auto"/>
                          <w:jc w:val="both"/>
                          <w:rPr>
                            <w:rFonts w:ascii="Times New Roman" w:eastAsia="Arial Unicode MS" w:hAnsi="Times New Roman" w:cs="Times New Roman"/>
                            <w:color w:val="auto"/>
                            <w:sz w:val="20"/>
                            <w:szCs w:val="20"/>
                          </w:rPr>
                        </w:pPr>
                      </w:p>
                    </w:txbxContent>
                  </v:textbox>
                </v:shape>
                <w10:wrap type="topAndBottom" anchorx="page" anchory="page"/>
              </v:group>
            </w:pict>
          </mc:Fallback>
        </mc:AlternateContent>
      </w:r>
      <w:r w:rsidR="00684647" w:rsidRPr="009B1C91">
        <w:rPr>
          <w:rFonts w:asciiTheme="minorHAnsi" w:hAnsiTheme="minorHAnsi" w:cstheme="minorHAnsi"/>
          <w:lang w:val="en-US"/>
        </w:rPr>
        <w:t xml:space="preserve">Due to limited access to budgetary and expenditure information of the sampled projects, an economic analysis, particularly with respect to Value for Money (VfM), was not possible. Instead, the evaluators, by taking a Case Study approach, focused on in-depth analysis of selected projected components. All VfM analyses of project components produced cost-benefit ratios larger than one. </w:t>
      </w:r>
    </w:p>
    <w:p w:rsidR="00304A48" w:rsidRPr="009B1C91" w:rsidRDefault="00304A48" w:rsidP="00684647">
      <w:pPr>
        <w:pStyle w:val="Body"/>
        <w:spacing w:after="0" w:line="240" w:lineRule="auto"/>
        <w:jc w:val="both"/>
        <w:rPr>
          <w:rFonts w:asciiTheme="minorHAnsi" w:hAnsiTheme="minorHAnsi" w:cstheme="minorHAnsi"/>
          <w:lang w:val="en-US"/>
        </w:rPr>
      </w:pPr>
    </w:p>
    <w:p w:rsidR="00684647" w:rsidRPr="009B1C91" w:rsidRDefault="00684647" w:rsidP="00684647">
      <w:pPr>
        <w:pStyle w:val="Body"/>
        <w:spacing w:after="0" w:line="240" w:lineRule="auto"/>
        <w:jc w:val="both"/>
        <w:rPr>
          <w:rFonts w:asciiTheme="minorHAnsi" w:hAnsiTheme="minorHAnsi" w:cstheme="minorHAnsi"/>
          <w:b/>
          <w:lang w:val="en-US"/>
        </w:rPr>
      </w:pPr>
    </w:p>
    <w:p w:rsidR="00684647" w:rsidRPr="009B1C91" w:rsidRDefault="00684647" w:rsidP="00684647">
      <w:pPr>
        <w:pStyle w:val="Body"/>
        <w:spacing w:after="0" w:line="240" w:lineRule="auto"/>
        <w:jc w:val="both"/>
        <w:rPr>
          <w:rFonts w:asciiTheme="minorHAnsi" w:hAnsiTheme="minorHAnsi" w:cstheme="minorHAnsi"/>
          <w:b/>
          <w:lang w:val="en-US"/>
        </w:rPr>
      </w:pPr>
      <w:r w:rsidRPr="009B1C91">
        <w:rPr>
          <w:rFonts w:asciiTheme="minorHAnsi" w:hAnsiTheme="minorHAnsi" w:cstheme="minorHAnsi"/>
          <w:b/>
          <w:lang w:val="en-US"/>
        </w:rPr>
        <w:t>Synthesis of efficiency of project interventions</w:t>
      </w:r>
    </w:p>
    <w:p w:rsidR="00684647" w:rsidRPr="009B1C91" w:rsidRDefault="00684647" w:rsidP="00684647">
      <w:pPr>
        <w:pStyle w:val="Body"/>
        <w:spacing w:after="0" w:line="240" w:lineRule="auto"/>
        <w:jc w:val="both"/>
        <w:rPr>
          <w:rFonts w:asciiTheme="minorHAnsi" w:hAnsiTheme="minorHAnsi" w:cstheme="minorHAnsi"/>
          <w:lang w:val="en-US"/>
        </w:rPr>
      </w:pPr>
    </w:p>
    <w:p w:rsidR="00684647" w:rsidRPr="009B1C91" w:rsidRDefault="00684647" w:rsidP="00684647">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The Benefit Cost Ratio of the two habitat-building approaches was significantly different. In the ERF ‘Resilient Habitat’ initiative, a lack of proper planning, design and facilities resulted in people “simply moving from one place to another”. In the CDMP II ‘Core Family Shelters’ project, lessons learned in ERF resulted in improved cost benefits. Among the financial benefits were reduced inventory losses in case of floods and storms, improved livelihood systems (e.g. livestock, fisheries), and rainwater harvesting. In addition, there were improved non-monetary benefits, such as overall better living circumstances leading to greater happiness, income generating opportunities, poverty reduction, access to veterinary services, and the empowerment of women. </w:t>
      </w:r>
    </w:p>
    <w:p w:rsidR="00684647" w:rsidRPr="009B1C91" w:rsidRDefault="00684647" w:rsidP="00F653F8">
      <w:pPr>
        <w:pStyle w:val="Body"/>
        <w:spacing w:after="0" w:line="240" w:lineRule="auto"/>
        <w:jc w:val="both"/>
        <w:rPr>
          <w:rFonts w:asciiTheme="minorHAnsi" w:hAnsiTheme="minorHAnsi" w:cstheme="minorHAnsi"/>
          <w:lang w:val="en-US"/>
        </w:rPr>
      </w:pPr>
    </w:p>
    <w:p w:rsidR="00BB189A" w:rsidRPr="009B1C91" w:rsidRDefault="00BB189A"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The evaluators found that UNDP projects generally struggle with timely delivery. Design and approval times for projects were significantly too long, especially in the government pipeline. This significantly hampered the effectiveness of the projects. The only initiated project in the energy sector that can contribute to the outcome indicators is the SREPGen project. Its development began in 2011, and became effective in 2015 (year 1).  Its contribution to the CPD outcome indicators would be marginal due to this long development time. Also, in case of CDMPII project development phase, there was a significant delay in the startup phase due to capacity bottlenecks and leadership problems in the government institutions (e.g., hiring of staff in the DMB</w:t>
      </w:r>
      <w:r w:rsidR="009D350D" w:rsidRPr="009B1C91">
        <w:rPr>
          <w:rFonts w:asciiTheme="minorHAnsi" w:hAnsiTheme="minorHAnsi" w:cstheme="minorHAnsi"/>
          <w:lang w:val="en-US"/>
        </w:rPr>
        <w:t>)</w:t>
      </w:r>
      <w:r w:rsidRPr="009B1C91">
        <w:rPr>
          <w:rFonts w:asciiTheme="minorHAnsi" w:hAnsiTheme="minorHAnsi" w:cstheme="minorHAnsi"/>
          <w:lang w:val="en-US"/>
        </w:rPr>
        <w:t>.</w:t>
      </w:r>
    </w:p>
    <w:p w:rsidR="00BA07B4" w:rsidRPr="009B1C91" w:rsidRDefault="00BA07B4" w:rsidP="00F653F8">
      <w:pPr>
        <w:pStyle w:val="Body"/>
        <w:spacing w:after="0" w:line="240" w:lineRule="auto"/>
        <w:jc w:val="both"/>
        <w:rPr>
          <w:rFonts w:asciiTheme="minorHAnsi" w:hAnsiTheme="minorHAnsi" w:cstheme="minorHAnsi"/>
          <w:lang w:val="en-US"/>
        </w:rPr>
      </w:pPr>
    </w:p>
    <w:p w:rsidR="00BB189A" w:rsidRPr="009B1C91" w:rsidRDefault="00BB189A" w:rsidP="00F653F8">
      <w:pPr>
        <w:autoSpaceDE w:val="0"/>
        <w:autoSpaceDN w:val="0"/>
        <w:adjustRightInd w:val="0"/>
        <w:spacing w:after="0" w:line="240" w:lineRule="auto"/>
        <w:jc w:val="both"/>
        <w:rPr>
          <w:rFonts w:asciiTheme="minorHAnsi" w:hAnsiTheme="minorHAnsi" w:cstheme="minorHAnsi"/>
          <w:b/>
        </w:rPr>
      </w:pPr>
    </w:p>
    <w:p w:rsidR="00EF317C" w:rsidRPr="009B1C91" w:rsidRDefault="00EF317C" w:rsidP="00F653F8">
      <w:pPr>
        <w:autoSpaceDE w:val="0"/>
        <w:autoSpaceDN w:val="0"/>
        <w:adjustRightInd w:val="0"/>
        <w:spacing w:after="0" w:line="240" w:lineRule="auto"/>
        <w:jc w:val="both"/>
        <w:rPr>
          <w:rFonts w:asciiTheme="minorHAnsi" w:hAnsiTheme="minorHAnsi" w:cstheme="minorHAnsi"/>
          <w:b/>
        </w:rPr>
      </w:pPr>
      <w:r w:rsidRPr="009B1C91">
        <w:rPr>
          <w:rFonts w:asciiTheme="minorHAnsi" w:hAnsiTheme="minorHAnsi" w:cstheme="minorHAnsi"/>
          <w:b/>
        </w:rPr>
        <w:t>4.2.4 ENGAGEMENT WITH CROSS CUTTING THEMES – GENDER AND OTHER RELATED PERSPECTIVES</w:t>
      </w:r>
    </w:p>
    <w:p w:rsidR="00BA07B4" w:rsidRPr="009B1C91" w:rsidRDefault="00BA07B4" w:rsidP="00F653F8">
      <w:pPr>
        <w:pStyle w:val="Body"/>
        <w:spacing w:after="0" w:line="240" w:lineRule="auto"/>
        <w:jc w:val="both"/>
        <w:rPr>
          <w:rFonts w:asciiTheme="minorHAnsi" w:hAnsiTheme="minorHAnsi" w:cstheme="minorHAnsi"/>
          <w:b/>
          <w:bCs/>
          <w:lang w:val="en-US"/>
        </w:rPr>
      </w:pPr>
    </w:p>
    <w:p w:rsidR="00BA07B4" w:rsidRPr="009B1C91" w:rsidRDefault="00BA07B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The primary cross-cutting themes of concern in this evaluation are identifying and creating opportunities for gender equality within the scope of the projects and ensuring that human rights, </w:t>
      </w:r>
      <w:r w:rsidR="006716F3" w:rsidRPr="009B1C91">
        <w:rPr>
          <w:rFonts w:asciiTheme="minorHAnsi" w:hAnsiTheme="minorHAnsi" w:cstheme="minorHAnsi"/>
          <w:lang w:val="en-US"/>
        </w:rPr>
        <w:t>geographical</w:t>
      </w:r>
      <w:r w:rsidRPr="009B1C91">
        <w:rPr>
          <w:rFonts w:asciiTheme="minorHAnsi" w:hAnsiTheme="minorHAnsi" w:cstheme="minorHAnsi"/>
          <w:lang w:val="en-US"/>
        </w:rPr>
        <w:t xml:space="preserve"> and socioeconomic disparity issues are addressed. These require assessment of the extent to which UNDP initiatives have considered mainstreaming a gender perspective in their design and implementation and determining whether both women and men have equal access to project benefits. </w:t>
      </w:r>
    </w:p>
    <w:p w:rsidR="00BA07B4" w:rsidRPr="009B1C91" w:rsidRDefault="00BA07B4" w:rsidP="00F653F8">
      <w:pPr>
        <w:pStyle w:val="Body"/>
        <w:spacing w:after="0" w:line="240" w:lineRule="auto"/>
        <w:jc w:val="both"/>
        <w:rPr>
          <w:rFonts w:asciiTheme="minorHAnsi" w:hAnsiTheme="minorHAnsi" w:cstheme="minorHAnsi"/>
          <w:lang w:val="en-US"/>
        </w:rPr>
      </w:pPr>
    </w:p>
    <w:p w:rsidR="00BA07B4" w:rsidRPr="009B1C91" w:rsidRDefault="00BA07B4" w:rsidP="00F653F8">
      <w:pPr>
        <w:pStyle w:val="Body"/>
        <w:spacing w:after="0" w:line="240" w:lineRule="auto"/>
        <w:jc w:val="both"/>
        <w:rPr>
          <w:rFonts w:asciiTheme="minorHAnsi" w:hAnsiTheme="minorHAnsi" w:cstheme="minorHAnsi"/>
          <w:b/>
          <w:bCs/>
          <w:lang w:val="en-US"/>
        </w:rPr>
      </w:pPr>
      <w:r w:rsidRPr="009B1C91">
        <w:rPr>
          <w:rFonts w:asciiTheme="minorHAnsi" w:hAnsiTheme="minorHAnsi" w:cstheme="minorHAnsi"/>
          <w:i/>
          <w:iCs/>
          <w:lang w:val="en-US"/>
        </w:rPr>
        <w:t>Comprehensive Disaster Management Programme (CDMP-II)</w:t>
      </w:r>
      <w:r w:rsidRPr="009B1C91">
        <w:rPr>
          <w:rFonts w:asciiTheme="minorHAnsi" w:hAnsiTheme="minorHAnsi" w:cstheme="minorHAnsi"/>
          <w:lang w:val="en-US"/>
        </w:rPr>
        <w:t>:</w:t>
      </w:r>
    </w:p>
    <w:p w:rsidR="00BA07B4" w:rsidRPr="009B1C91" w:rsidRDefault="00BA07B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Disaster and climate risk reduction projects usually create ample opportunities to </w:t>
      </w:r>
      <w:r w:rsidRPr="009B1C91">
        <w:rPr>
          <w:rFonts w:asciiTheme="minorHAnsi" w:hAnsiTheme="minorHAnsi" w:cstheme="minorHAnsi"/>
        </w:rPr>
        <w:t>address</w:t>
      </w:r>
      <w:r w:rsidRPr="009B1C91">
        <w:rPr>
          <w:rFonts w:asciiTheme="minorHAnsi" w:hAnsiTheme="minorHAnsi" w:cstheme="minorHAnsi"/>
          <w:lang w:val="en-US"/>
        </w:rPr>
        <w:t xml:space="preserve"> gender inequalities and to support conditions for more equitable benefits from vulnerability and risk reduction interventions. An assessment of the cross-cutting themes of CDMP II project by the Evaluation Team revealed that although some of the project activities have been dealing with issues of gender equality, benefits to disadvantaged groups, and some aspects of human rights (e.g. access to information, and resources), limited attention has been paid to address gender equality in the early years of implementation. However, in later years, CDMP II supported designated activities for women. For example, it worked with the Department of Women’s Affairs to develop a Risk Reduction Plan for 2013-18, an earthquake contingency plan,and a DRR tool kit.  Gender equality has been advanced through the national Disaster Management Act and subsequent enforceable Rules (2014), which were drafted to ensure national and local representation of the Ministry of Women and Children Affairs/ Department of Women Affairs in disaster coordination and management committees. The Standing Orders on Disaster (SOD) spell out the responsibility of different agencies and ensure the representation of local government women members in local-level disaster management committees. However, it is evident that the female members of local-level disaster management committees are not effectively </w:t>
      </w:r>
      <w:r w:rsidRPr="009B1C91">
        <w:rPr>
          <w:rFonts w:asciiTheme="minorHAnsi" w:hAnsiTheme="minorHAnsi" w:cstheme="minorHAnsi"/>
          <w:lang w:val="en-US"/>
        </w:rPr>
        <w:lastRenderedPageBreak/>
        <w:t>participating in the process</w:t>
      </w:r>
      <w:r w:rsidR="006716F3" w:rsidRPr="009B1C91">
        <w:rPr>
          <w:rStyle w:val="FootnoteReference"/>
          <w:rFonts w:asciiTheme="minorHAnsi" w:hAnsiTheme="minorHAnsi" w:cstheme="minorHAnsi"/>
          <w:lang w:val="en-US"/>
        </w:rPr>
        <w:footnoteReference w:id="60"/>
      </w:r>
      <w:r w:rsidRPr="009B1C91">
        <w:rPr>
          <w:rFonts w:asciiTheme="minorHAnsi" w:hAnsiTheme="minorHAnsi" w:cstheme="minorHAnsi"/>
          <w:lang w:val="en-US"/>
        </w:rPr>
        <w:t>. Notably, social equity issues were not explicitly targeted by the project whereas disasters are known to augment marginalization and pauperization.</w:t>
      </w:r>
    </w:p>
    <w:p w:rsidR="00BA07B4" w:rsidRPr="009B1C91" w:rsidRDefault="00BA07B4" w:rsidP="00F653F8">
      <w:pPr>
        <w:pStyle w:val="Default"/>
        <w:jc w:val="both"/>
        <w:rPr>
          <w:rFonts w:asciiTheme="minorHAnsi" w:eastAsia="Calibri" w:hAnsiTheme="minorHAnsi" w:cstheme="minorHAnsi"/>
          <w:sz w:val="22"/>
          <w:szCs w:val="22"/>
        </w:rPr>
      </w:pPr>
    </w:p>
    <w:p w:rsidR="00BA07B4" w:rsidRPr="009B1C91" w:rsidRDefault="00BA07B4" w:rsidP="00F653F8">
      <w:pPr>
        <w:pStyle w:val="Default"/>
        <w:jc w:val="both"/>
        <w:rPr>
          <w:rFonts w:asciiTheme="minorHAnsi" w:eastAsia="Calibri" w:hAnsiTheme="minorHAnsi" w:cstheme="minorHAnsi"/>
          <w:sz w:val="22"/>
          <w:szCs w:val="22"/>
        </w:rPr>
      </w:pPr>
      <w:r w:rsidRPr="009B1C91">
        <w:rPr>
          <w:rFonts w:asciiTheme="minorHAnsi" w:eastAsia="Calibri" w:hAnsiTheme="minorHAnsi" w:cstheme="minorHAnsi"/>
          <w:sz w:val="22"/>
          <w:szCs w:val="22"/>
        </w:rPr>
        <w:t>CDMP II can be regarded as a showcase of successful partnership development for intersectoral  linkages among various government ministries and departments.  Some of the activities involved non-government organizations, civil society organizations, and volunteers effectively; nonetheless, their scale was limited.  The opportunity to cement enhanced partnership with community-based non-governmental institutions should not be missed, and be emphasized in future programming.</w:t>
      </w:r>
    </w:p>
    <w:p w:rsidR="00BA07B4" w:rsidRPr="009B1C91" w:rsidRDefault="00BA07B4" w:rsidP="00F653F8">
      <w:pPr>
        <w:pStyle w:val="Body"/>
        <w:spacing w:after="0" w:line="240" w:lineRule="auto"/>
        <w:jc w:val="both"/>
        <w:rPr>
          <w:rFonts w:asciiTheme="minorHAnsi" w:hAnsiTheme="minorHAnsi" w:cstheme="minorHAnsi"/>
          <w:b/>
          <w:bCs/>
          <w:lang w:val="en-US"/>
        </w:rPr>
      </w:pPr>
    </w:p>
    <w:p w:rsidR="00BA07B4" w:rsidRPr="009B1C91" w:rsidRDefault="00BA07B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i/>
          <w:iCs/>
          <w:lang w:val="en-US"/>
        </w:rPr>
        <w:t>Early Recovery Facility (ERF)</w:t>
      </w:r>
      <w:r w:rsidRPr="009B1C91">
        <w:rPr>
          <w:rFonts w:asciiTheme="minorHAnsi" w:hAnsiTheme="minorHAnsi" w:cstheme="minorHAnsi"/>
          <w:lang w:val="en-US"/>
        </w:rPr>
        <w:t xml:space="preserve">: ERF does not have a gender-equality </w:t>
      </w:r>
      <w:r w:rsidR="0055094E" w:rsidRPr="009B1C91">
        <w:rPr>
          <w:rFonts w:asciiTheme="minorHAnsi" w:hAnsiTheme="minorHAnsi" w:cstheme="minorHAnsi"/>
          <w:lang w:val="en-US"/>
        </w:rPr>
        <w:t>focused</w:t>
      </w:r>
      <w:r w:rsidRPr="009B1C91">
        <w:rPr>
          <w:rFonts w:asciiTheme="minorHAnsi" w:hAnsiTheme="minorHAnsi" w:cstheme="minorHAnsi"/>
          <w:lang w:val="en-US"/>
        </w:rPr>
        <w:t xml:space="preserve"> designated Output, though two specific women-</w:t>
      </w:r>
      <w:r w:rsidR="0055094E" w:rsidRPr="009B1C91">
        <w:rPr>
          <w:rFonts w:asciiTheme="minorHAnsi" w:hAnsiTheme="minorHAnsi" w:cstheme="minorHAnsi"/>
          <w:lang w:val="en-US"/>
        </w:rPr>
        <w:t>focused</w:t>
      </w:r>
      <w:r w:rsidR="00BF7E33">
        <w:rPr>
          <w:rFonts w:asciiTheme="minorHAnsi" w:hAnsiTheme="minorHAnsi" w:cstheme="minorHAnsi"/>
          <w:lang w:val="en-US"/>
        </w:rPr>
        <w:t xml:space="preserve"> </w:t>
      </w:r>
      <w:r w:rsidRPr="009B1C91">
        <w:rPr>
          <w:rFonts w:asciiTheme="minorHAnsi" w:hAnsiTheme="minorHAnsi" w:cstheme="minorHAnsi"/>
          <w:lang w:val="en-US"/>
        </w:rPr>
        <w:t>programmes were being implemented under Output 1 and Output 2.These addressed the under</w:t>
      </w:r>
      <w:r w:rsidR="00F33018">
        <w:rPr>
          <w:rFonts w:asciiTheme="minorHAnsi" w:hAnsiTheme="minorHAnsi" w:cstheme="minorHAnsi"/>
          <w:lang w:val="en-US"/>
        </w:rPr>
        <w:t>-</w:t>
      </w:r>
      <w:r w:rsidRPr="009B1C91">
        <w:rPr>
          <w:rFonts w:asciiTheme="minorHAnsi" w:hAnsiTheme="minorHAnsi" w:cstheme="minorHAnsi"/>
          <w:lang w:val="en-US"/>
        </w:rPr>
        <w:t>representativeness of women in ERF stuff issue and training needs of the female DDM officials in ER.  The resilience habitat intervention in Shyamnagar under the ERF project exhibited promise largely missed the potential to link people living at that community with development initiatives. The women at the local level complained about the design of the houses (the stairs are not conducive to use by pregnant women and toddlers), fresh drinking water remained a challenge, and no health or education programs were linked. After Cyclone Aila, land based production became difficult because of salinity intrusion; as males usually out-migrate during the lean season in search of employment, women back home face income insecurity resulting in erosion of family health. Limited efforts were made to understand whether men and women’s workload in the given community has increased and how these workloads could potentially be shared.</w:t>
      </w:r>
    </w:p>
    <w:p w:rsidR="00BA07B4" w:rsidRPr="009B1C91" w:rsidRDefault="00BA07B4" w:rsidP="00F653F8">
      <w:pPr>
        <w:pStyle w:val="Body"/>
        <w:spacing w:after="0" w:line="240" w:lineRule="auto"/>
        <w:jc w:val="both"/>
        <w:rPr>
          <w:rFonts w:asciiTheme="minorHAnsi" w:hAnsiTheme="minorHAnsi" w:cstheme="minorHAnsi"/>
          <w:b/>
          <w:bCs/>
          <w:lang w:val="en-US"/>
        </w:rPr>
      </w:pPr>
    </w:p>
    <w:p w:rsidR="00BA07B4" w:rsidRPr="009B1C91" w:rsidRDefault="00BA07B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i/>
          <w:iCs/>
          <w:lang w:val="en-US"/>
        </w:rPr>
        <w:t xml:space="preserve">Poverty Environment Climate Mainstreaming (PECM): </w:t>
      </w:r>
      <w:r w:rsidRPr="009B1C91">
        <w:rPr>
          <w:rFonts w:asciiTheme="minorHAnsi" w:hAnsiTheme="minorHAnsi" w:cstheme="minorHAnsi"/>
          <w:lang w:val="en-US"/>
        </w:rPr>
        <w:t>The PECM is one the most successful cross-cutting, integrative UNDP interventions, which has had profound effects on channeling budgeting for CCA, DRR and the environment, as well as on gender equality. In this regard, the example of the revised Development Project Proforma (DPP) can be cited here. DPP entails, in its “project detail” format, a description of the impact and specific mitigation measures regarding “gender, women, chi</w:t>
      </w:r>
      <w:r w:rsidR="00A26E17" w:rsidRPr="009B1C91">
        <w:rPr>
          <w:rFonts w:asciiTheme="minorHAnsi" w:hAnsiTheme="minorHAnsi" w:cstheme="minorHAnsi"/>
          <w:lang w:val="en-US"/>
        </w:rPr>
        <w:t>ldren, physically and mentally challenged person</w:t>
      </w:r>
      <w:r w:rsidRPr="009B1C91">
        <w:rPr>
          <w:rFonts w:asciiTheme="minorHAnsi" w:hAnsiTheme="minorHAnsi" w:cstheme="minorHAnsi"/>
          <w:lang w:val="en-US"/>
        </w:rPr>
        <w:t xml:space="preserve">/excluded group’s needs” (among others). Target groups and potential benefits for different sectors of the target population must be spelled out in this DPP format. Sex disaggregated data for the target population needs to be furnished - especially concerning potential opportunities and constraints to women created by the project. The manual adopted a Gender Analysis Framework to systematically analyze gender relations within a community and identify issues and barriers facing women in the community. As another example, the Department of Women’s Affairs organizes training for their officials at different tiers on a regular basis. Climate change and environment and disaster risk reduction are among many subjects covered in this training. However, though mainstreaming gender in all development projects has been facilitated through the revised DPP manual, it has not yet been implemented - partially because there is a need to strengthen capacity on gender issues. </w:t>
      </w:r>
    </w:p>
    <w:p w:rsidR="00BA07B4" w:rsidRPr="009B1C91" w:rsidRDefault="00BA07B4" w:rsidP="00F653F8">
      <w:pPr>
        <w:pStyle w:val="Body"/>
        <w:spacing w:after="0" w:line="240" w:lineRule="auto"/>
        <w:jc w:val="both"/>
        <w:rPr>
          <w:rFonts w:asciiTheme="minorHAnsi" w:hAnsiTheme="minorHAnsi" w:cstheme="minorHAnsi"/>
          <w:b/>
          <w:bCs/>
          <w:lang w:val="en-US"/>
        </w:rPr>
      </w:pPr>
    </w:p>
    <w:p w:rsidR="00BA07B4" w:rsidRPr="009B1C91" w:rsidRDefault="00BA07B4" w:rsidP="00F653F8">
      <w:pPr>
        <w:pStyle w:val="Body"/>
        <w:spacing w:after="0" w:line="240" w:lineRule="auto"/>
        <w:jc w:val="both"/>
        <w:rPr>
          <w:rFonts w:asciiTheme="minorHAnsi" w:hAnsiTheme="minorHAnsi" w:cstheme="minorHAnsi"/>
          <w:b/>
          <w:bCs/>
          <w:lang w:val="en-US"/>
        </w:rPr>
      </w:pPr>
      <w:r w:rsidRPr="009B1C91">
        <w:rPr>
          <w:rFonts w:asciiTheme="minorHAnsi" w:hAnsiTheme="minorHAnsi" w:cstheme="minorHAnsi"/>
          <w:i/>
          <w:iCs/>
          <w:lang w:val="en-US"/>
        </w:rPr>
        <w:t>Community Based Adaptation to Climate Change through Costal Afforestation in Bangladesh (CBACC-CF)</w:t>
      </w:r>
      <w:r w:rsidRPr="009B1C91">
        <w:rPr>
          <w:rFonts w:asciiTheme="minorHAnsi" w:hAnsiTheme="minorHAnsi" w:cstheme="minorHAnsi"/>
          <w:lang w:val="en-US"/>
        </w:rPr>
        <w:t xml:space="preserve">: The CBACC-CF </w:t>
      </w:r>
      <w:r w:rsidR="0055094E" w:rsidRPr="009B1C91">
        <w:rPr>
          <w:rFonts w:asciiTheme="minorHAnsi" w:hAnsiTheme="minorHAnsi" w:cstheme="minorHAnsi"/>
          <w:lang w:val="en-US"/>
        </w:rPr>
        <w:t>project Outcomes does</w:t>
      </w:r>
      <w:r w:rsidRPr="009B1C91">
        <w:rPr>
          <w:rFonts w:asciiTheme="minorHAnsi" w:hAnsiTheme="minorHAnsi" w:cstheme="minorHAnsi"/>
          <w:lang w:val="en-US"/>
        </w:rPr>
        <w:t xml:space="preserve"> not include any gender-specific activities and results, while the intervention per se largely relates CCA to livelihood enhancement (in which women</w:t>
      </w:r>
      <w:r w:rsidRPr="009B1C91">
        <w:rPr>
          <w:rFonts w:asciiTheme="minorHAnsi" w:hAnsiTheme="minorHAnsi" w:cstheme="minorHAnsi"/>
          <w:lang w:val="fr-FR"/>
        </w:rPr>
        <w:t>’</w:t>
      </w:r>
      <w:r w:rsidRPr="009B1C91">
        <w:rPr>
          <w:rFonts w:asciiTheme="minorHAnsi" w:hAnsiTheme="minorHAnsi" w:cstheme="minorHAnsi"/>
          <w:lang w:val="en-US"/>
        </w:rPr>
        <w:t xml:space="preserve">s role is very prominent). However, some of the CBACC-CF project components engage women heavily in their implementation. For example, in the Triple F Model, women are largely engaged in the production system. However, the productive inputs are collected from the markets by male members while the </w:t>
      </w:r>
      <w:r w:rsidRPr="009B1C91">
        <w:rPr>
          <w:rFonts w:asciiTheme="minorHAnsi" w:hAnsiTheme="minorHAnsi" w:cstheme="minorHAnsi"/>
          <w:lang w:val="en-US"/>
        </w:rPr>
        <w:lastRenderedPageBreak/>
        <w:t xml:space="preserve">women take the lead in maintaining production (specifically the Ditch and Dyke interventions at the coastal belt). The workload of the women consequently has increased enormously; they are taking the risk of entering the deep forest even in the rainy season. No work load sharing effort was made. The CBACC-CF project needs to reassess and re-focus on gender implications of local level interventions and create ‘space’ for women in decision-making. </w:t>
      </w:r>
    </w:p>
    <w:p w:rsidR="00BA07B4" w:rsidRPr="009B1C91" w:rsidRDefault="00BA07B4" w:rsidP="00F653F8">
      <w:pPr>
        <w:pStyle w:val="Body"/>
        <w:spacing w:after="0" w:line="240" w:lineRule="auto"/>
        <w:jc w:val="both"/>
        <w:rPr>
          <w:rFonts w:asciiTheme="minorHAnsi" w:hAnsiTheme="minorHAnsi" w:cstheme="minorHAnsi"/>
          <w:b/>
          <w:bCs/>
          <w:lang w:val="en-US"/>
        </w:rPr>
      </w:pPr>
    </w:p>
    <w:p w:rsidR="00BA07B4" w:rsidRPr="009B1C91" w:rsidRDefault="00BA07B4" w:rsidP="00F653F8">
      <w:pPr>
        <w:pStyle w:val="Body"/>
        <w:spacing w:after="0" w:line="240" w:lineRule="auto"/>
        <w:jc w:val="both"/>
        <w:rPr>
          <w:rFonts w:asciiTheme="minorHAnsi" w:hAnsiTheme="minorHAnsi" w:cstheme="minorHAnsi"/>
        </w:rPr>
      </w:pPr>
      <w:r w:rsidRPr="009B1C91">
        <w:rPr>
          <w:rFonts w:asciiTheme="minorHAnsi" w:hAnsiTheme="minorHAnsi" w:cstheme="minorHAnsi"/>
          <w:i/>
          <w:iCs/>
          <w:lang w:val="en-US"/>
        </w:rPr>
        <w:t>Barrier Removal for Energy Standards and Labeling (BRESL)</w:t>
      </w:r>
      <w:r w:rsidRPr="009B1C91">
        <w:rPr>
          <w:rFonts w:asciiTheme="minorHAnsi" w:hAnsiTheme="minorHAnsi" w:cstheme="minorHAnsi"/>
          <w:lang w:val="en-US"/>
        </w:rPr>
        <w:t>: Gender or poor population groups were not explicit components of this project.</w:t>
      </w:r>
    </w:p>
    <w:p w:rsidR="00BA07B4" w:rsidRPr="009B1C91" w:rsidRDefault="00BA07B4" w:rsidP="00F653F8">
      <w:pPr>
        <w:pStyle w:val="Body"/>
        <w:spacing w:after="0" w:line="240" w:lineRule="auto"/>
        <w:jc w:val="both"/>
        <w:rPr>
          <w:rFonts w:asciiTheme="minorHAnsi" w:hAnsiTheme="minorHAnsi" w:cstheme="minorHAnsi"/>
          <w:b/>
          <w:bCs/>
          <w:lang w:val="en-US"/>
        </w:rPr>
      </w:pPr>
    </w:p>
    <w:p w:rsidR="00BA07B4" w:rsidRPr="009B1C91" w:rsidRDefault="00BA07B4" w:rsidP="00F653F8">
      <w:pPr>
        <w:pStyle w:val="Body"/>
        <w:spacing w:after="0" w:line="240" w:lineRule="auto"/>
        <w:jc w:val="both"/>
        <w:rPr>
          <w:rFonts w:asciiTheme="minorHAnsi" w:hAnsiTheme="minorHAnsi" w:cstheme="minorHAnsi"/>
          <w:b/>
          <w:bCs/>
          <w:lang w:val="en-US"/>
        </w:rPr>
      </w:pPr>
      <w:r w:rsidRPr="00304A48">
        <w:rPr>
          <w:rFonts w:asciiTheme="minorHAnsi" w:hAnsiTheme="minorHAnsi" w:cstheme="minorHAnsi"/>
          <w:i/>
          <w:iCs/>
          <w:lang w:val="en-US"/>
        </w:rPr>
        <w:t>Improving Kiln Efficiency in the Brick Making Industry (IKEBMI)</w:t>
      </w:r>
      <w:r w:rsidRPr="00304A48">
        <w:rPr>
          <w:rFonts w:asciiTheme="minorHAnsi" w:hAnsiTheme="minorHAnsi" w:cstheme="minorHAnsi"/>
          <w:lang w:val="en-US"/>
        </w:rPr>
        <w:t>: This project paid special attention to the gender dimension. The work force at traditional kilns is 15% women; at HHK, 23%. Separate sanitary facilities exist in the demonstration projects, but more importantly the project added awareness components in their work with the brick kiln owner and provided explicit and specific monitoring information on gender balance. As work in HHK is not seasonal, these kilns do not employ migratory workers and offer stable employment for the local population.</w:t>
      </w:r>
    </w:p>
    <w:p w:rsidR="00BA07B4" w:rsidRPr="009B1C91" w:rsidRDefault="00BA07B4" w:rsidP="00F653F8">
      <w:pPr>
        <w:pStyle w:val="Body"/>
        <w:spacing w:after="0" w:line="240" w:lineRule="auto"/>
        <w:jc w:val="both"/>
        <w:rPr>
          <w:rFonts w:asciiTheme="minorHAnsi" w:hAnsiTheme="minorHAnsi" w:cstheme="minorHAnsi"/>
          <w:lang w:val="en-US"/>
        </w:rPr>
      </w:pPr>
    </w:p>
    <w:p w:rsidR="00BA07B4" w:rsidRPr="009B1C91" w:rsidRDefault="00BA07B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The evaluators observed and inferred that in some of the sampled projects where women were engaged, this occurs in a largely heuristic manner. There is no systematic or consistent approach to gender gap issues. In general, gender equality opportunities in the projects have not been prominent in the early documentation, and that there have been inadequate efforts to explore all reasonable opportunities to engage more women in project planning, decision-making and implementation of projects, particularly at the local community level.</w:t>
      </w:r>
    </w:p>
    <w:p w:rsidR="00BA07B4" w:rsidRPr="009B1C91" w:rsidRDefault="00BA07B4" w:rsidP="00F653F8">
      <w:pPr>
        <w:pStyle w:val="Body"/>
        <w:spacing w:after="0" w:line="240" w:lineRule="auto"/>
        <w:jc w:val="both"/>
        <w:rPr>
          <w:rFonts w:asciiTheme="minorHAnsi" w:hAnsiTheme="minorHAnsi" w:cstheme="minorHAnsi"/>
          <w:lang w:val="en-US"/>
        </w:rPr>
      </w:pPr>
    </w:p>
    <w:p w:rsidR="00BA07B4" w:rsidRPr="009B1C91" w:rsidRDefault="00BA07B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In most interventions, nominal consideration was given to other disadvantaged groups (i.e. disabled people and ethnic minorities). For example, under the CDMP II project, issues of access to early warning systems by various socioeconomic classes remained unexplored.</w:t>
      </w:r>
    </w:p>
    <w:p w:rsidR="00BA07B4" w:rsidRPr="009B1C91" w:rsidRDefault="00BA07B4" w:rsidP="00F653F8">
      <w:pPr>
        <w:pStyle w:val="Body"/>
        <w:spacing w:after="0" w:line="240" w:lineRule="auto"/>
        <w:jc w:val="both"/>
        <w:rPr>
          <w:rFonts w:asciiTheme="minorHAnsi" w:hAnsiTheme="minorHAnsi" w:cstheme="minorHAnsi"/>
          <w:lang w:val="en-US"/>
        </w:rPr>
      </w:pPr>
    </w:p>
    <w:p w:rsidR="00BA07B4" w:rsidRPr="009B1C91" w:rsidRDefault="00BA07B4"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The UNDP initiated projects did not pay adequate attention to the environmental and social implications of Bangladesh’s rapid industrialization and movement towards MIC status. Consideration of these cross-cutting aspects is crucial to make the results socially and environmentally feasible</w:t>
      </w:r>
      <w:r w:rsidRPr="002C5137">
        <w:rPr>
          <w:rFonts w:asciiTheme="minorHAnsi" w:hAnsiTheme="minorHAnsi" w:cstheme="minorHAnsi"/>
          <w:lang w:val="en-US"/>
        </w:rPr>
        <w:t xml:space="preserve">. For example, the fuller implementation of the IKEBMI project would push a considerable number of </w:t>
      </w:r>
      <w:r w:rsidR="00BF7E33" w:rsidRPr="002C5137">
        <w:rPr>
          <w:rFonts w:asciiTheme="minorHAnsi" w:hAnsiTheme="minorHAnsi" w:cstheme="minorHAnsi"/>
          <w:lang w:val="en-US"/>
        </w:rPr>
        <w:t>laborers</w:t>
      </w:r>
      <w:r w:rsidRPr="002C5137">
        <w:rPr>
          <w:rFonts w:asciiTheme="minorHAnsi" w:hAnsiTheme="minorHAnsi" w:cstheme="minorHAnsi"/>
          <w:lang w:val="en-US"/>
        </w:rPr>
        <w:t xml:space="preserve"> and traditional kiln owners out of business unless they can mobilize increased financial capital.</w:t>
      </w:r>
    </w:p>
    <w:p w:rsidR="00BA07B4" w:rsidRPr="009B1C91" w:rsidRDefault="00BA07B4" w:rsidP="00F653F8">
      <w:pPr>
        <w:autoSpaceDE w:val="0"/>
        <w:autoSpaceDN w:val="0"/>
        <w:adjustRightInd w:val="0"/>
        <w:spacing w:after="0" w:line="240" w:lineRule="auto"/>
        <w:jc w:val="both"/>
        <w:rPr>
          <w:rFonts w:asciiTheme="minorHAnsi" w:hAnsiTheme="minorHAnsi" w:cstheme="minorHAnsi"/>
          <w:b/>
        </w:rPr>
      </w:pPr>
    </w:p>
    <w:p w:rsidR="0055094E" w:rsidRPr="009B1C91" w:rsidRDefault="00EF317C" w:rsidP="00F653F8">
      <w:pPr>
        <w:autoSpaceDE w:val="0"/>
        <w:autoSpaceDN w:val="0"/>
        <w:adjustRightInd w:val="0"/>
        <w:spacing w:after="0" w:line="240" w:lineRule="auto"/>
        <w:jc w:val="both"/>
        <w:rPr>
          <w:rFonts w:asciiTheme="minorHAnsi" w:hAnsiTheme="minorHAnsi" w:cstheme="minorHAnsi"/>
          <w:b/>
        </w:rPr>
      </w:pPr>
      <w:r w:rsidRPr="009B1C91">
        <w:rPr>
          <w:rFonts w:asciiTheme="minorHAnsi" w:hAnsiTheme="minorHAnsi" w:cstheme="minorHAnsi"/>
          <w:b/>
        </w:rPr>
        <w:t xml:space="preserve">4.2.5 </w:t>
      </w:r>
      <w:r w:rsidRPr="009B1C91">
        <w:rPr>
          <w:rFonts w:asciiTheme="minorHAnsi" w:hAnsiTheme="minorHAnsi" w:cstheme="minorHAnsi"/>
          <w:b/>
          <w:i/>
        </w:rPr>
        <w:t xml:space="preserve">SUSTAINABILITY </w:t>
      </w:r>
      <w:r w:rsidRPr="009B1C91">
        <w:rPr>
          <w:rFonts w:asciiTheme="minorHAnsi" w:hAnsiTheme="minorHAnsi" w:cstheme="minorHAnsi"/>
          <w:b/>
        </w:rPr>
        <w:t xml:space="preserve">OF OUTCOMES, AND POTENTIAL FOR REPLICATION </w:t>
      </w:r>
    </w:p>
    <w:p w:rsidR="0055094E" w:rsidRPr="009B1C91" w:rsidRDefault="0055094E" w:rsidP="00F653F8">
      <w:pPr>
        <w:pStyle w:val="Body"/>
        <w:spacing w:after="0" w:line="240" w:lineRule="auto"/>
        <w:ind w:left="1080" w:hanging="360"/>
        <w:jc w:val="both"/>
        <w:rPr>
          <w:rFonts w:asciiTheme="minorHAnsi" w:hAnsiTheme="minorHAnsi" w:cstheme="minorHAnsi"/>
          <w:lang w:val="en-US"/>
        </w:rPr>
      </w:pPr>
    </w:p>
    <w:p w:rsidR="0055094E" w:rsidRPr="009B1C91" w:rsidRDefault="0055094E" w:rsidP="00F653F8">
      <w:pPr>
        <w:pStyle w:val="Body"/>
        <w:spacing w:after="0" w:line="240" w:lineRule="auto"/>
        <w:jc w:val="both"/>
        <w:rPr>
          <w:rFonts w:asciiTheme="minorHAnsi" w:hAnsiTheme="minorHAnsi" w:cstheme="minorHAnsi"/>
        </w:rPr>
      </w:pPr>
      <w:r w:rsidRPr="009B1C91">
        <w:rPr>
          <w:rFonts w:asciiTheme="minorHAnsi" w:hAnsiTheme="minorHAnsi" w:cstheme="minorHAnsi"/>
          <w:i/>
          <w:iCs/>
          <w:lang w:val="en-US"/>
        </w:rPr>
        <w:t>Comprehensive Disaster Management Programme (CDMP-II)</w:t>
      </w:r>
      <w:r w:rsidRPr="009B1C91">
        <w:rPr>
          <w:rFonts w:asciiTheme="minorHAnsi" w:hAnsiTheme="minorHAnsi" w:cstheme="minorHAnsi"/>
          <w:lang w:val="en-US"/>
        </w:rPr>
        <w:t>: The high degree of success in institutionalizing and mainstreaming DRR and CCA by the CDMP II through policy, knowledge delivery and management, and advocacy work at the national level is likely to be</w:t>
      </w:r>
      <w:r w:rsidRPr="009B1C91">
        <w:rPr>
          <w:rFonts w:asciiTheme="minorHAnsi" w:hAnsiTheme="minorHAnsi" w:cstheme="minorHAnsi"/>
        </w:rPr>
        <w:t>sustain</w:t>
      </w:r>
      <w:r w:rsidRPr="009B1C91">
        <w:rPr>
          <w:rFonts w:asciiTheme="minorHAnsi" w:hAnsiTheme="minorHAnsi" w:cstheme="minorHAnsi"/>
          <w:lang w:val="en-US"/>
        </w:rPr>
        <w:t>able in the long run.  The participation in and ownership of DRR and CCA, which were assisted by the CDMP II project activities, by the key government ministries and departments were exemplary.  Maintaining the synergy of DRR and CCA in sectoral activities and budgeting, however, will require further support beyond 2014. This is more applicable because many key institutions are still evolving.  As the mid-term review observed, CDMP</w:t>
      </w:r>
      <w:r w:rsidRPr="009B1C91">
        <w:rPr>
          <w:rFonts w:asciiTheme="minorHAnsi" w:hAnsiTheme="minorHAnsi" w:cstheme="minorHAnsi"/>
          <w:lang w:val="fr-FR"/>
        </w:rPr>
        <w:t>’</w:t>
      </w:r>
      <w:r w:rsidRPr="009B1C91">
        <w:rPr>
          <w:rFonts w:asciiTheme="minorHAnsi" w:hAnsiTheme="minorHAnsi" w:cstheme="minorHAnsi"/>
          <w:lang w:val="en-US"/>
        </w:rPr>
        <w:t xml:space="preserve">s primary Government of Bangladesh counterpart, namely the Disaster Management Bureau in the Ministry of Food and Disaster Management, has remained under-resourced and has limited capacity to provide further leadership in mainstreaming DRR and CCA in the country. The sustainability risk is high in a number of areas, which were found in the programme design and implementation. As the institutional capacity continues to be deficient at the sub-national and local level, as well as at the city </w:t>
      </w:r>
      <w:r w:rsidR="00BF7E33" w:rsidRPr="009B1C91">
        <w:rPr>
          <w:rFonts w:asciiTheme="minorHAnsi" w:hAnsiTheme="minorHAnsi" w:cstheme="minorHAnsi"/>
          <w:lang w:val="en-US"/>
        </w:rPr>
        <w:t>corporations’</w:t>
      </w:r>
      <w:r w:rsidRPr="009B1C91">
        <w:rPr>
          <w:rFonts w:asciiTheme="minorHAnsi" w:hAnsiTheme="minorHAnsi" w:cstheme="minorHAnsi"/>
          <w:lang w:val="en-US"/>
        </w:rPr>
        <w:t xml:space="preserve"> level, it will be necessary to underscore cross-scale (City corporation/district, </w:t>
      </w:r>
      <w:r w:rsidRPr="00F33018">
        <w:rPr>
          <w:rFonts w:asciiTheme="minorHAnsi" w:hAnsiTheme="minorHAnsi" w:cstheme="minorHAnsi"/>
          <w:i/>
          <w:lang w:val="en-US"/>
        </w:rPr>
        <w:t>upazila,</w:t>
      </w:r>
      <w:r w:rsidRPr="009B1C91">
        <w:rPr>
          <w:rFonts w:asciiTheme="minorHAnsi" w:hAnsiTheme="minorHAnsi" w:cstheme="minorHAnsi"/>
          <w:lang w:val="en-US"/>
        </w:rPr>
        <w:t xml:space="preserve"> union level) </w:t>
      </w:r>
      <w:r w:rsidRPr="009B1C91">
        <w:rPr>
          <w:rFonts w:asciiTheme="minorHAnsi" w:hAnsiTheme="minorHAnsi" w:cstheme="minorHAnsi"/>
          <w:lang w:val="en-US"/>
        </w:rPr>
        <w:lastRenderedPageBreak/>
        <w:t>sustainable capacity and institution building. For example, urban volunteers were trained without provision for their institutionalization or</w:t>
      </w:r>
      <w:r w:rsidRPr="009B1C91">
        <w:rPr>
          <w:rFonts w:asciiTheme="minorHAnsi" w:hAnsiTheme="minorHAnsi" w:cstheme="minorHAnsi"/>
        </w:rPr>
        <w:t xml:space="preserve"> a</w:t>
      </w:r>
      <w:r w:rsidRPr="009B1C91">
        <w:rPr>
          <w:rFonts w:asciiTheme="minorHAnsi" w:hAnsiTheme="minorHAnsi" w:cstheme="minorHAnsi"/>
          <w:lang w:val="en-US"/>
        </w:rPr>
        <w:t xml:space="preserve"> long term sustainability strategy. Re-fresher training would be required covering new technologies and</w:t>
      </w:r>
      <w:r w:rsidRPr="009B1C91">
        <w:rPr>
          <w:rFonts w:asciiTheme="minorHAnsi" w:hAnsiTheme="minorHAnsi" w:cstheme="minorHAnsi"/>
          <w:lang w:val="da-DK"/>
        </w:rPr>
        <w:t>risk</w:t>
      </w:r>
      <w:r w:rsidRPr="009B1C91">
        <w:rPr>
          <w:rFonts w:asciiTheme="minorHAnsi" w:hAnsiTheme="minorHAnsi" w:cstheme="minorHAnsi"/>
          <w:lang w:val="en-US"/>
        </w:rPr>
        <w:t xml:space="preserve"> types. Without cross-scale institutionalizing of DRR and CCA, current achievements would face gradual degradation. The risk reduction activities funded directly by CDMP II through Local Disaster Risk Reduction Fund (LDRRF) could be made sustainable by strengthening the engagement and capacity building work with the Disaster Management Committees and local level institutions as well as by integrating DRR and CCA with local level livelihood security and enhancement programs. </w:t>
      </w:r>
    </w:p>
    <w:p w:rsidR="0055094E" w:rsidRPr="009B1C91" w:rsidRDefault="0055094E" w:rsidP="00F653F8">
      <w:pPr>
        <w:pStyle w:val="Body"/>
        <w:spacing w:after="0" w:line="240" w:lineRule="auto"/>
        <w:jc w:val="both"/>
        <w:rPr>
          <w:rFonts w:asciiTheme="minorHAnsi" w:hAnsiTheme="minorHAnsi" w:cstheme="minorHAnsi"/>
          <w:i/>
          <w:iCs/>
          <w:lang w:val="en-US"/>
        </w:rPr>
      </w:pPr>
    </w:p>
    <w:p w:rsidR="0055094E" w:rsidRPr="009B1C91" w:rsidRDefault="0055094E" w:rsidP="00F653F8">
      <w:pPr>
        <w:pStyle w:val="Body"/>
        <w:spacing w:after="0" w:line="240" w:lineRule="auto"/>
        <w:jc w:val="both"/>
        <w:rPr>
          <w:rFonts w:asciiTheme="minorHAnsi" w:hAnsiTheme="minorHAnsi" w:cstheme="minorHAnsi"/>
        </w:rPr>
      </w:pPr>
      <w:r w:rsidRPr="009B1C91">
        <w:rPr>
          <w:rFonts w:asciiTheme="minorHAnsi" w:hAnsiTheme="minorHAnsi" w:cstheme="minorHAnsi"/>
          <w:i/>
          <w:iCs/>
          <w:lang w:val="en-US"/>
        </w:rPr>
        <w:t>Early Recovery Facility (ERF)</w:t>
      </w:r>
      <w:r w:rsidRPr="009B1C91">
        <w:rPr>
          <w:rFonts w:asciiTheme="minorHAnsi" w:hAnsiTheme="minorHAnsi" w:cstheme="minorHAnsi"/>
          <w:lang w:val="en-US"/>
        </w:rPr>
        <w:t>: The Evaluation Team found that most of the ERF initiated interventions (</w:t>
      </w:r>
      <w:r w:rsidRPr="009B1C91">
        <w:rPr>
          <w:rFonts w:asciiTheme="minorHAnsi" w:hAnsiTheme="minorHAnsi" w:cstheme="minorHAnsi"/>
        </w:rPr>
        <w:t>e.g.</w:t>
      </w:r>
      <w:r w:rsidRPr="009B1C91">
        <w:rPr>
          <w:rFonts w:asciiTheme="minorHAnsi" w:hAnsiTheme="minorHAnsi" w:cstheme="minorHAnsi"/>
          <w:lang w:val="en-US"/>
        </w:rPr>
        <w:t xml:space="preserve"> capacity building and enhancement of DDM officials, hazard specific contingency plans, annual reporting provision on disaster response and recovery) are closely anchored within relevant units of DDM. Nonetheless, continuous updating and refreshing of knowledge and skills will be required to sustain ERF and its capacity.  Sustainability of local programmes and their benefits will not be ensured without effective partnership with the local government and other development partners (e.g., reconstructed rural roads and embankments, health and education, Core Family Shelters). Resilience of the community could further be enhanced by integrating livelihood approaches.</w:t>
      </w:r>
    </w:p>
    <w:p w:rsidR="0055094E" w:rsidRPr="009B1C91" w:rsidRDefault="0055094E" w:rsidP="00F653F8">
      <w:pPr>
        <w:pStyle w:val="Body"/>
        <w:spacing w:after="0" w:line="240" w:lineRule="auto"/>
        <w:jc w:val="both"/>
        <w:rPr>
          <w:rFonts w:asciiTheme="minorHAnsi" w:hAnsiTheme="minorHAnsi" w:cstheme="minorHAnsi"/>
        </w:rPr>
      </w:pPr>
    </w:p>
    <w:p w:rsidR="0055094E" w:rsidRPr="009B1C91" w:rsidRDefault="0055094E" w:rsidP="00F653F8">
      <w:pPr>
        <w:pStyle w:val="Body"/>
        <w:spacing w:after="0" w:line="240" w:lineRule="auto"/>
        <w:jc w:val="both"/>
        <w:rPr>
          <w:rFonts w:asciiTheme="minorHAnsi" w:hAnsiTheme="minorHAnsi" w:cstheme="minorHAnsi"/>
          <w:b/>
          <w:bCs/>
          <w:lang w:val="en-US"/>
        </w:rPr>
      </w:pPr>
      <w:r w:rsidRPr="009B1C91">
        <w:rPr>
          <w:rFonts w:asciiTheme="minorHAnsi" w:hAnsiTheme="minorHAnsi" w:cstheme="minorHAnsi"/>
          <w:i/>
          <w:iCs/>
          <w:lang w:val="en-US"/>
        </w:rPr>
        <w:t xml:space="preserve">Poverty Environment Climate Mainstreaming (PECM): </w:t>
      </w:r>
      <w:r w:rsidRPr="009B1C91">
        <w:rPr>
          <w:rFonts w:asciiTheme="minorHAnsi" w:hAnsiTheme="minorHAnsi" w:cstheme="minorHAnsi"/>
          <w:lang w:val="en-US"/>
        </w:rPr>
        <w:t>Many achievements of the project are likely to sustain; however, as MTR recommended, a follow-on project is required to consolidate the gains made and build a constituency for change. Knowledge generated by the PECM project will indirectly help enhance resilience of the country as a whole and vulnerable communities in particular against climate change and natural disasters. It should also help manage natural resources more efficiently and effectively through environment friendly, low emission and climate resilient development.</w:t>
      </w:r>
    </w:p>
    <w:p w:rsidR="0055094E" w:rsidRPr="009B1C91" w:rsidRDefault="0055094E" w:rsidP="00F653F8">
      <w:pPr>
        <w:pStyle w:val="Body"/>
        <w:spacing w:after="0" w:line="240" w:lineRule="auto"/>
        <w:jc w:val="both"/>
        <w:rPr>
          <w:rFonts w:asciiTheme="minorHAnsi" w:hAnsiTheme="minorHAnsi" w:cstheme="minorHAnsi"/>
          <w:i/>
          <w:iCs/>
          <w:lang w:val="en-US"/>
        </w:rPr>
      </w:pPr>
    </w:p>
    <w:p w:rsidR="0055094E" w:rsidRPr="009B1C91" w:rsidRDefault="0055094E" w:rsidP="00F653F8">
      <w:pPr>
        <w:pStyle w:val="Body"/>
        <w:spacing w:after="0" w:line="240" w:lineRule="auto"/>
        <w:jc w:val="both"/>
        <w:rPr>
          <w:rFonts w:asciiTheme="minorHAnsi" w:hAnsiTheme="minorHAnsi" w:cstheme="minorHAnsi"/>
        </w:rPr>
      </w:pPr>
      <w:r w:rsidRPr="009B1C91">
        <w:rPr>
          <w:rFonts w:asciiTheme="minorHAnsi" w:hAnsiTheme="minorHAnsi" w:cstheme="minorHAnsi"/>
          <w:i/>
          <w:iCs/>
          <w:lang w:val="en-US"/>
        </w:rPr>
        <w:t>Community Based Adaptation to Climate Change through Costal Afforestation in Bangladesh (CBACC-CF)</w:t>
      </w:r>
      <w:r w:rsidRPr="009B1C91">
        <w:rPr>
          <w:rFonts w:asciiTheme="minorHAnsi" w:hAnsiTheme="minorHAnsi" w:cstheme="minorHAnsi"/>
        </w:rPr>
        <w:t xml:space="preserve">: </w:t>
      </w:r>
      <w:r w:rsidRPr="009B1C91">
        <w:rPr>
          <w:rFonts w:asciiTheme="minorHAnsi" w:hAnsiTheme="minorHAnsi" w:cstheme="minorHAnsi"/>
          <w:lang w:val="en-US"/>
        </w:rPr>
        <w:t>The recurrent income generation from continuous flow of resources has increased the adaptive capacity of the coastal communities to cope with climate change related shocks and disaster impact. The livelihood support is likely to sustain the Fish, Fruit and Forest (Triple F) Model in any anticipated conditions induced by climate change. Additional measures, focusing on enhancing management and technical capacities, are necessary to ensure the sustainability of the project interventions.</w:t>
      </w:r>
    </w:p>
    <w:p w:rsidR="0055094E" w:rsidRPr="009B1C91" w:rsidRDefault="0055094E" w:rsidP="00F653F8">
      <w:pPr>
        <w:pStyle w:val="Body"/>
        <w:spacing w:after="0" w:line="240" w:lineRule="auto"/>
        <w:jc w:val="both"/>
        <w:rPr>
          <w:rFonts w:asciiTheme="minorHAnsi" w:hAnsiTheme="minorHAnsi" w:cstheme="minorHAnsi"/>
        </w:rPr>
      </w:pPr>
    </w:p>
    <w:p w:rsidR="0055094E" w:rsidRPr="009B1C91" w:rsidRDefault="0055094E" w:rsidP="00F653F8">
      <w:pPr>
        <w:pStyle w:val="Body"/>
        <w:spacing w:after="0" w:line="240" w:lineRule="auto"/>
        <w:jc w:val="both"/>
        <w:rPr>
          <w:rFonts w:asciiTheme="minorHAnsi" w:hAnsiTheme="minorHAnsi" w:cstheme="minorHAnsi"/>
        </w:rPr>
      </w:pPr>
      <w:r w:rsidRPr="009B1C91">
        <w:rPr>
          <w:rFonts w:asciiTheme="minorHAnsi" w:hAnsiTheme="minorHAnsi" w:cstheme="minorHAnsi"/>
          <w:lang w:val="en-US"/>
        </w:rPr>
        <w:t>In line with the principles of the UNDP Adaptation Policy Frameworks (APF) and NAPA priority profile the type, the Triple F Model contributes to ongoing activities by the government and other donors who are actively working towards coastal development. This approach will ensure that the implementation of the NAPA priority profile is not undertaken in isolation but contributes to ongoing activities by government and other donors who are actively working towards coastal development. Institutional linkages are expected to continue strengthening through cross-functional community-based adaptation measures, which in turn will enhance the sustainability of project outcomes.</w:t>
      </w:r>
    </w:p>
    <w:p w:rsidR="0055094E" w:rsidRPr="009B1C91" w:rsidRDefault="0055094E" w:rsidP="00F653F8">
      <w:pPr>
        <w:pStyle w:val="Body"/>
        <w:spacing w:after="0" w:line="240" w:lineRule="auto"/>
        <w:jc w:val="both"/>
        <w:rPr>
          <w:rFonts w:asciiTheme="minorHAnsi" w:hAnsiTheme="minorHAnsi" w:cstheme="minorHAnsi"/>
        </w:rPr>
      </w:pPr>
    </w:p>
    <w:p w:rsidR="0055094E" w:rsidRPr="009B1C91" w:rsidRDefault="0055094E" w:rsidP="00F653F8">
      <w:pPr>
        <w:pStyle w:val="Body"/>
        <w:spacing w:after="0" w:line="240" w:lineRule="auto"/>
        <w:jc w:val="both"/>
        <w:rPr>
          <w:rFonts w:asciiTheme="minorHAnsi" w:hAnsiTheme="minorHAnsi" w:cstheme="minorHAnsi"/>
        </w:rPr>
      </w:pPr>
      <w:r w:rsidRPr="009B1C91">
        <w:rPr>
          <w:rFonts w:asciiTheme="minorHAnsi" w:hAnsiTheme="minorHAnsi" w:cstheme="minorHAnsi"/>
          <w:lang w:val="en-US"/>
        </w:rPr>
        <w:t>Once the viability of the applied adaptation interventions is proven and national and local adaptive capacity has increased, there will be further opportunities for up-scaling and replication in other coastal sites exposed to climate-induced hazards. As revealed in the MTR, the potential is high for this project to serve as a showcase and technical model for ada</w:t>
      </w:r>
      <w:r w:rsidRPr="009B1C91">
        <w:rPr>
          <w:rFonts w:asciiTheme="minorHAnsi" w:hAnsiTheme="minorHAnsi" w:cstheme="minorHAnsi"/>
        </w:rPr>
        <w:t>p</w:t>
      </w:r>
      <w:r w:rsidRPr="009B1C91">
        <w:rPr>
          <w:rFonts w:asciiTheme="minorHAnsi" w:hAnsiTheme="minorHAnsi" w:cstheme="minorHAnsi"/>
          <w:lang w:val="en-US"/>
        </w:rPr>
        <w:t>t</w:t>
      </w:r>
      <w:r w:rsidRPr="009B1C91">
        <w:rPr>
          <w:rFonts w:asciiTheme="minorHAnsi" w:hAnsiTheme="minorHAnsi" w:cstheme="minorHAnsi"/>
        </w:rPr>
        <w:t>at</w:t>
      </w:r>
      <w:r w:rsidRPr="009B1C91">
        <w:rPr>
          <w:rFonts w:asciiTheme="minorHAnsi" w:hAnsiTheme="minorHAnsi" w:cstheme="minorHAnsi"/>
          <w:lang w:val="en-US"/>
        </w:rPr>
        <w:t xml:space="preserve">ion in coastal </w:t>
      </w:r>
      <w:r w:rsidR="00434AFB" w:rsidRPr="009B1C91">
        <w:rPr>
          <w:rFonts w:asciiTheme="minorHAnsi" w:hAnsiTheme="minorHAnsi" w:cstheme="minorHAnsi"/>
          <w:lang w:val="en-US"/>
        </w:rPr>
        <w:t>areas</w:t>
      </w:r>
      <w:r w:rsidRPr="009B1C91">
        <w:rPr>
          <w:rFonts w:asciiTheme="minorHAnsi" w:hAnsiTheme="minorHAnsi" w:cstheme="minorHAnsi"/>
          <w:lang w:val="en-US"/>
        </w:rPr>
        <w:t xml:space="preserve">, provided that land ownership of the beneficiaries at the community level can be addressed and demonstrated technologies </w:t>
      </w:r>
      <w:r w:rsidR="00F33018" w:rsidRPr="009B1C91">
        <w:rPr>
          <w:rFonts w:asciiTheme="minorHAnsi" w:hAnsiTheme="minorHAnsi" w:cstheme="minorHAnsi"/>
          <w:lang w:val="es-ES_tradnl"/>
        </w:rPr>
        <w:t>valídate</w:t>
      </w:r>
      <w:r w:rsidR="00F33018">
        <w:rPr>
          <w:rFonts w:asciiTheme="minorHAnsi" w:hAnsiTheme="minorHAnsi" w:cstheme="minorHAnsi"/>
          <w:lang w:val="es-ES_tradnl"/>
        </w:rPr>
        <w:t>d</w:t>
      </w:r>
      <w:r w:rsidRPr="009B1C91">
        <w:rPr>
          <w:rFonts w:asciiTheme="minorHAnsi" w:hAnsiTheme="minorHAnsi" w:cstheme="minorHAnsi"/>
          <w:lang w:val="es-ES_tradnl"/>
        </w:rPr>
        <w:t>.</w:t>
      </w:r>
    </w:p>
    <w:p w:rsidR="0055094E" w:rsidRPr="009B1C91" w:rsidRDefault="0055094E" w:rsidP="00F653F8">
      <w:pPr>
        <w:pStyle w:val="Body"/>
        <w:spacing w:after="0" w:line="240" w:lineRule="auto"/>
        <w:jc w:val="both"/>
        <w:rPr>
          <w:rFonts w:asciiTheme="minorHAnsi" w:hAnsiTheme="minorHAnsi" w:cstheme="minorHAnsi"/>
          <w:i/>
          <w:iCs/>
          <w:lang w:val="en-US"/>
        </w:rPr>
      </w:pPr>
    </w:p>
    <w:p w:rsidR="0055094E" w:rsidRPr="009B1C91" w:rsidRDefault="0055094E" w:rsidP="00F653F8">
      <w:pPr>
        <w:pStyle w:val="Body"/>
        <w:spacing w:after="0" w:line="240" w:lineRule="auto"/>
        <w:jc w:val="both"/>
        <w:rPr>
          <w:rFonts w:asciiTheme="minorHAnsi" w:hAnsiTheme="minorHAnsi" w:cstheme="minorHAnsi"/>
          <w:b/>
          <w:bCs/>
          <w:lang w:val="en-US"/>
        </w:rPr>
      </w:pPr>
      <w:r w:rsidRPr="009B1C91">
        <w:rPr>
          <w:rFonts w:asciiTheme="minorHAnsi" w:hAnsiTheme="minorHAnsi" w:cstheme="minorHAnsi"/>
          <w:i/>
          <w:iCs/>
          <w:lang w:val="en-US"/>
        </w:rPr>
        <w:t>Barrier Removal for Energy Standards and Labeling (BRESL)</w:t>
      </w:r>
      <w:r w:rsidRPr="009B1C91">
        <w:rPr>
          <w:rFonts w:asciiTheme="minorHAnsi" w:hAnsiTheme="minorHAnsi" w:cstheme="minorHAnsi"/>
          <w:lang w:val="en-US"/>
        </w:rPr>
        <w:t xml:space="preserve">: The standards have found entry into the EE&amp;C Master plan (March 2015). While they are not mandatory at this stage, they are scheduled to </w:t>
      </w:r>
      <w:r w:rsidRPr="009B1C91">
        <w:rPr>
          <w:rFonts w:asciiTheme="minorHAnsi" w:hAnsiTheme="minorHAnsi" w:cstheme="minorHAnsi"/>
          <w:lang w:val="en-US"/>
        </w:rPr>
        <w:lastRenderedPageBreak/>
        <w:t>become so over time. Replication in the sense of widening the scope to more appliances and other areas of energy efficiency is possible and strongly</w:t>
      </w:r>
      <w:r w:rsidR="00F33018">
        <w:rPr>
          <w:rFonts w:asciiTheme="minorHAnsi" w:hAnsiTheme="minorHAnsi" w:cstheme="minorHAnsi"/>
          <w:lang w:val="en-US"/>
        </w:rPr>
        <w:t xml:space="preserve"> </w:t>
      </w:r>
      <w:r w:rsidRPr="009B1C91">
        <w:rPr>
          <w:rFonts w:asciiTheme="minorHAnsi" w:hAnsiTheme="minorHAnsi" w:cstheme="minorHAnsi"/>
          <w:lang w:val="fr-FR"/>
        </w:rPr>
        <w:t>recommend</w:t>
      </w:r>
      <w:r w:rsidRPr="009B1C91">
        <w:rPr>
          <w:rFonts w:asciiTheme="minorHAnsi" w:hAnsiTheme="minorHAnsi" w:cstheme="minorHAnsi"/>
          <w:lang w:val="en-US"/>
        </w:rPr>
        <w:t xml:space="preserve">ed.  Review and tightening of standards must be ensured and institutionalized between SREDA and BSTI. </w:t>
      </w:r>
    </w:p>
    <w:p w:rsidR="0055094E" w:rsidRPr="009B1C91" w:rsidRDefault="0055094E" w:rsidP="00F653F8">
      <w:pPr>
        <w:pStyle w:val="Body"/>
        <w:spacing w:after="0" w:line="240" w:lineRule="auto"/>
        <w:jc w:val="both"/>
        <w:rPr>
          <w:rFonts w:asciiTheme="minorHAnsi" w:hAnsiTheme="minorHAnsi" w:cstheme="minorHAnsi"/>
          <w:b/>
          <w:bCs/>
          <w:lang w:val="en-US"/>
        </w:rPr>
      </w:pPr>
    </w:p>
    <w:p w:rsidR="0055094E" w:rsidRPr="002C5137" w:rsidRDefault="0055094E" w:rsidP="00F653F8">
      <w:pPr>
        <w:pStyle w:val="Body"/>
        <w:spacing w:after="0" w:line="240" w:lineRule="auto"/>
        <w:jc w:val="both"/>
        <w:rPr>
          <w:rFonts w:asciiTheme="minorHAnsi" w:hAnsiTheme="minorHAnsi" w:cstheme="minorHAnsi"/>
          <w:b/>
          <w:bCs/>
          <w:lang w:val="en-US"/>
        </w:rPr>
      </w:pPr>
      <w:r w:rsidRPr="002C5137">
        <w:rPr>
          <w:rFonts w:asciiTheme="minorHAnsi" w:hAnsiTheme="minorHAnsi" w:cstheme="minorHAnsi"/>
          <w:i/>
          <w:iCs/>
          <w:lang w:val="en-US"/>
        </w:rPr>
        <w:t>Improving Kiln Efficiency in the Brick Making Industry (IKEBMI)</w:t>
      </w:r>
      <w:r w:rsidRPr="002C5137">
        <w:rPr>
          <w:rFonts w:asciiTheme="minorHAnsi" w:hAnsiTheme="minorHAnsi" w:cstheme="minorHAnsi"/>
          <w:lang w:val="en-US"/>
        </w:rPr>
        <w:t xml:space="preserve">: The sustainability of the project demonstration facilities is high, as these are long-term investments. The four demonstration projects have already led to significant replication.  By triggering national discussion, the project might lead to the widespread adoption of even more environmental-friendly technology.  However, these new technologies will reduce labor requirements and may thus potentially cause income losses to migratory workers.  In addition, most of the brick kiln owners of the traditional kilns will not have sufficient capital resources to invest in the new technologies, which are much more expensive than the traditional kilns, without financial support from public and private institutions (e.g. banks). </w:t>
      </w:r>
    </w:p>
    <w:p w:rsidR="00E965B1" w:rsidRPr="002C5137" w:rsidRDefault="00E965B1" w:rsidP="00F653F8">
      <w:pPr>
        <w:pStyle w:val="Body"/>
        <w:spacing w:after="0" w:line="240" w:lineRule="auto"/>
        <w:jc w:val="both"/>
        <w:rPr>
          <w:rFonts w:asciiTheme="minorHAnsi" w:hAnsiTheme="minorHAnsi" w:cstheme="minorHAnsi"/>
          <w:b/>
          <w:lang w:val="en-US"/>
        </w:rPr>
      </w:pPr>
    </w:p>
    <w:p w:rsidR="00E965B1" w:rsidRPr="009B1C91" w:rsidRDefault="00E965B1" w:rsidP="00F653F8">
      <w:pPr>
        <w:pStyle w:val="Body"/>
        <w:spacing w:after="0" w:line="240" w:lineRule="auto"/>
        <w:jc w:val="both"/>
        <w:rPr>
          <w:rFonts w:asciiTheme="minorHAnsi" w:hAnsiTheme="minorHAnsi" w:cstheme="minorHAnsi"/>
          <w:b/>
          <w:lang w:val="en-US"/>
        </w:rPr>
      </w:pPr>
      <w:r w:rsidRPr="009B1C91">
        <w:rPr>
          <w:rFonts w:asciiTheme="minorHAnsi" w:hAnsiTheme="minorHAnsi" w:cstheme="minorHAnsi"/>
          <w:b/>
          <w:lang w:val="en-US"/>
        </w:rPr>
        <w:t>Synthesis of sustainability and replicability of project interventions</w:t>
      </w:r>
    </w:p>
    <w:p w:rsidR="00E965B1" w:rsidRPr="009B1C91" w:rsidRDefault="00E965B1" w:rsidP="00F653F8">
      <w:pPr>
        <w:pStyle w:val="Body"/>
        <w:spacing w:after="0" w:line="240" w:lineRule="auto"/>
        <w:jc w:val="both"/>
        <w:rPr>
          <w:rFonts w:asciiTheme="minorHAnsi" w:hAnsiTheme="minorHAnsi" w:cstheme="minorHAnsi"/>
          <w:lang w:val="en-US"/>
        </w:rPr>
      </w:pPr>
    </w:p>
    <w:p w:rsidR="0055094E" w:rsidRPr="009B1C91" w:rsidRDefault="0055094E"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UNDP initiated projects have demonstrated that sustainability is ensured through policy changes and institution building at the national level. However, all policy changes require continued attention, capacity building, institutionalization of volunteer training, refresher training, and technical competence development.  This also includes the regular review of the set rules including updating of regulations, guidelines, manuals, and technical methods. The GoB should be able to rely on continued UNDP contribution and support (e.g., PECM- in particular TPP and DPP formats, BRESL, </w:t>
      </w:r>
      <w:r w:rsidR="00C949E7" w:rsidRPr="009B1C91">
        <w:rPr>
          <w:rFonts w:asciiTheme="minorHAnsi" w:hAnsiTheme="minorHAnsi" w:cstheme="minorHAnsi"/>
          <w:lang w:val="en-US"/>
        </w:rPr>
        <w:t>Green Bricks</w:t>
      </w:r>
      <w:r w:rsidRPr="009B1C91">
        <w:rPr>
          <w:rFonts w:asciiTheme="minorHAnsi" w:hAnsiTheme="minorHAnsi" w:cstheme="minorHAnsi"/>
          <w:lang w:val="en-US"/>
        </w:rPr>
        <w:t xml:space="preserve"> (Center for Excellence), CDPMII, ERF).</w:t>
      </w:r>
    </w:p>
    <w:p w:rsidR="0055094E" w:rsidRPr="009B1C91" w:rsidRDefault="0055094E" w:rsidP="00F653F8">
      <w:pPr>
        <w:pStyle w:val="Body"/>
        <w:spacing w:after="0" w:line="240" w:lineRule="auto"/>
        <w:jc w:val="both"/>
        <w:rPr>
          <w:rFonts w:asciiTheme="minorHAnsi" w:hAnsiTheme="minorHAnsi" w:cstheme="minorHAnsi"/>
          <w:lang w:val="en-US"/>
        </w:rPr>
      </w:pPr>
    </w:p>
    <w:p w:rsidR="0055094E" w:rsidRPr="009B1C91" w:rsidRDefault="0055094E"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 xml:space="preserve">In local communities, project inputs have achieved commendable results. However, sustainability and replicability of these lessons learned and results would not occur without enhancing local government and community capacity.  In future programming, it therefore will be important to link up with the local governments more closely. Thus far, this has not been done effectively and efficiently. </w:t>
      </w:r>
    </w:p>
    <w:p w:rsidR="0055094E" w:rsidRPr="009B1C91" w:rsidRDefault="0055094E" w:rsidP="00F653F8">
      <w:pPr>
        <w:pStyle w:val="Body"/>
        <w:spacing w:after="0" w:line="240" w:lineRule="auto"/>
        <w:jc w:val="both"/>
        <w:rPr>
          <w:rFonts w:asciiTheme="minorHAnsi" w:hAnsiTheme="minorHAnsi" w:cstheme="minorHAnsi"/>
          <w:lang w:val="en-US"/>
        </w:rPr>
      </w:pPr>
    </w:p>
    <w:p w:rsidR="0055094E" w:rsidRPr="009B1C91" w:rsidRDefault="0055094E"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Deficiency in revenue generation or cost-recovery (full or partial) in project components is a key factor in the lack of sustainability and potential for replication in demonstration projects. As the most of the activities continuously rely on project financial subsidies, the process causes a distortion in the true cost of implementation of initiatives. Training for innovation and use of market forces will be necessary to address this issue.  The communities should be directed to assemble savings to create assets. This question has not yet been adequately explored, but is crucial for sustainability and shock resistance (robustness of infrastructure, self-organization capacity) and resilience (bouncing back, adaptive capacity). Economies of scale and scope should be leveraged. This is evident from the experience of the Core Family Shelter in Bain</w:t>
      </w:r>
      <w:r w:rsidR="00434AFB" w:rsidRPr="009B1C91">
        <w:rPr>
          <w:rFonts w:asciiTheme="minorHAnsi" w:hAnsiTheme="minorHAnsi" w:cstheme="minorHAnsi"/>
          <w:lang w:val="en-US"/>
        </w:rPr>
        <w:t>e</w:t>
      </w:r>
      <w:r w:rsidRPr="009B1C91">
        <w:rPr>
          <w:rFonts w:asciiTheme="minorHAnsi" w:hAnsiTheme="minorHAnsi" w:cstheme="minorHAnsi"/>
          <w:lang w:val="en-US"/>
        </w:rPr>
        <w:t xml:space="preserve">para, Dacope, which has been able to integrate more of the population in the physical and financial capital creation. </w:t>
      </w:r>
    </w:p>
    <w:p w:rsidR="0055094E" w:rsidRPr="009B1C91" w:rsidRDefault="0055094E" w:rsidP="00F653F8">
      <w:pPr>
        <w:pStyle w:val="Body"/>
        <w:spacing w:after="0" w:line="240" w:lineRule="auto"/>
        <w:jc w:val="both"/>
        <w:rPr>
          <w:rFonts w:asciiTheme="minorHAnsi" w:hAnsiTheme="minorHAnsi" w:cstheme="minorHAnsi"/>
          <w:lang w:val="en-US"/>
        </w:rPr>
      </w:pPr>
    </w:p>
    <w:p w:rsidR="00EF317C" w:rsidRPr="009B1C91" w:rsidRDefault="0055094E" w:rsidP="00F653F8">
      <w:pPr>
        <w:pStyle w:val="Body"/>
        <w:spacing w:after="0" w:line="240" w:lineRule="auto"/>
        <w:jc w:val="both"/>
        <w:rPr>
          <w:rFonts w:asciiTheme="minorHAnsi" w:hAnsiTheme="minorHAnsi" w:cstheme="minorHAnsi"/>
          <w:lang w:val="en-US"/>
        </w:rPr>
      </w:pPr>
      <w:r w:rsidRPr="009B1C91">
        <w:rPr>
          <w:rFonts w:asciiTheme="minorHAnsi" w:hAnsiTheme="minorHAnsi" w:cstheme="minorHAnsi"/>
          <w:lang w:val="en-US"/>
        </w:rPr>
        <w:t>In respect to replication and scaling-up of demonstrated projects, development of a deep ‘sense of ownership’ by the respective government ministries and/or departments as well as the local institutions and communities is vital during the project cycle. GoB ministerial ownership in general was substantial for the initiated projects, though local government and community ownership was often lacking. For example, the cyclone storm surge embankment which was breached by Cyclone Aila in Shymnagar</w:t>
      </w:r>
      <w:r w:rsidR="00DA783F">
        <w:rPr>
          <w:rFonts w:asciiTheme="minorHAnsi" w:hAnsiTheme="minorHAnsi" w:cstheme="minorHAnsi"/>
          <w:lang w:val="en-US"/>
        </w:rPr>
        <w:t xml:space="preserve"> </w:t>
      </w:r>
      <w:r w:rsidR="00DA783F" w:rsidRPr="00DA783F">
        <w:rPr>
          <w:rFonts w:asciiTheme="minorHAnsi" w:hAnsiTheme="minorHAnsi" w:cstheme="minorHAnsi"/>
          <w:i/>
          <w:lang w:val="en-US"/>
        </w:rPr>
        <w:t>u</w:t>
      </w:r>
      <w:r w:rsidRPr="00DA783F">
        <w:rPr>
          <w:rFonts w:asciiTheme="minorHAnsi" w:hAnsiTheme="minorHAnsi" w:cstheme="minorHAnsi"/>
          <w:i/>
          <w:lang w:val="en-US"/>
        </w:rPr>
        <w:t>pazila</w:t>
      </w:r>
      <w:r w:rsidRPr="009B1C91">
        <w:rPr>
          <w:rFonts w:asciiTheme="minorHAnsi" w:hAnsiTheme="minorHAnsi" w:cstheme="minorHAnsi"/>
          <w:lang w:val="en-US"/>
        </w:rPr>
        <w:t xml:space="preserve"> was not reconstructed or repaired. To ensure the sustainability of results, future projects will need to emphasize the development of a ‘sense of ownership’ through effective engagement and sustained partnership. </w:t>
      </w:r>
    </w:p>
    <w:p w:rsidR="00135E5E" w:rsidRPr="009B1C91" w:rsidRDefault="00135E5E" w:rsidP="00EF317C">
      <w:pPr>
        <w:autoSpaceDE w:val="0"/>
        <w:autoSpaceDN w:val="0"/>
        <w:adjustRightInd w:val="0"/>
        <w:spacing w:after="0" w:line="240" w:lineRule="auto"/>
        <w:rPr>
          <w:rFonts w:asciiTheme="minorHAnsi" w:hAnsiTheme="minorHAnsi" w:cstheme="minorHAnsi"/>
          <w:b/>
        </w:rPr>
      </w:pPr>
    </w:p>
    <w:p w:rsidR="00EF317C" w:rsidRPr="009B1C91" w:rsidRDefault="00EF317C" w:rsidP="00EF317C">
      <w:pPr>
        <w:autoSpaceDE w:val="0"/>
        <w:autoSpaceDN w:val="0"/>
        <w:adjustRightInd w:val="0"/>
        <w:spacing w:after="0" w:line="240" w:lineRule="auto"/>
        <w:rPr>
          <w:rFonts w:asciiTheme="minorHAnsi" w:hAnsiTheme="minorHAnsi" w:cstheme="minorHAnsi"/>
          <w:b/>
        </w:rPr>
      </w:pPr>
      <w:r w:rsidRPr="009B1C91">
        <w:rPr>
          <w:rFonts w:asciiTheme="minorHAnsi" w:hAnsiTheme="minorHAnsi" w:cstheme="minorHAnsi"/>
          <w:b/>
        </w:rPr>
        <w:lastRenderedPageBreak/>
        <w:t>SECTION 5</w:t>
      </w:r>
    </w:p>
    <w:p w:rsidR="00EF317C" w:rsidRPr="009B1C91" w:rsidRDefault="00EF317C" w:rsidP="00EF317C">
      <w:pPr>
        <w:autoSpaceDE w:val="0"/>
        <w:autoSpaceDN w:val="0"/>
        <w:adjustRightInd w:val="0"/>
        <w:spacing w:after="0" w:line="240" w:lineRule="auto"/>
        <w:rPr>
          <w:rFonts w:asciiTheme="minorHAnsi" w:hAnsiTheme="minorHAnsi" w:cstheme="minorHAnsi"/>
          <w:b/>
        </w:rPr>
      </w:pPr>
    </w:p>
    <w:p w:rsidR="00EF317C" w:rsidRPr="009B1C91" w:rsidRDefault="008166CF" w:rsidP="00EF317C">
      <w:pPr>
        <w:autoSpaceDE w:val="0"/>
        <w:autoSpaceDN w:val="0"/>
        <w:adjustRightInd w:val="0"/>
        <w:spacing w:after="0" w:line="240" w:lineRule="auto"/>
        <w:rPr>
          <w:rFonts w:asciiTheme="minorHAnsi" w:hAnsiTheme="minorHAnsi" w:cstheme="minorHAnsi"/>
          <w:b/>
          <w:sz w:val="44"/>
        </w:rPr>
      </w:pPr>
      <w:r w:rsidRPr="009B1C91">
        <w:rPr>
          <w:rFonts w:asciiTheme="minorHAnsi" w:hAnsiTheme="minorHAnsi" w:cstheme="minorHAnsi"/>
          <w:b/>
          <w:sz w:val="44"/>
        </w:rPr>
        <w:t xml:space="preserve">CONCLUSIONS </w:t>
      </w:r>
      <w:r w:rsidR="00EF317C" w:rsidRPr="009B1C91">
        <w:rPr>
          <w:rFonts w:asciiTheme="minorHAnsi" w:hAnsiTheme="minorHAnsi" w:cstheme="minorHAnsi"/>
          <w:b/>
          <w:sz w:val="44"/>
        </w:rPr>
        <w:t xml:space="preserve">AND RECOMMENDATIONS </w:t>
      </w:r>
    </w:p>
    <w:p w:rsidR="00EF317C" w:rsidRPr="009B1C91" w:rsidRDefault="00EF317C" w:rsidP="00086A89">
      <w:pPr>
        <w:autoSpaceDE w:val="0"/>
        <w:autoSpaceDN w:val="0"/>
        <w:adjustRightInd w:val="0"/>
        <w:spacing w:after="0" w:line="240" w:lineRule="auto"/>
        <w:ind w:firstLine="720"/>
        <w:rPr>
          <w:rFonts w:asciiTheme="minorHAnsi" w:hAnsiTheme="minorHAnsi" w:cstheme="minorHAnsi"/>
        </w:rPr>
      </w:pPr>
      <w:r w:rsidRPr="009B1C91">
        <w:rPr>
          <w:rFonts w:asciiTheme="minorHAnsi" w:hAnsiTheme="minorHAnsi" w:cstheme="minorHAnsi"/>
        </w:rPr>
        <w:tab/>
      </w:r>
    </w:p>
    <w:p w:rsidR="008166CF" w:rsidRPr="009B1C91" w:rsidRDefault="008166CF" w:rsidP="00086A89">
      <w:pPr>
        <w:spacing w:after="0" w:line="240" w:lineRule="auto"/>
        <w:jc w:val="both"/>
        <w:rPr>
          <w:rFonts w:asciiTheme="minorHAnsi" w:hAnsiTheme="minorHAnsi" w:cstheme="minorHAnsi"/>
        </w:rPr>
      </w:pPr>
      <w:r w:rsidRPr="009B1C91">
        <w:rPr>
          <w:rFonts w:asciiTheme="minorHAnsi" w:hAnsiTheme="minorHAnsi" w:cstheme="minorHAnsi"/>
        </w:rPr>
        <w:t>This UNDP CDP 2012-16 mid-term outcome evaluation (outcome 3.1 and outcome 3.2) provides an assessment of UNDP CCED Cluster’s ongoing activities during 2012-14 as well as a set of recommendations for improving outcome performance and establishing a more relevant, effective, efficient, and sustainable country programme CCED areas (namely, climate change, the environment, disaster management and risk reduction, natural resource management, renewable and efficient energy, and the advancement of women).  The conclusions and recommendations offered in this outcome evaluation report are based on the findings presented in Sections 2,3, and 4, and are expected to contribute both to the achievement of outputs and outcomes, and to assist a better strategic positioning of the UNDP during the upcoming 2017-2021 programme cycle. The following recommendations highlight only the most critical areas in which UNDP CCED Cluster can improve its visible contributions towards sustainable economic growth and development, environmental and natural resource sustainability, and energy security of Bangladesh.</w:t>
      </w:r>
    </w:p>
    <w:p w:rsidR="00EF317C" w:rsidRPr="009B1C91" w:rsidRDefault="00EF317C" w:rsidP="00EF317C">
      <w:pPr>
        <w:autoSpaceDE w:val="0"/>
        <w:autoSpaceDN w:val="0"/>
        <w:adjustRightInd w:val="0"/>
        <w:spacing w:after="0" w:line="240" w:lineRule="auto"/>
        <w:rPr>
          <w:rFonts w:asciiTheme="minorHAnsi" w:hAnsiTheme="minorHAnsi" w:cstheme="minorHAnsi"/>
        </w:rPr>
      </w:pPr>
    </w:p>
    <w:p w:rsidR="008166CF" w:rsidRPr="009B1C91" w:rsidRDefault="008166CF" w:rsidP="00F653F8">
      <w:pPr>
        <w:jc w:val="both"/>
        <w:rPr>
          <w:rFonts w:asciiTheme="minorHAnsi" w:hAnsiTheme="minorHAnsi" w:cstheme="minorHAnsi"/>
          <w:b/>
        </w:rPr>
      </w:pPr>
      <w:r w:rsidRPr="009B1C91">
        <w:rPr>
          <w:rFonts w:asciiTheme="minorHAnsi" w:hAnsiTheme="minorHAnsi" w:cstheme="minorHAnsi"/>
          <w:b/>
        </w:rPr>
        <w:t>5.1 SUMMARY OF FINDINGS AND CONCLUSIONS</w:t>
      </w:r>
    </w:p>
    <w:p w:rsidR="008166CF" w:rsidRPr="009B1C91" w:rsidRDefault="008166CF" w:rsidP="00F653F8">
      <w:pPr>
        <w:jc w:val="both"/>
        <w:rPr>
          <w:rFonts w:asciiTheme="minorHAnsi" w:hAnsiTheme="minorHAnsi" w:cstheme="minorHAnsi"/>
          <w:b/>
        </w:rPr>
      </w:pPr>
      <w:r w:rsidRPr="009B1C91">
        <w:rPr>
          <w:rFonts w:asciiTheme="minorHAnsi" w:hAnsiTheme="minorHAnsi" w:cstheme="minorHAnsi"/>
          <w:b/>
        </w:rPr>
        <w:t>Overall CCED Portfolio</w:t>
      </w:r>
    </w:p>
    <w:p w:rsidR="008166CF" w:rsidRPr="009B1C91" w:rsidRDefault="008166CF" w:rsidP="00F653F8">
      <w:pPr>
        <w:spacing w:after="0" w:line="240" w:lineRule="auto"/>
        <w:jc w:val="both"/>
        <w:rPr>
          <w:rFonts w:asciiTheme="minorHAnsi" w:hAnsiTheme="minorHAnsi" w:cstheme="minorHAnsi"/>
        </w:rPr>
      </w:pPr>
      <w:r w:rsidRPr="009B1C91">
        <w:rPr>
          <w:rFonts w:asciiTheme="minorHAnsi" w:hAnsiTheme="minorHAnsi" w:cstheme="minorHAnsi"/>
        </w:rPr>
        <w:t>This mid-term outcome evaluation was limited by inconsistencies and gaps in the CPD outcome statements and the indicators chosen to measure them. This has been affected by a complete lack of baseline data for a number of important indicators. As a result, the evaluators decided to use proxy indicators and apply the Theory of Change in order to draw conclusions.</w:t>
      </w:r>
    </w:p>
    <w:p w:rsidR="008166CF" w:rsidRPr="009B1C91" w:rsidRDefault="008166CF" w:rsidP="00F653F8">
      <w:pPr>
        <w:spacing w:after="0" w:line="240" w:lineRule="auto"/>
        <w:jc w:val="both"/>
        <w:rPr>
          <w:rFonts w:asciiTheme="minorHAnsi" w:hAnsiTheme="minorHAnsi" w:cstheme="minorHAnsi"/>
        </w:rPr>
      </w:pPr>
    </w:p>
    <w:p w:rsidR="008166CF" w:rsidRPr="009B1C91" w:rsidRDefault="008166CF" w:rsidP="00F653F8">
      <w:pPr>
        <w:spacing w:after="0" w:line="240" w:lineRule="auto"/>
        <w:jc w:val="both"/>
        <w:rPr>
          <w:rFonts w:asciiTheme="minorHAnsi" w:hAnsiTheme="minorHAnsi" w:cstheme="minorHAnsi"/>
        </w:rPr>
      </w:pPr>
      <w:r w:rsidRPr="009B1C91">
        <w:rPr>
          <w:rFonts w:asciiTheme="minorHAnsi" w:hAnsiTheme="minorHAnsi" w:cstheme="minorHAnsi"/>
        </w:rPr>
        <w:t xml:space="preserve">The analysis of UNDP interventions and other activities in preceding sections has revealed that Bangladesh has made remarkable progress in mainstreaming climate change, environment and disaster management and poverty reduction. The Sixth FYP contains references to most of the policies, strategies and approaches that UNDP and its development partners have supported during the present UNDP country programming period in the CCED portfolio. These achievements, as detailed in </w:t>
      </w:r>
      <w:r w:rsidR="00160696" w:rsidRPr="009B1C91">
        <w:rPr>
          <w:rFonts w:asciiTheme="minorHAnsi" w:hAnsiTheme="minorHAnsi" w:cstheme="minorHAnsi"/>
          <w:u w:color="FF0000"/>
        </w:rPr>
        <w:t>Anne</w:t>
      </w:r>
      <w:r w:rsidR="00DC5167" w:rsidRPr="009B1C91">
        <w:rPr>
          <w:rFonts w:asciiTheme="minorHAnsi" w:hAnsiTheme="minorHAnsi" w:cstheme="minorHAnsi"/>
          <w:u w:color="FF0000"/>
        </w:rPr>
        <w:t>x</w:t>
      </w:r>
      <w:r w:rsidR="00837842">
        <w:rPr>
          <w:rFonts w:asciiTheme="minorHAnsi" w:hAnsiTheme="minorHAnsi" w:cstheme="minorHAnsi"/>
          <w:u w:color="FF0000"/>
        </w:rPr>
        <w:t>es XII.a</w:t>
      </w:r>
      <w:r w:rsidR="00DA783F">
        <w:rPr>
          <w:rFonts w:asciiTheme="minorHAnsi" w:hAnsiTheme="minorHAnsi" w:cstheme="minorHAnsi"/>
          <w:u w:color="FF0000"/>
        </w:rPr>
        <w:t xml:space="preserve"> and </w:t>
      </w:r>
      <w:r w:rsidR="00837842">
        <w:rPr>
          <w:rFonts w:asciiTheme="minorHAnsi" w:hAnsiTheme="minorHAnsi" w:cstheme="minorHAnsi"/>
          <w:u w:color="FF0000"/>
        </w:rPr>
        <w:t>XII.b,</w:t>
      </w:r>
      <w:r w:rsidR="00DA783F">
        <w:rPr>
          <w:rFonts w:asciiTheme="minorHAnsi" w:hAnsiTheme="minorHAnsi" w:cstheme="minorHAnsi"/>
          <w:u w:color="FF0000"/>
        </w:rPr>
        <w:t xml:space="preserve"> </w:t>
      </w:r>
      <w:r w:rsidRPr="009B1C91">
        <w:rPr>
          <w:rFonts w:asciiTheme="minorHAnsi" w:hAnsiTheme="minorHAnsi" w:cstheme="minorHAnsi"/>
        </w:rPr>
        <w:t>can largely or partly be attributed to a dedicated and capable group of technocrats, and decision-makers at UNDP as well as government policy makers, NGOs, civil society and donors.  These accomplishments should nonetheless be qualified with critical analysis. Lack of political stability and human security has hampered the implementation of economic and developmental activities in recent years and could adversely affect the pace of implementation of CCA, DRR, energy, and women’s empowerment activities in the country.</w:t>
      </w:r>
    </w:p>
    <w:p w:rsidR="008166CF" w:rsidRPr="009B1C91" w:rsidRDefault="008166CF" w:rsidP="00F653F8">
      <w:pPr>
        <w:spacing w:after="0" w:line="240" w:lineRule="auto"/>
        <w:jc w:val="both"/>
        <w:rPr>
          <w:rFonts w:asciiTheme="minorHAnsi" w:hAnsiTheme="minorHAnsi" w:cstheme="minorHAnsi"/>
        </w:rPr>
      </w:pPr>
    </w:p>
    <w:p w:rsidR="008166CF" w:rsidRPr="009B1C91" w:rsidRDefault="008166CF" w:rsidP="00F653F8">
      <w:pPr>
        <w:spacing w:after="0" w:line="240" w:lineRule="auto"/>
        <w:jc w:val="both"/>
        <w:rPr>
          <w:rFonts w:asciiTheme="minorHAnsi" w:hAnsiTheme="minorHAnsi" w:cstheme="minorHAnsi"/>
        </w:rPr>
      </w:pPr>
      <w:r w:rsidRPr="009B1C91">
        <w:rPr>
          <w:rFonts w:asciiTheme="minorHAnsi" w:hAnsiTheme="minorHAnsi" w:cstheme="minorHAnsi"/>
        </w:rPr>
        <w:t xml:space="preserve">The evaluators recognize that the UNDP CCED Cluster has maintained a high profile for CCA and DRR, enhancement of community resilience, environmental protection, and community-based natural resource management initiatives in Bangladesh, creating an earned ‘credibility’ and ‘visibility’ for these roles and contributions.  UNDP Bangladesh has managed to deeply and constructively engage with major key players throughout the country, although interventions to protect the environment and vital common property resources (e.g. fresh water and forests) have declined in recent years. The CCED Cluster has been able to stimulate stakeholders (e.g. CDMP II and ERF in the areas of mainstreaming DRR and PECM) at the national level, in NGOs and local communities, and in some cases the private sector. The CCED programmes during the 2012-14 period have supported priority policy development, </w:t>
      </w:r>
      <w:r w:rsidRPr="009B1C91">
        <w:rPr>
          <w:rFonts w:asciiTheme="minorHAnsi" w:hAnsiTheme="minorHAnsi" w:cstheme="minorHAnsi"/>
        </w:rPr>
        <w:lastRenderedPageBreak/>
        <w:t xml:space="preserve">development of action plans and strategies, guidelines and regulations, and community-based initiatives (afforestation and livelihood enhancement) in the areas of resilience habitat development, energy efficiency, and empowering women. </w:t>
      </w:r>
    </w:p>
    <w:p w:rsidR="008166CF" w:rsidRPr="009B1C91" w:rsidRDefault="008166CF" w:rsidP="00F653F8">
      <w:pPr>
        <w:spacing w:after="0" w:line="240" w:lineRule="auto"/>
        <w:jc w:val="both"/>
        <w:rPr>
          <w:rFonts w:asciiTheme="minorHAnsi" w:hAnsiTheme="minorHAnsi" w:cstheme="minorHAnsi"/>
        </w:rPr>
      </w:pPr>
    </w:p>
    <w:p w:rsidR="008166CF" w:rsidRPr="009B1C91" w:rsidRDefault="008166CF" w:rsidP="00F653F8">
      <w:pPr>
        <w:spacing w:after="0" w:line="240" w:lineRule="auto"/>
        <w:jc w:val="both"/>
        <w:rPr>
          <w:rFonts w:asciiTheme="minorHAnsi" w:hAnsiTheme="minorHAnsi" w:cstheme="minorHAnsi"/>
          <w:u w:color="FF0000"/>
        </w:rPr>
      </w:pPr>
      <w:r w:rsidRPr="009B1C91">
        <w:rPr>
          <w:rFonts w:asciiTheme="minorHAnsi" w:hAnsiTheme="minorHAnsi" w:cstheme="minorHAnsi"/>
        </w:rPr>
        <w:t xml:space="preserve">The UNDP CCED portfolio in Bangladesh has piloted innovative approaches to DRR and enhancement of community resilience, which in turn have contributed enormously to equitable economic growth and MDGs. While the portfolio is diverse and extends across multiple societal levels (local, regional, national and global), a number of common denominators - namely, policy advocacy, intersectoral linkage, innovation, and social mobilization - have assisted an underlying coherent and ‘team approach’ in this Cluster. However, this coherence has not always led to further coordination and communication with other UNDP portfolios, which needs to be addressed. </w:t>
      </w:r>
    </w:p>
    <w:p w:rsidR="008166CF" w:rsidRPr="009B1C91" w:rsidRDefault="008166CF" w:rsidP="00F653F8">
      <w:pPr>
        <w:autoSpaceDE w:val="0"/>
        <w:autoSpaceDN w:val="0"/>
        <w:adjustRightInd w:val="0"/>
        <w:spacing w:after="0" w:line="240" w:lineRule="auto"/>
        <w:jc w:val="both"/>
        <w:rPr>
          <w:rFonts w:asciiTheme="minorHAnsi" w:hAnsiTheme="minorHAnsi" w:cstheme="minorHAnsi"/>
        </w:rPr>
      </w:pPr>
    </w:p>
    <w:p w:rsidR="008166CF" w:rsidRPr="009B1C91" w:rsidRDefault="008166CF" w:rsidP="00F653F8">
      <w:pPr>
        <w:jc w:val="both"/>
        <w:rPr>
          <w:rFonts w:asciiTheme="minorHAnsi" w:hAnsiTheme="minorHAnsi" w:cstheme="minorHAnsi"/>
          <w:b/>
        </w:rPr>
      </w:pPr>
      <w:r w:rsidRPr="009B1C91">
        <w:rPr>
          <w:rFonts w:asciiTheme="minorHAnsi" w:hAnsiTheme="minorHAnsi" w:cstheme="minorHAnsi"/>
          <w:b/>
        </w:rPr>
        <w:t>UNDP CCED portfolio’s contributions to CPD 2012-16 outcomes centred on three threads:</w:t>
      </w:r>
    </w:p>
    <w:p w:rsidR="008166CF" w:rsidRPr="009B1C91" w:rsidRDefault="00303AF8" w:rsidP="00F653F8">
      <w:pPr>
        <w:spacing w:after="0" w:line="240" w:lineRule="auto"/>
        <w:jc w:val="both"/>
        <w:rPr>
          <w:rFonts w:asciiTheme="minorHAnsi" w:hAnsiTheme="minorHAnsi" w:cstheme="minorHAnsi"/>
        </w:rPr>
      </w:pPr>
      <w:r w:rsidRPr="009B1C91">
        <w:rPr>
          <w:rFonts w:asciiTheme="minorHAnsi" w:hAnsiTheme="minorHAnsi" w:cstheme="minorHAnsi"/>
        </w:rPr>
        <w:t>M</w:t>
      </w:r>
      <w:r w:rsidR="008166CF" w:rsidRPr="009B1C91">
        <w:rPr>
          <w:rFonts w:asciiTheme="minorHAnsi" w:hAnsiTheme="minorHAnsi" w:cstheme="minorHAnsi"/>
        </w:rPr>
        <w:t xml:space="preserve">ost projects and partnership activities emphasized contributing to the institutionalization of CCA, DRR, and an integrative poverty-environment-climate nexus through </w:t>
      </w:r>
      <w:r w:rsidR="00434AFB" w:rsidRPr="009B1C91">
        <w:rPr>
          <w:rFonts w:asciiTheme="minorHAnsi" w:hAnsiTheme="minorHAnsi" w:cstheme="minorHAnsi"/>
        </w:rPr>
        <w:t>mainstreaming of</w:t>
      </w:r>
      <w:r w:rsidR="008166CF" w:rsidRPr="009B1C91">
        <w:rPr>
          <w:rFonts w:asciiTheme="minorHAnsi" w:hAnsiTheme="minorHAnsi" w:cstheme="minorHAnsi"/>
        </w:rPr>
        <w:t xml:space="preserve"> planning and budgeting; </w:t>
      </w:r>
    </w:p>
    <w:p w:rsidR="008166CF" w:rsidRPr="009B1C91" w:rsidRDefault="008166CF" w:rsidP="00F653F8">
      <w:pPr>
        <w:spacing w:after="0" w:line="240" w:lineRule="auto"/>
        <w:jc w:val="both"/>
        <w:rPr>
          <w:rFonts w:asciiTheme="minorHAnsi" w:hAnsiTheme="minorHAnsi" w:cstheme="minorHAnsi"/>
        </w:rPr>
      </w:pPr>
    </w:p>
    <w:p w:rsidR="008166CF" w:rsidRPr="009B1C91" w:rsidRDefault="008166CF" w:rsidP="00F653F8">
      <w:pPr>
        <w:spacing w:after="0" w:line="240" w:lineRule="auto"/>
        <w:jc w:val="both"/>
        <w:rPr>
          <w:rFonts w:asciiTheme="minorHAnsi" w:hAnsiTheme="minorHAnsi" w:cstheme="minorHAnsi"/>
        </w:rPr>
      </w:pPr>
      <w:r w:rsidRPr="009B1C91">
        <w:rPr>
          <w:rFonts w:asciiTheme="minorHAnsi" w:hAnsiTheme="minorHAnsi" w:cstheme="minorHAnsi"/>
        </w:rPr>
        <w:t>UNDP played an ‘honest broker’ role between the international community/donors and the government and consistently engaged itself with policy support and advocacy that serves the broader interest of humanity and the national priorities of Bangladesh. In line with its comparative advantage as a neutral and trusted development partner, UNDP Bangladesh supported various forums and activities to garner assistance for channelizing resources, technical assistance, and knowledge. However, maintaining liaison with other UN agencies, international development partners, and donors has not been consistent and adequate to support multilateral development projects.</w:t>
      </w:r>
    </w:p>
    <w:p w:rsidR="008166CF" w:rsidRPr="009B1C91" w:rsidRDefault="008166CF" w:rsidP="00F653F8">
      <w:pPr>
        <w:spacing w:after="0" w:line="240" w:lineRule="auto"/>
        <w:jc w:val="both"/>
        <w:rPr>
          <w:rFonts w:asciiTheme="minorHAnsi" w:hAnsiTheme="minorHAnsi" w:cstheme="minorHAnsi"/>
        </w:rPr>
      </w:pPr>
    </w:p>
    <w:p w:rsidR="008166CF" w:rsidRPr="009B1C91" w:rsidRDefault="00E02F12" w:rsidP="00F653F8">
      <w:pPr>
        <w:spacing w:after="0" w:line="240" w:lineRule="auto"/>
        <w:jc w:val="both"/>
        <w:rPr>
          <w:rFonts w:asciiTheme="minorHAnsi" w:hAnsiTheme="minorHAnsi" w:cstheme="minorHAnsi"/>
        </w:rPr>
      </w:pPr>
      <w:r w:rsidRPr="009B1C91">
        <w:rPr>
          <w:rFonts w:asciiTheme="minorHAnsi" w:hAnsiTheme="minorHAnsi" w:cstheme="minorHAnsi"/>
        </w:rPr>
        <w:t>T</w:t>
      </w:r>
      <w:r w:rsidR="008166CF" w:rsidRPr="009B1C91">
        <w:rPr>
          <w:rFonts w:asciiTheme="minorHAnsi" w:hAnsiTheme="minorHAnsi" w:cstheme="minorHAnsi"/>
        </w:rPr>
        <w:t>he UNDP CCED Cluster pursued community mobilization and benefitting community members (e.g. local landless and small landholders in the CBACC-CF project; landless in ERF Kedarbazar Resilient Habitat progra</w:t>
      </w:r>
      <w:r w:rsidR="00E9096D" w:rsidRPr="009B1C91">
        <w:rPr>
          <w:rFonts w:asciiTheme="minorHAnsi" w:hAnsiTheme="minorHAnsi" w:cstheme="minorHAnsi"/>
        </w:rPr>
        <w:t>mme; brick field owners in the I</w:t>
      </w:r>
      <w:r w:rsidR="008166CF" w:rsidRPr="009B1C91">
        <w:rPr>
          <w:rFonts w:asciiTheme="minorHAnsi" w:hAnsiTheme="minorHAnsi" w:cstheme="minorHAnsi"/>
        </w:rPr>
        <w:t>KEBMI) and applied them as an underlying moral driver. These innovative initiatives and approaches have proven effective in strategically positioning UNDP to further contribute to the sustainable development approaches of the GoB and the people of the country.</w:t>
      </w:r>
    </w:p>
    <w:p w:rsidR="008166CF" w:rsidRPr="009B1C91" w:rsidRDefault="008166CF" w:rsidP="00F653F8">
      <w:pPr>
        <w:spacing w:after="0" w:line="240" w:lineRule="auto"/>
        <w:jc w:val="both"/>
        <w:rPr>
          <w:rFonts w:asciiTheme="minorHAnsi" w:hAnsiTheme="minorHAnsi" w:cstheme="minorHAnsi"/>
        </w:rPr>
      </w:pPr>
    </w:p>
    <w:p w:rsidR="008166CF" w:rsidRPr="009B1C91" w:rsidRDefault="008166CF" w:rsidP="00F653F8">
      <w:pPr>
        <w:spacing w:after="0" w:line="240" w:lineRule="auto"/>
        <w:jc w:val="both"/>
        <w:rPr>
          <w:rFonts w:asciiTheme="minorHAnsi" w:hAnsiTheme="minorHAnsi" w:cstheme="minorHAnsi"/>
        </w:rPr>
      </w:pPr>
      <w:r w:rsidRPr="009B1C91">
        <w:rPr>
          <w:rFonts w:asciiTheme="minorHAnsi" w:hAnsiTheme="minorHAnsi" w:cstheme="minorHAnsi"/>
        </w:rPr>
        <w:t xml:space="preserve">The long development cycles observed for both energy standard and efficiency projects - 5 years from conception to implementation - endanger the relevance of these projects. While donors wait with significant funds to implement projects meeting the government’s current needs, those needs could very well change by the time a project is implemented.  UNDP is currently in a good position to leverage its global stature and international networks for providing leadership in accumulating and sharing lessons learnt and innovative approaches to energy efficiency. In addition, UNDP Bangladesh has a distinct risk management and resilience-building profile which can also be leveraged in the area of energy security and the environmental and social risks of industrialization and growth. </w:t>
      </w:r>
    </w:p>
    <w:p w:rsidR="008166CF" w:rsidRPr="009B1C91" w:rsidRDefault="008166CF" w:rsidP="00F653F8">
      <w:pPr>
        <w:spacing w:after="0" w:line="240" w:lineRule="auto"/>
        <w:jc w:val="both"/>
        <w:rPr>
          <w:rFonts w:asciiTheme="minorHAnsi" w:hAnsiTheme="minorHAnsi" w:cstheme="minorHAnsi"/>
        </w:rPr>
      </w:pPr>
    </w:p>
    <w:p w:rsidR="008166CF" w:rsidRPr="009B1C91" w:rsidRDefault="008166CF" w:rsidP="00F653F8">
      <w:pPr>
        <w:spacing w:after="0" w:line="240" w:lineRule="auto"/>
        <w:jc w:val="both"/>
        <w:rPr>
          <w:rFonts w:asciiTheme="minorHAnsi" w:hAnsiTheme="minorHAnsi" w:cstheme="minorHAnsi"/>
        </w:rPr>
      </w:pPr>
      <w:r w:rsidRPr="009B1C91">
        <w:rPr>
          <w:rFonts w:asciiTheme="minorHAnsi" w:hAnsiTheme="minorHAnsi" w:cstheme="minorHAnsi"/>
        </w:rPr>
        <w:t>Sustainability of results has generally been achieved through policy changes. However, all policy changes require continued attention, capacity building, institutionalization of volunteer training, refresher training, and technical competence development. The GoB should be able to rely on continued UNDP support (e.g. PECM - in particular TPP and DPP formats, BRESL</w:t>
      </w:r>
      <w:r w:rsidRPr="002C5137">
        <w:rPr>
          <w:rFonts w:asciiTheme="minorHAnsi" w:hAnsiTheme="minorHAnsi" w:cstheme="minorHAnsi"/>
        </w:rPr>
        <w:t>, IKEBMI - Center for Excellence, CDPMII, ERF). In several cases, implementation partners have developed a sense of ownership (e.g. the Department of Disaster Management is sustaining the training of the CDMPII from their own</w:t>
      </w:r>
      <w:r w:rsidRPr="009B1C91">
        <w:rPr>
          <w:rFonts w:asciiTheme="minorHAnsi" w:hAnsiTheme="minorHAnsi" w:cstheme="minorHAnsi"/>
        </w:rPr>
        <w:t xml:space="preserve"> resources).</w:t>
      </w:r>
    </w:p>
    <w:p w:rsidR="008166CF" w:rsidRPr="009B1C91" w:rsidRDefault="008166CF" w:rsidP="00F653F8">
      <w:pPr>
        <w:spacing w:after="0" w:line="240" w:lineRule="auto"/>
        <w:jc w:val="both"/>
        <w:rPr>
          <w:rFonts w:asciiTheme="minorHAnsi" w:hAnsiTheme="minorHAnsi" w:cstheme="minorHAnsi"/>
        </w:rPr>
      </w:pPr>
    </w:p>
    <w:p w:rsidR="008166CF" w:rsidRPr="009B1C91" w:rsidRDefault="0F73AF2A" w:rsidP="00F653F8">
      <w:pPr>
        <w:spacing w:after="0" w:line="240" w:lineRule="auto"/>
        <w:jc w:val="both"/>
        <w:rPr>
          <w:rFonts w:asciiTheme="minorHAnsi" w:hAnsiTheme="minorHAnsi" w:cstheme="minorHAnsi"/>
        </w:rPr>
      </w:pPr>
      <w:r w:rsidRPr="0F73AF2A">
        <w:rPr>
          <w:rFonts w:asciiTheme="minorHAnsi" w:eastAsiaTheme="minorEastAsia" w:hAnsiTheme="minorHAnsi" w:cstheme="minorBidi"/>
        </w:rPr>
        <w:t>In summary, the UNDP CCED Cluster has played key roles in CCA and DRR policy development, with potential for future development in ‘building and enhancing resilience’ as an overarching programme theme. It has earned considerable experience in CCA and DRR, but is still lacking in the areas of environmental protection and common property resources.</w:t>
      </w:r>
    </w:p>
    <w:p w:rsidR="008166CF" w:rsidRPr="009B1C91" w:rsidRDefault="008166CF" w:rsidP="00F653F8">
      <w:pPr>
        <w:autoSpaceDE w:val="0"/>
        <w:autoSpaceDN w:val="0"/>
        <w:adjustRightInd w:val="0"/>
        <w:spacing w:after="0" w:line="240" w:lineRule="auto"/>
        <w:jc w:val="both"/>
        <w:rPr>
          <w:rFonts w:asciiTheme="minorHAnsi" w:hAnsiTheme="minorHAnsi" w:cstheme="minorHAnsi"/>
        </w:rPr>
      </w:pPr>
    </w:p>
    <w:p w:rsidR="002E181F" w:rsidRPr="009B1C91" w:rsidRDefault="0F73AF2A" w:rsidP="00F653F8">
      <w:pPr>
        <w:jc w:val="both"/>
        <w:rPr>
          <w:rFonts w:asciiTheme="minorHAnsi" w:hAnsiTheme="minorHAnsi" w:cstheme="minorHAnsi"/>
          <w:b/>
        </w:rPr>
      </w:pPr>
      <w:r w:rsidRPr="0F73AF2A">
        <w:rPr>
          <w:rFonts w:asciiTheme="minorHAnsi" w:eastAsiaTheme="minorEastAsia" w:hAnsiTheme="minorHAnsi" w:cstheme="minorBidi"/>
          <w:b/>
          <w:bCs/>
        </w:rPr>
        <w:t>Performance Rating</w:t>
      </w:r>
    </w:p>
    <w:p w:rsidR="002E181F" w:rsidRPr="009B1C91" w:rsidRDefault="002E181F" w:rsidP="00F653F8">
      <w:pPr>
        <w:spacing w:after="0" w:line="240" w:lineRule="auto"/>
        <w:jc w:val="both"/>
        <w:rPr>
          <w:rFonts w:asciiTheme="minorHAnsi" w:hAnsiTheme="minorHAnsi" w:cstheme="minorHAnsi"/>
        </w:rPr>
      </w:pPr>
      <w:r w:rsidRPr="0F73AF2A">
        <w:rPr>
          <w:rFonts w:asciiTheme="minorHAnsi" w:eastAsiaTheme="minorEastAsia" w:hAnsiTheme="minorHAnsi" w:cstheme="minorBidi"/>
        </w:rPr>
        <w:t xml:space="preserve">The UNDP CCED projects were found by the evaluators to be </w:t>
      </w:r>
      <w:r w:rsidRPr="0F73AF2A">
        <w:rPr>
          <w:rFonts w:asciiTheme="minorHAnsi" w:eastAsiaTheme="minorEastAsia" w:hAnsiTheme="minorHAnsi" w:cstheme="minorBidi"/>
          <w:b/>
          <w:bCs/>
          <w:i/>
          <w:iCs/>
        </w:rPr>
        <w:t>highly relevant,</w:t>
      </w:r>
      <w:r w:rsidR="00BF7E33">
        <w:rPr>
          <w:rFonts w:asciiTheme="minorHAnsi" w:eastAsiaTheme="minorEastAsia" w:hAnsiTheme="minorHAnsi" w:cstheme="minorBidi"/>
          <w:b/>
          <w:bCs/>
          <w:i/>
          <w:iCs/>
        </w:rPr>
        <w:t xml:space="preserve"> </w:t>
      </w:r>
      <w:r w:rsidRPr="0F73AF2A">
        <w:rPr>
          <w:rFonts w:asciiTheme="minorHAnsi" w:eastAsiaTheme="minorEastAsia" w:hAnsiTheme="minorHAnsi" w:cstheme="minorBidi"/>
        </w:rPr>
        <w:t xml:space="preserve">as they cater to the urgent needs of the country and the priorities of the GoB. Most interventions and activities are appropriately designed to address critical CCA, DRR, and DM needs in Bangladesh. </w:t>
      </w:r>
      <w:r w:rsidRPr="0F73AF2A">
        <w:rPr>
          <w:rFonts w:asciiTheme="minorHAnsi" w:eastAsiaTheme="minorEastAsia" w:hAnsiTheme="minorHAnsi" w:cstheme="minorBidi"/>
          <w:b/>
          <w:bCs/>
          <w:i/>
          <w:iCs/>
        </w:rPr>
        <w:t>The projects that emphasize community engagement and the development of lasting guidelines, standards and policies have the greatest relevance to national and local contexts. However, there exist significant gaps in the coverage of pressing issues such as environmental and common property protection (governance, pollution, land-use practices, energy security).</w:t>
      </w:r>
      <w:r w:rsidRPr="0F73AF2A">
        <w:rPr>
          <w:rFonts w:asciiTheme="minorHAnsi" w:eastAsiaTheme="minorEastAsia" w:hAnsiTheme="minorHAnsi" w:cstheme="minorBidi"/>
        </w:rPr>
        <w:t xml:space="preserve"> The evaluation team considers these issues extremely important as they pose a significant ‘risk’ to sustained development discourse, economic growth, and social development. On this basis, a reduction of the rating to </w:t>
      </w:r>
      <w:r w:rsidRPr="0F73AF2A">
        <w:rPr>
          <w:rFonts w:asciiTheme="minorHAnsi" w:eastAsiaTheme="minorEastAsia" w:hAnsiTheme="minorHAnsi" w:cstheme="minorBidi"/>
          <w:b/>
          <w:bCs/>
          <w:i/>
          <w:iCs/>
        </w:rPr>
        <w:t>marginally unsatisfactory</w:t>
      </w:r>
      <w:r w:rsidRPr="0F73AF2A">
        <w:rPr>
          <w:rFonts w:asciiTheme="minorHAnsi" w:eastAsiaTheme="minorEastAsia" w:hAnsiTheme="minorHAnsi" w:cstheme="minorBidi"/>
        </w:rPr>
        <w:t xml:space="preserve"> would be justified. However, the cluster team, while equipped with first grade technical professionals, is small and has insufficient resources to address all these challenges. In addition, there was internal and external resistance to UNDP to addressing some of these ‘hot’ topics. The resulting </w:t>
      </w:r>
      <w:r w:rsidRPr="0F73AF2A">
        <w:rPr>
          <w:rFonts w:asciiTheme="minorHAnsi" w:eastAsiaTheme="minorEastAsia" w:hAnsiTheme="minorHAnsi" w:cstheme="minorBidi"/>
          <w:b/>
          <w:bCs/>
          <w:i/>
          <w:iCs/>
        </w:rPr>
        <w:t xml:space="preserve">relevance </w:t>
      </w:r>
      <w:r w:rsidRPr="0F73AF2A">
        <w:rPr>
          <w:rFonts w:asciiTheme="minorHAnsi" w:eastAsiaTheme="minorEastAsia" w:hAnsiTheme="minorHAnsi" w:cstheme="minorBidi"/>
        </w:rPr>
        <w:t xml:space="preserve">rating is thus </w:t>
      </w:r>
      <w:r w:rsidRPr="0F73AF2A">
        <w:rPr>
          <w:rFonts w:asciiTheme="minorHAnsi" w:eastAsiaTheme="minorEastAsia" w:hAnsiTheme="minorHAnsi" w:cstheme="minorBidi"/>
          <w:b/>
          <w:bCs/>
          <w:i/>
          <w:iCs/>
        </w:rPr>
        <w:t>satisfactory.</w:t>
      </w:r>
    </w:p>
    <w:p w:rsidR="002E181F" w:rsidRPr="009B1C91" w:rsidRDefault="002E181F" w:rsidP="00F653F8">
      <w:pPr>
        <w:spacing w:after="0" w:line="240" w:lineRule="auto"/>
        <w:jc w:val="both"/>
        <w:rPr>
          <w:rFonts w:asciiTheme="minorHAnsi" w:hAnsiTheme="minorHAnsi" w:cstheme="minorHAnsi"/>
        </w:rPr>
      </w:pPr>
    </w:p>
    <w:p w:rsidR="002E181F" w:rsidRPr="009B1C91" w:rsidRDefault="0F73AF2A" w:rsidP="00F653F8">
      <w:pPr>
        <w:spacing w:after="0" w:line="240" w:lineRule="auto"/>
        <w:jc w:val="both"/>
        <w:rPr>
          <w:rFonts w:asciiTheme="minorHAnsi" w:hAnsiTheme="minorHAnsi" w:cstheme="minorHAnsi"/>
        </w:rPr>
      </w:pPr>
      <w:r w:rsidRPr="0F73AF2A">
        <w:rPr>
          <w:rFonts w:asciiTheme="minorHAnsi" w:eastAsiaTheme="minorEastAsia" w:hAnsiTheme="minorHAnsi" w:cstheme="minorBidi"/>
          <w:b/>
          <w:bCs/>
          <w:i/>
          <w:iCs/>
        </w:rPr>
        <w:t>The extent of achievements is rated as satisfactory. However, the quality of the outputs is not always controlled. Some outputs are very good, like the various modalities developed in the course of the PECM. Other outputs, such as some of the knowledge product components of CDMPII, are of marginal quality.</w:t>
      </w:r>
      <w:r w:rsidRPr="0F73AF2A">
        <w:rPr>
          <w:rFonts w:asciiTheme="minorHAnsi" w:eastAsiaTheme="minorEastAsia" w:hAnsiTheme="minorHAnsi" w:cstheme="minorBidi"/>
        </w:rPr>
        <w:t xml:space="preserve"> For examples, computers have been sitting unused in the district offices due to poor equipment choices or lack of trained technicians. Limited or no monitoring is being pursued to link community-based risk maps with local government and planning authorities so that further supports for DRR and CCA can be offered to the local government and communities.</w:t>
      </w:r>
    </w:p>
    <w:p w:rsidR="002E181F" w:rsidRPr="009B1C91" w:rsidRDefault="002E181F" w:rsidP="00F653F8">
      <w:pPr>
        <w:spacing w:after="0" w:line="240" w:lineRule="auto"/>
        <w:jc w:val="both"/>
        <w:rPr>
          <w:rFonts w:asciiTheme="minorHAnsi" w:hAnsiTheme="minorHAnsi" w:cstheme="minorHAnsi"/>
        </w:rPr>
      </w:pPr>
    </w:p>
    <w:p w:rsidR="002E181F" w:rsidRPr="0003575A" w:rsidRDefault="002E181F" w:rsidP="00160696">
      <w:pPr>
        <w:spacing w:after="0" w:line="240" w:lineRule="auto"/>
        <w:jc w:val="both"/>
        <w:rPr>
          <w:rFonts w:asciiTheme="minorHAnsi" w:hAnsiTheme="minorHAnsi" w:cstheme="minorHAnsi"/>
          <w:b/>
        </w:rPr>
      </w:pPr>
      <w:r w:rsidRPr="0F73AF2A">
        <w:rPr>
          <w:rFonts w:asciiTheme="minorHAnsi" w:eastAsiaTheme="minorEastAsia" w:hAnsiTheme="minorHAnsi" w:cstheme="minorBidi"/>
          <w:b/>
          <w:bCs/>
          <w:i/>
          <w:iCs/>
        </w:rPr>
        <w:t>Generally, delivery on the policy level was more effective than on the ground.</w:t>
      </w:r>
      <w:r w:rsidRPr="0F73AF2A">
        <w:rPr>
          <w:rFonts w:asciiTheme="minorHAnsi" w:eastAsiaTheme="minorEastAsia" w:hAnsiTheme="minorHAnsi" w:cstheme="minorBidi"/>
        </w:rPr>
        <w:t xml:space="preserve"> Timeliness of interventions was largely appropriate, in particular in the area of CC adaptation and disaster risk. However, the energy technologies currently promoted in the energy efficiency area are quickly becoming obsolete. While the activities in the ODS area are at least partially in advance of any international commitments made by Bangladesh, the implementation of other multilateral environmental agreements like the Minamata Convention has not yet begun.  </w:t>
      </w:r>
      <w:r w:rsidRPr="0F73AF2A">
        <w:rPr>
          <w:rFonts w:asciiTheme="minorHAnsi" w:eastAsiaTheme="minorEastAsia" w:hAnsiTheme="minorHAnsi" w:cstheme="minorBidi"/>
          <w:b/>
          <w:bCs/>
        </w:rPr>
        <w:t xml:space="preserve">Overall, an </w:t>
      </w:r>
      <w:r w:rsidRPr="0F73AF2A">
        <w:rPr>
          <w:rFonts w:asciiTheme="minorHAnsi" w:eastAsiaTheme="minorEastAsia" w:hAnsiTheme="minorHAnsi" w:cstheme="minorBidi"/>
          <w:b/>
          <w:bCs/>
          <w:i/>
          <w:iCs/>
        </w:rPr>
        <w:t>effectiveness</w:t>
      </w:r>
      <w:r w:rsidRPr="0F73AF2A">
        <w:rPr>
          <w:rFonts w:asciiTheme="minorHAnsi" w:eastAsiaTheme="minorEastAsia" w:hAnsiTheme="minorHAnsi" w:cstheme="minorBidi"/>
          <w:b/>
          <w:bCs/>
        </w:rPr>
        <w:t xml:space="preserve"> rating of </w:t>
      </w:r>
      <w:r w:rsidRPr="0F73AF2A">
        <w:rPr>
          <w:rFonts w:asciiTheme="minorHAnsi" w:eastAsiaTheme="minorEastAsia" w:hAnsiTheme="minorHAnsi" w:cstheme="minorBidi"/>
          <w:b/>
          <w:bCs/>
          <w:i/>
          <w:iCs/>
        </w:rPr>
        <w:t>marginally satisfactory</w:t>
      </w:r>
      <w:r w:rsidRPr="0F73AF2A">
        <w:rPr>
          <w:rFonts w:asciiTheme="minorHAnsi" w:eastAsiaTheme="minorEastAsia" w:hAnsiTheme="minorHAnsi" w:cstheme="minorBidi"/>
          <w:b/>
          <w:bCs/>
        </w:rPr>
        <w:t xml:space="preserve"> is given. </w:t>
      </w:r>
    </w:p>
    <w:p w:rsidR="002E181F" w:rsidRPr="009B1C91" w:rsidRDefault="002E181F" w:rsidP="00F653F8">
      <w:pPr>
        <w:spacing w:after="0" w:line="240" w:lineRule="auto"/>
        <w:jc w:val="both"/>
        <w:rPr>
          <w:rFonts w:asciiTheme="minorHAnsi" w:hAnsiTheme="minorHAnsi" w:cstheme="minorHAnsi"/>
        </w:rPr>
      </w:pPr>
    </w:p>
    <w:p w:rsidR="002E181F" w:rsidRPr="0003575A" w:rsidRDefault="002E181F" w:rsidP="00F653F8">
      <w:pPr>
        <w:spacing w:after="0" w:line="240" w:lineRule="auto"/>
        <w:jc w:val="both"/>
        <w:rPr>
          <w:rFonts w:asciiTheme="minorHAnsi" w:hAnsiTheme="minorHAnsi" w:cstheme="minorHAnsi"/>
          <w:b/>
          <w:i/>
        </w:rPr>
      </w:pPr>
      <w:r w:rsidRPr="0F73AF2A">
        <w:rPr>
          <w:rFonts w:asciiTheme="minorHAnsi" w:eastAsiaTheme="minorEastAsia" w:hAnsiTheme="minorHAnsi" w:cstheme="minorBidi"/>
          <w:b/>
          <w:bCs/>
          <w:i/>
          <w:iCs/>
        </w:rPr>
        <w:t>For all project components on which analysis was performed, Value for Money (VfM) was higher than one, implying that benefits surpassed cost of development and implementation. Overall, compared to international benchmarks, the efficiency in terms of funds invested and the value of benefits is very high. Therefore, a rating of satisfactory is given on efficiency of selected project components.</w:t>
      </w:r>
    </w:p>
    <w:p w:rsidR="002E181F" w:rsidRPr="0003575A" w:rsidRDefault="002E181F" w:rsidP="00F653F8">
      <w:pPr>
        <w:spacing w:after="0" w:line="240" w:lineRule="auto"/>
        <w:jc w:val="both"/>
        <w:rPr>
          <w:rFonts w:asciiTheme="minorHAnsi" w:hAnsiTheme="minorHAnsi" w:cstheme="minorHAnsi"/>
          <w:b/>
          <w:i/>
        </w:rPr>
      </w:pPr>
      <w:r w:rsidRPr="0003575A">
        <w:rPr>
          <w:rFonts w:asciiTheme="minorHAnsi" w:hAnsiTheme="minorHAnsi" w:cstheme="minorHAnsi"/>
          <w:b/>
          <w:i/>
        </w:rPr>
        <w:tab/>
      </w:r>
    </w:p>
    <w:p w:rsidR="002E181F" w:rsidRPr="00DF6607" w:rsidRDefault="002E181F" w:rsidP="00F653F8">
      <w:pPr>
        <w:spacing w:after="0" w:line="240" w:lineRule="auto"/>
        <w:jc w:val="both"/>
        <w:rPr>
          <w:rFonts w:asciiTheme="minorHAnsi" w:hAnsiTheme="minorHAnsi" w:cstheme="minorHAnsi"/>
          <w:b/>
          <w:i/>
        </w:rPr>
      </w:pPr>
      <w:r w:rsidRPr="0F73AF2A">
        <w:rPr>
          <w:rFonts w:asciiTheme="minorHAnsi" w:eastAsiaTheme="minorEastAsia" w:hAnsiTheme="minorHAnsi" w:cstheme="minorBidi"/>
          <w:b/>
          <w:bCs/>
          <w:i/>
          <w:iCs/>
        </w:rPr>
        <w:t xml:space="preserve">Notably, the CCED portfolio </w:t>
      </w:r>
      <w:r w:rsidR="00E02F12" w:rsidRPr="0F73AF2A">
        <w:rPr>
          <w:rFonts w:asciiTheme="minorHAnsi" w:eastAsiaTheme="minorEastAsia" w:hAnsiTheme="minorHAnsi" w:cstheme="minorBidi"/>
          <w:b/>
          <w:bCs/>
          <w:i/>
          <w:iCs/>
        </w:rPr>
        <w:t>showcased both</w:t>
      </w:r>
      <w:r w:rsidRPr="0F73AF2A">
        <w:rPr>
          <w:rFonts w:asciiTheme="minorHAnsi" w:eastAsiaTheme="minorEastAsia" w:hAnsiTheme="minorHAnsi" w:cstheme="minorBidi"/>
          <w:b/>
          <w:bCs/>
          <w:i/>
          <w:iCs/>
        </w:rPr>
        <w:t xml:space="preserve"> integrated and non-integrated approaches that demonstrated the superiority of integrated approaches with appropriate designs and materials in terms of VfM and non-monetary benefits.</w:t>
      </w:r>
    </w:p>
    <w:p w:rsidR="002E181F" w:rsidRPr="009B1C91" w:rsidRDefault="002E181F" w:rsidP="00F653F8">
      <w:pPr>
        <w:spacing w:after="0" w:line="240" w:lineRule="auto"/>
        <w:jc w:val="both"/>
        <w:rPr>
          <w:rFonts w:asciiTheme="minorHAnsi" w:hAnsiTheme="minorHAnsi" w:cstheme="minorHAnsi"/>
        </w:rPr>
      </w:pPr>
    </w:p>
    <w:p w:rsidR="002E181F" w:rsidRPr="0003575A" w:rsidRDefault="0F73AF2A" w:rsidP="00F653F8">
      <w:pPr>
        <w:spacing w:after="0" w:line="240" w:lineRule="auto"/>
        <w:jc w:val="both"/>
        <w:rPr>
          <w:rFonts w:asciiTheme="minorHAnsi" w:hAnsiTheme="minorHAnsi" w:cstheme="minorHAnsi"/>
          <w:b/>
          <w:i/>
        </w:rPr>
      </w:pPr>
      <w:r w:rsidRPr="0F73AF2A">
        <w:rPr>
          <w:rFonts w:asciiTheme="minorHAnsi" w:eastAsiaTheme="minorEastAsia" w:hAnsiTheme="minorHAnsi" w:cstheme="minorBidi"/>
          <w:b/>
          <w:bCs/>
          <w:i/>
          <w:iCs/>
        </w:rPr>
        <w:lastRenderedPageBreak/>
        <w:t>In terms of the efficiency of delivery and management, a number of challenges were encountered, including long project development times and poor documentation and management of knowledge products.</w:t>
      </w:r>
      <w:r w:rsidRPr="0F73AF2A">
        <w:rPr>
          <w:rFonts w:asciiTheme="minorHAnsi" w:eastAsiaTheme="minorEastAsia" w:hAnsiTheme="minorHAnsi" w:cstheme="minorBidi"/>
        </w:rPr>
        <w:t xml:space="preserve"> With adequate resource inputs, project management and delivery could have been much more efficient. Therefore, this area is rated </w:t>
      </w:r>
      <w:r w:rsidRPr="0F73AF2A">
        <w:rPr>
          <w:rFonts w:asciiTheme="minorHAnsi" w:eastAsiaTheme="minorEastAsia" w:hAnsiTheme="minorHAnsi" w:cstheme="minorBidi"/>
          <w:i/>
          <w:iCs/>
        </w:rPr>
        <w:t>marginally unsatisfactory.</w:t>
      </w:r>
      <w:r w:rsidR="00BF7E33">
        <w:rPr>
          <w:rFonts w:asciiTheme="minorHAnsi" w:eastAsiaTheme="minorEastAsia" w:hAnsiTheme="minorHAnsi" w:cstheme="minorBidi"/>
          <w:i/>
          <w:iCs/>
        </w:rPr>
        <w:t xml:space="preserve"> </w:t>
      </w:r>
      <w:r w:rsidRPr="0F73AF2A">
        <w:rPr>
          <w:rFonts w:asciiTheme="minorHAnsi" w:eastAsiaTheme="minorEastAsia" w:hAnsiTheme="minorHAnsi" w:cstheme="minorBidi"/>
          <w:b/>
          <w:bCs/>
          <w:i/>
          <w:iCs/>
        </w:rPr>
        <w:t>Overall, this results in a rating of marginally satisfactory for efficiency.</w:t>
      </w:r>
    </w:p>
    <w:p w:rsidR="002E181F" w:rsidRPr="009B1C91" w:rsidRDefault="002E181F" w:rsidP="00F653F8">
      <w:pPr>
        <w:spacing w:after="0" w:line="240" w:lineRule="auto"/>
        <w:jc w:val="both"/>
        <w:rPr>
          <w:rFonts w:asciiTheme="minorHAnsi" w:hAnsiTheme="minorHAnsi" w:cstheme="minorHAnsi"/>
        </w:rPr>
      </w:pPr>
    </w:p>
    <w:p w:rsidR="002E181F" w:rsidRPr="009B1C91" w:rsidRDefault="0F73AF2A" w:rsidP="00F653F8">
      <w:pPr>
        <w:spacing w:after="0" w:line="240" w:lineRule="auto"/>
        <w:jc w:val="both"/>
        <w:rPr>
          <w:rFonts w:asciiTheme="minorHAnsi" w:hAnsiTheme="minorHAnsi" w:cstheme="minorHAnsi"/>
        </w:rPr>
      </w:pPr>
      <w:r w:rsidRPr="0F73AF2A">
        <w:rPr>
          <w:rFonts w:asciiTheme="minorHAnsi" w:eastAsiaTheme="minorEastAsia" w:hAnsiTheme="minorHAnsi" w:cstheme="minorBidi"/>
        </w:rPr>
        <w:t xml:space="preserve">Gender equality, empowerment of women, and human rights considerations are not as prominent in the CCED projects as they could be. Although efforts are being made to encourage implementation partners to do more regarding women’s and human rights, the UNDP strategy did not place sufficient emphasis on these issues. </w:t>
      </w:r>
    </w:p>
    <w:p w:rsidR="002E181F" w:rsidRPr="009B1C91" w:rsidRDefault="002E181F" w:rsidP="00F653F8">
      <w:pPr>
        <w:spacing w:after="0" w:line="240" w:lineRule="auto"/>
        <w:jc w:val="both"/>
        <w:rPr>
          <w:rFonts w:asciiTheme="minorHAnsi" w:hAnsiTheme="minorHAnsi" w:cstheme="minorHAnsi"/>
        </w:rPr>
      </w:pPr>
    </w:p>
    <w:p w:rsidR="002E181F" w:rsidRPr="0003575A" w:rsidRDefault="0F73AF2A" w:rsidP="00F653F8">
      <w:pPr>
        <w:spacing w:after="0" w:line="240" w:lineRule="auto"/>
        <w:jc w:val="both"/>
        <w:rPr>
          <w:rFonts w:asciiTheme="minorHAnsi" w:hAnsiTheme="minorHAnsi" w:cstheme="minorHAnsi"/>
          <w:b/>
          <w:i/>
        </w:rPr>
      </w:pPr>
      <w:r w:rsidRPr="0F73AF2A">
        <w:rPr>
          <w:rFonts w:asciiTheme="minorHAnsi" w:eastAsiaTheme="minorEastAsia" w:hAnsiTheme="minorHAnsi" w:cstheme="minorBidi"/>
          <w:b/>
          <w:bCs/>
          <w:i/>
          <w:iCs/>
        </w:rPr>
        <w:t xml:space="preserve">Many projects have achieved good or very good results, but the sustainability of the results is in question.  While a final rating cannot be given as implementation of most of the projects are not yet fully implemented, it appears that a preliminary rating of marginally satisfactory for sustainability is justified, as the provisions that UNDP made for the continuation of several activities (e.g. energy efficiency in appliances, technology transfer in brick manufacturing) were largely inadequate. </w:t>
      </w:r>
    </w:p>
    <w:p w:rsidR="002E181F" w:rsidRPr="0003575A" w:rsidRDefault="002E181F" w:rsidP="00F653F8">
      <w:pPr>
        <w:spacing w:after="0" w:line="240" w:lineRule="auto"/>
        <w:jc w:val="both"/>
        <w:rPr>
          <w:rFonts w:asciiTheme="minorHAnsi" w:hAnsiTheme="minorHAnsi" w:cstheme="minorHAnsi"/>
          <w:b/>
          <w:i/>
        </w:rPr>
      </w:pPr>
    </w:p>
    <w:p w:rsidR="002E181F" w:rsidRPr="009B1C91" w:rsidRDefault="0F73AF2A" w:rsidP="00F653F8">
      <w:pPr>
        <w:jc w:val="both"/>
        <w:rPr>
          <w:rFonts w:asciiTheme="minorHAnsi" w:hAnsiTheme="minorHAnsi" w:cstheme="minorHAnsi"/>
          <w:b/>
        </w:rPr>
      </w:pPr>
      <w:r w:rsidRPr="0F73AF2A">
        <w:rPr>
          <w:rFonts w:asciiTheme="minorHAnsi" w:eastAsiaTheme="minorEastAsia" w:hAnsiTheme="minorHAnsi" w:cstheme="minorBidi"/>
          <w:b/>
          <w:bCs/>
        </w:rPr>
        <w:t xml:space="preserve">Thematic Areas </w:t>
      </w:r>
    </w:p>
    <w:p w:rsidR="002E181F" w:rsidRPr="009B1C91" w:rsidRDefault="002E181F" w:rsidP="00F653F8">
      <w:pPr>
        <w:spacing w:after="0" w:line="240" w:lineRule="auto"/>
        <w:jc w:val="both"/>
        <w:rPr>
          <w:rFonts w:asciiTheme="minorHAnsi" w:hAnsiTheme="minorHAnsi" w:cstheme="minorHAnsi"/>
        </w:rPr>
      </w:pPr>
      <w:r w:rsidRPr="0F73AF2A">
        <w:rPr>
          <w:rFonts w:asciiTheme="minorHAnsi" w:eastAsiaTheme="minorEastAsia" w:hAnsiTheme="minorHAnsi" w:cstheme="minorBidi"/>
        </w:rPr>
        <w:t>The comprehensive disaster management approach by the UNDP CCED Cluster has contributed to transformational institutional changes in disaster risk reduction, early warning, emergency response, and early recovery facility in Bangladesh. The effectiveness of such measures was reflected in the successful response and recovery from the effects of Cyclone Mohasen in 2013. However, the intervention focus has remained primarily on natural disasters events, with inadequate coverage of technological and anthropogenic emergencies.</w:t>
      </w:r>
    </w:p>
    <w:p w:rsidR="002E181F" w:rsidRPr="009B1C91" w:rsidRDefault="002E181F" w:rsidP="00F653F8">
      <w:pPr>
        <w:spacing w:after="0" w:line="240" w:lineRule="auto"/>
        <w:jc w:val="both"/>
        <w:rPr>
          <w:rFonts w:asciiTheme="minorHAnsi" w:hAnsiTheme="minorHAnsi" w:cstheme="minorHAnsi"/>
        </w:rPr>
      </w:pPr>
    </w:p>
    <w:p w:rsidR="00160696" w:rsidRPr="009B1C91" w:rsidRDefault="002E181F" w:rsidP="00F653F8">
      <w:pPr>
        <w:spacing w:after="0" w:line="240" w:lineRule="auto"/>
        <w:jc w:val="both"/>
        <w:rPr>
          <w:rFonts w:asciiTheme="minorHAnsi" w:hAnsiTheme="minorHAnsi" w:cstheme="minorHAnsi"/>
        </w:rPr>
      </w:pPr>
      <w:r w:rsidRPr="0F73AF2A">
        <w:rPr>
          <w:rFonts w:asciiTheme="minorHAnsi" w:eastAsiaTheme="minorEastAsia" w:hAnsiTheme="minorHAnsi" w:cstheme="minorBidi"/>
        </w:rPr>
        <w:t xml:space="preserve">The early recovery facility provisions have successfully been mobilized to institutionalize them at the national level. As tested during Cyclone Mohasen in 2013, these provisions appear satisfactory. However, a large-scale disaster comparable to Cyclone Sidr or a similar event has yet not been tested for ERF, and therefore its effectiveness cannot be assessed with a high degree of confidence. The evaluators, however, found that in Bangladesh, the concept of “emergency management” is embedded in both the sectoral approach (i.e. oil spills fall within in the jurisdiction of the Inland Water Transport Authority, and chemical spill with the Ministry of Industry) and the DM domain. Thus, an important knowledge gap exists, as in all developed countries </w:t>
      </w:r>
      <w:r w:rsidRPr="0F73AF2A">
        <w:rPr>
          <w:rFonts w:asciiTheme="minorHAnsi" w:eastAsiaTheme="minorEastAsia" w:hAnsiTheme="minorHAnsi" w:cstheme="minorBidi"/>
          <w:i/>
          <w:iCs/>
        </w:rPr>
        <w:t xml:space="preserve">emergency management </w:t>
      </w:r>
      <w:r w:rsidRPr="0F73AF2A">
        <w:rPr>
          <w:rFonts w:asciiTheme="minorHAnsi" w:eastAsiaTheme="minorEastAsia" w:hAnsiTheme="minorHAnsi" w:cstheme="minorBidi"/>
        </w:rPr>
        <w:t>(EM) is regarded as an intersectoral but independent portfolio in government policy. This is also appropriate in academia and other knowledge sectors. CCED interventions, particularly ERF, did not recognize this gap in knowledge and practice. There is a unique potential to contribute for UNDP to mainstream EM portfolio in government policy domain.</w:t>
      </w:r>
    </w:p>
    <w:p w:rsidR="002E181F" w:rsidRPr="009B1C91" w:rsidRDefault="002E181F" w:rsidP="00F653F8">
      <w:pPr>
        <w:spacing w:after="0" w:line="240" w:lineRule="auto"/>
        <w:jc w:val="both"/>
        <w:rPr>
          <w:rFonts w:asciiTheme="minorHAnsi" w:hAnsiTheme="minorHAnsi" w:cstheme="minorHAnsi"/>
        </w:rPr>
      </w:pPr>
    </w:p>
    <w:p w:rsidR="002E181F" w:rsidRPr="009B1C91" w:rsidRDefault="0F73AF2A" w:rsidP="00160696">
      <w:pPr>
        <w:spacing w:after="0" w:line="240" w:lineRule="auto"/>
        <w:jc w:val="both"/>
        <w:rPr>
          <w:rFonts w:asciiTheme="minorHAnsi" w:hAnsiTheme="minorHAnsi" w:cstheme="minorHAnsi"/>
        </w:rPr>
      </w:pPr>
      <w:r w:rsidRPr="0F73AF2A">
        <w:rPr>
          <w:rFonts w:asciiTheme="minorHAnsi" w:eastAsiaTheme="minorEastAsia" w:hAnsiTheme="minorHAnsi" w:cstheme="minorBidi"/>
        </w:rPr>
        <w:t xml:space="preserve">The UNDP CCED Cluster has made significant contributions during the ongoing programming period (2012-14) to DRR, CCA, and community-based coastal afforestation to improve NRM and energy efficiency - which are key  to poverty reduction, climate change mitigation and adaptation, environmental sustainability, and energy security. Some of these contributions have generated transformational results, while others have the potential to support the national goals and aspirations of the people. </w:t>
      </w:r>
    </w:p>
    <w:p w:rsidR="002E181F" w:rsidRPr="009B1C91" w:rsidRDefault="002E181F" w:rsidP="00F653F8">
      <w:pPr>
        <w:spacing w:after="0" w:line="240" w:lineRule="auto"/>
        <w:jc w:val="both"/>
        <w:rPr>
          <w:rFonts w:asciiTheme="minorHAnsi" w:hAnsiTheme="minorHAnsi" w:cstheme="minorHAnsi"/>
        </w:rPr>
      </w:pPr>
    </w:p>
    <w:p w:rsidR="002E181F" w:rsidRPr="009B1C91" w:rsidRDefault="002E181F" w:rsidP="00F653F8">
      <w:pPr>
        <w:spacing w:after="0" w:line="240" w:lineRule="auto"/>
        <w:jc w:val="both"/>
        <w:rPr>
          <w:rFonts w:asciiTheme="minorHAnsi" w:hAnsiTheme="minorHAnsi" w:cstheme="minorHAnsi"/>
        </w:rPr>
      </w:pPr>
      <w:r w:rsidRPr="0F73AF2A">
        <w:rPr>
          <w:rFonts w:asciiTheme="minorHAnsi" w:eastAsiaTheme="minorEastAsia" w:hAnsiTheme="minorHAnsi" w:cstheme="minorBidi"/>
        </w:rPr>
        <w:t xml:space="preserve">Most UNDP CCED Cluster interventions during the 2012-14 programming period were aligned with national development and the related planning priorities of the GoB. Nurturing close partnerships at </w:t>
      </w:r>
      <w:r w:rsidRPr="0F73AF2A">
        <w:rPr>
          <w:rFonts w:asciiTheme="minorHAnsi" w:eastAsiaTheme="minorEastAsia" w:hAnsiTheme="minorHAnsi" w:cstheme="minorBidi"/>
        </w:rPr>
        <w:lastRenderedPageBreak/>
        <w:t>different administrative levels and establishing a rapport with government ministries and departments, national and local NGOs, and CSOs has been a key tool in remaining a trusted and valued partner of the GoB and other non-government institutions. Coordination with donor agencies and international development partners working in Bangladesh has been steady during the programming period but some weaknesses do exist in terms of realizing the full potential of such partnerships and multilateral programme development.</w:t>
      </w:r>
    </w:p>
    <w:p w:rsidR="002E181F" w:rsidRPr="009B1C91" w:rsidRDefault="002E181F" w:rsidP="00F653F8">
      <w:pPr>
        <w:spacing w:after="0" w:line="240" w:lineRule="auto"/>
        <w:jc w:val="both"/>
        <w:rPr>
          <w:rFonts w:asciiTheme="minorHAnsi" w:hAnsiTheme="minorHAnsi" w:cstheme="minorHAnsi"/>
        </w:rPr>
      </w:pPr>
    </w:p>
    <w:p w:rsidR="002E181F" w:rsidRPr="009B1C91" w:rsidRDefault="0F73AF2A" w:rsidP="00F653F8">
      <w:pPr>
        <w:spacing w:after="0" w:line="240" w:lineRule="auto"/>
        <w:jc w:val="both"/>
        <w:rPr>
          <w:rFonts w:asciiTheme="minorHAnsi" w:hAnsiTheme="minorHAnsi" w:cstheme="minorHAnsi"/>
        </w:rPr>
      </w:pPr>
      <w:r w:rsidRPr="0F73AF2A">
        <w:rPr>
          <w:rFonts w:asciiTheme="minorHAnsi" w:eastAsiaTheme="minorEastAsia" w:hAnsiTheme="minorHAnsi" w:cstheme="minorBidi"/>
        </w:rPr>
        <w:t>Efforts to mainstream poverty reduction, climate change mitigation and adaptation, and the DRR nexus within the national planning system and government departments by UNDP generated measurable and visible results, with success being seen primarily at the national level in planning and budgeting provisions and activities.  Mainstreaming such an integrative poverty-environment-climate approach among the sub-district and local level governments has yet to be addressed with necessary vigour.</w:t>
      </w:r>
    </w:p>
    <w:p w:rsidR="002E181F" w:rsidRPr="009B1C91" w:rsidRDefault="002E181F" w:rsidP="00F653F8">
      <w:pPr>
        <w:spacing w:after="0" w:line="240" w:lineRule="auto"/>
        <w:jc w:val="both"/>
        <w:rPr>
          <w:rFonts w:asciiTheme="minorHAnsi" w:hAnsiTheme="minorHAnsi" w:cstheme="minorHAnsi"/>
        </w:rPr>
      </w:pPr>
    </w:p>
    <w:p w:rsidR="002E181F" w:rsidRPr="009B1C91" w:rsidRDefault="002E181F" w:rsidP="00F653F8">
      <w:pPr>
        <w:spacing w:after="0" w:line="240" w:lineRule="auto"/>
        <w:jc w:val="both"/>
        <w:rPr>
          <w:rFonts w:asciiTheme="minorHAnsi" w:hAnsiTheme="minorHAnsi" w:cstheme="minorHAnsi"/>
        </w:rPr>
      </w:pPr>
      <w:r w:rsidRPr="0F73AF2A">
        <w:rPr>
          <w:rFonts w:asciiTheme="minorHAnsi" w:eastAsiaTheme="minorEastAsia" w:hAnsiTheme="minorHAnsi" w:cstheme="minorBidi"/>
        </w:rPr>
        <w:t xml:space="preserve">The Community-Based Natural Resource Management (CBRM) approach adopted by the UNDP CCED Cluster has effectively supported the GoB in benefitting local community members. However, efforts to enhance the collective strength of poor and vulnerable populations were constrained by local vested interests. The focus of intervention targets was primarily on household-level needs; more intersectoral integration (e.g. with the Water Development Board, LGED, and DPHE) is required. For this reason, the full potential of </w:t>
      </w:r>
      <w:r w:rsidRPr="0F73AF2A">
        <w:rPr>
          <w:rFonts w:asciiTheme="minorHAnsi" w:eastAsiaTheme="minorEastAsia" w:hAnsiTheme="minorHAnsi" w:cstheme="minorBidi"/>
          <w:i/>
          <w:iCs/>
        </w:rPr>
        <w:t>economies of scale</w:t>
      </w:r>
      <w:r w:rsidRPr="0F73AF2A">
        <w:rPr>
          <w:rFonts w:asciiTheme="minorHAnsi" w:eastAsiaTheme="minorEastAsia" w:hAnsiTheme="minorHAnsi" w:cstheme="minorBidi"/>
        </w:rPr>
        <w:t xml:space="preserve"> could not always be realized.</w:t>
      </w:r>
    </w:p>
    <w:p w:rsidR="002E181F" w:rsidRPr="009B1C91" w:rsidRDefault="002E181F" w:rsidP="00F653F8">
      <w:pPr>
        <w:spacing w:after="0" w:line="240" w:lineRule="auto"/>
        <w:jc w:val="both"/>
        <w:rPr>
          <w:rFonts w:asciiTheme="minorHAnsi" w:hAnsiTheme="minorHAnsi" w:cstheme="minorHAnsi"/>
        </w:rPr>
      </w:pPr>
    </w:p>
    <w:p w:rsidR="002E181F" w:rsidRPr="009B1C91" w:rsidRDefault="0F73AF2A" w:rsidP="00F653F8">
      <w:pPr>
        <w:spacing w:after="0" w:line="240" w:lineRule="auto"/>
        <w:jc w:val="both"/>
        <w:rPr>
          <w:rFonts w:asciiTheme="minorHAnsi" w:hAnsiTheme="minorHAnsi" w:cstheme="minorHAnsi"/>
        </w:rPr>
      </w:pPr>
      <w:r w:rsidRPr="0F73AF2A">
        <w:rPr>
          <w:rFonts w:asciiTheme="minorHAnsi" w:eastAsiaTheme="minorEastAsia" w:hAnsiTheme="minorHAnsi" w:cstheme="minorBidi"/>
        </w:rPr>
        <w:t xml:space="preserve">The UNDP CCED Cluster’s efforts in assisting the transfer of energy-efficient technology laid the groundwork for greener industry. UNDP coordination in providing technical assistance and building national and local capacity has produced noticeable results (e.g. the Brick Act). Nonetheless, mobilization and partnerships within the private sector requires strengthening. </w:t>
      </w:r>
    </w:p>
    <w:p w:rsidR="002E181F" w:rsidRPr="009B1C91" w:rsidRDefault="002E181F" w:rsidP="00F653F8">
      <w:pPr>
        <w:spacing w:after="0" w:line="240" w:lineRule="auto"/>
        <w:jc w:val="both"/>
        <w:rPr>
          <w:rFonts w:asciiTheme="minorHAnsi" w:hAnsiTheme="minorHAnsi" w:cstheme="minorHAnsi"/>
        </w:rPr>
      </w:pPr>
    </w:p>
    <w:p w:rsidR="002E181F" w:rsidRPr="009B1C91" w:rsidRDefault="0F73AF2A" w:rsidP="00F653F8">
      <w:pPr>
        <w:spacing w:after="0" w:line="240" w:lineRule="auto"/>
        <w:jc w:val="both"/>
        <w:rPr>
          <w:rFonts w:asciiTheme="minorHAnsi" w:hAnsiTheme="minorHAnsi" w:cstheme="minorHAnsi"/>
        </w:rPr>
      </w:pPr>
      <w:r w:rsidRPr="0F73AF2A">
        <w:rPr>
          <w:rFonts w:asciiTheme="minorHAnsi" w:eastAsiaTheme="minorEastAsia" w:hAnsiTheme="minorHAnsi" w:cstheme="minorBidi"/>
        </w:rPr>
        <w:t>While the outcome indicators were shaped according to government priorities, the current CCED portfolio is nominally contributing to the outcome indicators, as the energy sector in Bangladesh has developed faster than UNDP programming. The CCED portfolio has a strong focus on energy efficiency, which is highly relevant to Bangladesh. Both UNDP projects were able to trigger important discussions and developments in Bangladesh: the millennia-old tradition of brick kilns was questioned, and consumer standards and labels for energy efficient appliances were introduced. Through these two projects, UNDP has built a reputation as an innovator and specialist in energy efficiency.</w:t>
      </w:r>
    </w:p>
    <w:p w:rsidR="002E181F" w:rsidRPr="009B1C91" w:rsidRDefault="002E181F" w:rsidP="00F653F8">
      <w:pPr>
        <w:spacing w:after="0" w:line="240" w:lineRule="auto"/>
        <w:jc w:val="both"/>
        <w:rPr>
          <w:rFonts w:asciiTheme="minorHAnsi" w:hAnsiTheme="minorHAnsi" w:cstheme="minorHAnsi"/>
        </w:rPr>
      </w:pPr>
    </w:p>
    <w:p w:rsidR="002E181F" w:rsidRPr="009B1C91" w:rsidRDefault="002E181F" w:rsidP="00F653F8">
      <w:pPr>
        <w:spacing w:after="0" w:line="240" w:lineRule="auto"/>
        <w:jc w:val="both"/>
        <w:rPr>
          <w:rFonts w:asciiTheme="minorHAnsi" w:hAnsiTheme="minorHAnsi" w:cstheme="minorHAnsi"/>
        </w:rPr>
      </w:pPr>
      <w:r w:rsidRPr="0F73AF2A">
        <w:rPr>
          <w:rFonts w:asciiTheme="minorHAnsi" w:eastAsiaTheme="minorEastAsia" w:hAnsiTheme="minorHAnsi" w:cstheme="minorBidi"/>
        </w:rPr>
        <w:t xml:space="preserve">UNDP is one of three agencies in Bangladesh that has access to the GCF (the other two being KfW and ADB). Significant upscaling of project volumes is expected. The UNDP CCED Cluster must take advantage of these emerging opportunities and challenges. </w:t>
      </w:r>
    </w:p>
    <w:p w:rsidR="00E02F12" w:rsidRDefault="00E02F12" w:rsidP="00F653F8">
      <w:pPr>
        <w:spacing w:after="0" w:line="240" w:lineRule="auto"/>
        <w:jc w:val="both"/>
        <w:rPr>
          <w:rFonts w:asciiTheme="minorHAnsi" w:hAnsiTheme="minorHAnsi" w:cstheme="minorHAnsi"/>
        </w:rPr>
      </w:pPr>
    </w:p>
    <w:p w:rsidR="0045259C" w:rsidRPr="009B1C91" w:rsidRDefault="0045259C" w:rsidP="00F653F8">
      <w:pPr>
        <w:spacing w:after="0" w:line="240" w:lineRule="auto"/>
        <w:jc w:val="both"/>
        <w:rPr>
          <w:rFonts w:asciiTheme="minorHAnsi" w:hAnsiTheme="minorHAnsi" w:cstheme="minorHAnsi"/>
        </w:rPr>
      </w:pPr>
    </w:p>
    <w:p w:rsidR="002E181F" w:rsidRPr="009B1C91" w:rsidRDefault="0F73AF2A" w:rsidP="00F653F8">
      <w:pPr>
        <w:jc w:val="both"/>
        <w:rPr>
          <w:rFonts w:asciiTheme="minorHAnsi" w:eastAsia="Trebuchet MS" w:hAnsiTheme="minorHAnsi" w:cstheme="minorHAnsi"/>
          <w:b/>
        </w:rPr>
      </w:pPr>
      <w:r w:rsidRPr="0F73AF2A">
        <w:rPr>
          <w:rFonts w:asciiTheme="minorHAnsi" w:eastAsiaTheme="minorEastAsia" w:hAnsiTheme="minorHAnsi" w:cstheme="minorBidi"/>
          <w:b/>
          <w:bCs/>
        </w:rPr>
        <w:t>5.2 STRATEGIC VISION AND FUTURE COUNTRY PROGRAMMING</w:t>
      </w:r>
    </w:p>
    <w:p w:rsidR="002E181F" w:rsidRDefault="0F73AF2A" w:rsidP="00F653F8">
      <w:pPr>
        <w:spacing w:after="0" w:line="240" w:lineRule="auto"/>
        <w:jc w:val="both"/>
        <w:rPr>
          <w:rFonts w:asciiTheme="minorHAnsi" w:hAnsiTheme="minorHAnsi" w:cstheme="minorHAnsi"/>
        </w:rPr>
      </w:pPr>
      <w:r w:rsidRPr="0F73AF2A">
        <w:rPr>
          <w:rFonts w:asciiTheme="minorHAnsi" w:eastAsiaTheme="minorEastAsia" w:hAnsiTheme="minorHAnsi" w:cstheme="minorBidi"/>
        </w:rPr>
        <w:t xml:space="preserve">The outcome evaluation team believes that to effectively carry over the achievements and impacts of the current programming into the new SP and country programming cycles, an evidenced-based Strategic Vision should be developed. Based on the findings of this mid-term Outcome Evaluation, </w:t>
      </w:r>
      <w:r w:rsidRPr="0F73AF2A">
        <w:rPr>
          <w:rFonts w:asciiTheme="minorHAnsi" w:eastAsiaTheme="minorEastAsia" w:hAnsiTheme="minorHAnsi" w:cstheme="minorBidi"/>
          <w:i/>
          <w:iCs/>
        </w:rPr>
        <w:t>Five Key Thematic Pillars</w:t>
      </w:r>
      <w:r w:rsidRPr="0F73AF2A">
        <w:rPr>
          <w:rFonts w:asciiTheme="minorHAnsi" w:eastAsiaTheme="minorEastAsia" w:hAnsiTheme="minorHAnsi" w:cstheme="minorBidi"/>
        </w:rPr>
        <w:t xml:space="preserve"> for developing a coherent strategic approach are proposed:</w:t>
      </w:r>
    </w:p>
    <w:p w:rsidR="00342E1D" w:rsidRDefault="00342E1D" w:rsidP="00F653F8">
      <w:pPr>
        <w:spacing w:after="0" w:line="240" w:lineRule="auto"/>
        <w:jc w:val="both"/>
        <w:rPr>
          <w:rFonts w:asciiTheme="minorHAnsi" w:hAnsiTheme="minorHAnsi" w:cstheme="minorHAnsi"/>
        </w:rPr>
      </w:pPr>
    </w:p>
    <w:p w:rsidR="00342E1D" w:rsidRDefault="00342E1D" w:rsidP="00F653F8">
      <w:pPr>
        <w:spacing w:after="0" w:line="240" w:lineRule="auto"/>
        <w:jc w:val="both"/>
        <w:rPr>
          <w:rFonts w:asciiTheme="minorHAnsi" w:hAnsiTheme="minorHAnsi" w:cstheme="minorHAnsi"/>
        </w:rPr>
      </w:pPr>
    </w:p>
    <w:p w:rsidR="00342E1D" w:rsidRPr="009B1C91" w:rsidRDefault="00342E1D" w:rsidP="00F653F8">
      <w:pPr>
        <w:spacing w:after="0" w:line="240" w:lineRule="auto"/>
        <w:jc w:val="both"/>
        <w:rPr>
          <w:rFonts w:asciiTheme="minorHAnsi" w:hAnsiTheme="minorHAnsi" w:cstheme="minorHAnsi"/>
        </w:rPr>
      </w:pPr>
    </w:p>
    <w:p w:rsidR="00CD3CA3" w:rsidRPr="009B1C91" w:rsidRDefault="00CD3CA3" w:rsidP="00F653F8">
      <w:pPr>
        <w:spacing w:after="0" w:line="240" w:lineRule="auto"/>
        <w:jc w:val="both"/>
        <w:rPr>
          <w:rFonts w:asciiTheme="minorHAnsi" w:hAnsiTheme="minorHAnsi" w:cstheme="minorHAnsi"/>
        </w:rPr>
      </w:pPr>
    </w:p>
    <w:p w:rsidR="002E181F" w:rsidRPr="009B1C91" w:rsidRDefault="0F73AF2A" w:rsidP="00F653F8">
      <w:pPr>
        <w:spacing w:after="0" w:line="240" w:lineRule="auto"/>
        <w:jc w:val="both"/>
        <w:rPr>
          <w:rFonts w:asciiTheme="minorHAnsi" w:hAnsiTheme="minorHAnsi" w:cstheme="minorHAnsi"/>
          <w:b/>
        </w:rPr>
      </w:pPr>
      <w:r w:rsidRPr="0F73AF2A">
        <w:rPr>
          <w:rFonts w:asciiTheme="minorHAnsi" w:eastAsiaTheme="minorEastAsia" w:hAnsiTheme="minorHAnsi" w:cstheme="minorBidi"/>
          <w:b/>
          <w:bCs/>
        </w:rPr>
        <w:lastRenderedPageBreak/>
        <w:t>Enhancing Community Resilience to Climate and Disaster Risk</w:t>
      </w:r>
    </w:p>
    <w:p w:rsidR="002E181F" w:rsidRPr="009B1C91" w:rsidRDefault="002E181F" w:rsidP="00F653F8">
      <w:pPr>
        <w:spacing w:after="0" w:line="240" w:lineRule="auto"/>
        <w:jc w:val="both"/>
        <w:rPr>
          <w:rFonts w:asciiTheme="minorHAnsi" w:hAnsiTheme="minorHAnsi" w:cstheme="minorHAnsi"/>
        </w:rPr>
      </w:pPr>
    </w:p>
    <w:p w:rsidR="002E181F" w:rsidRPr="009B1C91" w:rsidRDefault="002E181F" w:rsidP="00F653F8">
      <w:pPr>
        <w:spacing w:after="0" w:line="240" w:lineRule="auto"/>
        <w:jc w:val="both"/>
        <w:rPr>
          <w:rFonts w:asciiTheme="minorHAnsi" w:hAnsiTheme="minorHAnsi" w:cstheme="minorHAnsi"/>
          <w:b/>
        </w:rPr>
      </w:pPr>
      <w:r w:rsidRPr="0F73AF2A">
        <w:rPr>
          <w:rFonts w:asciiTheme="minorHAnsi" w:eastAsiaTheme="minorEastAsia" w:hAnsiTheme="minorHAnsi" w:cstheme="minorBidi"/>
        </w:rPr>
        <w:t>UNDP CCED’s contributions to mainstreaming DRR and CCA are recognized and praised by its partners. Lessons learned revealed that, in Bangladesh’s development context, DRR and CCA are most effective and efficient when the interventions are integrated with livelihood enhancement (e.g. Bain</w:t>
      </w:r>
      <w:r w:rsidR="00E9096D" w:rsidRPr="0F73AF2A">
        <w:rPr>
          <w:rFonts w:asciiTheme="minorHAnsi" w:eastAsiaTheme="minorEastAsia" w:hAnsiTheme="minorHAnsi" w:cstheme="minorBidi"/>
        </w:rPr>
        <w:t>e</w:t>
      </w:r>
      <w:r w:rsidRPr="0F73AF2A">
        <w:rPr>
          <w:rFonts w:asciiTheme="minorHAnsi" w:eastAsiaTheme="minorEastAsia" w:hAnsiTheme="minorHAnsi" w:cstheme="minorBidi"/>
        </w:rPr>
        <w:t xml:space="preserve">para Resilient Habitat’s Core Family Shelter Program; Triple F Model). Such integration also pays off when it enhances community resilience.  Therefore, in UNDP Strategic Planning and future programming, integration of DRR with livelihood security and human development should be emphasized. </w:t>
      </w:r>
      <w:r w:rsidRPr="0F73AF2A">
        <w:rPr>
          <w:rFonts w:asciiTheme="minorHAnsi" w:eastAsiaTheme="minorEastAsia" w:hAnsiTheme="minorHAnsi" w:cstheme="minorBidi"/>
          <w:b/>
          <w:bCs/>
        </w:rPr>
        <w:t>For example, current emphasis community-oriented cyclone shelters should be redirected towards building core family shelters, which are considerably more cost-effective and promote a pro-poor economic growth approach.</w:t>
      </w:r>
      <w:r w:rsidR="0084491B" w:rsidRPr="0F73AF2A">
        <w:rPr>
          <w:rFonts w:asciiTheme="minorHAnsi" w:eastAsiaTheme="minorEastAsia" w:hAnsiTheme="minorHAnsi" w:cstheme="minorBidi"/>
        </w:rPr>
        <w:t xml:space="preserve">Preliminary benefit-cost analysis has revealed that the benefits from building core family shelters outweigh the benefits considerably from constructing isolated community-based cyclone shelters for an equal cost-expenditure.   </w:t>
      </w:r>
    </w:p>
    <w:p w:rsidR="002E181F" w:rsidRPr="009B1C91" w:rsidRDefault="002E181F" w:rsidP="00F653F8">
      <w:pPr>
        <w:spacing w:after="0" w:line="240" w:lineRule="auto"/>
        <w:jc w:val="both"/>
        <w:rPr>
          <w:rFonts w:asciiTheme="minorHAnsi" w:hAnsiTheme="minorHAnsi" w:cstheme="minorHAnsi"/>
        </w:rPr>
      </w:pPr>
    </w:p>
    <w:p w:rsidR="002E181F" w:rsidRPr="009B1C91" w:rsidRDefault="002E181F" w:rsidP="00F653F8">
      <w:pPr>
        <w:spacing w:after="0" w:line="240" w:lineRule="auto"/>
        <w:jc w:val="both"/>
        <w:rPr>
          <w:rFonts w:asciiTheme="minorHAnsi" w:hAnsiTheme="minorHAnsi" w:cstheme="minorHAnsi"/>
          <w:b/>
        </w:rPr>
      </w:pPr>
      <w:r w:rsidRPr="0F73AF2A">
        <w:rPr>
          <w:rFonts w:asciiTheme="minorHAnsi" w:eastAsiaTheme="minorEastAsia" w:hAnsiTheme="minorHAnsi" w:cstheme="minorBidi"/>
          <w:b/>
          <w:bCs/>
        </w:rPr>
        <w:t>Building Intersectoral Emergency Management Capacity</w:t>
      </w:r>
    </w:p>
    <w:p w:rsidR="002E181F" w:rsidRPr="009B1C91" w:rsidRDefault="002E181F" w:rsidP="00F653F8">
      <w:pPr>
        <w:spacing w:after="0" w:line="240" w:lineRule="auto"/>
        <w:jc w:val="both"/>
        <w:rPr>
          <w:rFonts w:asciiTheme="minorHAnsi" w:hAnsiTheme="minorHAnsi" w:cstheme="minorHAnsi"/>
          <w:sz w:val="12"/>
        </w:rPr>
      </w:pPr>
    </w:p>
    <w:p w:rsidR="002E181F" w:rsidRPr="009B1C91" w:rsidRDefault="002E181F" w:rsidP="00F653F8">
      <w:pPr>
        <w:spacing w:after="0" w:line="240" w:lineRule="auto"/>
        <w:jc w:val="both"/>
        <w:rPr>
          <w:rFonts w:asciiTheme="minorHAnsi" w:hAnsiTheme="minorHAnsi" w:cstheme="minorHAnsi"/>
        </w:rPr>
      </w:pPr>
      <w:r w:rsidRPr="0F73AF2A">
        <w:rPr>
          <w:rFonts w:asciiTheme="minorHAnsi" w:eastAsiaTheme="minorEastAsia" w:hAnsiTheme="minorHAnsi" w:cstheme="minorBidi"/>
        </w:rPr>
        <w:t xml:space="preserve">Bangladesh is seeking to become a Middle Income Country by 2021. However, rapid industrialization and urbanization, along with expansion of the manufacturing sector, will create new types of environmental risk. In this regard, the recent (February 2015) oil spill in the ecologically sensitive Sundarban mangrove areas and the proximity to earthquake-prone Himalayan faults underscores the need for emergency management capacity building, which presently is </w:t>
      </w:r>
      <w:r w:rsidRPr="0F73AF2A">
        <w:rPr>
          <w:rFonts w:asciiTheme="minorHAnsi" w:eastAsiaTheme="minorEastAsia" w:hAnsiTheme="minorHAnsi" w:cstheme="minorBidi"/>
          <w:i/>
          <w:iCs/>
        </w:rPr>
        <w:t xml:space="preserve">inappropriately </w:t>
      </w:r>
      <w:r w:rsidRPr="0F73AF2A">
        <w:rPr>
          <w:rFonts w:asciiTheme="minorHAnsi" w:eastAsiaTheme="minorEastAsia" w:hAnsiTheme="minorHAnsi" w:cstheme="minorBidi"/>
        </w:rPr>
        <w:t>viewed only as a sub-set of disaster preparedness and response. These knowledge and capacity gaps should be addressed through UNDP-led initiatives to disseminate and integrate information on emergency management. Mainstreaming ‘emergency management’ for ERF and sustainable development should be prioritized by UNDP in its Strategic Planning and forthcoming country programming.</w:t>
      </w:r>
    </w:p>
    <w:p w:rsidR="002E181F" w:rsidRPr="009B1C91" w:rsidRDefault="002E181F" w:rsidP="00F653F8">
      <w:pPr>
        <w:spacing w:after="0" w:line="240" w:lineRule="auto"/>
        <w:jc w:val="both"/>
        <w:rPr>
          <w:rFonts w:asciiTheme="minorHAnsi" w:hAnsiTheme="minorHAnsi" w:cstheme="minorHAnsi"/>
        </w:rPr>
      </w:pPr>
    </w:p>
    <w:p w:rsidR="002E181F" w:rsidRPr="009B1C91" w:rsidRDefault="0F73AF2A" w:rsidP="00F653F8">
      <w:pPr>
        <w:spacing w:after="0" w:line="240" w:lineRule="auto"/>
        <w:jc w:val="both"/>
        <w:rPr>
          <w:rFonts w:asciiTheme="minorHAnsi" w:hAnsiTheme="minorHAnsi" w:cstheme="minorHAnsi"/>
          <w:b/>
        </w:rPr>
      </w:pPr>
      <w:r w:rsidRPr="0F73AF2A">
        <w:rPr>
          <w:rFonts w:asciiTheme="minorHAnsi" w:eastAsiaTheme="minorEastAsia" w:hAnsiTheme="minorHAnsi" w:cstheme="minorBidi"/>
          <w:b/>
          <w:bCs/>
        </w:rPr>
        <w:t>Pro-Growth Green Development through a Transition to Renewable Energy</w:t>
      </w:r>
    </w:p>
    <w:p w:rsidR="002E181F" w:rsidRPr="009B1C91" w:rsidRDefault="002E181F" w:rsidP="00F653F8">
      <w:pPr>
        <w:spacing w:after="0" w:line="240" w:lineRule="auto"/>
        <w:jc w:val="both"/>
        <w:rPr>
          <w:rFonts w:asciiTheme="minorHAnsi" w:hAnsiTheme="minorHAnsi" w:cstheme="minorHAnsi"/>
          <w:sz w:val="12"/>
        </w:rPr>
      </w:pPr>
    </w:p>
    <w:p w:rsidR="002E181F" w:rsidRPr="009B1C91" w:rsidRDefault="0F73AF2A" w:rsidP="00F653F8">
      <w:pPr>
        <w:spacing w:after="0" w:line="240" w:lineRule="auto"/>
        <w:jc w:val="both"/>
        <w:rPr>
          <w:rFonts w:asciiTheme="minorHAnsi" w:hAnsiTheme="minorHAnsi" w:cstheme="minorHAnsi"/>
        </w:rPr>
      </w:pPr>
      <w:r w:rsidRPr="0F73AF2A">
        <w:rPr>
          <w:rFonts w:asciiTheme="minorHAnsi" w:eastAsiaTheme="minorEastAsia" w:hAnsiTheme="minorHAnsi" w:cstheme="minorBidi"/>
        </w:rPr>
        <w:t xml:space="preserve">The longer-term trend of economic growth in Bangladesh indicates that the demand for energy will continue to rise with greater urbanization, industrialization, agricultural extension and population growth. This is a particularly crucial issue from a perspective planning view because the domestic natural gas supply would be diminished. Therefore, shifting the gear toward more to the renewable energy, acquiring more energy efficiency and linking energy use with vital natural resource conservation and environmental protection is a key Strategic Planning tool for the country. UNDP has already established a reputation for initiating technology transfer and labelling initiatives for energy efficiency; it is time for UNDP Bangladesh to also provide leadership in Pro-Growth Green Development by focusing on expansion of the renewably energy supply and efficient energy use in all economic sectors. In UNDP Strategic Planning and country programming, linking Pro-Growth Green Development motto with new products creation, locally appropriate technology, and employment in greener sectors will help the GGD address the country’s perspective plans and goals. </w:t>
      </w:r>
    </w:p>
    <w:p w:rsidR="002E181F" w:rsidRPr="009B1C91" w:rsidRDefault="002E181F" w:rsidP="00F653F8">
      <w:pPr>
        <w:spacing w:after="0" w:line="240" w:lineRule="auto"/>
        <w:jc w:val="both"/>
        <w:rPr>
          <w:rFonts w:asciiTheme="minorHAnsi" w:hAnsiTheme="minorHAnsi" w:cstheme="minorHAnsi"/>
        </w:rPr>
      </w:pPr>
    </w:p>
    <w:p w:rsidR="002E181F" w:rsidRPr="009B1C91" w:rsidRDefault="0F73AF2A" w:rsidP="00F653F8">
      <w:pPr>
        <w:spacing w:after="0" w:line="240" w:lineRule="auto"/>
        <w:jc w:val="both"/>
        <w:rPr>
          <w:rFonts w:asciiTheme="minorHAnsi" w:hAnsiTheme="minorHAnsi" w:cstheme="minorHAnsi"/>
          <w:b/>
        </w:rPr>
      </w:pPr>
      <w:r w:rsidRPr="0F73AF2A">
        <w:rPr>
          <w:rFonts w:asciiTheme="minorHAnsi" w:eastAsiaTheme="minorEastAsia" w:hAnsiTheme="minorHAnsi" w:cstheme="minorBidi"/>
          <w:b/>
          <w:bCs/>
        </w:rPr>
        <w:t xml:space="preserve">Improving Environmental Health through Strengthening Environmental Governance </w:t>
      </w:r>
    </w:p>
    <w:p w:rsidR="002E181F" w:rsidRPr="009B1C91" w:rsidRDefault="002E181F" w:rsidP="00F653F8">
      <w:pPr>
        <w:spacing w:after="0" w:line="240" w:lineRule="auto"/>
        <w:jc w:val="both"/>
        <w:rPr>
          <w:rFonts w:asciiTheme="minorHAnsi" w:hAnsiTheme="minorHAnsi" w:cstheme="minorHAnsi"/>
          <w:sz w:val="12"/>
        </w:rPr>
      </w:pPr>
    </w:p>
    <w:p w:rsidR="002E181F" w:rsidRPr="009B1C91" w:rsidRDefault="002E181F" w:rsidP="00733267">
      <w:pPr>
        <w:spacing w:after="0" w:line="240" w:lineRule="auto"/>
        <w:jc w:val="both"/>
        <w:rPr>
          <w:rFonts w:asciiTheme="minorHAnsi" w:hAnsiTheme="minorHAnsi" w:cstheme="minorHAnsi"/>
        </w:rPr>
      </w:pPr>
      <w:r w:rsidRPr="0F73AF2A">
        <w:rPr>
          <w:rFonts w:asciiTheme="minorHAnsi" w:eastAsiaTheme="minorEastAsia" w:hAnsiTheme="minorHAnsi" w:cstheme="minorBidi"/>
        </w:rPr>
        <w:t xml:space="preserve">Recognizing weak governance in the area of environmental management, the Sixth FYP 2011-15 underscores the need to address institutional capacity deficiencies in ensuring effective law enforcement, and addressing ill-defined responsibilities and lack of transparency and accountability. Such environmental governance and management deficiencies have had profound impacts on </w:t>
      </w:r>
      <w:r w:rsidRPr="0F73AF2A">
        <w:rPr>
          <w:rFonts w:asciiTheme="minorHAnsi" w:eastAsiaTheme="minorEastAsia" w:hAnsiTheme="minorHAnsi" w:cstheme="minorBidi"/>
        </w:rPr>
        <w:lastRenderedPageBreak/>
        <w:t>Bangladesh’s environmental health</w:t>
      </w:r>
      <w:r w:rsidRPr="0F73AF2A">
        <w:rPr>
          <w:rFonts w:asciiTheme="minorHAnsi" w:eastAsiaTheme="minorEastAsia" w:hAnsiTheme="minorHAnsi" w:cstheme="minorBidi"/>
          <w:vertAlign w:val="superscript"/>
        </w:rPr>
        <w:footnoteReference w:id="61"/>
      </w:r>
      <w:r w:rsidRPr="0F73AF2A">
        <w:rPr>
          <w:rFonts w:asciiTheme="minorHAnsi" w:eastAsiaTheme="minorEastAsia" w:hAnsiTheme="minorHAnsi" w:cstheme="minorBidi"/>
        </w:rPr>
        <w:t xml:space="preserve">. With respect to Bangladesh’s economic growth, air and water pollution, soil contamination, ecosystems sensitivity, and threats to human health, it is paramount that UNDP Bangladesh assists the GoB through technical assistance.  In the recent past, the UNDP CCED Cluster has contributed significantly to the promotion of biodiversity conservation and ecosystem sustainability. Building on lessons learned from these interventions, UNDP should strategically position itself to lead initiatives for improving environmental health, with a focus on common property resources (such as industrial discharge into riverine ecosystems and water quality issues, pesticide and other chemical use in agriculture and their effects on runoff, and reduction of </w:t>
      </w:r>
      <w:r w:rsidR="00434AFB" w:rsidRPr="0F73AF2A">
        <w:rPr>
          <w:rFonts w:asciiTheme="minorHAnsi" w:eastAsiaTheme="minorEastAsia" w:hAnsiTheme="minorHAnsi" w:cstheme="minorBidi"/>
        </w:rPr>
        <w:t>sulphur</w:t>
      </w:r>
      <w:r w:rsidRPr="0F73AF2A">
        <w:rPr>
          <w:rFonts w:asciiTheme="minorHAnsi" w:eastAsiaTheme="minorEastAsia" w:hAnsiTheme="minorHAnsi" w:cstheme="minorBidi"/>
        </w:rPr>
        <w:t xml:space="preserve"> and carbon emission from coal based power utilities) to engage both in advocacy and mainstreaming these issues in the government planning system.</w:t>
      </w:r>
    </w:p>
    <w:p w:rsidR="002E181F" w:rsidRPr="009B1C91" w:rsidRDefault="002E181F" w:rsidP="00F653F8">
      <w:pPr>
        <w:spacing w:after="0" w:line="240" w:lineRule="auto"/>
        <w:jc w:val="both"/>
        <w:rPr>
          <w:rFonts w:asciiTheme="minorHAnsi" w:hAnsiTheme="minorHAnsi" w:cstheme="minorHAnsi"/>
        </w:rPr>
      </w:pPr>
    </w:p>
    <w:p w:rsidR="002E181F" w:rsidRPr="009B1C91" w:rsidRDefault="0F73AF2A" w:rsidP="00F653F8">
      <w:pPr>
        <w:spacing w:after="0" w:line="240" w:lineRule="auto"/>
        <w:jc w:val="both"/>
        <w:rPr>
          <w:rFonts w:asciiTheme="minorHAnsi" w:hAnsiTheme="minorHAnsi" w:cstheme="minorHAnsi"/>
          <w:b/>
        </w:rPr>
      </w:pPr>
      <w:r w:rsidRPr="0F73AF2A">
        <w:rPr>
          <w:rFonts w:asciiTheme="minorHAnsi" w:eastAsiaTheme="minorEastAsia" w:hAnsiTheme="minorHAnsi" w:cstheme="minorBidi"/>
          <w:b/>
          <w:bCs/>
        </w:rPr>
        <w:t>Women’s Empowerment for Climate Change Adaptation, Environmental and Natural Resource Sustainability, and Energy Security</w:t>
      </w:r>
    </w:p>
    <w:p w:rsidR="002E181F" w:rsidRPr="009B1C91" w:rsidRDefault="002E181F" w:rsidP="00F653F8">
      <w:pPr>
        <w:spacing w:after="0" w:line="240" w:lineRule="auto"/>
        <w:jc w:val="both"/>
        <w:rPr>
          <w:rFonts w:asciiTheme="minorHAnsi" w:hAnsiTheme="minorHAnsi" w:cstheme="minorHAnsi"/>
          <w:sz w:val="12"/>
        </w:rPr>
      </w:pPr>
    </w:p>
    <w:p w:rsidR="002E181F" w:rsidRPr="009B1C91" w:rsidRDefault="0F73AF2A" w:rsidP="00F653F8">
      <w:pPr>
        <w:spacing w:after="0" w:line="240" w:lineRule="auto"/>
        <w:jc w:val="both"/>
        <w:rPr>
          <w:rFonts w:asciiTheme="minorHAnsi" w:hAnsiTheme="minorHAnsi" w:cstheme="minorHAnsi"/>
        </w:rPr>
      </w:pPr>
      <w:r w:rsidRPr="0F73AF2A">
        <w:rPr>
          <w:rFonts w:asciiTheme="minorHAnsi" w:eastAsiaTheme="minorEastAsia" w:hAnsiTheme="minorHAnsi" w:cstheme="minorBidi"/>
        </w:rPr>
        <w:t xml:space="preserve">Gender equality and women's empowerment have only recently been vigorously pursued by UNDP, and as a result significant numbers of new activities were observed among the implementation agencies. However, since gender equality is regarded as a cross-cutting theme, the necessary focus on this issue is inadequate. This gap is reflected in the lack of gender disaggregated data, female leadership, and necessary ‘space’ in intervention implementation, and the slow progress in cultural attitudes toward women.  </w:t>
      </w:r>
    </w:p>
    <w:p w:rsidR="002E181F" w:rsidRPr="009B1C91" w:rsidRDefault="002E181F" w:rsidP="00F653F8">
      <w:pPr>
        <w:spacing w:after="0" w:line="240" w:lineRule="auto"/>
        <w:jc w:val="both"/>
        <w:rPr>
          <w:rFonts w:asciiTheme="minorHAnsi" w:hAnsiTheme="minorHAnsi" w:cstheme="minorHAnsi"/>
        </w:rPr>
      </w:pPr>
    </w:p>
    <w:p w:rsidR="002E181F" w:rsidRPr="009B1C91" w:rsidRDefault="002E181F" w:rsidP="00CB5169">
      <w:pPr>
        <w:spacing w:after="0" w:line="240" w:lineRule="auto"/>
        <w:jc w:val="both"/>
        <w:rPr>
          <w:rFonts w:asciiTheme="minorHAnsi" w:hAnsiTheme="minorHAnsi" w:cstheme="minorHAnsi"/>
        </w:rPr>
      </w:pPr>
      <w:r w:rsidRPr="0F73AF2A">
        <w:rPr>
          <w:rFonts w:asciiTheme="minorHAnsi" w:eastAsiaTheme="minorEastAsia" w:hAnsiTheme="minorHAnsi" w:cstheme="minorBidi"/>
        </w:rPr>
        <w:t xml:space="preserve">UNDP Bangladesh assisted the GoB (since COP 13, Bali 2007) in facilitating global networking, research, and outreach on gender and climate change issues. In recent years, there have been numerous discussions regarding the role of gender dimensions in ‘loss and damage’, with emphasis on women’s activities beyond the market system. Similarly, in community-based coastal afforestation activities and core family shelters, women’s engagement in livelihood activities was addressed, though with mixed results. </w:t>
      </w:r>
      <w:r w:rsidR="00DA783F">
        <w:rPr>
          <w:rFonts w:asciiTheme="minorHAnsi" w:hAnsiTheme="minorHAnsi" w:cstheme="minorHAnsi"/>
        </w:rPr>
        <w:t xml:space="preserve"> </w:t>
      </w:r>
      <w:r w:rsidR="0F73AF2A" w:rsidRPr="0F73AF2A">
        <w:rPr>
          <w:rFonts w:asciiTheme="minorHAnsi" w:eastAsiaTheme="minorEastAsia" w:hAnsiTheme="minorHAnsi" w:cstheme="minorBidi"/>
        </w:rPr>
        <w:t xml:space="preserve">Dedicated projects on women should be added to the CCED portfolio so that funds and human resources can be dedicated to gender equality in the areas of CCA, environmental and natural resources sustainability, and energy security. </w:t>
      </w:r>
    </w:p>
    <w:p w:rsidR="002E181F" w:rsidRPr="009B1C91" w:rsidRDefault="002E181F" w:rsidP="00F653F8">
      <w:pPr>
        <w:jc w:val="both"/>
        <w:rPr>
          <w:rFonts w:asciiTheme="minorHAnsi" w:hAnsiTheme="minorHAnsi" w:cstheme="minorHAnsi"/>
        </w:rPr>
      </w:pPr>
    </w:p>
    <w:p w:rsidR="002E181F" w:rsidRDefault="0F73AF2A" w:rsidP="00F653F8">
      <w:pPr>
        <w:spacing w:after="0" w:line="240" w:lineRule="auto"/>
        <w:jc w:val="both"/>
        <w:rPr>
          <w:rFonts w:asciiTheme="minorHAnsi" w:eastAsiaTheme="minorEastAsia" w:hAnsiTheme="minorHAnsi" w:cstheme="minorBidi"/>
          <w:b/>
          <w:bCs/>
        </w:rPr>
      </w:pPr>
      <w:r w:rsidRPr="0F73AF2A">
        <w:rPr>
          <w:rFonts w:asciiTheme="minorHAnsi" w:eastAsiaTheme="minorEastAsia" w:hAnsiTheme="minorHAnsi" w:cstheme="minorBidi"/>
          <w:b/>
          <w:bCs/>
        </w:rPr>
        <w:t>5.3 RECOMMENDATIONS</w:t>
      </w:r>
    </w:p>
    <w:p w:rsidR="00DA783F" w:rsidRPr="00DA783F" w:rsidRDefault="00DA783F" w:rsidP="00F653F8">
      <w:pPr>
        <w:spacing w:after="0" w:line="240" w:lineRule="auto"/>
        <w:jc w:val="both"/>
        <w:rPr>
          <w:rFonts w:asciiTheme="minorHAnsi" w:eastAsia="Trebuchet MS" w:hAnsiTheme="minorHAnsi" w:cstheme="minorHAnsi"/>
          <w:b/>
        </w:rPr>
      </w:pPr>
    </w:p>
    <w:p w:rsidR="002E181F" w:rsidRPr="00FA29FF" w:rsidRDefault="0F73AF2A" w:rsidP="00FA29FF">
      <w:pPr>
        <w:spacing w:after="0" w:line="240" w:lineRule="auto"/>
        <w:jc w:val="both"/>
        <w:rPr>
          <w:rFonts w:asciiTheme="minorHAnsi" w:hAnsiTheme="minorHAnsi" w:cstheme="minorHAnsi"/>
          <w:b/>
        </w:rPr>
      </w:pPr>
      <w:r w:rsidRPr="00FA29FF">
        <w:rPr>
          <w:rFonts w:asciiTheme="minorHAnsi" w:eastAsiaTheme="minorEastAsia" w:hAnsiTheme="minorHAnsi" w:cstheme="minorBidi"/>
          <w:b/>
          <w:bCs/>
        </w:rPr>
        <w:t>Overall CCED Portfolio</w:t>
      </w:r>
    </w:p>
    <w:p w:rsidR="002E181F" w:rsidRPr="00FA29FF" w:rsidRDefault="002E181F" w:rsidP="00FA29FF">
      <w:pPr>
        <w:spacing w:after="0" w:line="240" w:lineRule="auto"/>
        <w:jc w:val="both"/>
        <w:rPr>
          <w:rFonts w:asciiTheme="minorHAnsi" w:hAnsiTheme="minorHAnsi" w:cstheme="minorHAnsi"/>
          <w:sz w:val="12"/>
        </w:rPr>
      </w:pPr>
    </w:p>
    <w:p w:rsidR="002E181F" w:rsidRPr="00FA29FF" w:rsidRDefault="0F73AF2A" w:rsidP="00FA29FF">
      <w:pPr>
        <w:numPr>
          <w:ilvl w:val="0"/>
          <w:numId w:val="22"/>
        </w:numPr>
        <w:spacing w:after="0" w:line="240" w:lineRule="auto"/>
        <w:jc w:val="both"/>
        <w:rPr>
          <w:rFonts w:asciiTheme="minorHAnsi" w:eastAsiaTheme="minorEastAsia" w:hAnsiTheme="minorHAnsi" w:cstheme="minorBidi"/>
        </w:rPr>
      </w:pPr>
      <w:r w:rsidRPr="00FA29FF">
        <w:rPr>
          <w:rFonts w:asciiTheme="minorHAnsi" w:eastAsiaTheme="minorEastAsia" w:hAnsiTheme="minorHAnsi" w:cstheme="minorBidi"/>
          <w:b/>
          <w:bCs/>
        </w:rPr>
        <w:t>UNDP needs to critically review and undertake appropriate measures to reconcile CPD outcome indicators with country programme outcomes, particularly in the future country programming</w:t>
      </w:r>
      <w:r w:rsidRPr="00FA29FF">
        <w:rPr>
          <w:rFonts w:asciiTheme="minorHAnsi" w:eastAsiaTheme="minorEastAsia" w:hAnsiTheme="minorHAnsi" w:cstheme="minorBidi"/>
        </w:rPr>
        <w:t xml:space="preserve">. The evaluation team concluded that the UNDAF/UNDP CPD outcomes were formulated too broadly, focusing on a </w:t>
      </w:r>
      <w:r w:rsidRPr="00FA29FF">
        <w:rPr>
          <w:rFonts w:asciiTheme="minorHAnsi" w:eastAsiaTheme="minorEastAsia" w:hAnsiTheme="minorHAnsi" w:cstheme="minorBidi"/>
          <w:i/>
          <w:iCs/>
        </w:rPr>
        <w:t xml:space="preserve">national scale change </w:t>
      </w:r>
      <w:r w:rsidRPr="00FA29FF">
        <w:rPr>
          <w:rFonts w:asciiTheme="minorHAnsi" w:eastAsiaTheme="minorEastAsia" w:hAnsiTheme="minorHAnsi" w:cstheme="minorBidi"/>
        </w:rPr>
        <w:t>and</w:t>
      </w:r>
      <w:r w:rsidRPr="00FA29FF">
        <w:rPr>
          <w:rFonts w:asciiTheme="minorHAnsi" w:eastAsiaTheme="minorEastAsia" w:hAnsiTheme="minorHAnsi" w:cstheme="minorBidi"/>
          <w:i/>
          <w:iCs/>
        </w:rPr>
        <w:t xml:space="preserve"> impacts.</w:t>
      </w:r>
      <w:r w:rsidRPr="00FA29FF">
        <w:rPr>
          <w:rFonts w:asciiTheme="minorHAnsi" w:eastAsiaTheme="minorEastAsia" w:hAnsiTheme="minorHAnsi" w:cstheme="minorBidi"/>
        </w:rPr>
        <w:t xml:space="preserve"> This is because in the UN system, the planning process requires the establishment of outcomes to be achieved over a five-year period. </w:t>
      </w:r>
    </w:p>
    <w:p w:rsidR="002E181F" w:rsidRPr="00FA29FF" w:rsidRDefault="002E181F" w:rsidP="00FA29FF">
      <w:pPr>
        <w:spacing w:after="0" w:line="240" w:lineRule="auto"/>
        <w:jc w:val="both"/>
        <w:rPr>
          <w:rFonts w:asciiTheme="minorHAnsi" w:hAnsiTheme="minorHAnsi" w:cstheme="minorHAnsi"/>
        </w:rPr>
      </w:pPr>
    </w:p>
    <w:p w:rsidR="002E181F" w:rsidRPr="00FA29FF" w:rsidRDefault="002E181F" w:rsidP="00FA29FF">
      <w:pPr>
        <w:spacing w:after="0" w:line="240" w:lineRule="auto"/>
        <w:ind w:left="720"/>
        <w:jc w:val="both"/>
        <w:rPr>
          <w:rFonts w:asciiTheme="minorHAnsi" w:hAnsiTheme="minorHAnsi" w:cstheme="minorHAnsi"/>
        </w:rPr>
      </w:pPr>
      <w:r w:rsidRPr="00FA29FF">
        <w:rPr>
          <w:rFonts w:asciiTheme="minorHAnsi" w:eastAsiaTheme="minorEastAsia" w:hAnsiTheme="minorHAnsi" w:cstheme="minorBidi"/>
        </w:rPr>
        <w:lastRenderedPageBreak/>
        <w:t xml:space="preserve">With the currently used indicators for both outcomes 3.1 and 3.2, it is not possible to determine UNDP Bangladesh’s contribution to changes and outcomes. The available data are UNDP project intervention outputs/results, and it is hard to find causal links between these and national scale outputs when most UNDP interventions are limited to a fraction of the country’s territory and population. It is thus necessary to apply the Theory of Change, which emphasizes the formation of inferences based on analysis of causal links and the estimation of larger-scale outputs based on the overall performances of project interventions. These results can then be triangulated for validation using a mixed-method approach. </w:t>
      </w:r>
    </w:p>
    <w:p w:rsidR="002E181F" w:rsidRPr="00FA29FF" w:rsidRDefault="002E181F" w:rsidP="00FA29FF">
      <w:pPr>
        <w:spacing w:after="0" w:line="240" w:lineRule="auto"/>
        <w:jc w:val="both"/>
        <w:rPr>
          <w:rFonts w:asciiTheme="minorHAnsi" w:hAnsiTheme="minorHAnsi" w:cstheme="minorHAnsi"/>
        </w:rPr>
      </w:pPr>
      <w:r w:rsidRPr="00FA29FF">
        <w:rPr>
          <w:rFonts w:asciiTheme="minorHAnsi" w:hAnsiTheme="minorHAnsi" w:cstheme="minorHAnsi"/>
        </w:rPr>
        <w:tab/>
      </w:r>
    </w:p>
    <w:p w:rsidR="007617A6" w:rsidRPr="00FA29FF" w:rsidRDefault="002E181F" w:rsidP="00FA29FF">
      <w:pPr>
        <w:spacing w:after="0" w:line="240" w:lineRule="auto"/>
        <w:jc w:val="both"/>
        <w:rPr>
          <w:rFonts w:asciiTheme="minorHAnsi" w:hAnsiTheme="minorHAnsi" w:cstheme="minorHAnsi"/>
        </w:rPr>
      </w:pPr>
      <w:r w:rsidRPr="00FA29FF">
        <w:rPr>
          <w:rFonts w:asciiTheme="minorHAnsi" w:hAnsiTheme="minorHAnsi" w:cstheme="minorHAnsi"/>
        </w:rPr>
        <w:tab/>
      </w:r>
      <w:r w:rsidRPr="00FA29FF">
        <w:rPr>
          <w:rFonts w:asciiTheme="minorHAnsi" w:eastAsiaTheme="minorEastAsia" w:hAnsiTheme="minorHAnsi" w:cstheme="minorBidi"/>
        </w:rPr>
        <w:t xml:space="preserve">The resilience indicator should be broad in scope and conceptually straightforward, </w:t>
      </w:r>
      <w:r w:rsidRPr="00FA29FF">
        <w:rPr>
          <w:rFonts w:asciiTheme="minorHAnsi" w:hAnsiTheme="minorHAnsi" w:cstheme="minorHAnsi"/>
        </w:rPr>
        <w:tab/>
      </w:r>
      <w:r w:rsidRPr="00FA29FF">
        <w:rPr>
          <w:rFonts w:asciiTheme="minorHAnsi" w:eastAsiaTheme="minorEastAsia" w:hAnsiTheme="minorHAnsi" w:cstheme="minorBidi"/>
        </w:rPr>
        <w:t xml:space="preserve">incorporating the fundamental dimensions of robustness, adaptive capacity to stress and </w:t>
      </w:r>
      <w:r w:rsidRPr="00FA29FF">
        <w:rPr>
          <w:rFonts w:asciiTheme="minorHAnsi" w:hAnsiTheme="minorHAnsi" w:cstheme="minorHAnsi"/>
        </w:rPr>
        <w:tab/>
      </w:r>
      <w:r w:rsidRPr="00FA29FF">
        <w:rPr>
          <w:rFonts w:asciiTheme="minorHAnsi" w:eastAsiaTheme="minorEastAsia" w:hAnsiTheme="minorHAnsi" w:cstheme="minorBidi"/>
        </w:rPr>
        <w:t xml:space="preserve">shocks, and capacity to bounce back to a new ‘trajectory’. A list of resilience components is </w:t>
      </w:r>
      <w:r w:rsidRPr="00FA29FF">
        <w:rPr>
          <w:rFonts w:asciiTheme="minorHAnsi" w:hAnsiTheme="minorHAnsi" w:cstheme="minorHAnsi"/>
        </w:rPr>
        <w:tab/>
      </w:r>
      <w:r w:rsidRPr="00FA29FF">
        <w:rPr>
          <w:rFonts w:asciiTheme="minorHAnsi" w:eastAsiaTheme="minorEastAsia" w:hAnsiTheme="minorHAnsi" w:cstheme="minorBidi"/>
        </w:rPr>
        <w:t xml:space="preserve">given in </w:t>
      </w:r>
      <w:r w:rsidR="00837842" w:rsidRPr="00FA29FF">
        <w:rPr>
          <w:rFonts w:asciiTheme="minorHAnsi" w:eastAsiaTheme="minorEastAsia" w:hAnsiTheme="minorHAnsi" w:cstheme="minorBidi"/>
        </w:rPr>
        <w:t>Annex X</w:t>
      </w:r>
      <w:r w:rsidRPr="00FA29FF">
        <w:rPr>
          <w:rFonts w:asciiTheme="minorHAnsi" w:eastAsiaTheme="minorEastAsia" w:hAnsiTheme="minorHAnsi" w:cstheme="minorBidi"/>
        </w:rPr>
        <w:t>.</w:t>
      </w:r>
      <w:r w:rsidR="007617A6" w:rsidRPr="00FA29FF">
        <w:rPr>
          <w:rFonts w:asciiTheme="minorHAnsi" w:eastAsiaTheme="minorEastAsia" w:hAnsiTheme="minorHAnsi" w:cstheme="minorBidi"/>
        </w:rPr>
        <w:t xml:space="preserve"> Also, recommendations for refinement of current indicators are given in </w:t>
      </w:r>
    </w:p>
    <w:p w:rsidR="002E181F" w:rsidRPr="00FA29FF" w:rsidRDefault="0F73AF2A" w:rsidP="00FA29FF">
      <w:pPr>
        <w:spacing w:after="0" w:line="240" w:lineRule="auto"/>
        <w:jc w:val="both"/>
        <w:rPr>
          <w:rFonts w:asciiTheme="minorHAnsi" w:hAnsiTheme="minorHAnsi" w:cstheme="minorHAnsi"/>
        </w:rPr>
      </w:pPr>
      <w:r w:rsidRPr="00FA29FF">
        <w:rPr>
          <w:rFonts w:asciiTheme="minorHAnsi" w:eastAsiaTheme="minorEastAsia" w:hAnsiTheme="minorHAnsi" w:cstheme="minorBidi"/>
        </w:rPr>
        <w:t xml:space="preserve">               Annex XVI.</w:t>
      </w:r>
    </w:p>
    <w:p w:rsidR="002E181F" w:rsidRPr="00FA29FF" w:rsidRDefault="002E181F" w:rsidP="00FA29FF">
      <w:pPr>
        <w:pStyle w:val="ListParagraph"/>
        <w:spacing w:after="0" w:line="240" w:lineRule="auto"/>
        <w:ind w:left="0"/>
        <w:jc w:val="both"/>
        <w:rPr>
          <w:rFonts w:asciiTheme="minorHAnsi" w:hAnsiTheme="minorHAnsi" w:cstheme="minorHAnsi"/>
        </w:rPr>
      </w:pPr>
    </w:p>
    <w:p w:rsidR="007956CE" w:rsidRPr="00FA29FF" w:rsidRDefault="0F73AF2A" w:rsidP="00FA29FF">
      <w:pPr>
        <w:pStyle w:val="ListParagraph"/>
        <w:spacing w:after="0" w:line="240" w:lineRule="auto"/>
        <w:jc w:val="both"/>
        <w:rPr>
          <w:rFonts w:asciiTheme="minorHAnsi" w:hAnsiTheme="minorHAnsi" w:cstheme="minorHAnsi"/>
          <w:i/>
        </w:rPr>
      </w:pPr>
      <w:r w:rsidRPr="00FA29FF">
        <w:rPr>
          <w:rFonts w:asciiTheme="minorHAnsi" w:eastAsiaTheme="minorEastAsia" w:hAnsiTheme="minorHAnsi" w:cstheme="minorBidi"/>
          <w:b/>
          <w:bCs/>
          <w:i/>
          <w:iCs/>
        </w:rPr>
        <w:t>The evaluation team recommends that sufficient attention should be devoted to baseline measurement and monitoring of progress and results</w:t>
      </w:r>
      <w:r w:rsidRPr="00FA29FF">
        <w:rPr>
          <w:rFonts w:asciiTheme="minorHAnsi" w:eastAsiaTheme="minorEastAsia" w:hAnsiTheme="minorHAnsi" w:cstheme="minorBidi"/>
          <w:i/>
          <w:iCs/>
        </w:rPr>
        <w:t>.</w:t>
      </w:r>
    </w:p>
    <w:p w:rsidR="007956CE" w:rsidRPr="00FA29FF" w:rsidRDefault="007956CE" w:rsidP="00FA29FF">
      <w:pPr>
        <w:pStyle w:val="ListParagraph"/>
        <w:spacing w:after="0" w:line="240" w:lineRule="auto"/>
        <w:jc w:val="both"/>
        <w:rPr>
          <w:rFonts w:asciiTheme="minorHAnsi" w:hAnsiTheme="minorHAnsi" w:cstheme="minorHAnsi"/>
        </w:rPr>
      </w:pPr>
    </w:p>
    <w:p w:rsidR="007956CE" w:rsidRPr="00FA29FF" w:rsidRDefault="007956CE" w:rsidP="00FA29FF">
      <w:pPr>
        <w:pStyle w:val="ListParagraph"/>
        <w:numPr>
          <w:ilvl w:val="0"/>
          <w:numId w:val="22"/>
        </w:numPr>
        <w:spacing w:after="0" w:line="240" w:lineRule="auto"/>
        <w:jc w:val="both"/>
        <w:rPr>
          <w:rFonts w:asciiTheme="minorHAnsi" w:eastAsiaTheme="minorEastAsia" w:hAnsiTheme="minorHAnsi" w:cstheme="minorBidi"/>
          <w:i/>
        </w:rPr>
      </w:pPr>
      <w:r w:rsidRPr="00FA29FF">
        <w:rPr>
          <w:rFonts w:asciiTheme="minorHAnsi" w:eastAsiaTheme="minorEastAsia" w:hAnsiTheme="minorHAnsi" w:cstheme="minorBidi"/>
          <w:b/>
          <w:bCs/>
        </w:rPr>
        <w:t xml:space="preserve">In order to continue to contribute to nationally and internationally relevant development programmes in the areas of CCED, UNDP Bangladesh needs to strengthen </w:t>
      </w:r>
      <w:r w:rsidR="00C20E38" w:rsidRPr="00FA29FF">
        <w:rPr>
          <w:rFonts w:asciiTheme="minorHAnsi" w:eastAsiaTheme="minorEastAsia" w:hAnsiTheme="minorHAnsi" w:cstheme="minorBidi"/>
          <w:b/>
          <w:bCs/>
        </w:rPr>
        <w:t xml:space="preserve">further </w:t>
      </w:r>
      <w:r w:rsidRPr="00FA29FF">
        <w:rPr>
          <w:rFonts w:asciiTheme="minorHAnsi" w:eastAsiaTheme="minorEastAsia" w:hAnsiTheme="minorHAnsi" w:cstheme="minorBidi"/>
          <w:b/>
          <w:bCs/>
        </w:rPr>
        <w:t>and coordinate its partnership more closely with government ministries, departments, and other private sector stakeholders.</w:t>
      </w:r>
      <w:r w:rsidR="00C20E38" w:rsidRPr="00FA29FF">
        <w:rPr>
          <w:rFonts w:asciiTheme="minorHAnsi" w:eastAsiaTheme="minorEastAsia" w:hAnsiTheme="minorHAnsi" w:cstheme="minorBidi"/>
        </w:rPr>
        <w:t xml:space="preserve">This is critical because Bangladesh is approaching to become a middle-middle country very rapidly. Recent </w:t>
      </w:r>
      <w:r w:rsidRPr="00FA29FF">
        <w:rPr>
          <w:rFonts w:asciiTheme="minorHAnsi" w:eastAsiaTheme="minorEastAsia" w:hAnsiTheme="minorHAnsi" w:cstheme="minorBidi"/>
        </w:rPr>
        <w:t xml:space="preserve">CCED projects were </w:t>
      </w:r>
      <w:r w:rsidRPr="00FA29FF">
        <w:rPr>
          <w:rFonts w:asciiTheme="minorHAnsi" w:eastAsiaTheme="minorEastAsia" w:hAnsiTheme="minorHAnsi" w:cstheme="minorBidi"/>
          <w:b/>
          <w:bCs/>
          <w:i/>
          <w:iCs/>
        </w:rPr>
        <w:t>very good</w:t>
      </w:r>
      <w:r w:rsidRPr="00FA29FF">
        <w:rPr>
          <w:rFonts w:asciiTheme="minorHAnsi" w:eastAsiaTheme="minorEastAsia" w:hAnsiTheme="minorHAnsi" w:cstheme="minorBidi"/>
        </w:rPr>
        <w:t xml:space="preserve"> in terms of their </w:t>
      </w:r>
      <w:r w:rsidRPr="00FA29FF">
        <w:rPr>
          <w:rFonts w:asciiTheme="minorHAnsi" w:eastAsiaTheme="minorEastAsia" w:hAnsiTheme="minorHAnsi" w:cstheme="minorBidi"/>
          <w:b/>
          <w:bCs/>
          <w:i/>
          <w:iCs/>
        </w:rPr>
        <w:t>relevance</w:t>
      </w:r>
      <w:r w:rsidRPr="00FA29FF">
        <w:rPr>
          <w:rFonts w:asciiTheme="minorHAnsi" w:eastAsiaTheme="minorEastAsia" w:hAnsiTheme="minorHAnsi" w:cstheme="minorBidi"/>
        </w:rPr>
        <w:t xml:space="preserve"> as they cater to the urgent needs of the country and the priorities of the GoB. However, there exist significant gaps in the coverage of pressing issues such as environmental and common property protection (governance, pollution, land-use practices, energy security). </w:t>
      </w:r>
    </w:p>
    <w:p w:rsidR="007956CE" w:rsidRPr="00FA29FF" w:rsidRDefault="007956CE" w:rsidP="00FA29FF">
      <w:pPr>
        <w:pStyle w:val="ListParagraph"/>
        <w:spacing w:after="0" w:line="240" w:lineRule="auto"/>
        <w:jc w:val="both"/>
        <w:rPr>
          <w:rFonts w:asciiTheme="minorHAnsi" w:hAnsiTheme="minorHAnsi" w:cstheme="minorHAnsi"/>
        </w:rPr>
      </w:pPr>
    </w:p>
    <w:p w:rsidR="007069DD" w:rsidRPr="00FA29FF" w:rsidRDefault="007069DD" w:rsidP="00FA29FF">
      <w:pPr>
        <w:pStyle w:val="ListParagraph"/>
        <w:numPr>
          <w:ilvl w:val="0"/>
          <w:numId w:val="22"/>
        </w:numPr>
        <w:spacing w:after="0" w:line="240" w:lineRule="auto"/>
        <w:jc w:val="both"/>
        <w:rPr>
          <w:rFonts w:asciiTheme="minorHAnsi" w:eastAsiaTheme="minorEastAsia" w:hAnsiTheme="minorHAnsi" w:cstheme="minorBidi"/>
          <w:b/>
        </w:rPr>
      </w:pPr>
      <w:r w:rsidRPr="00FA29FF">
        <w:rPr>
          <w:rFonts w:asciiTheme="minorHAnsi" w:eastAsiaTheme="minorEastAsia" w:hAnsiTheme="minorHAnsi" w:cstheme="minorBidi"/>
        </w:rPr>
        <w:t>For all project components on which analysis was performed, Value for Money (VfM) was higher than one, implying that benefits surpassed cost of development and implementation.</w:t>
      </w:r>
      <w:r w:rsidR="00BF7E33" w:rsidRPr="00FA29FF">
        <w:rPr>
          <w:rFonts w:asciiTheme="minorHAnsi" w:eastAsiaTheme="minorEastAsia" w:hAnsiTheme="minorHAnsi" w:cstheme="minorBidi"/>
        </w:rPr>
        <w:t xml:space="preserve"> </w:t>
      </w:r>
      <w:r w:rsidRPr="00FA29FF">
        <w:rPr>
          <w:rFonts w:asciiTheme="minorHAnsi" w:eastAsiaTheme="minorEastAsia" w:hAnsiTheme="minorHAnsi" w:cstheme="minorBidi"/>
        </w:rPr>
        <w:t xml:space="preserve">Overall, compared to international benchmarks, the efficiency in terms of funds invested and the value of benefits is very high. Therefore, a rating of </w:t>
      </w:r>
      <w:r w:rsidRPr="00FA29FF">
        <w:rPr>
          <w:rFonts w:asciiTheme="minorHAnsi" w:eastAsiaTheme="minorEastAsia" w:hAnsiTheme="minorHAnsi" w:cstheme="minorBidi"/>
          <w:b/>
          <w:bCs/>
          <w:i/>
          <w:iCs/>
        </w:rPr>
        <w:t xml:space="preserve">satisfactory </w:t>
      </w:r>
      <w:r w:rsidR="00EE379D" w:rsidRPr="00FA29FF">
        <w:rPr>
          <w:rFonts w:asciiTheme="minorHAnsi" w:eastAsiaTheme="minorEastAsia" w:hAnsiTheme="minorHAnsi" w:cstheme="minorBidi"/>
          <w:b/>
          <w:bCs/>
          <w:i/>
          <w:iCs/>
        </w:rPr>
        <w:t>(i.e. good)</w:t>
      </w:r>
      <w:r w:rsidRPr="00FA29FF">
        <w:rPr>
          <w:rFonts w:asciiTheme="minorHAnsi" w:eastAsiaTheme="minorEastAsia" w:hAnsiTheme="minorHAnsi" w:cstheme="minorBidi"/>
        </w:rPr>
        <w:t xml:space="preserve">is given on </w:t>
      </w:r>
      <w:r w:rsidRPr="00FA29FF">
        <w:rPr>
          <w:rFonts w:asciiTheme="minorHAnsi" w:eastAsiaTheme="minorEastAsia" w:hAnsiTheme="minorHAnsi" w:cstheme="minorBidi"/>
          <w:b/>
          <w:bCs/>
          <w:i/>
          <w:iCs/>
        </w:rPr>
        <w:t>efficiency</w:t>
      </w:r>
      <w:r w:rsidR="00BF7E33" w:rsidRPr="00FA29FF">
        <w:rPr>
          <w:rFonts w:asciiTheme="minorHAnsi" w:eastAsiaTheme="minorEastAsia" w:hAnsiTheme="minorHAnsi" w:cstheme="minorBidi"/>
          <w:b/>
          <w:bCs/>
          <w:i/>
          <w:iCs/>
        </w:rPr>
        <w:t xml:space="preserve"> </w:t>
      </w:r>
      <w:r w:rsidRPr="00FA29FF">
        <w:rPr>
          <w:rFonts w:asciiTheme="minorHAnsi" w:eastAsiaTheme="minorEastAsia" w:hAnsiTheme="minorHAnsi" w:cstheme="minorBidi"/>
        </w:rPr>
        <w:t>of selected project components.</w:t>
      </w:r>
      <w:r w:rsidR="00C46FCF" w:rsidRPr="00FA29FF">
        <w:rPr>
          <w:rFonts w:asciiTheme="minorHAnsi" w:eastAsiaTheme="minorEastAsia" w:hAnsiTheme="minorHAnsi" w:cstheme="minorBidi"/>
        </w:rPr>
        <w:t xml:space="preserve"> However, i</w:t>
      </w:r>
      <w:r w:rsidRPr="00FA29FF">
        <w:rPr>
          <w:rFonts w:asciiTheme="minorHAnsi" w:eastAsiaTheme="minorEastAsia" w:hAnsiTheme="minorHAnsi" w:cstheme="minorBidi"/>
        </w:rPr>
        <w:t xml:space="preserve">n terms of the </w:t>
      </w:r>
      <w:r w:rsidRPr="00FA29FF">
        <w:rPr>
          <w:rFonts w:asciiTheme="minorHAnsi" w:eastAsiaTheme="minorEastAsia" w:hAnsiTheme="minorHAnsi" w:cstheme="minorBidi"/>
          <w:b/>
          <w:bCs/>
          <w:i/>
          <w:iCs/>
        </w:rPr>
        <w:t>efficiency</w:t>
      </w:r>
      <w:r w:rsidR="00BF7E33" w:rsidRPr="00FA29FF">
        <w:rPr>
          <w:rFonts w:asciiTheme="minorHAnsi" w:eastAsiaTheme="minorEastAsia" w:hAnsiTheme="minorHAnsi" w:cstheme="minorBidi"/>
          <w:b/>
          <w:bCs/>
          <w:i/>
          <w:iCs/>
        </w:rPr>
        <w:t xml:space="preserve"> </w:t>
      </w:r>
      <w:r w:rsidRPr="00FA29FF">
        <w:rPr>
          <w:rFonts w:asciiTheme="minorHAnsi" w:eastAsiaTheme="minorEastAsia" w:hAnsiTheme="minorHAnsi" w:cstheme="minorBidi"/>
        </w:rPr>
        <w:t xml:space="preserve">of delivery and management, a number of challenges were encountered, including long project development times and poor documentation and management of knowledge products. With adequate resource inputs, project management and delivery could have been much more efficient. Therefore, this area is rated </w:t>
      </w:r>
      <w:r w:rsidRPr="00FA29FF">
        <w:rPr>
          <w:rFonts w:asciiTheme="minorHAnsi" w:eastAsiaTheme="minorEastAsia" w:hAnsiTheme="minorHAnsi" w:cstheme="minorBidi"/>
          <w:i/>
          <w:iCs/>
        </w:rPr>
        <w:t>marginally unsatisfactory.</w:t>
      </w:r>
      <w:r w:rsidRPr="00FA29FF">
        <w:rPr>
          <w:rFonts w:asciiTheme="minorHAnsi" w:eastAsiaTheme="minorEastAsia" w:hAnsiTheme="minorHAnsi" w:cstheme="minorBidi"/>
        </w:rPr>
        <w:t xml:space="preserve">  Overall, this results in a rating of </w:t>
      </w:r>
      <w:r w:rsidRPr="00FA29FF">
        <w:rPr>
          <w:rFonts w:asciiTheme="minorHAnsi" w:eastAsiaTheme="minorEastAsia" w:hAnsiTheme="minorHAnsi" w:cstheme="minorBidi"/>
          <w:b/>
          <w:bCs/>
          <w:i/>
          <w:iCs/>
        </w:rPr>
        <w:t>marginally satisfactory</w:t>
      </w:r>
      <w:r w:rsidRPr="00FA29FF">
        <w:rPr>
          <w:rFonts w:asciiTheme="minorHAnsi" w:eastAsiaTheme="minorEastAsia" w:hAnsiTheme="minorHAnsi" w:cstheme="minorBidi"/>
        </w:rPr>
        <w:t xml:space="preserve"> for </w:t>
      </w:r>
      <w:r w:rsidRPr="00FA29FF">
        <w:rPr>
          <w:rFonts w:asciiTheme="minorHAnsi" w:eastAsiaTheme="minorEastAsia" w:hAnsiTheme="minorHAnsi" w:cstheme="minorBidi"/>
          <w:b/>
          <w:bCs/>
          <w:i/>
          <w:iCs/>
        </w:rPr>
        <w:t>efficiency</w:t>
      </w:r>
      <w:r w:rsidRPr="00FA29FF">
        <w:rPr>
          <w:rFonts w:asciiTheme="minorHAnsi" w:eastAsiaTheme="minorEastAsia" w:hAnsiTheme="minorHAnsi" w:cstheme="minorBidi"/>
        </w:rPr>
        <w:t>.</w:t>
      </w:r>
      <w:r w:rsidR="00BF7E33" w:rsidRPr="00FA29FF">
        <w:rPr>
          <w:rFonts w:asciiTheme="minorHAnsi" w:eastAsiaTheme="minorEastAsia" w:hAnsiTheme="minorHAnsi" w:cstheme="minorBidi"/>
        </w:rPr>
        <w:t xml:space="preserve"> </w:t>
      </w:r>
      <w:r w:rsidR="00C46FCF" w:rsidRPr="00FA29FF">
        <w:rPr>
          <w:rFonts w:asciiTheme="minorHAnsi" w:eastAsiaTheme="minorEastAsia" w:hAnsiTheme="minorHAnsi" w:cstheme="minorBidi"/>
          <w:b/>
          <w:bCs/>
        </w:rPr>
        <w:t xml:space="preserve">To address these issues, UNDP needs to </w:t>
      </w:r>
      <w:r w:rsidR="00F05D88" w:rsidRPr="00FA29FF">
        <w:rPr>
          <w:rFonts w:asciiTheme="minorHAnsi" w:eastAsiaTheme="minorEastAsia" w:hAnsiTheme="minorHAnsi" w:cstheme="minorBidi"/>
          <w:b/>
          <w:bCs/>
        </w:rPr>
        <w:t>formulate mechanisms</w:t>
      </w:r>
      <w:r w:rsidR="00C46FCF" w:rsidRPr="00FA29FF">
        <w:rPr>
          <w:rFonts w:asciiTheme="minorHAnsi" w:eastAsiaTheme="minorEastAsia" w:hAnsiTheme="minorHAnsi" w:cstheme="minorBidi"/>
          <w:b/>
          <w:bCs/>
        </w:rPr>
        <w:t xml:space="preserve"> for reducing project development duration, allocate required funds for baseline database creation for all interventions, and establish close monitoring </w:t>
      </w:r>
      <w:r w:rsidR="00EE379D" w:rsidRPr="00FA29FF">
        <w:rPr>
          <w:rFonts w:asciiTheme="minorHAnsi" w:eastAsiaTheme="minorEastAsia" w:hAnsiTheme="minorHAnsi" w:cstheme="minorBidi"/>
          <w:b/>
          <w:bCs/>
        </w:rPr>
        <w:t xml:space="preserve">of costs and results, </w:t>
      </w:r>
      <w:r w:rsidR="00C46FCF" w:rsidRPr="00FA29FF">
        <w:rPr>
          <w:rFonts w:asciiTheme="minorHAnsi" w:eastAsiaTheme="minorEastAsia" w:hAnsiTheme="minorHAnsi" w:cstheme="minorBidi"/>
          <w:b/>
          <w:bCs/>
        </w:rPr>
        <w:t xml:space="preserve">and evaluation of the </w:t>
      </w:r>
      <w:r w:rsidR="00EE379D" w:rsidRPr="00FA29FF">
        <w:rPr>
          <w:rFonts w:asciiTheme="minorHAnsi" w:eastAsiaTheme="minorEastAsia" w:hAnsiTheme="minorHAnsi" w:cstheme="minorBidi"/>
          <w:b/>
          <w:bCs/>
        </w:rPr>
        <w:t>outcomes</w:t>
      </w:r>
      <w:r w:rsidR="00C46FCF" w:rsidRPr="00FA29FF">
        <w:rPr>
          <w:rFonts w:asciiTheme="minorHAnsi" w:eastAsiaTheme="minorEastAsia" w:hAnsiTheme="minorHAnsi" w:cstheme="minorBidi"/>
          <w:b/>
          <w:bCs/>
        </w:rPr>
        <w:t xml:space="preserve"> and impacts. </w:t>
      </w:r>
    </w:p>
    <w:p w:rsidR="007069DD" w:rsidRPr="00FA29FF" w:rsidRDefault="007069DD" w:rsidP="00FA29FF">
      <w:pPr>
        <w:pStyle w:val="ListParagraph"/>
        <w:spacing w:line="240" w:lineRule="auto"/>
        <w:rPr>
          <w:rFonts w:asciiTheme="minorHAnsi" w:hAnsiTheme="minorHAnsi" w:cstheme="minorHAnsi"/>
          <w:b/>
        </w:rPr>
      </w:pPr>
    </w:p>
    <w:p w:rsidR="00E05DD2" w:rsidRPr="00FA29FF" w:rsidRDefault="002E181F" w:rsidP="00FA29FF">
      <w:pPr>
        <w:pStyle w:val="ListParagraph"/>
        <w:numPr>
          <w:ilvl w:val="0"/>
          <w:numId w:val="22"/>
        </w:numPr>
        <w:spacing w:after="0" w:line="240" w:lineRule="auto"/>
        <w:contextualSpacing w:val="0"/>
        <w:jc w:val="both"/>
        <w:rPr>
          <w:rFonts w:asciiTheme="minorHAnsi" w:eastAsiaTheme="minorEastAsia" w:hAnsiTheme="minorHAnsi" w:cstheme="minorBidi"/>
        </w:rPr>
      </w:pPr>
      <w:r w:rsidRPr="00FA29FF">
        <w:rPr>
          <w:rFonts w:asciiTheme="minorHAnsi" w:eastAsiaTheme="minorEastAsia" w:hAnsiTheme="minorHAnsi" w:cstheme="minorBidi"/>
          <w:b/>
          <w:bCs/>
        </w:rPr>
        <w:t>For assessing project intervention Value for Money (VfM), UNDP should adopt a longitudinal approach that examines the flow of costs and benefits over the whole lifetime of the investment</w:t>
      </w:r>
      <w:r w:rsidRPr="00FA29FF">
        <w:rPr>
          <w:rFonts w:asciiTheme="minorHAnsi" w:eastAsiaTheme="minorEastAsia" w:hAnsiTheme="minorHAnsi" w:cstheme="minorBidi"/>
        </w:rPr>
        <w:t xml:space="preserve">. VfM assessment commonly conducted in UNDP interventions provides </w:t>
      </w:r>
      <w:r w:rsidR="00DD004D" w:rsidRPr="00FA29FF">
        <w:rPr>
          <w:rFonts w:asciiTheme="minorHAnsi" w:eastAsiaTheme="minorEastAsia" w:hAnsiTheme="minorHAnsi" w:cstheme="minorBidi"/>
        </w:rPr>
        <w:t>mostly cross-sectional (one point in time) perspectives</w:t>
      </w:r>
      <w:r w:rsidRPr="00FA29FF">
        <w:rPr>
          <w:rFonts w:asciiTheme="minorHAnsi" w:eastAsiaTheme="minorEastAsia" w:hAnsiTheme="minorHAnsi" w:cstheme="minorBidi"/>
          <w:lang w:val="en-GB"/>
        </w:rPr>
        <w:t>concerning</w:t>
      </w:r>
      <w:r w:rsidRPr="00FA29FF">
        <w:rPr>
          <w:rFonts w:asciiTheme="minorHAnsi" w:eastAsiaTheme="minorEastAsia" w:hAnsiTheme="minorHAnsi" w:cstheme="minorBidi"/>
        </w:rPr>
        <w:t xml:space="preserve"> financial mo</w:t>
      </w:r>
      <w:r w:rsidR="00464D21" w:rsidRPr="00FA29FF">
        <w:rPr>
          <w:rFonts w:asciiTheme="minorHAnsi" w:eastAsiaTheme="minorEastAsia" w:hAnsiTheme="minorHAnsi" w:cstheme="minorBidi"/>
        </w:rPr>
        <w:t>ney-worth issues, and thus</w:t>
      </w:r>
      <w:r w:rsidRPr="00FA29FF">
        <w:rPr>
          <w:rFonts w:asciiTheme="minorHAnsi" w:eastAsiaTheme="minorEastAsia" w:hAnsiTheme="minorHAnsi" w:cstheme="minorBidi"/>
        </w:rPr>
        <w:t xml:space="preserve"> consideration of project life-time cost and benefits </w:t>
      </w:r>
      <w:r w:rsidR="00464D21" w:rsidRPr="00FA29FF">
        <w:rPr>
          <w:rFonts w:asciiTheme="minorHAnsi" w:eastAsiaTheme="minorEastAsia" w:hAnsiTheme="minorHAnsi" w:cstheme="minorBidi"/>
        </w:rPr>
        <w:t>is often ignored.</w:t>
      </w:r>
      <w:r w:rsidRPr="00FA29FF">
        <w:rPr>
          <w:rFonts w:asciiTheme="minorHAnsi" w:eastAsiaTheme="minorEastAsia" w:hAnsiTheme="minorHAnsi" w:cstheme="minorBidi"/>
        </w:rPr>
        <w:t xml:space="preserve"> The evaluation team recommends that UNDP should adopt a longitudinal approach which would include, but not be limited to, NPP, BCR, and IRR (at some appropriate discounting rate) for future pro</w:t>
      </w:r>
      <w:r w:rsidR="00DD004D" w:rsidRPr="00FA29FF">
        <w:rPr>
          <w:rFonts w:asciiTheme="minorHAnsi" w:eastAsiaTheme="minorEastAsia" w:hAnsiTheme="minorHAnsi" w:cstheme="minorBidi"/>
        </w:rPr>
        <w:t xml:space="preserve">gramme and </w:t>
      </w:r>
      <w:r w:rsidR="00DD004D" w:rsidRPr="00FA29FF">
        <w:rPr>
          <w:rFonts w:asciiTheme="minorHAnsi" w:eastAsiaTheme="minorEastAsia" w:hAnsiTheme="minorHAnsi" w:cstheme="minorBidi"/>
        </w:rPr>
        <w:lastRenderedPageBreak/>
        <w:t xml:space="preserve">project assessment. </w:t>
      </w:r>
      <w:r w:rsidRPr="00FA29FF">
        <w:rPr>
          <w:rFonts w:asciiTheme="minorHAnsi" w:eastAsiaTheme="minorEastAsia" w:hAnsiTheme="minorHAnsi" w:cstheme="minorBidi"/>
        </w:rPr>
        <w:t>This aspect is important, among other dimensions, for examining sustainability because a programme or project with a positive payback</w:t>
      </w:r>
      <w:r w:rsidR="00464D21" w:rsidRPr="00FA29FF">
        <w:rPr>
          <w:rFonts w:asciiTheme="minorHAnsi" w:eastAsiaTheme="minorEastAsia" w:hAnsiTheme="minorHAnsi" w:cstheme="minorBidi"/>
        </w:rPr>
        <w:t xml:space="preserve"> is expected to</w:t>
      </w:r>
      <w:r w:rsidRPr="00FA29FF">
        <w:rPr>
          <w:rFonts w:asciiTheme="minorHAnsi" w:eastAsiaTheme="minorEastAsia" w:hAnsiTheme="minorHAnsi" w:cstheme="minorBidi"/>
        </w:rPr>
        <w:t xml:space="preserve"> sustain better on its own. The evaluation team also recommends that UNDP should consider adopting more </w:t>
      </w:r>
      <w:r w:rsidR="00DD004D" w:rsidRPr="00FA29FF">
        <w:rPr>
          <w:rFonts w:asciiTheme="minorHAnsi" w:eastAsiaTheme="minorEastAsia" w:hAnsiTheme="minorHAnsi" w:cstheme="minorBidi"/>
        </w:rPr>
        <w:t>rigorous</w:t>
      </w:r>
      <w:r w:rsidRPr="00FA29FF">
        <w:rPr>
          <w:rFonts w:asciiTheme="minorHAnsi" w:eastAsiaTheme="minorEastAsia" w:hAnsiTheme="minorHAnsi" w:cstheme="minorBidi"/>
        </w:rPr>
        <w:t xml:space="preserve"> meth</w:t>
      </w:r>
      <w:r w:rsidR="0085276D" w:rsidRPr="00FA29FF">
        <w:rPr>
          <w:rFonts w:asciiTheme="minorHAnsi" w:eastAsiaTheme="minorEastAsia" w:hAnsiTheme="minorHAnsi" w:cstheme="minorBidi"/>
        </w:rPr>
        <w:t>o</w:t>
      </w:r>
      <w:r w:rsidRPr="00FA29FF">
        <w:rPr>
          <w:rFonts w:asciiTheme="minorHAnsi" w:eastAsiaTheme="minorEastAsia" w:hAnsiTheme="minorHAnsi" w:cstheme="minorBidi"/>
        </w:rPr>
        <w:t>dologies for economic and financial analysis. In this case, the PECM guidelines (GED-</w:t>
      </w:r>
      <w:r w:rsidR="0085276D" w:rsidRPr="00FA29FF">
        <w:rPr>
          <w:rFonts w:asciiTheme="minorHAnsi" w:eastAsiaTheme="minorEastAsia" w:hAnsiTheme="minorHAnsi" w:cstheme="minorBidi"/>
        </w:rPr>
        <w:t>published</w:t>
      </w:r>
      <w:r w:rsidRPr="00FA29FF">
        <w:rPr>
          <w:rFonts w:asciiTheme="minorHAnsi" w:eastAsiaTheme="minorEastAsia" w:hAnsiTheme="minorHAnsi" w:cstheme="minorBidi"/>
        </w:rPr>
        <w:t xml:space="preserve"> Manual of Instruction for Project Analysis) can be a useful tool for UNDP to assess its own projects.</w:t>
      </w:r>
    </w:p>
    <w:p w:rsidR="00E05DD2" w:rsidRPr="00FA29FF" w:rsidRDefault="00E05DD2" w:rsidP="00FA29FF">
      <w:pPr>
        <w:spacing w:after="0" w:line="240" w:lineRule="auto"/>
        <w:jc w:val="both"/>
        <w:rPr>
          <w:rFonts w:asciiTheme="minorHAnsi" w:hAnsiTheme="minorHAnsi" w:cstheme="minorHAnsi"/>
        </w:rPr>
      </w:pPr>
    </w:p>
    <w:p w:rsidR="002E181F" w:rsidRPr="00FA29FF" w:rsidRDefault="00E05DD2" w:rsidP="00FA29FF">
      <w:pPr>
        <w:pStyle w:val="ListParagraph"/>
        <w:numPr>
          <w:ilvl w:val="0"/>
          <w:numId w:val="22"/>
        </w:numPr>
        <w:spacing w:after="0" w:line="240" w:lineRule="auto"/>
        <w:jc w:val="both"/>
        <w:rPr>
          <w:rFonts w:asciiTheme="minorHAnsi" w:eastAsiaTheme="minorEastAsia" w:hAnsiTheme="minorHAnsi" w:cstheme="minorBidi"/>
        </w:rPr>
      </w:pPr>
      <w:r w:rsidRPr="00FA29FF">
        <w:rPr>
          <w:rFonts w:asciiTheme="minorHAnsi" w:eastAsiaTheme="minorEastAsia" w:hAnsiTheme="minorHAnsi" w:cstheme="minorBidi"/>
          <w:b/>
          <w:bCs/>
        </w:rPr>
        <w:t xml:space="preserve">The extent of achievements is rated as </w:t>
      </w:r>
      <w:r w:rsidRPr="00FA29FF">
        <w:rPr>
          <w:rFonts w:asciiTheme="minorHAnsi" w:eastAsiaTheme="minorEastAsia" w:hAnsiTheme="minorHAnsi" w:cstheme="minorBidi"/>
          <w:b/>
          <w:bCs/>
          <w:i/>
          <w:iCs/>
        </w:rPr>
        <w:t>satisfactory (i.e. good).</w:t>
      </w:r>
      <w:r w:rsidRPr="00FA29FF">
        <w:rPr>
          <w:rFonts w:asciiTheme="minorHAnsi" w:eastAsiaTheme="minorEastAsia" w:hAnsiTheme="minorHAnsi" w:cstheme="minorBidi"/>
          <w:b/>
          <w:bCs/>
        </w:rPr>
        <w:t xml:space="preserve"> However, the quality of the outputs is not always controlled. Some outputs are very good, like the various modalities developed in the course of the PECM. Other outputs, such as some of the knowledge product components of CDMPII, are of </w:t>
      </w:r>
      <w:r w:rsidRPr="00FA29FF">
        <w:rPr>
          <w:rFonts w:asciiTheme="minorHAnsi" w:eastAsiaTheme="minorEastAsia" w:hAnsiTheme="minorHAnsi" w:cstheme="minorBidi"/>
          <w:b/>
          <w:bCs/>
          <w:i/>
          <w:iCs/>
        </w:rPr>
        <w:t>marginal quality</w:t>
      </w:r>
      <w:r w:rsidRPr="00FA29FF">
        <w:rPr>
          <w:rFonts w:asciiTheme="minorHAnsi" w:eastAsiaTheme="minorEastAsia" w:hAnsiTheme="minorHAnsi" w:cstheme="minorBidi"/>
          <w:b/>
          <w:bCs/>
        </w:rPr>
        <w:t>.</w:t>
      </w:r>
      <w:r w:rsidRPr="00FA29FF">
        <w:rPr>
          <w:rFonts w:asciiTheme="minorHAnsi" w:eastAsiaTheme="minorEastAsia" w:hAnsiTheme="minorHAnsi" w:cstheme="minorBidi"/>
          <w:lang w:val="en-US"/>
        </w:rPr>
        <w:t xml:space="preserve"> UNDP’s overall performance on the national policy level is </w:t>
      </w:r>
      <w:r w:rsidRPr="00FA29FF">
        <w:rPr>
          <w:rFonts w:asciiTheme="minorHAnsi" w:eastAsiaTheme="minorEastAsia" w:hAnsiTheme="minorHAnsi" w:cstheme="minorBidi"/>
          <w:b/>
          <w:bCs/>
          <w:i/>
          <w:iCs/>
          <w:lang w:val="en-US"/>
        </w:rPr>
        <w:t>more effective</w:t>
      </w:r>
      <w:r w:rsidRPr="00FA29FF">
        <w:rPr>
          <w:rFonts w:asciiTheme="minorHAnsi" w:eastAsiaTheme="minorEastAsia" w:hAnsiTheme="minorHAnsi" w:cstheme="minorBidi"/>
          <w:lang w:val="en-US"/>
        </w:rPr>
        <w:t xml:space="preserve"> than on the local level.</w:t>
      </w:r>
      <w:r w:rsidRPr="00FA29FF">
        <w:rPr>
          <w:rFonts w:asciiTheme="minorHAnsi" w:eastAsiaTheme="minorEastAsia" w:hAnsiTheme="minorHAnsi" w:cstheme="minorBidi"/>
        </w:rPr>
        <w:t xml:space="preserve"> For example, limited or no monitoring is being pursued to link community-based risk maps with local government and planning authorities so that further supports for DRR and CCA can be offered to the local government and communities. </w:t>
      </w:r>
      <w:r w:rsidRPr="00FA29FF">
        <w:rPr>
          <w:rFonts w:asciiTheme="minorHAnsi" w:eastAsiaTheme="minorEastAsia" w:hAnsiTheme="minorHAnsi" w:cstheme="minorBidi"/>
          <w:b/>
          <w:bCs/>
        </w:rPr>
        <w:t>UNDP CCED interventions therefore need to target more effective programme delivery to strengthen sub-national and local governmental-level capacity (in CCA, DRR and other developmental activities).</w:t>
      </w:r>
      <w:r w:rsidRPr="00FA29FF">
        <w:rPr>
          <w:rFonts w:asciiTheme="minorHAnsi" w:eastAsiaTheme="minorEastAsia" w:hAnsiTheme="minorHAnsi" w:cstheme="minorBidi"/>
          <w:lang w:val="en-US"/>
        </w:rPr>
        <w:t xml:space="preserve">In order to strengthen the sustainability of delivery at the local level, the evaluation team believes that UNDP should strengthen its sub-national (district and </w:t>
      </w:r>
      <w:r w:rsidRPr="00FA29FF">
        <w:rPr>
          <w:rFonts w:asciiTheme="minorHAnsi" w:eastAsiaTheme="minorEastAsia" w:hAnsiTheme="minorHAnsi" w:cstheme="minorBidi"/>
          <w:i/>
          <w:iCs/>
          <w:lang w:val="en-US"/>
        </w:rPr>
        <w:t>upazila</w:t>
      </w:r>
      <w:r w:rsidRPr="00FA29FF">
        <w:rPr>
          <w:rFonts w:asciiTheme="minorHAnsi" w:eastAsiaTheme="minorEastAsia" w:hAnsiTheme="minorHAnsi" w:cstheme="minorBidi"/>
          <w:lang w:val="en-US"/>
        </w:rPr>
        <w:t xml:space="preserve"> level), local (union), and village-level institutions, and empower local governments and NGOs in terms of local delivery capacity.</w:t>
      </w:r>
    </w:p>
    <w:p w:rsidR="002E181F" w:rsidRPr="00FA29FF" w:rsidRDefault="002E181F" w:rsidP="00FA29FF">
      <w:pPr>
        <w:pStyle w:val="ListParagraph"/>
        <w:spacing w:after="0" w:line="240" w:lineRule="auto"/>
        <w:jc w:val="both"/>
        <w:rPr>
          <w:rFonts w:asciiTheme="minorHAnsi" w:hAnsiTheme="minorHAnsi" w:cstheme="minorHAnsi"/>
          <w:sz w:val="12"/>
        </w:rPr>
      </w:pPr>
    </w:p>
    <w:p w:rsidR="00CD3CA3" w:rsidRPr="00FA29FF" w:rsidRDefault="00CD3CA3" w:rsidP="00FA29FF">
      <w:pPr>
        <w:pStyle w:val="ListParagraph"/>
        <w:spacing w:after="0" w:line="240" w:lineRule="auto"/>
        <w:jc w:val="both"/>
        <w:rPr>
          <w:rFonts w:asciiTheme="minorHAnsi" w:hAnsiTheme="minorHAnsi" w:cstheme="minorHAnsi"/>
          <w:sz w:val="12"/>
        </w:rPr>
      </w:pPr>
    </w:p>
    <w:p w:rsidR="002E181F" w:rsidRPr="00FA29FF" w:rsidRDefault="002E181F" w:rsidP="00FA29FF">
      <w:pPr>
        <w:pStyle w:val="ListParagraph"/>
        <w:numPr>
          <w:ilvl w:val="0"/>
          <w:numId w:val="22"/>
        </w:numPr>
        <w:spacing w:after="0" w:line="240" w:lineRule="auto"/>
        <w:contextualSpacing w:val="0"/>
        <w:jc w:val="both"/>
        <w:rPr>
          <w:rFonts w:asciiTheme="minorHAnsi" w:eastAsiaTheme="minorEastAsia" w:hAnsiTheme="minorHAnsi" w:cstheme="minorBidi"/>
        </w:rPr>
      </w:pPr>
      <w:r w:rsidRPr="00FA29FF">
        <w:rPr>
          <w:rFonts w:asciiTheme="minorHAnsi" w:eastAsiaTheme="minorEastAsia" w:hAnsiTheme="minorHAnsi" w:cstheme="minorBidi"/>
          <w:b/>
          <w:bCs/>
        </w:rPr>
        <w:t xml:space="preserve">UNDP CCED interventions need to ensure greater programme benefit delivery to the poor, disadvantaged, and physically and mentally </w:t>
      </w:r>
      <w:r w:rsidR="00CD3CA3" w:rsidRPr="00FA29FF">
        <w:rPr>
          <w:rFonts w:asciiTheme="minorHAnsi" w:eastAsiaTheme="minorEastAsia" w:hAnsiTheme="minorHAnsi" w:cstheme="minorBidi"/>
          <w:b/>
          <w:bCs/>
        </w:rPr>
        <w:t>challenged populations</w:t>
      </w:r>
      <w:r w:rsidRPr="00FA29FF">
        <w:rPr>
          <w:rFonts w:asciiTheme="minorHAnsi" w:eastAsiaTheme="minorEastAsia" w:hAnsiTheme="minorHAnsi" w:cstheme="minorBidi"/>
          <w:b/>
          <w:bCs/>
        </w:rPr>
        <w:t>.</w:t>
      </w:r>
      <w:r w:rsidRPr="00FA29FF">
        <w:rPr>
          <w:rFonts w:asciiTheme="minorHAnsi" w:eastAsiaTheme="minorEastAsia" w:hAnsiTheme="minorHAnsi" w:cstheme="minorBidi"/>
          <w:lang w:val="en-US"/>
        </w:rPr>
        <w:t xml:space="preserve">Despite the successful delivery of national-level UNDP CCED Cluster interventions, effective empowerment of the poor, disadvantaged and the physically and mentally challenged has been limited.  At the sub-regional and local government level, a ‘top-down’ governance philosophy is still predominant, which is a serious impediment to enhancing the resilience of poor, marginalized populations.  </w:t>
      </w:r>
      <w:r w:rsidRPr="00FA29FF">
        <w:rPr>
          <w:rFonts w:asciiTheme="minorHAnsi" w:eastAsiaTheme="minorEastAsia" w:hAnsiTheme="minorHAnsi" w:cstheme="minorBidi"/>
        </w:rPr>
        <w:t xml:space="preserve">More emphasis should be placed on building stronger partnerships and granting such vulnerable populations a ‘collective </w:t>
      </w:r>
      <w:r w:rsidR="00E02F12" w:rsidRPr="00FA29FF">
        <w:rPr>
          <w:rFonts w:asciiTheme="minorHAnsi" w:eastAsiaTheme="minorEastAsia" w:hAnsiTheme="minorHAnsi" w:cstheme="minorBidi"/>
        </w:rPr>
        <w:t>voice' to</w:t>
      </w:r>
      <w:r w:rsidRPr="00FA29FF">
        <w:rPr>
          <w:rFonts w:asciiTheme="minorHAnsi" w:eastAsiaTheme="minorEastAsia" w:hAnsiTheme="minorHAnsi" w:cstheme="minorBidi"/>
        </w:rPr>
        <w:t xml:space="preserve"> support social justice and participatory governance, and on fostering a ‘sense of ownership’.  Also, the</w:t>
      </w:r>
      <w:r w:rsidRPr="00FA29FF">
        <w:rPr>
          <w:rFonts w:asciiTheme="minorHAnsi" w:eastAsiaTheme="minorEastAsia" w:hAnsiTheme="minorHAnsi" w:cstheme="minorBidi"/>
          <w:lang w:val="en-US"/>
        </w:rPr>
        <w:t xml:space="preserve"> project planning process for local implementation should be more participatory and leverage the knowledge of locals and other deve</w:t>
      </w:r>
      <w:r w:rsidR="00B02C89" w:rsidRPr="00FA29FF">
        <w:rPr>
          <w:rFonts w:asciiTheme="minorHAnsi" w:eastAsiaTheme="minorEastAsia" w:hAnsiTheme="minorHAnsi" w:cstheme="minorBidi"/>
          <w:lang w:val="en-US"/>
        </w:rPr>
        <w:t xml:space="preserve">lopment partners (including </w:t>
      </w:r>
      <w:r w:rsidRPr="00FA29FF">
        <w:rPr>
          <w:rFonts w:asciiTheme="minorHAnsi" w:eastAsiaTheme="minorEastAsia" w:hAnsiTheme="minorHAnsi" w:cstheme="minorBidi"/>
          <w:lang w:val="en-US"/>
        </w:rPr>
        <w:t>NGOs and CSOs).</w:t>
      </w:r>
    </w:p>
    <w:p w:rsidR="002E181F" w:rsidRPr="00FA29FF" w:rsidRDefault="002E181F" w:rsidP="00FA29FF">
      <w:pPr>
        <w:pStyle w:val="ListParagraph"/>
        <w:spacing w:after="0" w:line="240" w:lineRule="auto"/>
        <w:jc w:val="both"/>
        <w:rPr>
          <w:rFonts w:asciiTheme="minorHAnsi" w:hAnsiTheme="minorHAnsi" w:cstheme="minorHAnsi"/>
          <w:sz w:val="12"/>
        </w:rPr>
      </w:pPr>
    </w:p>
    <w:p w:rsidR="00CD3CA3" w:rsidRPr="00FA29FF" w:rsidRDefault="00CD3CA3" w:rsidP="00FA29FF">
      <w:pPr>
        <w:pStyle w:val="ListParagraph"/>
        <w:spacing w:after="0" w:line="240" w:lineRule="auto"/>
        <w:jc w:val="both"/>
        <w:rPr>
          <w:rFonts w:asciiTheme="minorHAnsi" w:hAnsiTheme="minorHAnsi" w:cstheme="minorHAnsi"/>
          <w:sz w:val="12"/>
        </w:rPr>
      </w:pPr>
    </w:p>
    <w:p w:rsidR="002E181F" w:rsidRPr="00FA29FF" w:rsidRDefault="002E181F" w:rsidP="00FA29FF">
      <w:pPr>
        <w:pStyle w:val="ListParagraph"/>
        <w:numPr>
          <w:ilvl w:val="0"/>
          <w:numId w:val="22"/>
        </w:numPr>
        <w:spacing w:after="0" w:line="240" w:lineRule="auto"/>
        <w:contextualSpacing w:val="0"/>
        <w:jc w:val="both"/>
        <w:rPr>
          <w:rFonts w:asciiTheme="minorHAnsi" w:eastAsiaTheme="minorEastAsia" w:hAnsiTheme="minorHAnsi" w:cstheme="minorBidi"/>
        </w:rPr>
      </w:pPr>
      <w:r w:rsidRPr="00FA29FF">
        <w:rPr>
          <w:rFonts w:asciiTheme="minorHAnsi" w:eastAsiaTheme="minorEastAsia" w:hAnsiTheme="minorHAnsi" w:cstheme="minorBidi"/>
          <w:b/>
          <w:bCs/>
        </w:rPr>
        <w:t>UNDP Bangladesh needs to re</w:t>
      </w:r>
      <w:r w:rsidR="00E02F12" w:rsidRPr="00FA29FF">
        <w:rPr>
          <w:rFonts w:asciiTheme="minorHAnsi" w:eastAsiaTheme="minorEastAsia" w:hAnsiTheme="minorHAnsi" w:cstheme="minorBidi"/>
          <w:b/>
          <w:bCs/>
        </w:rPr>
        <w:t>invigorate its 'risk reduction'</w:t>
      </w:r>
      <w:r w:rsidRPr="00FA29FF">
        <w:rPr>
          <w:rFonts w:asciiTheme="minorHAnsi" w:eastAsiaTheme="minorEastAsia" w:hAnsiTheme="minorHAnsi" w:cstheme="minorBidi"/>
          <w:b/>
          <w:bCs/>
        </w:rPr>
        <w:t xml:space="preserve"> and 'building resilient communities' portfolio within the UNDP country office, and its partnerships with GoB ministries, donors and development partners</w:t>
      </w:r>
      <w:r w:rsidRPr="00FA29FF">
        <w:rPr>
          <w:rFonts w:asciiTheme="minorHAnsi" w:eastAsiaTheme="minorEastAsia" w:hAnsiTheme="minorHAnsi" w:cstheme="minorBidi"/>
        </w:rPr>
        <w:t xml:space="preserve">. In consideration of various emerging problems, issues and opportunities (such as the Green Climate Fund), UNDP Bangladesh needs to strategically consolidate and strengthen its CCED portfolio by keeping its focus on 'risk reduction', 'building resilient communities', and resource </w:t>
      </w:r>
      <w:r w:rsidR="00695048" w:rsidRPr="00FA29FF">
        <w:rPr>
          <w:rFonts w:asciiTheme="minorHAnsi" w:eastAsiaTheme="minorEastAsia" w:hAnsiTheme="minorHAnsi" w:cstheme="minorBidi"/>
        </w:rPr>
        <w:t xml:space="preserve">mobilization and </w:t>
      </w:r>
      <w:r w:rsidRPr="00FA29FF">
        <w:rPr>
          <w:rFonts w:asciiTheme="minorHAnsi" w:eastAsiaTheme="minorEastAsia" w:hAnsiTheme="minorHAnsi" w:cstheme="minorBidi"/>
        </w:rPr>
        <w:t xml:space="preserve">allocation. UNDP should also pay further attention in the design of their projects to creating a sustained sense of ownership by the implementing partners. It should adopt a longer-term vision and support the government in mastering the challenges of fast economic growth, emerging inequity issues, and climate and disaster risks. With its strong reputation for risk and resilience expertise, 'reducing the risk of unwise growth' can serve as a general paradigm for all areas of the UNDP country program. Government interviewees and development partners have confirmed UNDP’s role as a trusted and neutral partner; it is thus ideally positioned to adopt the role of the government’s 'warning against unwise growth'.  Such unmitigated rapid growth and globalization could prove extremely disruptive to Bangladesh’s natural resources, environment, and social structures. </w:t>
      </w:r>
    </w:p>
    <w:p w:rsidR="002E181F" w:rsidRPr="00FA29FF" w:rsidRDefault="002E181F" w:rsidP="00FA29FF">
      <w:pPr>
        <w:pStyle w:val="ListParagraph"/>
        <w:spacing w:after="0" w:line="240" w:lineRule="auto"/>
        <w:jc w:val="both"/>
        <w:rPr>
          <w:rFonts w:asciiTheme="minorHAnsi" w:hAnsiTheme="minorHAnsi" w:cstheme="minorHAnsi"/>
          <w:sz w:val="12"/>
        </w:rPr>
      </w:pPr>
    </w:p>
    <w:p w:rsidR="00CD3CA3" w:rsidRPr="00FA29FF" w:rsidRDefault="00CD3CA3" w:rsidP="00FA29FF">
      <w:pPr>
        <w:pStyle w:val="ListParagraph"/>
        <w:spacing w:after="0" w:line="240" w:lineRule="auto"/>
        <w:jc w:val="both"/>
        <w:rPr>
          <w:rFonts w:asciiTheme="minorHAnsi" w:hAnsiTheme="minorHAnsi" w:cstheme="minorHAnsi"/>
          <w:sz w:val="12"/>
        </w:rPr>
      </w:pPr>
    </w:p>
    <w:p w:rsidR="002E181F" w:rsidRPr="00FA29FF" w:rsidRDefault="002E181F" w:rsidP="00FA29FF">
      <w:pPr>
        <w:pStyle w:val="ListParagraph"/>
        <w:numPr>
          <w:ilvl w:val="0"/>
          <w:numId w:val="22"/>
        </w:numPr>
        <w:spacing w:after="0" w:line="240" w:lineRule="auto"/>
        <w:contextualSpacing w:val="0"/>
        <w:jc w:val="both"/>
        <w:rPr>
          <w:rFonts w:asciiTheme="minorHAnsi" w:eastAsiaTheme="minorEastAsia" w:hAnsiTheme="minorHAnsi" w:cstheme="minorBidi"/>
        </w:rPr>
      </w:pPr>
      <w:r w:rsidRPr="00FA29FF">
        <w:rPr>
          <w:rFonts w:asciiTheme="minorHAnsi" w:eastAsiaTheme="minorEastAsia" w:hAnsiTheme="minorHAnsi" w:cstheme="minorBidi"/>
          <w:b/>
          <w:bCs/>
        </w:rPr>
        <w:t>Specifically, UNDP should work with the government in areas with clear planning gaps. Several such gaps have been identified, from the lack of a cross- or intersectoral emergency management system to a lack of a vision for green industrialization and growth</w:t>
      </w:r>
      <w:r w:rsidRPr="00FA29FF">
        <w:rPr>
          <w:rFonts w:asciiTheme="minorHAnsi" w:eastAsiaTheme="minorEastAsia" w:hAnsiTheme="minorHAnsi" w:cstheme="minorBidi"/>
        </w:rPr>
        <w:t xml:space="preserve">. While it is clear to the GoB that more industrialization with low cost labor is expected, there are few efforts to clearly understand in which sectors this can happen. UNDP is in an excellent position to support the government in better defining this future and develop social and environmental risk mitigation measures. </w:t>
      </w:r>
    </w:p>
    <w:p w:rsidR="002E181F" w:rsidRPr="00FA29FF" w:rsidRDefault="002E181F" w:rsidP="00FA29FF">
      <w:pPr>
        <w:pStyle w:val="ListParagraph"/>
        <w:spacing w:after="0" w:line="240" w:lineRule="auto"/>
        <w:jc w:val="both"/>
        <w:rPr>
          <w:rFonts w:asciiTheme="minorHAnsi" w:hAnsiTheme="minorHAnsi" w:cstheme="minorHAnsi"/>
          <w:sz w:val="12"/>
        </w:rPr>
      </w:pPr>
    </w:p>
    <w:p w:rsidR="00CD3CA3" w:rsidRPr="00FA29FF" w:rsidRDefault="00CD3CA3" w:rsidP="00FA29FF">
      <w:pPr>
        <w:pStyle w:val="ListParagraph"/>
        <w:spacing w:after="0" w:line="240" w:lineRule="auto"/>
        <w:jc w:val="both"/>
        <w:rPr>
          <w:rFonts w:asciiTheme="minorHAnsi" w:hAnsiTheme="minorHAnsi" w:cstheme="minorHAnsi"/>
          <w:sz w:val="12"/>
        </w:rPr>
      </w:pPr>
    </w:p>
    <w:p w:rsidR="002E181F" w:rsidRPr="00FA29FF" w:rsidRDefault="0F73AF2A" w:rsidP="00FA29FF">
      <w:pPr>
        <w:pStyle w:val="ListParagraph"/>
        <w:numPr>
          <w:ilvl w:val="0"/>
          <w:numId w:val="22"/>
        </w:numPr>
        <w:spacing w:after="0" w:line="240" w:lineRule="auto"/>
        <w:contextualSpacing w:val="0"/>
        <w:jc w:val="both"/>
        <w:rPr>
          <w:rFonts w:asciiTheme="minorHAnsi" w:eastAsiaTheme="minorEastAsia" w:hAnsiTheme="minorHAnsi" w:cstheme="minorBidi"/>
        </w:rPr>
      </w:pPr>
      <w:r w:rsidRPr="00FA29FF">
        <w:rPr>
          <w:rFonts w:asciiTheme="minorHAnsi" w:eastAsiaTheme="minorEastAsia" w:hAnsiTheme="minorHAnsi" w:cstheme="minorBidi"/>
          <w:b/>
          <w:bCs/>
        </w:rPr>
        <w:t>UNDP has become well known as an innovator and for stimulating discussion and the adoption of new technologies, especially in the areas of risk and resilience and in the brick industry</w:t>
      </w:r>
      <w:r w:rsidRPr="00FA29FF">
        <w:rPr>
          <w:rFonts w:asciiTheme="minorHAnsi" w:eastAsiaTheme="minorEastAsia" w:hAnsiTheme="minorHAnsi" w:cstheme="minorBidi"/>
        </w:rPr>
        <w:t>. There are few intergovernmental agencies that can play this role. Most local innovations, such as the ongoing ‘revolution’ in the solar sector, have emerged from private or NGO initiatives. UNDP should continue to nurture further innovation, and develop a specifically Bangladeshi path to green growth and development in a more sustainable society.</w:t>
      </w:r>
    </w:p>
    <w:p w:rsidR="002E181F" w:rsidRPr="00FA29FF" w:rsidRDefault="002E181F" w:rsidP="00FA29FF">
      <w:pPr>
        <w:spacing w:after="0" w:line="240" w:lineRule="auto"/>
        <w:jc w:val="both"/>
        <w:rPr>
          <w:rFonts w:asciiTheme="minorHAnsi" w:hAnsiTheme="minorHAnsi" w:cstheme="minorHAnsi"/>
          <w:sz w:val="12"/>
        </w:rPr>
      </w:pPr>
    </w:p>
    <w:p w:rsidR="00CD3CA3" w:rsidRPr="00FA29FF" w:rsidRDefault="00CD3CA3" w:rsidP="00FA29FF">
      <w:pPr>
        <w:spacing w:after="0" w:line="240" w:lineRule="auto"/>
        <w:jc w:val="both"/>
        <w:rPr>
          <w:rFonts w:asciiTheme="minorHAnsi" w:hAnsiTheme="minorHAnsi" w:cstheme="minorHAnsi"/>
          <w:sz w:val="12"/>
        </w:rPr>
      </w:pPr>
    </w:p>
    <w:p w:rsidR="002E181F" w:rsidRPr="00FA29FF" w:rsidRDefault="0F73AF2A" w:rsidP="00FA29FF">
      <w:pPr>
        <w:pStyle w:val="ListParagraph"/>
        <w:numPr>
          <w:ilvl w:val="0"/>
          <w:numId w:val="22"/>
        </w:numPr>
        <w:spacing w:after="0" w:line="240" w:lineRule="auto"/>
        <w:contextualSpacing w:val="0"/>
        <w:jc w:val="both"/>
        <w:rPr>
          <w:rFonts w:asciiTheme="minorHAnsi" w:eastAsiaTheme="minorEastAsia" w:hAnsiTheme="minorHAnsi" w:cstheme="minorBidi"/>
        </w:rPr>
      </w:pPr>
      <w:r w:rsidRPr="00FA29FF">
        <w:rPr>
          <w:rFonts w:asciiTheme="minorHAnsi" w:eastAsiaTheme="minorEastAsia" w:hAnsiTheme="minorHAnsi" w:cstheme="minorBidi"/>
          <w:b/>
          <w:bCs/>
        </w:rPr>
        <w:t>UNDP should undertake strong measures to develop a systemic inventory of project knowledge and lessons learned, and ensure easy access to this information</w:t>
      </w:r>
      <w:r w:rsidRPr="00FA29FF">
        <w:rPr>
          <w:rFonts w:asciiTheme="minorHAnsi" w:eastAsiaTheme="minorEastAsia" w:hAnsiTheme="minorHAnsi" w:cstheme="minorBidi"/>
        </w:rPr>
        <w:t>.  UNDP must recognize that projects can generate value-adding assets in terms of natural and social capital, partnerships, and professional reputation.  The CCED portfolio should build upon these pre-existing assets. For example, in the energy sector UNDP has built a reputation as an innovator in energy-efficient technology and as a trusted collaborator with government institutions such as BSTI and SREDA. UNDP Bangladesh needs to allocate the necessary resources to maintain these assets, and strategically utilize its position and assets in support of donors and government interests and to leverage resources to sustain current and future projects.</w:t>
      </w:r>
    </w:p>
    <w:p w:rsidR="002E181F" w:rsidRPr="00FA29FF" w:rsidRDefault="002E181F" w:rsidP="00FA29FF">
      <w:pPr>
        <w:pStyle w:val="ListParagraph"/>
        <w:spacing w:after="0" w:line="240" w:lineRule="auto"/>
        <w:jc w:val="both"/>
        <w:rPr>
          <w:rFonts w:asciiTheme="minorHAnsi" w:hAnsiTheme="minorHAnsi" w:cstheme="minorHAnsi"/>
          <w:sz w:val="12"/>
        </w:rPr>
      </w:pPr>
    </w:p>
    <w:p w:rsidR="00CD3CA3" w:rsidRPr="00FA29FF" w:rsidRDefault="00CD3CA3" w:rsidP="00FA29FF">
      <w:pPr>
        <w:pStyle w:val="ListParagraph"/>
        <w:spacing w:after="0" w:line="240" w:lineRule="auto"/>
        <w:jc w:val="both"/>
        <w:rPr>
          <w:rFonts w:asciiTheme="minorHAnsi" w:hAnsiTheme="minorHAnsi" w:cstheme="minorHAnsi"/>
          <w:sz w:val="12"/>
        </w:rPr>
      </w:pPr>
    </w:p>
    <w:p w:rsidR="001425B3" w:rsidRPr="00FA29FF" w:rsidRDefault="002E181F" w:rsidP="00FA29FF">
      <w:pPr>
        <w:pStyle w:val="ListParagraph"/>
        <w:numPr>
          <w:ilvl w:val="0"/>
          <w:numId w:val="22"/>
        </w:numPr>
        <w:spacing w:line="240" w:lineRule="auto"/>
        <w:jc w:val="both"/>
        <w:rPr>
          <w:rFonts w:asciiTheme="minorHAnsi" w:eastAsiaTheme="minorEastAsia" w:hAnsiTheme="minorHAnsi" w:cstheme="minorBidi"/>
        </w:rPr>
      </w:pPr>
      <w:r w:rsidRPr="00FA29FF">
        <w:rPr>
          <w:rFonts w:asciiTheme="minorHAnsi" w:eastAsiaTheme="minorEastAsia" w:hAnsiTheme="minorHAnsi" w:cstheme="minorBidi"/>
          <w:b/>
          <w:bCs/>
        </w:rPr>
        <w:t>In the face of a rapi</w:t>
      </w:r>
      <w:r w:rsidR="00E02F12" w:rsidRPr="00FA29FF">
        <w:rPr>
          <w:rFonts w:asciiTheme="minorHAnsi" w:eastAsiaTheme="minorEastAsia" w:hAnsiTheme="minorHAnsi" w:cstheme="minorBidi"/>
          <w:b/>
          <w:bCs/>
        </w:rPr>
        <w:t>dly changing global environment</w:t>
      </w:r>
      <w:r w:rsidR="00CD3CA3" w:rsidRPr="00FA29FF">
        <w:rPr>
          <w:rFonts w:asciiTheme="minorHAnsi" w:eastAsiaTheme="minorEastAsia" w:hAnsiTheme="minorHAnsi" w:cstheme="minorBidi"/>
          <w:b/>
          <w:bCs/>
        </w:rPr>
        <w:t xml:space="preserve">, UNDP needs to ‘think </w:t>
      </w:r>
      <w:r w:rsidR="00022670" w:rsidRPr="00FA29FF">
        <w:rPr>
          <w:rFonts w:asciiTheme="minorHAnsi" w:eastAsiaTheme="minorEastAsia" w:hAnsiTheme="minorHAnsi" w:cstheme="minorBidi"/>
          <w:b/>
          <w:bCs/>
        </w:rPr>
        <w:t>ahead' strategically</w:t>
      </w:r>
      <w:r w:rsidRPr="00FA29FF">
        <w:rPr>
          <w:rFonts w:asciiTheme="minorHAnsi" w:eastAsiaTheme="minorEastAsia" w:hAnsiTheme="minorHAnsi" w:cstheme="minorBidi"/>
          <w:b/>
          <w:bCs/>
        </w:rPr>
        <w:t xml:space="preserve"> and nurture innovative ideas in order to shorten long project cycles</w:t>
      </w:r>
      <w:r w:rsidRPr="00FA29FF">
        <w:rPr>
          <w:rFonts w:asciiTheme="minorHAnsi" w:eastAsiaTheme="minorEastAsia" w:hAnsiTheme="minorHAnsi" w:cstheme="minorBidi"/>
        </w:rPr>
        <w:t>. UNDP should anticipate long-term challenges that are not yet on the gov</w:t>
      </w:r>
      <w:r w:rsidR="00E02F12" w:rsidRPr="00FA29FF">
        <w:rPr>
          <w:rFonts w:asciiTheme="minorHAnsi" w:eastAsiaTheme="minorEastAsia" w:hAnsiTheme="minorHAnsi" w:cstheme="minorBidi"/>
        </w:rPr>
        <w:t xml:space="preserve">ernment’s radar but may become </w:t>
      </w:r>
      <w:r w:rsidRPr="00FA29FF">
        <w:rPr>
          <w:rFonts w:asciiTheme="minorHAnsi" w:eastAsiaTheme="minorEastAsia" w:hAnsiTheme="minorHAnsi" w:cstheme="minorBidi"/>
        </w:rPr>
        <w:t>very important in the future.  UNDP is in a good position to leverage its global network for sharing accumulated lessons learnt and innovative approaches that work well.</w:t>
      </w:r>
    </w:p>
    <w:p w:rsidR="001425B3" w:rsidRPr="00FA29FF" w:rsidRDefault="001425B3" w:rsidP="00FA29FF">
      <w:pPr>
        <w:pStyle w:val="ListParagraph"/>
        <w:spacing w:line="240" w:lineRule="auto"/>
        <w:jc w:val="both"/>
        <w:rPr>
          <w:rFonts w:asciiTheme="minorHAnsi" w:hAnsiTheme="minorHAnsi" w:cstheme="minorHAnsi"/>
        </w:rPr>
      </w:pPr>
    </w:p>
    <w:p w:rsidR="002E181F" w:rsidRPr="00FA29FF" w:rsidRDefault="001425B3" w:rsidP="00FA29FF">
      <w:pPr>
        <w:pStyle w:val="ListParagraph"/>
        <w:numPr>
          <w:ilvl w:val="0"/>
          <w:numId w:val="22"/>
        </w:numPr>
        <w:spacing w:line="240" w:lineRule="auto"/>
        <w:jc w:val="both"/>
        <w:rPr>
          <w:rFonts w:asciiTheme="minorHAnsi" w:eastAsiaTheme="minorEastAsia" w:hAnsiTheme="minorHAnsi" w:cstheme="minorBidi"/>
          <w:b/>
        </w:rPr>
      </w:pPr>
      <w:r w:rsidRPr="00FA29FF">
        <w:rPr>
          <w:rFonts w:asciiTheme="minorHAnsi" w:eastAsiaTheme="minorEastAsia" w:hAnsiTheme="minorHAnsi" w:cstheme="minorBidi"/>
        </w:rPr>
        <w:t xml:space="preserve">Many projects have achieved </w:t>
      </w:r>
      <w:r w:rsidRPr="00FA29FF">
        <w:rPr>
          <w:rFonts w:asciiTheme="minorHAnsi" w:eastAsiaTheme="minorEastAsia" w:hAnsiTheme="minorHAnsi" w:cstheme="minorBidi"/>
          <w:b/>
          <w:bCs/>
        </w:rPr>
        <w:t>good</w:t>
      </w:r>
      <w:r w:rsidRPr="00FA29FF">
        <w:rPr>
          <w:rFonts w:asciiTheme="minorHAnsi" w:eastAsiaTheme="minorEastAsia" w:hAnsiTheme="minorHAnsi" w:cstheme="minorBidi"/>
        </w:rPr>
        <w:t xml:space="preserve"> or </w:t>
      </w:r>
      <w:r w:rsidRPr="00FA29FF">
        <w:rPr>
          <w:rFonts w:asciiTheme="minorHAnsi" w:eastAsiaTheme="minorEastAsia" w:hAnsiTheme="minorHAnsi" w:cstheme="minorBidi"/>
          <w:b/>
          <w:bCs/>
        </w:rPr>
        <w:t>very good</w:t>
      </w:r>
      <w:r w:rsidRPr="00FA29FF">
        <w:rPr>
          <w:rFonts w:asciiTheme="minorHAnsi" w:eastAsiaTheme="minorEastAsia" w:hAnsiTheme="minorHAnsi" w:cstheme="minorBidi"/>
        </w:rPr>
        <w:t xml:space="preserve"> results</w:t>
      </w:r>
      <w:r w:rsidR="00A05A2A" w:rsidRPr="00FA29FF">
        <w:rPr>
          <w:rFonts w:asciiTheme="minorHAnsi" w:eastAsiaTheme="minorEastAsia" w:hAnsiTheme="minorHAnsi" w:cstheme="minorBidi"/>
        </w:rPr>
        <w:t>; however, in many cases,</w:t>
      </w:r>
      <w:r w:rsidRPr="00FA29FF">
        <w:rPr>
          <w:rFonts w:asciiTheme="minorHAnsi" w:eastAsiaTheme="minorEastAsia" w:hAnsiTheme="minorHAnsi" w:cstheme="minorBidi"/>
        </w:rPr>
        <w:t xml:space="preserve"> the </w:t>
      </w:r>
      <w:r w:rsidRPr="00FA29FF">
        <w:rPr>
          <w:rFonts w:asciiTheme="minorHAnsi" w:eastAsiaTheme="minorEastAsia" w:hAnsiTheme="minorHAnsi" w:cstheme="minorBidi"/>
          <w:b/>
          <w:bCs/>
          <w:i/>
          <w:iCs/>
        </w:rPr>
        <w:t>sustainability of the results</w:t>
      </w:r>
      <w:r w:rsidRPr="00FA29FF">
        <w:rPr>
          <w:rFonts w:asciiTheme="minorHAnsi" w:eastAsiaTheme="minorEastAsia" w:hAnsiTheme="minorHAnsi" w:cstheme="minorBidi"/>
        </w:rPr>
        <w:t xml:space="preserve"> is in question.  While a final rating cannot be given as implementation of most of the projects are not yet fully complete, it appears that a preliminary rating of </w:t>
      </w:r>
      <w:r w:rsidRPr="00FA29FF">
        <w:rPr>
          <w:rFonts w:asciiTheme="minorHAnsi" w:eastAsiaTheme="minorEastAsia" w:hAnsiTheme="minorHAnsi" w:cstheme="minorBidi"/>
          <w:b/>
          <w:bCs/>
          <w:i/>
          <w:iCs/>
        </w:rPr>
        <w:t>marginally satisfactory</w:t>
      </w:r>
      <w:r w:rsidRPr="00FA29FF">
        <w:rPr>
          <w:rFonts w:asciiTheme="minorHAnsi" w:eastAsiaTheme="minorEastAsia" w:hAnsiTheme="minorHAnsi" w:cstheme="minorBidi"/>
        </w:rPr>
        <w:t xml:space="preserve"> for </w:t>
      </w:r>
      <w:r w:rsidRPr="00FA29FF">
        <w:rPr>
          <w:rFonts w:asciiTheme="minorHAnsi" w:eastAsiaTheme="minorEastAsia" w:hAnsiTheme="minorHAnsi" w:cstheme="minorBidi"/>
          <w:b/>
          <w:bCs/>
        </w:rPr>
        <w:t xml:space="preserve">sustainability </w:t>
      </w:r>
      <w:r w:rsidRPr="00FA29FF">
        <w:rPr>
          <w:rFonts w:asciiTheme="minorHAnsi" w:eastAsiaTheme="minorEastAsia" w:hAnsiTheme="minorHAnsi" w:cstheme="minorBidi"/>
        </w:rPr>
        <w:t xml:space="preserve">is justified, as the provisions that UNDP made for the continuation of several activities (e.g. energy efficiency in appliances, technology transfer in brick manufacturing) were largely inadequate. </w:t>
      </w:r>
      <w:r w:rsidR="00E06DBB" w:rsidRPr="00FA29FF">
        <w:rPr>
          <w:rFonts w:asciiTheme="minorHAnsi" w:eastAsiaTheme="minorEastAsia" w:hAnsiTheme="minorHAnsi" w:cstheme="minorBidi"/>
          <w:b/>
          <w:bCs/>
        </w:rPr>
        <w:t>UNDP needs to strategically design project activities in such ways that would: i) ensure a ‘sense of ownership’ of intervention beneficiaries as well as among the stakeholders; and ii) develop a financial, human and physical resource-base to sustain post-project activities and impacts.</w:t>
      </w:r>
    </w:p>
    <w:p w:rsidR="00C46FCF" w:rsidRPr="00FA29FF" w:rsidRDefault="00C46FCF" w:rsidP="00FA29FF">
      <w:pPr>
        <w:pStyle w:val="ListParagraph"/>
        <w:spacing w:after="0" w:line="240" w:lineRule="auto"/>
        <w:contextualSpacing w:val="0"/>
        <w:jc w:val="both"/>
        <w:rPr>
          <w:rFonts w:asciiTheme="minorHAnsi" w:hAnsiTheme="minorHAnsi" w:cstheme="minorHAnsi"/>
        </w:rPr>
      </w:pPr>
    </w:p>
    <w:p w:rsidR="00FA29FF" w:rsidRDefault="0F73AF2A" w:rsidP="00FA29FF">
      <w:pPr>
        <w:pStyle w:val="ListParagraph"/>
        <w:numPr>
          <w:ilvl w:val="0"/>
          <w:numId w:val="22"/>
        </w:numPr>
        <w:spacing w:after="0" w:line="240" w:lineRule="auto"/>
        <w:jc w:val="both"/>
        <w:rPr>
          <w:rFonts w:asciiTheme="minorHAnsi" w:eastAsiaTheme="minorEastAsia" w:hAnsiTheme="minorHAnsi" w:cstheme="minorBidi"/>
        </w:rPr>
      </w:pPr>
      <w:r w:rsidRPr="00FA29FF">
        <w:rPr>
          <w:rFonts w:asciiTheme="minorHAnsi" w:eastAsiaTheme="minorEastAsia" w:hAnsiTheme="minorHAnsi" w:cstheme="minorBidi"/>
          <w:b/>
          <w:bCs/>
        </w:rPr>
        <w:t xml:space="preserve">Gender equality, empowerment of women, and human rights considerations are not as prominent in the CCED projects as they could be.  Although efforts are being made to encourage implementation partners to do more regarding women’s and human rights, the UNDP strategy did not place sufficient emphasis on these issues and needs significant </w:t>
      </w:r>
      <w:r w:rsidRPr="00FA29FF">
        <w:rPr>
          <w:rFonts w:asciiTheme="minorHAnsi" w:eastAsiaTheme="minorEastAsia" w:hAnsiTheme="minorHAnsi" w:cstheme="minorBidi"/>
          <w:b/>
          <w:bCs/>
        </w:rPr>
        <w:lastRenderedPageBreak/>
        <w:t>improvement. To fill in these gaps, UNDP should adopt a systematic approach to address gender issues in CCED areas</w:t>
      </w:r>
      <w:r w:rsidRPr="00FA29FF">
        <w:rPr>
          <w:rFonts w:asciiTheme="minorHAnsi" w:eastAsiaTheme="minorEastAsia" w:hAnsiTheme="minorHAnsi" w:cstheme="minorBidi"/>
        </w:rPr>
        <w:t xml:space="preserve">. </w:t>
      </w:r>
    </w:p>
    <w:p w:rsidR="00FA29FF" w:rsidRPr="00FA29FF" w:rsidRDefault="00FA29FF" w:rsidP="00FA29FF">
      <w:pPr>
        <w:pStyle w:val="ListParagraph"/>
        <w:rPr>
          <w:rFonts w:asciiTheme="minorHAnsi" w:eastAsiaTheme="minorEastAsia" w:hAnsiTheme="minorHAnsi" w:cstheme="minorBidi"/>
        </w:rPr>
      </w:pPr>
    </w:p>
    <w:p w:rsidR="00806AFB" w:rsidRPr="00FA29FF" w:rsidRDefault="0F73AF2A" w:rsidP="00FA29FF">
      <w:pPr>
        <w:pStyle w:val="ListParagraph"/>
        <w:spacing w:after="0" w:line="240" w:lineRule="auto"/>
        <w:jc w:val="both"/>
        <w:rPr>
          <w:rFonts w:asciiTheme="minorHAnsi" w:eastAsiaTheme="minorEastAsia" w:hAnsiTheme="minorHAnsi" w:cstheme="minorBidi"/>
        </w:rPr>
      </w:pPr>
      <w:r w:rsidRPr="00FA29FF">
        <w:rPr>
          <w:rFonts w:asciiTheme="minorHAnsi" w:eastAsiaTheme="minorEastAsia" w:hAnsiTheme="minorHAnsi" w:cstheme="minorBidi"/>
        </w:rPr>
        <w:t>All projects should be screened through a gender sensitive lens (as it is pursued through BCCSAP, 2009). In order to meet this objective, appointment of a gender focal point within the CCED cluster can be considered to coordinate among different thematic areas of the cluster for incorporating gender issues. However, caution should be taken as there is a risk of gender being regarded as a discrete thematic area. This may result in that gender-related activities may be left as only a focal point’s task. Validation of project gender empowerment potential should be carried out through more consultation with women's groups. Gender empowerment-related indicators should be used to monitor the project outcome. Gender segregated data (not only the number of beneficiaries or number of males or females consulted) needs to be generated. The UNDP CCED cluster should be engaged more with the global initiatives on gender and CC and DRR.</w:t>
      </w:r>
    </w:p>
    <w:p w:rsidR="002E181F" w:rsidRPr="009B1C91" w:rsidRDefault="002E181F" w:rsidP="00C67CFF">
      <w:pPr>
        <w:pStyle w:val="ListParagraph"/>
        <w:spacing w:after="0" w:line="240" w:lineRule="auto"/>
        <w:contextualSpacing w:val="0"/>
        <w:jc w:val="both"/>
        <w:rPr>
          <w:rFonts w:asciiTheme="minorHAnsi" w:hAnsiTheme="minorHAnsi" w:cstheme="minorHAnsi"/>
        </w:rPr>
      </w:pPr>
    </w:p>
    <w:p w:rsidR="00C20275" w:rsidRPr="009B1C91" w:rsidRDefault="00C20275" w:rsidP="00F653F8">
      <w:pPr>
        <w:spacing w:after="0" w:line="240" w:lineRule="auto"/>
        <w:jc w:val="both"/>
        <w:rPr>
          <w:rFonts w:asciiTheme="minorHAnsi" w:hAnsiTheme="minorHAnsi" w:cstheme="minorHAnsi"/>
        </w:rPr>
      </w:pPr>
    </w:p>
    <w:p w:rsidR="002E181F" w:rsidRPr="009B1C91" w:rsidRDefault="002E181F" w:rsidP="00F653F8">
      <w:pPr>
        <w:spacing w:after="0" w:line="240" w:lineRule="auto"/>
        <w:jc w:val="both"/>
        <w:rPr>
          <w:rFonts w:asciiTheme="minorHAnsi" w:hAnsiTheme="minorHAnsi" w:cstheme="minorHAnsi"/>
          <w:b/>
        </w:rPr>
      </w:pPr>
      <w:r w:rsidRPr="009B1C91">
        <w:rPr>
          <w:rFonts w:asciiTheme="minorHAnsi" w:hAnsiTheme="minorHAnsi" w:cstheme="minorHAnsi"/>
          <w:b/>
        </w:rPr>
        <w:t xml:space="preserve">Thematic Areas </w:t>
      </w:r>
    </w:p>
    <w:p w:rsidR="002E181F" w:rsidRPr="009B1C91" w:rsidRDefault="002E181F" w:rsidP="00F653F8">
      <w:pPr>
        <w:spacing w:after="0" w:line="240" w:lineRule="auto"/>
        <w:jc w:val="both"/>
        <w:rPr>
          <w:rFonts w:asciiTheme="minorHAnsi" w:hAnsiTheme="minorHAnsi" w:cstheme="minorHAnsi"/>
        </w:rPr>
      </w:pPr>
    </w:p>
    <w:p w:rsidR="002E181F" w:rsidRPr="00FA29FF" w:rsidRDefault="002E181F" w:rsidP="00FA29FF">
      <w:pPr>
        <w:spacing w:after="0" w:line="240" w:lineRule="auto"/>
        <w:jc w:val="both"/>
        <w:rPr>
          <w:rFonts w:asciiTheme="minorHAnsi" w:hAnsiTheme="minorHAnsi" w:cstheme="minorHAnsi"/>
        </w:rPr>
      </w:pPr>
      <w:r w:rsidRPr="00FA29FF">
        <w:rPr>
          <w:rFonts w:asciiTheme="minorHAnsi" w:hAnsiTheme="minorHAnsi" w:cstheme="minorHAnsi"/>
        </w:rPr>
        <w:t xml:space="preserve">The UNDP CCED Cluster should enhance its leadership role by providing more clarity to CCA and DRR and their connections to community </w:t>
      </w:r>
      <w:r w:rsidRPr="00FA29FF">
        <w:rPr>
          <w:rFonts w:asciiTheme="minorHAnsi" w:hAnsiTheme="minorHAnsi" w:cstheme="minorHAnsi"/>
          <w:i/>
          <w:iCs/>
        </w:rPr>
        <w:t>resilience</w:t>
      </w:r>
      <w:r w:rsidRPr="00FA29FF">
        <w:rPr>
          <w:rFonts w:asciiTheme="minorHAnsi" w:hAnsiTheme="minorHAnsi" w:cstheme="minorHAnsi"/>
        </w:rPr>
        <w:t xml:space="preserve"> and adaptability. As the concept of </w:t>
      </w:r>
      <w:r w:rsidRPr="00FA29FF">
        <w:rPr>
          <w:rFonts w:asciiTheme="minorHAnsi" w:hAnsiTheme="minorHAnsi" w:cstheme="minorHAnsi"/>
          <w:i/>
          <w:iCs/>
        </w:rPr>
        <w:t>resilience</w:t>
      </w:r>
      <w:r w:rsidRPr="00FA29FF">
        <w:rPr>
          <w:rFonts w:asciiTheme="minorHAnsi" w:hAnsiTheme="minorHAnsi" w:cstheme="minorHAnsi"/>
        </w:rPr>
        <w:t xml:space="preserve"> is complex and often ambiguous, it should be thoroughly defined in the context of developing local CCA and DRR interventions in order to ensure useful results.</w:t>
      </w:r>
    </w:p>
    <w:p w:rsidR="002E181F" w:rsidRPr="00FA29FF" w:rsidRDefault="002E181F" w:rsidP="00FA29FF">
      <w:pPr>
        <w:pStyle w:val="ListParagraph"/>
        <w:spacing w:after="0" w:line="240" w:lineRule="auto"/>
        <w:jc w:val="both"/>
        <w:rPr>
          <w:rFonts w:asciiTheme="minorHAnsi" w:hAnsiTheme="minorHAnsi" w:cstheme="minorHAnsi"/>
        </w:rPr>
      </w:pPr>
    </w:p>
    <w:p w:rsidR="002E181F" w:rsidRPr="00FA29FF" w:rsidRDefault="002E181F" w:rsidP="00FA29FF">
      <w:pPr>
        <w:pStyle w:val="ListParagraph"/>
        <w:numPr>
          <w:ilvl w:val="0"/>
          <w:numId w:val="26"/>
        </w:numPr>
        <w:spacing w:after="0" w:line="240" w:lineRule="auto"/>
        <w:contextualSpacing w:val="0"/>
        <w:jc w:val="both"/>
        <w:rPr>
          <w:rFonts w:asciiTheme="minorHAnsi" w:hAnsiTheme="minorHAnsi" w:cstheme="minorHAnsi"/>
        </w:rPr>
      </w:pPr>
      <w:r w:rsidRPr="00FA29FF">
        <w:rPr>
          <w:rFonts w:asciiTheme="minorHAnsi" w:hAnsiTheme="minorHAnsi" w:cstheme="minorHAnsi"/>
        </w:rPr>
        <w:t>UNDP Bangladesh should review its ‘Build Back Better’ motto to incorporate the concept of risk reduction and resilience enhancement. In order to recognize the multidimensionality of the ‘resilience’ concept, UNDP Bangladesh should consider changing its motto from ‘B</w:t>
      </w:r>
      <w:r w:rsidR="00B02C89" w:rsidRPr="00FA29FF">
        <w:rPr>
          <w:rFonts w:asciiTheme="minorHAnsi" w:hAnsiTheme="minorHAnsi" w:cstheme="minorHAnsi"/>
        </w:rPr>
        <w:t xml:space="preserve">uild Back Better’ to ‘Triple R </w:t>
      </w:r>
      <w:r w:rsidRPr="00FA29FF">
        <w:rPr>
          <w:rFonts w:asciiTheme="minorHAnsi" w:hAnsiTheme="minorHAnsi" w:cstheme="minorHAnsi"/>
        </w:rPr>
        <w:t>- Rebuilding with Reduced Risk’. This should become the ‘mantra‘ of UNDP’s ERF and other activities.</w:t>
      </w:r>
    </w:p>
    <w:p w:rsidR="002E181F" w:rsidRPr="00FA29FF" w:rsidRDefault="002E181F" w:rsidP="00FA29FF">
      <w:pPr>
        <w:pStyle w:val="ListParagraph"/>
        <w:spacing w:after="0" w:line="240" w:lineRule="auto"/>
        <w:jc w:val="both"/>
        <w:rPr>
          <w:rFonts w:asciiTheme="minorHAnsi" w:hAnsiTheme="minorHAnsi" w:cstheme="minorHAnsi"/>
          <w:sz w:val="12"/>
        </w:rPr>
      </w:pPr>
    </w:p>
    <w:p w:rsidR="00CD3CA3" w:rsidRPr="00FA29FF" w:rsidRDefault="00CD3CA3" w:rsidP="00FA29FF">
      <w:pPr>
        <w:pStyle w:val="ListParagraph"/>
        <w:spacing w:after="0" w:line="240" w:lineRule="auto"/>
        <w:jc w:val="both"/>
        <w:rPr>
          <w:rFonts w:asciiTheme="minorHAnsi" w:hAnsiTheme="minorHAnsi" w:cstheme="minorHAnsi"/>
          <w:sz w:val="12"/>
        </w:rPr>
      </w:pPr>
    </w:p>
    <w:p w:rsidR="002E181F" w:rsidRPr="00FA29FF" w:rsidRDefault="002E181F" w:rsidP="00FA29FF">
      <w:pPr>
        <w:pStyle w:val="ListParagraph"/>
        <w:numPr>
          <w:ilvl w:val="0"/>
          <w:numId w:val="26"/>
        </w:numPr>
        <w:spacing w:after="0" w:line="240" w:lineRule="auto"/>
        <w:contextualSpacing w:val="0"/>
        <w:jc w:val="both"/>
        <w:rPr>
          <w:rFonts w:asciiTheme="minorHAnsi" w:eastAsiaTheme="minorEastAsia" w:hAnsiTheme="minorHAnsi" w:cstheme="minorBidi"/>
        </w:rPr>
      </w:pPr>
      <w:r w:rsidRPr="00FA29FF">
        <w:rPr>
          <w:rFonts w:asciiTheme="minorHAnsi" w:eastAsiaTheme="minorEastAsia" w:hAnsiTheme="minorHAnsi" w:cstheme="minorBidi"/>
        </w:rPr>
        <w:t>UNDP’s approach to risk reduction and resilience enhancement should emphasize greater coordination among local and sub-national (</w:t>
      </w:r>
      <w:r w:rsidRPr="00FA29FF">
        <w:rPr>
          <w:rFonts w:asciiTheme="minorHAnsi" w:eastAsiaTheme="minorEastAsia" w:hAnsiTheme="minorHAnsi" w:cstheme="minorBidi"/>
          <w:i/>
          <w:iCs/>
        </w:rPr>
        <w:t>upazila</w:t>
      </w:r>
      <w:r w:rsidRPr="00FA29FF">
        <w:rPr>
          <w:rFonts w:asciiTheme="minorHAnsi" w:eastAsiaTheme="minorEastAsia" w:hAnsiTheme="minorHAnsi" w:cstheme="minorBidi"/>
        </w:rPr>
        <w:t xml:space="preserve"> and district</w:t>
      </w:r>
      <w:r w:rsidR="00E02F12" w:rsidRPr="00FA29FF">
        <w:rPr>
          <w:rFonts w:asciiTheme="minorHAnsi" w:eastAsiaTheme="minorEastAsia" w:hAnsiTheme="minorHAnsi" w:cstheme="minorBidi"/>
        </w:rPr>
        <w:t>) government</w:t>
      </w:r>
      <w:r w:rsidRPr="00FA29FF">
        <w:rPr>
          <w:rFonts w:asciiTheme="minorHAnsi" w:eastAsiaTheme="minorEastAsia" w:hAnsiTheme="minorHAnsi" w:cstheme="minorBidi"/>
        </w:rPr>
        <w:t xml:space="preserve"> departments. Presently, most community-based climate change adaptation interventions focus on household-level activities. Incorporation of more community-level activities with greater cooperation of NGOs and CSOs will help leverage the benefits of economies of scale. Interventions should also incorporate other social development dimensions such as vocational and environmental training and issues such as early marriage, dowry, violence against women, and health. </w:t>
      </w:r>
    </w:p>
    <w:p w:rsidR="002E181F" w:rsidRPr="00FA29FF" w:rsidRDefault="002E181F" w:rsidP="00FA29FF">
      <w:pPr>
        <w:pStyle w:val="ListParagraph"/>
        <w:spacing w:after="0" w:line="240" w:lineRule="auto"/>
        <w:jc w:val="both"/>
        <w:rPr>
          <w:rFonts w:asciiTheme="minorHAnsi" w:hAnsiTheme="minorHAnsi" w:cstheme="minorHAnsi"/>
          <w:sz w:val="12"/>
        </w:rPr>
      </w:pPr>
    </w:p>
    <w:p w:rsidR="00CD3CA3" w:rsidRPr="00FA29FF" w:rsidRDefault="00CD3CA3" w:rsidP="00FA29FF">
      <w:pPr>
        <w:pStyle w:val="ListParagraph"/>
        <w:spacing w:after="0" w:line="240" w:lineRule="auto"/>
        <w:jc w:val="both"/>
        <w:rPr>
          <w:rFonts w:asciiTheme="minorHAnsi" w:hAnsiTheme="minorHAnsi" w:cstheme="minorHAnsi"/>
          <w:sz w:val="12"/>
        </w:rPr>
      </w:pPr>
    </w:p>
    <w:p w:rsidR="002E181F" w:rsidRPr="00FA29FF" w:rsidRDefault="002E181F" w:rsidP="00FA29FF">
      <w:pPr>
        <w:pStyle w:val="ListParagraph"/>
        <w:numPr>
          <w:ilvl w:val="0"/>
          <w:numId w:val="26"/>
        </w:numPr>
        <w:spacing w:after="0" w:line="240" w:lineRule="auto"/>
        <w:contextualSpacing w:val="0"/>
        <w:jc w:val="both"/>
        <w:rPr>
          <w:rFonts w:asciiTheme="minorHAnsi" w:hAnsiTheme="minorHAnsi" w:cstheme="minorHAnsi"/>
          <w:lang w:val="en-US"/>
        </w:rPr>
      </w:pPr>
      <w:r w:rsidRPr="00FA29FF">
        <w:rPr>
          <w:rFonts w:asciiTheme="minorHAnsi" w:hAnsiTheme="minorHAnsi" w:cstheme="minorHAnsi"/>
        </w:rPr>
        <w:t>UNDP should establish stronger links between CCA, DRR, and the enhancement of livelihood security. UNDP is one of three international/global agencies in Bangladesh with access to GCF (in addition to KfW and ADB). Significant opportunities exist for upscaling of project volumes.</w:t>
      </w:r>
      <w:r w:rsidRPr="00FA29FF">
        <w:rPr>
          <w:rFonts w:asciiTheme="minorHAnsi" w:hAnsiTheme="minorHAnsi" w:cstheme="minorHAnsi"/>
          <w:lang w:val="en-US"/>
        </w:rPr>
        <w:t xml:space="preserve"> For example, a coastal housing project may include renewable energy technologies, efficient cook stoves, and afforestation to achieve such an objective. </w:t>
      </w:r>
    </w:p>
    <w:p w:rsidR="002E181F" w:rsidRPr="00FA29FF" w:rsidRDefault="002E181F" w:rsidP="00FA29FF">
      <w:pPr>
        <w:pStyle w:val="ListParagraph"/>
        <w:spacing w:after="0" w:line="240" w:lineRule="auto"/>
        <w:jc w:val="both"/>
        <w:rPr>
          <w:rFonts w:asciiTheme="minorHAnsi" w:hAnsiTheme="minorHAnsi" w:cstheme="minorHAnsi"/>
          <w:sz w:val="12"/>
        </w:rPr>
      </w:pPr>
    </w:p>
    <w:p w:rsidR="00CD3CA3" w:rsidRPr="00FA29FF" w:rsidRDefault="00CD3CA3" w:rsidP="00FA29FF">
      <w:pPr>
        <w:pStyle w:val="ListParagraph"/>
        <w:spacing w:after="0" w:line="240" w:lineRule="auto"/>
        <w:jc w:val="both"/>
        <w:rPr>
          <w:rFonts w:asciiTheme="minorHAnsi" w:hAnsiTheme="minorHAnsi" w:cstheme="minorHAnsi"/>
          <w:sz w:val="12"/>
        </w:rPr>
      </w:pPr>
    </w:p>
    <w:p w:rsidR="002E181F" w:rsidRPr="00FA29FF" w:rsidRDefault="002E181F" w:rsidP="00FA29FF">
      <w:pPr>
        <w:pStyle w:val="ListParagraph"/>
        <w:numPr>
          <w:ilvl w:val="0"/>
          <w:numId w:val="26"/>
        </w:numPr>
        <w:spacing w:after="0" w:line="240" w:lineRule="auto"/>
        <w:contextualSpacing w:val="0"/>
        <w:jc w:val="both"/>
        <w:rPr>
          <w:rFonts w:asciiTheme="minorHAnsi" w:hAnsiTheme="minorHAnsi" w:cstheme="minorHAnsi"/>
          <w:lang w:val="en-US"/>
        </w:rPr>
      </w:pPr>
      <w:r w:rsidRPr="00FA29FF">
        <w:rPr>
          <w:rFonts w:asciiTheme="minorHAnsi" w:hAnsiTheme="minorHAnsi" w:cstheme="minorHAnsi"/>
        </w:rPr>
        <w:t xml:space="preserve">UNDP should invest in generating further knowledge on more effective and efficient cyclone disaster prevention measures. Community shelters effectively save lives during severe cyclones, and the current policy design and implementation of DRR, which emphasizes effective early warning and risk reduction through both structural (cyclone shelters) and non-structural (public </w:t>
      </w:r>
      <w:r w:rsidRPr="00FA29FF">
        <w:rPr>
          <w:rFonts w:asciiTheme="minorHAnsi" w:hAnsiTheme="minorHAnsi" w:cstheme="minorHAnsi"/>
        </w:rPr>
        <w:lastRenderedPageBreak/>
        <w:t xml:space="preserve">education and awareness campaigns) measures, is commendable. However, the evaluation team found that integrating structurally stronger housing for individual families with livelihood enhancement activities is extremely cost-effective and efficient. UNDP should pursue more research on this particular approach and work with the relevant government departments (e.g. the Planning Commission, Ministry of Disaster Management and Food, Ministry of Environment and Forests, and the Ministry of Finance) to initiate another phase of ‘paradigm shift‘ in risk reduction and disaster management. </w:t>
      </w:r>
    </w:p>
    <w:p w:rsidR="002E181F" w:rsidRPr="00FA29FF" w:rsidRDefault="002E181F" w:rsidP="00FA29FF">
      <w:pPr>
        <w:pStyle w:val="ListParagraph"/>
        <w:spacing w:after="0" w:line="240" w:lineRule="auto"/>
        <w:jc w:val="both"/>
        <w:rPr>
          <w:rFonts w:asciiTheme="minorHAnsi" w:hAnsiTheme="minorHAnsi" w:cstheme="minorHAnsi"/>
          <w:sz w:val="12"/>
        </w:rPr>
      </w:pPr>
    </w:p>
    <w:p w:rsidR="00CD3CA3" w:rsidRPr="00FA29FF" w:rsidRDefault="00CD3CA3" w:rsidP="00FA29FF">
      <w:pPr>
        <w:pStyle w:val="ListParagraph"/>
        <w:spacing w:after="0" w:line="240" w:lineRule="auto"/>
        <w:jc w:val="both"/>
        <w:rPr>
          <w:rFonts w:asciiTheme="minorHAnsi" w:hAnsiTheme="minorHAnsi" w:cstheme="minorHAnsi"/>
          <w:sz w:val="12"/>
        </w:rPr>
      </w:pPr>
    </w:p>
    <w:p w:rsidR="002E181F" w:rsidRPr="00FA29FF" w:rsidRDefault="002E181F" w:rsidP="00FA29FF">
      <w:pPr>
        <w:pStyle w:val="ListParagraph"/>
        <w:numPr>
          <w:ilvl w:val="0"/>
          <w:numId w:val="26"/>
        </w:numPr>
        <w:spacing w:after="0" w:line="240" w:lineRule="auto"/>
        <w:contextualSpacing w:val="0"/>
        <w:jc w:val="both"/>
        <w:rPr>
          <w:rFonts w:asciiTheme="minorHAnsi" w:hAnsiTheme="minorHAnsi" w:cstheme="minorHAnsi"/>
          <w:lang w:val="en-US"/>
        </w:rPr>
      </w:pPr>
      <w:r w:rsidRPr="00FA29FF">
        <w:rPr>
          <w:rFonts w:asciiTheme="minorHAnsi" w:hAnsiTheme="minorHAnsi" w:cstheme="minorHAnsi"/>
        </w:rPr>
        <w:t xml:space="preserve">UNDP Bangladesh needs to further improve on-the-ground delivery capacity of </w:t>
      </w:r>
      <w:r w:rsidRPr="00FA29FF">
        <w:rPr>
          <w:rFonts w:asciiTheme="minorHAnsi" w:hAnsiTheme="minorHAnsi" w:cstheme="minorHAnsi"/>
          <w:i/>
          <w:iCs/>
        </w:rPr>
        <w:t xml:space="preserve">more inclusive </w:t>
      </w:r>
      <w:r w:rsidRPr="00FA29FF">
        <w:rPr>
          <w:rFonts w:asciiTheme="minorHAnsi" w:hAnsiTheme="minorHAnsi" w:cstheme="minorHAnsi"/>
        </w:rPr>
        <w:t xml:space="preserve">community-based climate change adaptation interventions.  In order to enhance the adaptation capacity of marginalized and poor people at the local level, generation of ‘collective voices’ is essential. Therefore, more efforts should be made to form planning organizations composed of marginalized, poor beneficiaries. </w:t>
      </w:r>
    </w:p>
    <w:p w:rsidR="002E181F" w:rsidRPr="00FA29FF" w:rsidRDefault="002E181F" w:rsidP="00FA29FF">
      <w:pPr>
        <w:pStyle w:val="ListParagraph"/>
        <w:spacing w:after="0" w:line="240" w:lineRule="auto"/>
        <w:jc w:val="both"/>
        <w:rPr>
          <w:rFonts w:asciiTheme="minorHAnsi" w:hAnsiTheme="minorHAnsi" w:cstheme="minorHAnsi"/>
          <w:sz w:val="12"/>
        </w:rPr>
      </w:pPr>
    </w:p>
    <w:p w:rsidR="00CD3CA3" w:rsidRPr="00FA29FF" w:rsidRDefault="00CD3CA3" w:rsidP="00FA29FF">
      <w:pPr>
        <w:pStyle w:val="ListParagraph"/>
        <w:spacing w:after="0" w:line="240" w:lineRule="auto"/>
        <w:jc w:val="both"/>
        <w:rPr>
          <w:rFonts w:asciiTheme="minorHAnsi" w:hAnsiTheme="minorHAnsi" w:cstheme="minorHAnsi"/>
          <w:sz w:val="12"/>
        </w:rPr>
      </w:pPr>
    </w:p>
    <w:p w:rsidR="002E181F" w:rsidRPr="00FA29FF" w:rsidRDefault="002E181F" w:rsidP="00FA29FF">
      <w:pPr>
        <w:pStyle w:val="ListParagraph"/>
        <w:numPr>
          <w:ilvl w:val="0"/>
          <w:numId w:val="26"/>
        </w:numPr>
        <w:spacing w:after="0" w:line="240" w:lineRule="auto"/>
        <w:contextualSpacing w:val="0"/>
        <w:jc w:val="both"/>
        <w:rPr>
          <w:rFonts w:asciiTheme="minorHAnsi" w:hAnsiTheme="minorHAnsi" w:cstheme="minorHAnsi"/>
          <w:lang w:val="en-US"/>
        </w:rPr>
      </w:pPr>
      <w:r w:rsidRPr="00FA29FF">
        <w:rPr>
          <w:rFonts w:asciiTheme="minorHAnsi" w:hAnsiTheme="minorHAnsi" w:cstheme="minorHAnsi"/>
        </w:rPr>
        <w:t xml:space="preserve">UNDP needs to maintain its focus on the niche area of energy efficiency standards and labels. SREDA’s EE&amp;C Master plan emphasizes standards and labels not only for appliances but also for buildings, and plans to make currently-voluntary standards mandatory. In  light of constant unsatisfied demands, UNDP should deliver effective support to BSTI and SREDA on the energy efficiency agenda, finding novel and sustainable solutions for more effective and efficient standard development, enforcement, and continuous review.  </w:t>
      </w:r>
    </w:p>
    <w:p w:rsidR="002E181F" w:rsidRPr="00FA29FF" w:rsidRDefault="002E181F" w:rsidP="00FA29FF">
      <w:pPr>
        <w:pStyle w:val="ListParagraph"/>
        <w:spacing w:after="0" w:line="240" w:lineRule="auto"/>
        <w:jc w:val="both"/>
        <w:rPr>
          <w:rFonts w:asciiTheme="minorHAnsi" w:hAnsiTheme="minorHAnsi" w:cstheme="minorHAnsi"/>
          <w:sz w:val="12"/>
        </w:rPr>
      </w:pPr>
    </w:p>
    <w:p w:rsidR="00CD3CA3" w:rsidRPr="00FA29FF" w:rsidRDefault="00CD3CA3" w:rsidP="00FA29FF">
      <w:pPr>
        <w:pStyle w:val="ListParagraph"/>
        <w:spacing w:after="0" w:line="240" w:lineRule="auto"/>
        <w:jc w:val="both"/>
        <w:rPr>
          <w:rFonts w:asciiTheme="minorHAnsi" w:hAnsiTheme="minorHAnsi" w:cstheme="minorHAnsi"/>
          <w:sz w:val="12"/>
        </w:rPr>
      </w:pPr>
    </w:p>
    <w:p w:rsidR="002E181F" w:rsidRPr="00FA29FF" w:rsidRDefault="002E181F" w:rsidP="00FA29FF">
      <w:pPr>
        <w:pStyle w:val="ListParagraph"/>
        <w:numPr>
          <w:ilvl w:val="0"/>
          <w:numId w:val="26"/>
        </w:numPr>
        <w:spacing w:after="0" w:line="240" w:lineRule="auto"/>
        <w:contextualSpacing w:val="0"/>
        <w:jc w:val="both"/>
        <w:rPr>
          <w:rFonts w:asciiTheme="minorHAnsi" w:hAnsiTheme="minorHAnsi" w:cstheme="minorHAnsi"/>
          <w:lang w:val="en-US"/>
        </w:rPr>
      </w:pPr>
      <w:r w:rsidRPr="00FA29FF">
        <w:rPr>
          <w:rFonts w:asciiTheme="minorHAnsi" w:hAnsiTheme="minorHAnsi" w:cstheme="minorHAnsi"/>
        </w:rPr>
        <w:t>UNDP should continue supporting capacity building in the poverty-environment-climate nexus in partnership with the Government of Bangladesh. UNDP played a very effective leadership role in developing and supporting initiatives on poverty-environment-climate nexus mainstreaming. UNDP should specifically ensure the sustainability of already-built capacity within the government system technical support and human resource development opportunities are crucial to sustaining and enhancing the technical capacity of government personnel.</w:t>
      </w:r>
    </w:p>
    <w:p w:rsidR="002E181F" w:rsidRPr="00FA29FF" w:rsidRDefault="002E181F" w:rsidP="00FA29FF">
      <w:pPr>
        <w:autoSpaceDE w:val="0"/>
        <w:autoSpaceDN w:val="0"/>
        <w:adjustRightInd w:val="0"/>
        <w:spacing w:after="0" w:line="240" w:lineRule="auto"/>
        <w:jc w:val="both"/>
        <w:rPr>
          <w:rFonts w:asciiTheme="minorHAnsi" w:hAnsiTheme="minorHAnsi" w:cstheme="minorHAnsi"/>
        </w:rPr>
      </w:pPr>
    </w:p>
    <w:p w:rsidR="002E181F" w:rsidRPr="00FA29FF" w:rsidRDefault="002E181F" w:rsidP="00FA29FF">
      <w:pPr>
        <w:autoSpaceDE w:val="0"/>
        <w:autoSpaceDN w:val="0"/>
        <w:adjustRightInd w:val="0"/>
        <w:spacing w:after="0" w:line="240" w:lineRule="auto"/>
        <w:jc w:val="both"/>
        <w:rPr>
          <w:rFonts w:asciiTheme="minorHAnsi" w:hAnsiTheme="minorHAnsi" w:cstheme="minorHAnsi"/>
        </w:rPr>
      </w:pPr>
    </w:p>
    <w:p w:rsidR="002E181F" w:rsidRPr="00FA29FF" w:rsidRDefault="002E181F" w:rsidP="00FA29FF">
      <w:pPr>
        <w:autoSpaceDE w:val="0"/>
        <w:autoSpaceDN w:val="0"/>
        <w:adjustRightInd w:val="0"/>
        <w:spacing w:after="0" w:line="240" w:lineRule="auto"/>
        <w:jc w:val="both"/>
        <w:rPr>
          <w:rFonts w:asciiTheme="minorHAnsi" w:hAnsiTheme="minorHAnsi" w:cstheme="minorHAnsi"/>
        </w:rPr>
      </w:pPr>
    </w:p>
    <w:p w:rsidR="00DA395F" w:rsidRPr="00FA29FF" w:rsidRDefault="00DA395F" w:rsidP="00FA29FF">
      <w:pPr>
        <w:autoSpaceDE w:val="0"/>
        <w:autoSpaceDN w:val="0"/>
        <w:adjustRightInd w:val="0"/>
        <w:spacing w:after="0" w:line="240" w:lineRule="auto"/>
        <w:jc w:val="both"/>
        <w:rPr>
          <w:rFonts w:asciiTheme="minorHAnsi" w:hAnsiTheme="minorHAnsi" w:cstheme="minorHAnsi"/>
        </w:rPr>
      </w:pPr>
    </w:p>
    <w:p w:rsidR="00DA395F" w:rsidRPr="00FA29FF" w:rsidRDefault="00DA395F" w:rsidP="00FA29FF">
      <w:pPr>
        <w:autoSpaceDE w:val="0"/>
        <w:autoSpaceDN w:val="0"/>
        <w:adjustRightInd w:val="0"/>
        <w:spacing w:after="0" w:line="240" w:lineRule="auto"/>
        <w:jc w:val="both"/>
        <w:rPr>
          <w:rFonts w:asciiTheme="minorHAnsi" w:hAnsiTheme="minorHAnsi" w:cstheme="minorHAnsi"/>
        </w:rPr>
      </w:pPr>
    </w:p>
    <w:p w:rsidR="00DA395F" w:rsidRPr="00FA29FF" w:rsidRDefault="00DA395F" w:rsidP="00FA29FF">
      <w:pPr>
        <w:autoSpaceDE w:val="0"/>
        <w:autoSpaceDN w:val="0"/>
        <w:adjustRightInd w:val="0"/>
        <w:spacing w:after="0" w:line="240" w:lineRule="auto"/>
        <w:jc w:val="both"/>
        <w:rPr>
          <w:rFonts w:asciiTheme="minorHAnsi" w:hAnsiTheme="minorHAnsi" w:cstheme="minorHAnsi"/>
        </w:rPr>
      </w:pPr>
    </w:p>
    <w:p w:rsidR="00DA395F" w:rsidRDefault="00DA395F" w:rsidP="00F653F8">
      <w:pPr>
        <w:autoSpaceDE w:val="0"/>
        <w:autoSpaceDN w:val="0"/>
        <w:adjustRightInd w:val="0"/>
        <w:spacing w:after="0" w:line="240" w:lineRule="auto"/>
        <w:jc w:val="both"/>
        <w:rPr>
          <w:rFonts w:asciiTheme="minorHAnsi" w:hAnsiTheme="minorHAnsi" w:cstheme="minorHAnsi"/>
        </w:rPr>
      </w:pPr>
    </w:p>
    <w:p w:rsidR="00DA395F" w:rsidRDefault="00DA395F" w:rsidP="00F653F8">
      <w:pPr>
        <w:autoSpaceDE w:val="0"/>
        <w:autoSpaceDN w:val="0"/>
        <w:adjustRightInd w:val="0"/>
        <w:spacing w:after="0" w:line="240" w:lineRule="auto"/>
        <w:jc w:val="both"/>
        <w:rPr>
          <w:rFonts w:asciiTheme="minorHAnsi" w:hAnsiTheme="minorHAnsi" w:cstheme="minorHAnsi"/>
        </w:rPr>
      </w:pPr>
    </w:p>
    <w:p w:rsidR="00DA395F" w:rsidRDefault="00DA395F" w:rsidP="00F653F8">
      <w:pPr>
        <w:autoSpaceDE w:val="0"/>
        <w:autoSpaceDN w:val="0"/>
        <w:adjustRightInd w:val="0"/>
        <w:spacing w:after="0" w:line="240" w:lineRule="auto"/>
        <w:jc w:val="both"/>
        <w:rPr>
          <w:rFonts w:asciiTheme="minorHAnsi" w:hAnsiTheme="minorHAnsi" w:cstheme="minorHAnsi"/>
        </w:rPr>
      </w:pPr>
    </w:p>
    <w:p w:rsidR="00DA395F" w:rsidRDefault="00DA395F" w:rsidP="00F653F8">
      <w:pPr>
        <w:autoSpaceDE w:val="0"/>
        <w:autoSpaceDN w:val="0"/>
        <w:adjustRightInd w:val="0"/>
        <w:spacing w:after="0" w:line="240" w:lineRule="auto"/>
        <w:jc w:val="both"/>
        <w:rPr>
          <w:rFonts w:asciiTheme="minorHAnsi" w:hAnsiTheme="minorHAnsi" w:cstheme="minorHAnsi"/>
        </w:rPr>
      </w:pPr>
    </w:p>
    <w:p w:rsidR="00DA395F" w:rsidRDefault="00DA395F" w:rsidP="00F653F8">
      <w:pPr>
        <w:autoSpaceDE w:val="0"/>
        <w:autoSpaceDN w:val="0"/>
        <w:adjustRightInd w:val="0"/>
        <w:spacing w:after="0" w:line="240" w:lineRule="auto"/>
        <w:jc w:val="both"/>
        <w:rPr>
          <w:rFonts w:asciiTheme="minorHAnsi" w:hAnsiTheme="minorHAnsi" w:cstheme="minorHAnsi"/>
        </w:rPr>
      </w:pPr>
    </w:p>
    <w:p w:rsidR="00DA395F" w:rsidRDefault="00DA395F" w:rsidP="00F653F8">
      <w:pPr>
        <w:autoSpaceDE w:val="0"/>
        <w:autoSpaceDN w:val="0"/>
        <w:adjustRightInd w:val="0"/>
        <w:spacing w:after="0" w:line="240" w:lineRule="auto"/>
        <w:jc w:val="both"/>
        <w:rPr>
          <w:rFonts w:asciiTheme="minorHAnsi" w:hAnsiTheme="minorHAnsi" w:cstheme="minorHAnsi"/>
        </w:rPr>
      </w:pPr>
    </w:p>
    <w:p w:rsidR="00DA395F" w:rsidRDefault="00DA395F" w:rsidP="00F653F8">
      <w:pPr>
        <w:autoSpaceDE w:val="0"/>
        <w:autoSpaceDN w:val="0"/>
        <w:adjustRightInd w:val="0"/>
        <w:spacing w:after="0" w:line="240" w:lineRule="auto"/>
        <w:jc w:val="both"/>
        <w:rPr>
          <w:rFonts w:asciiTheme="minorHAnsi" w:hAnsiTheme="minorHAnsi" w:cstheme="minorHAnsi"/>
        </w:rPr>
      </w:pPr>
    </w:p>
    <w:p w:rsidR="00DA395F" w:rsidRDefault="00DA395F" w:rsidP="00F653F8">
      <w:pPr>
        <w:autoSpaceDE w:val="0"/>
        <w:autoSpaceDN w:val="0"/>
        <w:adjustRightInd w:val="0"/>
        <w:spacing w:after="0" w:line="240" w:lineRule="auto"/>
        <w:jc w:val="both"/>
        <w:rPr>
          <w:rFonts w:asciiTheme="minorHAnsi" w:hAnsiTheme="minorHAnsi" w:cstheme="minorHAnsi"/>
        </w:rPr>
      </w:pPr>
    </w:p>
    <w:p w:rsidR="00DA395F" w:rsidRDefault="00DA395F" w:rsidP="00F653F8">
      <w:pPr>
        <w:autoSpaceDE w:val="0"/>
        <w:autoSpaceDN w:val="0"/>
        <w:adjustRightInd w:val="0"/>
        <w:spacing w:after="0" w:line="240" w:lineRule="auto"/>
        <w:jc w:val="both"/>
        <w:rPr>
          <w:rFonts w:asciiTheme="minorHAnsi" w:hAnsiTheme="minorHAnsi" w:cstheme="minorHAnsi"/>
        </w:rPr>
      </w:pPr>
    </w:p>
    <w:p w:rsidR="00FA29FF" w:rsidRDefault="00FA29FF" w:rsidP="00F653F8">
      <w:pPr>
        <w:autoSpaceDE w:val="0"/>
        <w:autoSpaceDN w:val="0"/>
        <w:adjustRightInd w:val="0"/>
        <w:spacing w:after="0" w:line="240" w:lineRule="auto"/>
        <w:jc w:val="both"/>
        <w:rPr>
          <w:rFonts w:asciiTheme="minorHAnsi" w:hAnsiTheme="minorHAnsi" w:cstheme="minorHAnsi"/>
        </w:rPr>
      </w:pPr>
    </w:p>
    <w:p w:rsidR="00FA29FF" w:rsidRDefault="00FA29FF" w:rsidP="00F653F8">
      <w:pPr>
        <w:autoSpaceDE w:val="0"/>
        <w:autoSpaceDN w:val="0"/>
        <w:adjustRightInd w:val="0"/>
        <w:spacing w:after="0" w:line="240" w:lineRule="auto"/>
        <w:jc w:val="both"/>
        <w:rPr>
          <w:rFonts w:asciiTheme="minorHAnsi" w:hAnsiTheme="minorHAnsi" w:cstheme="minorHAnsi"/>
        </w:rPr>
      </w:pPr>
    </w:p>
    <w:p w:rsidR="00DA395F" w:rsidRDefault="00DA395F" w:rsidP="00F653F8">
      <w:pPr>
        <w:autoSpaceDE w:val="0"/>
        <w:autoSpaceDN w:val="0"/>
        <w:adjustRightInd w:val="0"/>
        <w:spacing w:after="0" w:line="240" w:lineRule="auto"/>
        <w:jc w:val="both"/>
        <w:rPr>
          <w:rFonts w:asciiTheme="minorHAnsi" w:hAnsiTheme="minorHAnsi" w:cstheme="minorHAnsi"/>
        </w:rPr>
      </w:pPr>
    </w:p>
    <w:p w:rsidR="00DA395F" w:rsidRPr="009B1C91" w:rsidRDefault="00DA395F" w:rsidP="00F653F8">
      <w:pPr>
        <w:autoSpaceDE w:val="0"/>
        <w:autoSpaceDN w:val="0"/>
        <w:adjustRightInd w:val="0"/>
        <w:spacing w:after="0" w:line="240" w:lineRule="auto"/>
        <w:jc w:val="both"/>
        <w:rPr>
          <w:rFonts w:asciiTheme="minorHAnsi" w:hAnsiTheme="minorHAnsi" w:cstheme="minorHAnsi"/>
        </w:rPr>
      </w:pPr>
    </w:p>
    <w:p w:rsidR="007069DD" w:rsidRDefault="007069DD" w:rsidP="0024515F">
      <w:pPr>
        <w:spacing w:after="0" w:line="240" w:lineRule="auto"/>
        <w:jc w:val="both"/>
        <w:rPr>
          <w:rFonts w:asciiTheme="minorHAnsi" w:hAnsiTheme="minorHAnsi" w:cstheme="minorHAnsi"/>
          <w:color w:val="002060"/>
        </w:rPr>
      </w:pPr>
    </w:p>
    <w:p w:rsidR="00AF2492" w:rsidRDefault="00DA395F" w:rsidP="00DA395F">
      <w:pPr>
        <w:pStyle w:val="FootnoteText1"/>
        <w:spacing w:after="0" w:line="240" w:lineRule="auto"/>
        <w:ind w:left="284" w:hanging="284"/>
        <w:rPr>
          <w:rFonts w:asciiTheme="minorHAnsi" w:hAnsiTheme="minorHAnsi"/>
          <w:b/>
          <w:sz w:val="36"/>
          <w:szCs w:val="36"/>
        </w:rPr>
      </w:pPr>
      <w:r w:rsidRPr="00F042CB">
        <w:rPr>
          <w:rFonts w:asciiTheme="minorHAnsi" w:hAnsiTheme="minorHAnsi"/>
          <w:b/>
          <w:sz w:val="36"/>
          <w:szCs w:val="36"/>
        </w:rPr>
        <w:lastRenderedPageBreak/>
        <w:t xml:space="preserve">REFERENCES </w:t>
      </w:r>
    </w:p>
    <w:p w:rsidR="00DA395F" w:rsidRPr="00AF2492" w:rsidRDefault="00DA395F" w:rsidP="00DA395F">
      <w:pPr>
        <w:pStyle w:val="FootnoteText1"/>
        <w:spacing w:after="0" w:line="240" w:lineRule="auto"/>
        <w:ind w:left="284" w:hanging="284"/>
        <w:rPr>
          <w:rFonts w:asciiTheme="minorHAnsi" w:hAnsiTheme="minorHAnsi"/>
          <w:b/>
          <w:sz w:val="22"/>
          <w:szCs w:val="22"/>
        </w:rPr>
      </w:pPr>
      <w:r w:rsidRPr="00AF2492">
        <w:rPr>
          <w:rFonts w:asciiTheme="minorHAnsi" w:hAnsiTheme="minorHAnsi"/>
          <w:b/>
          <w:sz w:val="22"/>
          <w:szCs w:val="22"/>
        </w:rPr>
        <w:t>(CITED IN THE FINAL REPORT)</w:t>
      </w:r>
    </w:p>
    <w:p w:rsidR="00DA395F" w:rsidRDefault="00DA395F" w:rsidP="00DA395F">
      <w:pPr>
        <w:pStyle w:val="FootnoteText1"/>
        <w:spacing w:after="0" w:line="240" w:lineRule="auto"/>
        <w:ind w:left="284" w:hanging="284"/>
        <w:rPr>
          <w:rFonts w:asciiTheme="minorHAnsi" w:hAnsiTheme="minorHAnsi"/>
          <w:sz w:val="22"/>
          <w:szCs w:val="22"/>
        </w:rPr>
      </w:pPr>
    </w:p>
    <w:p w:rsidR="00DA395F" w:rsidRPr="00B5498E" w:rsidRDefault="00DA395F" w:rsidP="00DA395F">
      <w:pPr>
        <w:pStyle w:val="FootnoteText1"/>
        <w:spacing w:after="0" w:line="240" w:lineRule="auto"/>
        <w:ind w:left="360" w:hanging="360"/>
        <w:rPr>
          <w:rFonts w:asciiTheme="minorHAnsi" w:hAnsiTheme="minorHAnsi"/>
          <w:sz w:val="22"/>
          <w:szCs w:val="22"/>
        </w:rPr>
      </w:pPr>
      <w:r w:rsidRPr="00B5498E">
        <w:rPr>
          <w:rFonts w:asciiTheme="minorHAnsi" w:hAnsiTheme="minorHAnsi"/>
          <w:sz w:val="22"/>
          <w:szCs w:val="22"/>
        </w:rPr>
        <w:t xml:space="preserve">Ahmed, A.U. 2004. </w:t>
      </w:r>
      <w:r w:rsidRPr="00B5498E">
        <w:rPr>
          <w:rFonts w:asciiTheme="minorHAnsi" w:hAnsiTheme="minorHAnsi"/>
          <w:i/>
          <w:sz w:val="22"/>
          <w:szCs w:val="22"/>
        </w:rPr>
        <w:t>A Review of the Current Policy Regime in Bangladesh in Relation to Climate Change Adaptation, Reducing Vulnerability to Climate Change Project (RVCC).</w:t>
      </w:r>
      <w:r w:rsidRPr="00B5498E">
        <w:rPr>
          <w:rFonts w:asciiTheme="minorHAnsi" w:hAnsiTheme="minorHAnsi"/>
          <w:sz w:val="22"/>
          <w:szCs w:val="22"/>
        </w:rPr>
        <w:t xml:space="preserve"> CARE Bangladesh, Khulna.</w:t>
      </w:r>
    </w:p>
    <w:p w:rsidR="00DA395F" w:rsidRPr="00B5498E" w:rsidRDefault="00DA395F" w:rsidP="00DA395F">
      <w:pPr>
        <w:pStyle w:val="FootnoteText1"/>
        <w:spacing w:after="0" w:line="240" w:lineRule="auto"/>
        <w:ind w:left="284" w:hanging="284"/>
        <w:rPr>
          <w:rFonts w:asciiTheme="minorHAnsi" w:eastAsia="Arial Unicode MS" w:hAnsiTheme="minorHAnsi" w:cs="Times New Roman"/>
          <w:color w:val="auto"/>
          <w:sz w:val="22"/>
          <w:szCs w:val="22"/>
        </w:rPr>
      </w:pPr>
    </w:p>
    <w:p w:rsidR="00DA395F" w:rsidRPr="00B5498E" w:rsidRDefault="00DA395F" w:rsidP="00DA395F">
      <w:pPr>
        <w:pStyle w:val="FootnoteText1"/>
        <w:spacing w:after="0" w:line="240" w:lineRule="auto"/>
        <w:ind w:left="360" w:hanging="360"/>
        <w:rPr>
          <w:rFonts w:asciiTheme="minorHAnsi" w:hAnsiTheme="minorHAnsi"/>
          <w:sz w:val="22"/>
          <w:szCs w:val="22"/>
        </w:rPr>
      </w:pPr>
      <w:r w:rsidRPr="00B5498E">
        <w:rPr>
          <w:rFonts w:asciiTheme="minorHAnsi" w:hAnsiTheme="minorHAnsi"/>
          <w:sz w:val="22"/>
          <w:szCs w:val="22"/>
        </w:rPr>
        <w:t xml:space="preserve">Ahmed, A.U. 2005. Adaptation options for managing water related extreme events under climate change regime: Bangladesh perspectives. In Mirza M.M.Q. and Ahmed, Q.K. (eds.). </w:t>
      </w:r>
      <w:r w:rsidRPr="00B5498E">
        <w:rPr>
          <w:rFonts w:asciiTheme="minorHAnsi" w:hAnsiTheme="minorHAnsi"/>
          <w:i/>
          <w:iCs/>
          <w:sz w:val="22"/>
          <w:szCs w:val="22"/>
        </w:rPr>
        <w:t>Climate Change and Water Resources in South Asia.</w:t>
      </w:r>
      <w:r w:rsidRPr="00B5498E">
        <w:rPr>
          <w:rFonts w:asciiTheme="minorHAnsi" w:hAnsiTheme="minorHAnsi"/>
          <w:sz w:val="22"/>
          <w:szCs w:val="22"/>
        </w:rPr>
        <w:t>Balkema Press, Leiden, pp. 255-278.</w:t>
      </w:r>
    </w:p>
    <w:p w:rsidR="00DA395F" w:rsidRPr="00B5498E" w:rsidRDefault="00DA395F" w:rsidP="00DA395F">
      <w:pPr>
        <w:pStyle w:val="FootnoteText1"/>
        <w:spacing w:after="0" w:line="240" w:lineRule="auto"/>
        <w:ind w:left="284" w:hanging="284"/>
        <w:rPr>
          <w:rFonts w:asciiTheme="minorHAnsi" w:hAnsiTheme="minorHAnsi"/>
          <w:sz w:val="22"/>
          <w:szCs w:val="22"/>
        </w:rPr>
      </w:pPr>
    </w:p>
    <w:p w:rsidR="00DA395F" w:rsidRPr="00B5498E" w:rsidRDefault="00DA395F" w:rsidP="00DA395F">
      <w:pPr>
        <w:pStyle w:val="FootnoteText1"/>
        <w:spacing w:after="0" w:line="240" w:lineRule="auto"/>
        <w:ind w:left="360" w:hanging="360"/>
        <w:rPr>
          <w:rFonts w:asciiTheme="minorHAnsi" w:hAnsiTheme="minorHAnsi"/>
          <w:sz w:val="22"/>
          <w:szCs w:val="22"/>
        </w:rPr>
      </w:pPr>
      <w:r w:rsidRPr="00B5498E">
        <w:rPr>
          <w:rFonts w:asciiTheme="minorHAnsi" w:hAnsiTheme="minorHAnsi"/>
          <w:sz w:val="22"/>
          <w:szCs w:val="22"/>
        </w:rPr>
        <w:t xml:space="preserve">Ahmed, A.U. and Neelormi, S. 2007. </w:t>
      </w:r>
      <w:r w:rsidRPr="00B5498E">
        <w:rPr>
          <w:rFonts w:asciiTheme="minorHAnsi" w:hAnsiTheme="minorHAnsi"/>
          <w:i/>
          <w:sz w:val="22"/>
          <w:szCs w:val="22"/>
        </w:rPr>
        <w:t>Livelihoods of Coastal Fishermen in Peril: In search of Early Evidence of Climate Change Induced Adverse Effects in Bangladesh.</w:t>
      </w:r>
      <w:r w:rsidRPr="00B5498E">
        <w:rPr>
          <w:rFonts w:asciiTheme="minorHAnsi" w:hAnsiTheme="minorHAnsi"/>
          <w:sz w:val="22"/>
          <w:szCs w:val="22"/>
        </w:rPr>
        <w:t xml:space="preserve"> Centre for Global Change, Dhaka.</w:t>
      </w:r>
    </w:p>
    <w:p w:rsidR="00DA395F" w:rsidRPr="00B5498E" w:rsidRDefault="00DA395F" w:rsidP="00DA395F">
      <w:pPr>
        <w:pStyle w:val="FootnoteText"/>
        <w:spacing w:after="0" w:line="240" w:lineRule="auto"/>
        <w:rPr>
          <w:rFonts w:asciiTheme="minorHAnsi" w:hAnsiTheme="minorHAnsi"/>
          <w:sz w:val="22"/>
          <w:szCs w:val="22"/>
        </w:rPr>
      </w:pPr>
    </w:p>
    <w:p w:rsidR="00DA395F" w:rsidRPr="00B5498E" w:rsidRDefault="00DA395F" w:rsidP="00DA395F">
      <w:pPr>
        <w:pStyle w:val="FootnoteText"/>
        <w:spacing w:after="0" w:line="240" w:lineRule="auto"/>
        <w:rPr>
          <w:rFonts w:asciiTheme="minorHAnsi" w:hAnsiTheme="minorHAnsi"/>
          <w:sz w:val="22"/>
          <w:szCs w:val="22"/>
        </w:rPr>
      </w:pPr>
      <w:r w:rsidRPr="00B5498E">
        <w:rPr>
          <w:rFonts w:asciiTheme="minorHAnsi" w:hAnsiTheme="minorHAnsi"/>
          <w:sz w:val="22"/>
          <w:szCs w:val="22"/>
        </w:rPr>
        <w:t xml:space="preserve">Ali, M.Y. 1997. </w:t>
      </w:r>
      <w:r w:rsidRPr="00B5498E">
        <w:rPr>
          <w:rFonts w:asciiTheme="minorHAnsi" w:hAnsiTheme="minorHAnsi"/>
          <w:i/>
          <w:sz w:val="22"/>
          <w:szCs w:val="22"/>
        </w:rPr>
        <w:t>Fish, Water and People.</w:t>
      </w:r>
      <w:r w:rsidRPr="00B5498E">
        <w:rPr>
          <w:rFonts w:asciiTheme="minorHAnsi" w:hAnsiTheme="minorHAnsi"/>
          <w:sz w:val="22"/>
          <w:szCs w:val="22"/>
        </w:rPr>
        <w:t xml:space="preserve"> University Press Limited, Dhaka.</w:t>
      </w:r>
    </w:p>
    <w:p w:rsidR="00DA395F" w:rsidRPr="00B5498E" w:rsidRDefault="00DA395F" w:rsidP="00DA395F">
      <w:pPr>
        <w:pStyle w:val="FootnoteText"/>
        <w:spacing w:after="0" w:line="240" w:lineRule="auto"/>
        <w:rPr>
          <w:rFonts w:asciiTheme="minorHAnsi" w:hAnsiTheme="minorHAnsi"/>
          <w:sz w:val="22"/>
          <w:szCs w:val="22"/>
          <w:lang w:val="en-US"/>
        </w:rPr>
      </w:pPr>
    </w:p>
    <w:p w:rsidR="00DA395F" w:rsidRPr="00B5498E" w:rsidRDefault="00DA395F" w:rsidP="00DA395F">
      <w:pPr>
        <w:pStyle w:val="FootnoteText"/>
        <w:spacing w:after="0" w:line="240" w:lineRule="auto"/>
        <w:ind w:left="360" w:hanging="360"/>
        <w:rPr>
          <w:rFonts w:asciiTheme="minorHAnsi" w:hAnsiTheme="minorHAnsi"/>
          <w:sz w:val="22"/>
          <w:szCs w:val="22"/>
        </w:rPr>
      </w:pPr>
      <w:r w:rsidRPr="00B5498E">
        <w:rPr>
          <w:rFonts w:asciiTheme="minorHAnsi" w:hAnsiTheme="minorHAnsi"/>
          <w:sz w:val="22"/>
          <w:szCs w:val="22"/>
        </w:rPr>
        <w:t xml:space="preserve">Asadullah, M.N., Savoia, A. and Mahmud, W. 2014. Paths to Development: Is there a Bangladesh Surprise? </w:t>
      </w:r>
      <w:r w:rsidRPr="00B5498E">
        <w:rPr>
          <w:rFonts w:asciiTheme="minorHAnsi" w:hAnsiTheme="minorHAnsi"/>
          <w:i/>
          <w:sz w:val="22"/>
          <w:szCs w:val="22"/>
        </w:rPr>
        <w:t>World Development</w:t>
      </w:r>
      <w:r w:rsidRPr="00B5498E">
        <w:rPr>
          <w:rFonts w:asciiTheme="minorHAnsi" w:hAnsiTheme="minorHAnsi"/>
          <w:sz w:val="22"/>
          <w:szCs w:val="22"/>
        </w:rPr>
        <w:t xml:space="preserve"> 62: 138-154.</w:t>
      </w:r>
    </w:p>
    <w:p w:rsidR="00DA395F" w:rsidRPr="00B5498E" w:rsidRDefault="00DA395F" w:rsidP="00DA395F">
      <w:pPr>
        <w:pStyle w:val="Body"/>
        <w:spacing w:after="0" w:line="240" w:lineRule="auto"/>
        <w:rPr>
          <w:rFonts w:asciiTheme="minorHAnsi" w:hAnsiTheme="minorHAnsi" w:cstheme="minorHAnsi"/>
          <w:lang w:val="en-US"/>
        </w:rPr>
      </w:pPr>
    </w:p>
    <w:p w:rsidR="00DA395F" w:rsidRPr="00B5498E" w:rsidRDefault="00DA395F" w:rsidP="00DA395F">
      <w:pPr>
        <w:pStyle w:val="FootnoteText"/>
        <w:spacing w:after="0" w:line="240" w:lineRule="auto"/>
        <w:ind w:left="360" w:hanging="360"/>
        <w:rPr>
          <w:rFonts w:asciiTheme="minorHAnsi" w:hAnsiTheme="minorHAnsi" w:cstheme="minorHAnsi"/>
          <w:bCs/>
          <w:sz w:val="22"/>
          <w:szCs w:val="22"/>
          <w:lang w:val="en-US" w:eastAsia="en-US"/>
        </w:rPr>
      </w:pPr>
      <w:r w:rsidRPr="00B5498E">
        <w:rPr>
          <w:rFonts w:asciiTheme="minorHAnsi" w:hAnsiTheme="minorHAnsi" w:cstheme="minorHAnsi"/>
          <w:bCs/>
          <w:sz w:val="22"/>
          <w:szCs w:val="22"/>
          <w:lang w:val="en-US" w:eastAsia="en-US"/>
        </w:rPr>
        <w:t>Choudhury, J.K. and Hossain, A.A.M. 2011.</w:t>
      </w:r>
      <w:r w:rsidRPr="00B5498E">
        <w:rPr>
          <w:rFonts w:asciiTheme="minorHAnsi" w:hAnsiTheme="minorHAnsi" w:cstheme="minorHAnsi"/>
          <w:bCs/>
          <w:i/>
          <w:sz w:val="22"/>
          <w:szCs w:val="22"/>
          <w:lang w:val="en-US" w:eastAsia="en-US"/>
        </w:rPr>
        <w:t>Bangladesh Forestry Outlook Study.</w:t>
      </w:r>
      <w:r w:rsidRPr="00B5498E">
        <w:rPr>
          <w:rFonts w:asciiTheme="minorHAnsi" w:hAnsiTheme="minorHAnsi" w:cstheme="minorHAnsi"/>
          <w:bCs/>
          <w:sz w:val="22"/>
          <w:szCs w:val="22"/>
          <w:lang w:val="en-US" w:eastAsia="en-US"/>
        </w:rPr>
        <w:t xml:space="preserve"> Asia-Pacific Forestry Sector Outlook Study II, Working Paper Series, Working Paper No. APFSOS II/ WP/ 2011/ 33. FAO, Bangkok.</w:t>
      </w:r>
    </w:p>
    <w:p w:rsidR="00DA395F" w:rsidRPr="00B5498E" w:rsidRDefault="00DA395F" w:rsidP="00DA395F">
      <w:pPr>
        <w:pStyle w:val="FootnoteText"/>
        <w:spacing w:after="0" w:line="240" w:lineRule="auto"/>
        <w:ind w:left="284" w:hanging="284"/>
        <w:rPr>
          <w:rFonts w:asciiTheme="minorHAnsi" w:hAnsiTheme="minorHAnsi" w:cstheme="minorHAnsi"/>
          <w:sz w:val="22"/>
          <w:szCs w:val="22"/>
          <w:lang w:val="en-US"/>
        </w:rPr>
      </w:pPr>
    </w:p>
    <w:p w:rsidR="00DA395F" w:rsidRPr="00B5498E" w:rsidRDefault="00DA395F" w:rsidP="00DA395F">
      <w:pPr>
        <w:spacing w:after="0" w:line="240" w:lineRule="auto"/>
        <w:ind w:left="360" w:hanging="360"/>
        <w:rPr>
          <w:rFonts w:asciiTheme="minorHAnsi" w:hAnsiTheme="minorHAnsi"/>
        </w:rPr>
      </w:pPr>
      <w:r w:rsidRPr="00B5498E">
        <w:rPr>
          <w:rFonts w:asciiTheme="minorHAnsi" w:hAnsiTheme="minorHAnsi"/>
        </w:rPr>
        <w:t>Cutter, S.L. et al. 2008.A place-based model for understanding community resilience to natural disasters.</w:t>
      </w:r>
      <w:r w:rsidRPr="00B5498E">
        <w:rPr>
          <w:rFonts w:asciiTheme="minorHAnsi" w:hAnsiTheme="minorHAnsi"/>
          <w:i/>
        </w:rPr>
        <w:t xml:space="preserve">Global Environment Change </w:t>
      </w:r>
      <w:r w:rsidRPr="00B5498E">
        <w:rPr>
          <w:rFonts w:asciiTheme="minorHAnsi" w:hAnsiTheme="minorHAnsi"/>
        </w:rPr>
        <w:t>18:598-606.</w:t>
      </w:r>
    </w:p>
    <w:p w:rsidR="00DA395F" w:rsidRPr="00B5498E" w:rsidRDefault="00DA395F" w:rsidP="00DA395F">
      <w:pPr>
        <w:spacing w:after="0" w:line="240" w:lineRule="auto"/>
        <w:ind w:left="284" w:hanging="284"/>
        <w:rPr>
          <w:rFonts w:asciiTheme="minorHAnsi" w:hAnsiTheme="minorHAnsi"/>
          <w:i/>
        </w:rPr>
      </w:pPr>
    </w:p>
    <w:p w:rsidR="00DA395F" w:rsidRPr="00B5498E" w:rsidRDefault="00DA395F" w:rsidP="00DA395F">
      <w:pPr>
        <w:pStyle w:val="FootnoteText1"/>
        <w:spacing w:after="0" w:line="240" w:lineRule="auto"/>
        <w:ind w:left="360" w:hanging="360"/>
        <w:rPr>
          <w:rFonts w:asciiTheme="minorHAnsi" w:hAnsiTheme="minorHAnsi"/>
          <w:sz w:val="22"/>
          <w:szCs w:val="22"/>
        </w:rPr>
      </w:pPr>
      <w:r w:rsidRPr="00B5498E">
        <w:rPr>
          <w:rFonts w:asciiTheme="minorHAnsi" w:hAnsiTheme="minorHAnsi"/>
          <w:sz w:val="22"/>
          <w:szCs w:val="22"/>
        </w:rPr>
        <w:t xml:space="preserve">General Economics Division. 2011. </w:t>
      </w:r>
      <w:r w:rsidRPr="00B5498E">
        <w:rPr>
          <w:rFonts w:asciiTheme="minorHAnsi" w:hAnsiTheme="minorHAnsi"/>
          <w:i/>
          <w:sz w:val="22"/>
          <w:szCs w:val="22"/>
        </w:rPr>
        <w:t xml:space="preserve">Sixth Five Year Plan 2011-2015, </w:t>
      </w:r>
      <w:r w:rsidRPr="00B5498E">
        <w:rPr>
          <w:rFonts w:asciiTheme="minorHAnsi" w:hAnsiTheme="minorHAnsi"/>
          <w:sz w:val="22"/>
          <w:szCs w:val="22"/>
        </w:rPr>
        <w:t>Part-1, Planning Commission, Ministry of Planning, Government of Bangladesh, Dhaka.</w:t>
      </w:r>
    </w:p>
    <w:p w:rsidR="00DA395F" w:rsidRPr="00B5498E" w:rsidRDefault="00DA395F" w:rsidP="00DA395F">
      <w:pPr>
        <w:pStyle w:val="FootnoteText1"/>
        <w:spacing w:after="0" w:line="240" w:lineRule="auto"/>
        <w:ind w:left="284" w:hanging="284"/>
        <w:rPr>
          <w:rFonts w:asciiTheme="minorHAnsi" w:eastAsia="Arial Unicode MS" w:hAnsiTheme="minorHAnsi" w:cs="Times New Roman"/>
          <w:color w:val="auto"/>
          <w:sz w:val="22"/>
          <w:szCs w:val="22"/>
        </w:rPr>
      </w:pPr>
    </w:p>
    <w:p w:rsidR="00DA395F" w:rsidRPr="00B5498E" w:rsidRDefault="00DA395F" w:rsidP="00DA395F">
      <w:pPr>
        <w:pStyle w:val="FootnoteText1"/>
        <w:spacing w:after="0" w:line="240" w:lineRule="auto"/>
        <w:ind w:left="360" w:hanging="360"/>
        <w:rPr>
          <w:rFonts w:asciiTheme="minorHAnsi" w:eastAsia="Arial Unicode MS" w:hAnsiTheme="minorHAnsi" w:cs="Times New Roman"/>
          <w:color w:val="auto"/>
          <w:sz w:val="22"/>
          <w:szCs w:val="22"/>
        </w:rPr>
      </w:pPr>
      <w:r w:rsidRPr="00B5498E">
        <w:rPr>
          <w:rFonts w:asciiTheme="minorHAnsi" w:hAnsiTheme="minorHAnsi"/>
          <w:sz w:val="22"/>
          <w:szCs w:val="22"/>
        </w:rPr>
        <w:t xml:space="preserve">General Economics Division. 2011. </w:t>
      </w:r>
      <w:r w:rsidRPr="00B5498E">
        <w:rPr>
          <w:rFonts w:asciiTheme="minorHAnsi" w:hAnsiTheme="minorHAnsi"/>
          <w:i/>
          <w:sz w:val="22"/>
          <w:szCs w:val="22"/>
        </w:rPr>
        <w:t xml:space="preserve">Sixth Five Year Plan 2011-2015, </w:t>
      </w:r>
      <w:r w:rsidRPr="00B5498E">
        <w:rPr>
          <w:rFonts w:asciiTheme="minorHAnsi" w:hAnsiTheme="minorHAnsi"/>
          <w:sz w:val="22"/>
          <w:szCs w:val="22"/>
        </w:rPr>
        <w:t>Part-2, Sectoral Strategies, Programmes and Policies. Planning Commission, Ministry of Planning, Government of Bangladesh, Dhaka.</w:t>
      </w:r>
    </w:p>
    <w:p w:rsidR="00DA395F" w:rsidRPr="00B5498E" w:rsidRDefault="00DA395F" w:rsidP="00DA395F">
      <w:pPr>
        <w:pStyle w:val="FootnoteText1"/>
        <w:spacing w:after="0" w:line="240" w:lineRule="auto"/>
        <w:ind w:left="284" w:hanging="284"/>
        <w:rPr>
          <w:rFonts w:asciiTheme="minorHAnsi" w:eastAsia="Arial Unicode MS" w:hAnsiTheme="minorHAnsi" w:cs="Times New Roman"/>
          <w:color w:val="auto"/>
          <w:sz w:val="22"/>
          <w:szCs w:val="22"/>
        </w:rPr>
      </w:pPr>
    </w:p>
    <w:p w:rsidR="00DA395F" w:rsidRPr="00B5498E" w:rsidRDefault="00DA395F" w:rsidP="00DA395F">
      <w:pPr>
        <w:ind w:left="360" w:hanging="360"/>
        <w:jc w:val="both"/>
        <w:rPr>
          <w:rFonts w:asciiTheme="minorHAnsi" w:eastAsiaTheme="minorEastAsia" w:hAnsiTheme="minorHAnsi" w:cstheme="minorBidi"/>
        </w:rPr>
      </w:pPr>
      <w:r w:rsidRPr="00B5498E">
        <w:rPr>
          <w:rFonts w:asciiTheme="minorHAnsi" w:eastAsiaTheme="minorEastAsia" w:hAnsiTheme="minorHAnsi" w:cstheme="minorBidi"/>
        </w:rPr>
        <w:t xml:space="preserve">GED (General Economics Division). 2014. </w:t>
      </w:r>
      <w:r w:rsidRPr="00B5498E">
        <w:rPr>
          <w:rFonts w:asciiTheme="minorHAnsi" w:eastAsiaTheme="minorEastAsia" w:hAnsiTheme="minorHAnsi" w:cstheme="minorBidi"/>
          <w:i/>
        </w:rPr>
        <w:t>Manual of Instruction for Preparation of Development Project Proforma</w:t>
      </w:r>
      <w:r w:rsidRPr="00B5498E">
        <w:rPr>
          <w:rFonts w:asciiTheme="minorHAnsi" w:eastAsiaTheme="minorEastAsia" w:hAnsiTheme="minorHAnsi" w:cstheme="minorBidi"/>
        </w:rPr>
        <w:t>, Planning Commission, Ministry of Planning, Government of Bangladesh, Dhaka</w:t>
      </w:r>
    </w:p>
    <w:p w:rsidR="00DA395F" w:rsidRPr="00B5498E" w:rsidRDefault="00DA395F" w:rsidP="00DA395F">
      <w:pPr>
        <w:pStyle w:val="FootnoteText"/>
        <w:ind w:left="360" w:hanging="360"/>
        <w:rPr>
          <w:rFonts w:asciiTheme="minorHAnsi" w:hAnsiTheme="minorHAnsi"/>
          <w:sz w:val="22"/>
          <w:szCs w:val="22"/>
          <w:lang w:val="en-US"/>
        </w:rPr>
      </w:pPr>
      <w:r w:rsidRPr="00B5498E">
        <w:rPr>
          <w:rFonts w:asciiTheme="minorHAnsi" w:hAnsiTheme="minorHAnsi"/>
          <w:sz w:val="22"/>
          <w:szCs w:val="22"/>
        </w:rPr>
        <w:t xml:space="preserve">Government of Bangladesh. 2009. </w:t>
      </w:r>
      <w:r w:rsidRPr="00B5498E">
        <w:rPr>
          <w:rFonts w:asciiTheme="minorHAnsi" w:hAnsiTheme="minorHAnsi"/>
          <w:i/>
          <w:sz w:val="22"/>
          <w:szCs w:val="22"/>
        </w:rPr>
        <w:t>Bangladesh Climate Change Strategy and Action Plan (BCCSAP).</w:t>
      </w:r>
      <w:r w:rsidRPr="00B5498E">
        <w:rPr>
          <w:rFonts w:asciiTheme="minorHAnsi" w:hAnsiTheme="minorHAnsi"/>
          <w:sz w:val="22"/>
          <w:szCs w:val="22"/>
        </w:rPr>
        <w:t>Government of the People’s Republic of Bangladesh, Dhaka.</w:t>
      </w:r>
    </w:p>
    <w:p w:rsidR="00DA395F" w:rsidRPr="00B5498E" w:rsidRDefault="00DA395F" w:rsidP="00DA395F">
      <w:pPr>
        <w:pStyle w:val="FootnoteText"/>
        <w:spacing w:after="0" w:line="240" w:lineRule="auto"/>
        <w:ind w:left="360" w:hanging="360"/>
        <w:rPr>
          <w:rFonts w:asciiTheme="minorHAnsi" w:hAnsiTheme="minorHAnsi"/>
          <w:sz w:val="22"/>
          <w:szCs w:val="22"/>
        </w:rPr>
      </w:pPr>
      <w:r w:rsidRPr="00B5498E">
        <w:rPr>
          <w:rFonts w:asciiTheme="minorHAnsi" w:hAnsiTheme="minorHAnsi"/>
          <w:sz w:val="22"/>
          <w:szCs w:val="22"/>
        </w:rPr>
        <w:t xml:space="preserve">Haque, M.M-Ul. 2013. </w:t>
      </w:r>
      <w:r w:rsidRPr="00B5498E">
        <w:rPr>
          <w:rFonts w:asciiTheme="minorHAnsi" w:hAnsiTheme="minorHAnsi"/>
          <w:i/>
          <w:sz w:val="22"/>
          <w:szCs w:val="22"/>
        </w:rPr>
        <w:t>Impact of BaikkaBeel Sanctuary on Protection and Restoration of Fish Biodiversity and Enhancement of Local Livelihoods. Connecting communities and conservation: Co-management Initiatives Implemented by IPAC in Wetlands and Forests of Bangladesh.</w:t>
      </w:r>
      <w:r w:rsidRPr="00B5498E">
        <w:rPr>
          <w:rFonts w:asciiTheme="minorHAnsi" w:hAnsiTheme="minorHAnsi"/>
          <w:sz w:val="22"/>
          <w:szCs w:val="22"/>
        </w:rPr>
        <w:t>East-West Centre, Hawaii, USA.</w:t>
      </w:r>
    </w:p>
    <w:p w:rsidR="00DA395F" w:rsidRPr="00B5498E" w:rsidRDefault="00DA395F" w:rsidP="00DA395F">
      <w:pPr>
        <w:pStyle w:val="FootnoteText"/>
        <w:spacing w:after="0" w:line="240" w:lineRule="auto"/>
        <w:ind w:left="284" w:hanging="284"/>
        <w:rPr>
          <w:rFonts w:asciiTheme="minorHAnsi" w:hAnsiTheme="minorHAnsi"/>
          <w:sz w:val="22"/>
          <w:szCs w:val="22"/>
        </w:rPr>
      </w:pPr>
    </w:p>
    <w:p w:rsidR="00DA395F" w:rsidRPr="00B5498E" w:rsidRDefault="00DA395F" w:rsidP="00DA395F">
      <w:pPr>
        <w:pStyle w:val="FootnoteText1"/>
        <w:spacing w:after="0" w:line="240" w:lineRule="auto"/>
        <w:ind w:left="360" w:hanging="360"/>
        <w:rPr>
          <w:rFonts w:asciiTheme="minorHAnsi" w:hAnsiTheme="minorHAnsi"/>
          <w:sz w:val="22"/>
          <w:szCs w:val="22"/>
        </w:rPr>
      </w:pPr>
      <w:r w:rsidRPr="00B5498E">
        <w:rPr>
          <w:rFonts w:asciiTheme="minorHAnsi" w:hAnsiTheme="minorHAnsi"/>
          <w:sz w:val="22"/>
          <w:szCs w:val="22"/>
        </w:rPr>
        <w:t>Khan, N.A. et al. 1999.The politics of the Bangladesh Environmental Protection Act.</w:t>
      </w:r>
      <w:r w:rsidRPr="00B5498E">
        <w:rPr>
          <w:rFonts w:asciiTheme="minorHAnsi" w:hAnsiTheme="minorHAnsi"/>
          <w:i/>
          <w:sz w:val="22"/>
          <w:szCs w:val="22"/>
        </w:rPr>
        <w:t>Environment Politics</w:t>
      </w:r>
      <w:r w:rsidRPr="00B5498E">
        <w:rPr>
          <w:rFonts w:asciiTheme="minorHAnsi" w:hAnsiTheme="minorHAnsi"/>
          <w:sz w:val="22"/>
          <w:szCs w:val="22"/>
        </w:rPr>
        <w:t xml:space="preserve">  8, 311-317.</w:t>
      </w:r>
    </w:p>
    <w:p w:rsidR="00DA395F" w:rsidRPr="00B5498E" w:rsidRDefault="00DA395F" w:rsidP="00DA395F">
      <w:pPr>
        <w:pStyle w:val="FootnoteText1"/>
        <w:spacing w:after="0" w:line="240" w:lineRule="auto"/>
        <w:ind w:left="284" w:hanging="284"/>
        <w:rPr>
          <w:rFonts w:asciiTheme="minorHAnsi" w:eastAsia="Arial Unicode MS" w:hAnsiTheme="minorHAnsi" w:cs="Times New Roman"/>
          <w:color w:val="auto"/>
          <w:sz w:val="22"/>
          <w:szCs w:val="22"/>
        </w:rPr>
      </w:pPr>
    </w:p>
    <w:p w:rsidR="00DA395F" w:rsidRPr="00B5498E" w:rsidRDefault="00DA395F" w:rsidP="00DA395F">
      <w:pPr>
        <w:pStyle w:val="FootnoteText"/>
        <w:spacing w:after="0" w:line="240" w:lineRule="auto"/>
        <w:ind w:left="360" w:hanging="360"/>
        <w:rPr>
          <w:rFonts w:asciiTheme="minorHAnsi" w:hAnsiTheme="minorHAnsi"/>
          <w:sz w:val="22"/>
          <w:szCs w:val="22"/>
        </w:rPr>
      </w:pPr>
      <w:r w:rsidRPr="00B5498E">
        <w:rPr>
          <w:rFonts w:asciiTheme="minorHAnsi" w:hAnsiTheme="minorHAnsi"/>
          <w:sz w:val="22"/>
          <w:szCs w:val="22"/>
        </w:rPr>
        <w:lastRenderedPageBreak/>
        <w:t>Mahmud, W., Asadullah, M.N. and Savoia, A. 2013. Bangladesh’s Achievements in Social Development Indicators: Explaining the Puzzle. Policy Brief 31012, April 2013. International Growth Center.</w:t>
      </w:r>
    </w:p>
    <w:p w:rsidR="00DA395F" w:rsidRPr="00B5498E" w:rsidRDefault="00DA395F" w:rsidP="00DA395F">
      <w:pPr>
        <w:pStyle w:val="FootnoteText1"/>
        <w:spacing w:after="0" w:line="240" w:lineRule="auto"/>
        <w:ind w:left="284" w:hanging="284"/>
        <w:rPr>
          <w:rFonts w:asciiTheme="minorHAnsi" w:hAnsiTheme="minorHAnsi"/>
          <w:sz w:val="22"/>
          <w:szCs w:val="22"/>
        </w:rPr>
      </w:pPr>
    </w:p>
    <w:p w:rsidR="00DA395F" w:rsidRPr="00B5498E" w:rsidRDefault="00DA395F" w:rsidP="00DA395F">
      <w:pPr>
        <w:pStyle w:val="FootnoteText1"/>
        <w:spacing w:after="0" w:line="240" w:lineRule="auto"/>
        <w:ind w:left="360" w:hanging="360"/>
        <w:rPr>
          <w:rFonts w:asciiTheme="minorHAnsi" w:hAnsiTheme="minorHAnsi"/>
          <w:sz w:val="22"/>
          <w:szCs w:val="22"/>
        </w:rPr>
      </w:pPr>
      <w:r w:rsidRPr="00B5498E">
        <w:rPr>
          <w:rFonts w:asciiTheme="minorHAnsi" w:hAnsiTheme="minorHAnsi"/>
          <w:sz w:val="22"/>
          <w:szCs w:val="22"/>
        </w:rPr>
        <w:t>Maplecroft, 2015. Verisk Maplecroft – New Products and Analysis. [http://maplecroft.com/about/news/ccvi.html], accessed on May 27, 2015.</w:t>
      </w:r>
    </w:p>
    <w:p w:rsidR="00DA395F" w:rsidRPr="00B5498E" w:rsidRDefault="00DA395F" w:rsidP="00DA395F">
      <w:pPr>
        <w:pStyle w:val="FootnoteText1"/>
        <w:spacing w:after="0" w:line="240" w:lineRule="auto"/>
        <w:ind w:left="284" w:hanging="284"/>
        <w:rPr>
          <w:rFonts w:asciiTheme="minorHAnsi" w:eastAsia="Cambria" w:hAnsiTheme="minorHAnsi" w:cs="Cambria"/>
          <w:sz w:val="22"/>
          <w:szCs w:val="22"/>
        </w:rPr>
      </w:pPr>
    </w:p>
    <w:p w:rsidR="00DA395F" w:rsidRPr="00B5498E" w:rsidRDefault="00DA395F" w:rsidP="00DA395F">
      <w:pPr>
        <w:spacing w:after="0" w:line="240" w:lineRule="auto"/>
        <w:ind w:left="360" w:hanging="360"/>
        <w:rPr>
          <w:rFonts w:asciiTheme="minorHAnsi" w:hAnsiTheme="minorHAnsi"/>
          <w:lang w:val="en-US"/>
        </w:rPr>
      </w:pPr>
      <w:r w:rsidRPr="00B5498E">
        <w:rPr>
          <w:rFonts w:asciiTheme="minorHAnsi" w:hAnsiTheme="minorHAnsi" w:cstheme="minorHAnsi"/>
          <w:lang w:val="en-US"/>
        </w:rPr>
        <w:t>Ministry of Disaster Management and Relief. 2015.  A Value for Money Analysis Report, Final Ver</w:t>
      </w:r>
      <w:r w:rsidR="00F23C17">
        <w:rPr>
          <w:rFonts w:asciiTheme="minorHAnsi" w:hAnsiTheme="minorHAnsi" w:cstheme="minorHAnsi"/>
          <w:lang w:val="en-US"/>
        </w:rPr>
        <w:t xml:space="preserve">sion, </w:t>
      </w:r>
      <w:r w:rsidRPr="00B5498E">
        <w:rPr>
          <w:rFonts w:asciiTheme="minorHAnsi" w:hAnsiTheme="minorHAnsi"/>
        </w:rPr>
        <w:t>Government of the People’s Republic of Bangladesh, Dhaka.</w:t>
      </w:r>
    </w:p>
    <w:p w:rsidR="00DA395F" w:rsidRPr="00B5498E" w:rsidRDefault="00DA395F" w:rsidP="00DA395F">
      <w:pPr>
        <w:tabs>
          <w:tab w:val="left" w:pos="-720"/>
          <w:tab w:val="left" w:pos="0"/>
          <w:tab w:val="left" w:pos="720"/>
          <w:tab w:val="left" w:pos="1440"/>
        </w:tabs>
        <w:autoSpaceDE w:val="0"/>
        <w:autoSpaceDN w:val="0"/>
        <w:adjustRightInd w:val="0"/>
        <w:spacing w:after="0" w:line="240" w:lineRule="auto"/>
        <w:jc w:val="both"/>
        <w:rPr>
          <w:rFonts w:asciiTheme="minorHAnsi" w:eastAsiaTheme="minorEastAsia" w:hAnsiTheme="minorHAnsi" w:cstheme="minorBidi"/>
        </w:rPr>
      </w:pPr>
    </w:p>
    <w:p w:rsidR="00DA395F" w:rsidRPr="00B5498E" w:rsidRDefault="00DA395F" w:rsidP="00DA395F">
      <w:pPr>
        <w:pStyle w:val="FootnoteText"/>
        <w:ind w:left="360" w:hanging="360"/>
        <w:rPr>
          <w:rFonts w:asciiTheme="minorHAnsi" w:hAnsiTheme="minorHAnsi"/>
          <w:sz w:val="22"/>
          <w:szCs w:val="22"/>
          <w:lang w:val="en-US"/>
        </w:rPr>
      </w:pPr>
      <w:r w:rsidRPr="00B5498E">
        <w:rPr>
          <w:rFonts w:asciiTheme="minorHAnsi" w:hAnsiTheme="minorHAnsi"/>
          <w:sz w:val="22"/>
          <w:szCs w:val="22"/>
          <w:u w:color="FF0000"/>
        </w:rPr>
        <w:t xml:space="preserve">Ministry of Environment and Forests. 2005. </w:t>
      </w:r>
      <w:r w:rsidRPr="00B5498E">
        <w:rPr>
          <w:rFonts w:asciiTheme="minorHAnsi" w:hAnsiTheme="minorHAnsi"/>
          <w:i/>
          <w:sz w:val="22"/>
          <w:szCs w:val="22"/>
          <w:u w:color="FF0000"/>
        </w:rPr>
        <w:t xml:space="preserve">The National Biodiversity Strategy and Action Plan for Bangladesh.  </w:t>
      </w:r>
      <w:r w:rsidRPr="00B5498E">
        <w:rPr>
          <w:rFonts w:asciiTheme="minorHAnsi" w:hAnsiTheme="minorHAnsi"/>
          <w:sz w:val="22"/>
          <w:szCs w:val="22"/>
        </w:rPr>
        <w:t>Government of the People’s Republic of Bangladesh, Dhaka</w:t>
      </w:r>
    </w:p>
    <w:p w:rsidR="00DA395F" w:rsidRPr="00B5498E" w:rsidRDefault="00DA395F" w:rsidP="00DA395F">
      <w:pPr>
        <w:pStyle w:val="FootnoteText"/>
        <w:ind w:left="360" w:hanging="360"/>
        <w:rPr>
          <w:rFonts w:asciiTheme="minorHAnsi" w:hAnsiTheme="minorHAnsi"/>
          <w:sz w:val="22"/>
          <w:szCs w:val="22"/>
          <w:lang w:val="en-US"/>
        </w:rPr>
      </w:pPr>
      <w:r w:rsidRPr="00B5498E">
        <w:rPr>
          <w:rFonts w:asciiTheme="minorHAnsi" w:hAnsiTheme="minorHAnsi"/>
          <w:sz w:val="22"/>
          <w:szCs w:val="22"/>
        </w:rPr>
        <w:t xml:space="preserve">Ministry of Environment and Forests (MoEF), 2005. </w:t>
      </w:r>
      <w:r w:rsidRPr="00B5498E">
        <w:rPr>
          <w:rFonts w:asciiTheme="minorHAnsi" w:hAnsiTheme="minorHAnsi"/>
          <w:i/>
          <w:sz w:val="22"/>
          <w:szCs w:val="22"/>
        </w:rPr>
        <w:t>National Adaptation Program of Action (NAPA).</w:t>
      </w:r>
      <w:r w:rsidRPr="00B5498E">
        <w:rPr>
          <w:rFonts w:asciiTheme="minorHAnsi" w:hAnsiTheme="minorHAnsi"/>
          <w:sz w:val="22"/>
          <w:szCs w:val="22"/>
        </w:rPr>
        <w:t>Government of the People’s Republic of Bangladesh, Dhaka.</w:t>
      </w:r>
    </w:p>
    <w:p w:rsidR="00DA395F" w:rsidRPr="00B5498E" w:rsidRDefault="00DA395F" w:rsidP="00DA395F">
      <w:pPr>
        <w:pStyle w:val="FootnoteText"/>
        <w:ind w:left="360" w:hanging="360"/>
        <w:rPr>
          <w:rFonts w:asciiTheme="minorHAnsi" w:hAnsiTheme="minorHAnsi"/>
          <w:sz w:val="22"/>
          <w:szCs w:val="22"/>
          <w:lang w:val="en-US"/>
        </w:rPr>
      </w:pPr>
      <w:r w:rsidRPr="00B5498E">
        <w:rPr>
          <w:rFonts w:asciiTheme="minorHAnsi" w:hAnsiTheme="minorHAnsi"/>
          <w:sz w:val="22"/>
          <w:szCs w:val="22"/>
          <w:lang w:val="en-US"/>
        </w:rPr>
        <w:t xml:space="preserve">Ministry of Environment and Forests. 2012. </w:t>
      </w:r>
      <w:r w:rsidRPr="00B5498E">
        <w:rPr>
          <w:rFonts w:asciiTheme="minorHAnsi" w:hAnsiTheme="minorHAnsi"/>
          <w:i/>
          <w:sz w:val="22"/>
          <w:szCs w:val="22"/>
          <w:lang w:val="en-US"/>
        </w:rPr>
        <w:t xml:space="preserve">Bangladesh Rio+20: National Report on Sustainable Development. </w:t>
      </w:r>
      <w:r w:rsidRPr="00B5498E">
        <w:rPr>
          <w:rFonts w:asciiTheme="minorHAnsi" w:hAnsiTheme="minorHAnsi"/>
          <w:sz w:val="22"/>
          <w:szCs w:val="22"/>
        </w:rPr>
        <w:t>Government of the People’s Republic of Bangladesh, Dhaka</w:t>
      </w:r>
    </w:p>
    <w:p w:rsidR="00DA395F" w:rsidRPr="00B5498E" w:rsidRDefault="00DA395F" w:rsidP="00DA395F">
      <w:pPr>
        <w:pStyle w:val="FootnoteText2"/>
        <w:ind w:left="360" w:hanging="360"/>
        <w:rPr>
          <w:rFonts w:asciiTheme="minorHAnsi" w:hAnsiTheme="minorHAnsi"/>
          <w:sz w:val="22"/>
          <w:szCs w:val="22"/>
        </w:rPr>
      </w:pPr>
      <w:r w:rsidRPr="00B5498E">
        <w:rPr>
          <w:rFonts w:asciiTheme="minorHAnsi" w:hAnsiTheme="minorHAnsi"/>
          <w:sz w:val="22"/>
          <w:szCs w:val="22"/>
        </w:rPr>
        <w:t>Ministry of Power, Energy and Mineral Resources. 2011. Power System Master Plan 2010. Government of Bangladesh, Japan International Cooperation Agency (JICA), and Tokyo Electric Company, Inc, (IDD-JR-011-029).</w:t>
      </w:r>
    </w:p>
    <w:p w:rsidR="00DA395F" w:rsidRPr="00B5498E" w:rsidRDefault="00DA395F" w:rsidP="00DA395F">
      <w:pPr>
        <w:pStyle w:val="FootnoteText1"/>
        <w:spacing w:after="0" w:line="240" w:lineRule="auto"/>
        <w:ind w:left="284" w:hanging="284"/>
        <w:rPr>
          <w:rFonts w:asciiTheme="minorHAnsi" w:hAnsiTheme="minorHAnsi"/>
          <w:sz w:val="22"/>
          <w:szCs w:val="22"/>
        </w:rPr>
      </w:pPr>
    </w:p>
    <w:p w:rsidR="00DA395F" w:rsidRPr="00B5498E" w:rsidRDefault="00DA395F" w:rsidP="00DA395F">
      <w:pPr>
        <w:pStyle w:val="FootnoteText1"/>
        <w:spacing w:after="0" w:line="240" w:lineRule="auto"/>
        <w:ind w:left="360" w:hanging="360"/>
        <w:rPr>
          <w:rFonts w:asciiTheme="minorHAnsi" w:hAnsiTheme="minorHAnsi"/>
          <w:sz w:val="22"/>
          <w:szCs w:val="22"/>
        </w:rPr>
      </w:pPr>
      <w:r w:rsidRPr="00B5498E">
        <w:rPr>
          <w:rFonts w:asciiTheme="minorHAnsi" w:hAnsiTheme="minorHAnsi"/>
          <w:sz w:val="22"/>
          <w:szCs w:val="22"/>
        </w:rPr>
        <w:t xml:space="preserve">MOEF-UNDP. 2005. </w:t>
      </w:r>
      <w:r w:rsidRPr="00B5498E">
        <w:rPr>
          <w:rFonts w:asciiTheme="minorHAnsi" w:hAnsiTheme="minorHAnsi"/>
          <w:i/>
          <w:sz w:val="22"/>
          <w:szCs w:val="22"/>
        </w:rPr>
        <w:t>National Adaptation Programme of Action, Bangladesh.</w:t>
      </w:r>
      <w:r w:rsidRPr="00B5498E">
        <w:rPr>
          <w:rFonts w:asciiTheme="minorHAnsi" w:hAnsiTheme="minorHAnsi"/>
          <w:sz w:val="22"/>
          <w:szCs w:val="22"/>
        </w:rPr>
        <w:t>Ministry of Environment and Forests.Government of Bangladesh and UNDP, Dhaka.</w:t>
      </w:r>
    </w:p>
    <w:p w:rsidR="00DA395F" w:rsidRPr="00B5498E" w:rsidRDefault="00DA395F" w:rsidP="00DA395F">
      <w:pPr>
        <w:pStyle w:val="FootnoteText"/>
        <w:spacing w:after="0" w:line="240" w:lineRule="auto"/>
        <w:ind w:left="284" w:hanging="284"/>
        <w:rPr>
          <w:rFonts w:asciiTheme="minorHAnsi" w:hAnsiTheme="minorHAnsi"/>
          <w:sz w:val="22"/>
          <w:szCs w:val="22"/>
        </w:rPr>
      </w:pPr>
    </w:p>
    <w:p w:rsidR="00DA395F" w:rsidRPr="00B5498E" w:rsidRDefault="00DA395F" w:rsidP="00DA395F">
      <w:pPr>
        <w:spacing w:after="0" w:line="240" w:lineRule="auto"/>
        <w:ind w:left="360" w:hanging="360"/>
        <w:rPr>
          <w:rFonts w:asciiTheme="minorHAnsi" w:hAnsiTheme="minorHAnsi" w:cstheme="minorHAnsi"/>
        </w:rPr>
      </w:pPr>
      <w:r w:rsidRPr="00B5498E">
        <w:rPr>
          <w:rFonts w:asciiTheme="minorHAnsi" w:hAnsiTheme="minorHAnsi"/>
          <w:lang w:val="en-US"/>
        </w:rPr>
        <w:t xml:space="preserve">Rahman, T. 2015: personal communication. </w:t>
      </w:r>
      <w:r w:rsidRPr="00B5498E">
        <w:rPr>
          <w:rFonts w:asciiTheme="minorHAnsi" w:hAnsiTheme="minorHAnsi" w:cstheme="minorHAnsi"/>
        </w:rPr>
        <w:t>Senior Sector Specialist, Energy, KfW Development Bank, KfW Regional Office Bangladesh, May 10, 2015.</w:t>
      </w:r>
    </w:p>
    <w:p w:rsidR="00DA395F" w:rsidRPr="00B5498E" w:rsidRDefault="00DA395F" w:rsidP="00DA395F">
      <w:pPr>
        <w:spacing w:after="0" w:line="240" w:lineRule="auto"/>
        <w:rPr>
          <w:rFonts w:asciiTheme="minorHAnsi" w:hAnsiTheme="minorHAnsi"/>
          <w:lang w:val="en-US"/>
        </w:rPr>
      </w:pPr>
    </w:p>
    <w:p w:rsidR="00DA395F" w:rsidRPr="00B5498E" w:rsidRDefault="00DA395F" w:rsidP="00DA395F">
      <w:pPr>
        <w:spacing w:after="0" w:line="240" w:lineRule="auto"/>
        <w:ind w:left="360" w:hanging="360"/>
        <w:jc w:val="both"/>
        <w:rPr>
          <w:rFonts w:asciiTheme="minorHAnsi" w:eastAsiaTheme="minorEastAsia" w:hAnsiTheme="minorHAnsi" w:cstheme="minorBidi"/>
          <w:lang w:val="en-GB"/>
        </w:rPr>
      </w:pPr>
      <w:r w:rsidRPr="00B5498E">
        <w:rPr>
          <w:rFonts w:asciiTheme="minorHAnsi" w:eastAsiaTheme="minorEastAsia" w:hAnsiTheme="minorHAnsi" w:cstheme="minorBidi"/>
          <w:lang w:val="en-GB"/>
        </w:rPr>
        <w:t>SREDA (Sustainable and Renewable Energy Development Authority), Min</w:t>
      </w:r>
      <w:r w:rsidR="00F23C17">
        <w:rPr>
          <w:rFonts w:asciiTheme="minorHAnsi" w:eastAsiaTheme="minorEastAsia" w:hAnsiTheme="minorHAnsi" w:cstheme="minorBidi"/>
          <w:lang w:val="en-GB"/>
        </w:rPr>
        <w:t>i</w:t>
      </w:r>
      <w:r w:rsidRPr="00B5498E">
        <w:rPr>
          <w:rFonts w:asciiTheme="minorHAnsi" w:eastAsiaTheme="minorEastAsia" w:hAnsiTheme="minorHAnsi" w:cstheme="minorBidi"/>
          <w:lang w:val="en-GB"/>
        </w:rPr>
        <w:t xml:space="preserve">stry of Power, Energy and Minerals. 2015. </w:t>
      </w:r>
      <w:r w:rsidRPr="00F23C17">
        <w:rPr>
          <w:rFonts w:asciiTheme="minorHAnsi" w:eastAsiaTheme="minorEastAsia" w:hAnsiTheme="minorHAnsi" w:cstheme="minorBidi"/>
          <w:i/>
          <w:lang w:val="en-GB"/>
        </w:rPr>
        <w:t>Energy Efficiency and Conservation Master Plan up to 2010.</w:t>
      </w:r>
      <w:r w:rsidRPr="00B5498E">
        <w:rPr>
          <w:rFonts w:asciiTheme="minorHAnsi" w:eastAsiaTheme="minorEastAsia" w:hAnsiTheme="minorHAnsi" w:cstheme="minorBidi"/>
          <w:lang w:val="en-GB"/>
        </w:rPr>
        <w:t xml:space="preserve"> Power Division, Government of Bangladesh, Dhaka. </w:t>
      </w:r>
    </w:p>
    <w:p w:rsidR="00DA395F" w:rsidRPr="00B5498E" w:rsidRDefault="00DA395F" w:rsidP="00DA395F">
      <w:pPr>
        <w:spacing w:after="0" w:line="240" w:lineRule="auto"/>
        <w:rPr>
          <w:rFonts w:asciiTheme="minorHAnsi" w:hAnsiTheme="minorHAnsi"/>
          <w:lang w:val="en-US"/>
        </w:rPr>
      </w:pPr>
    </w:p>
    <w:p w:rsidR="00DA395F" w:rsidRPr="00B5498E" w:rsidRDefault="00DA395F" w:rsidP="00DA395F">
      <w:pPr>
        <w:pStyle w:val="FootnoteText"/>
        <w:spacing w:after="0" w:line="240" w:lineRule="auto"/>
        <w:ind w:left="360" w:hanging="360"/>
        <w:rPr>
          <w:rFonts w:asciiTheme="minorHAnsi" w:hAnsiTheme="minorHAnsi"/>
          <w:sz w:val="22"/>
          <w:szCs w:val="22"/>
        </w:rPr>
      </w:pPr>
      <w:r w:rsidRPr="00B5498E">
        <w:rPr>
          <w:rFonts w:asciiTheme="minorHAnsi" w:hAnsiTheme="minorHAnsi"/>
          <w:sz w:val="22"/>
          <w:szCs w:val="22"/>
        </w:rPr>
        <w:t>Twigg, J. 2007. Characteristics of disaster-resilient community: A Guidance note. Version-1 for the  Department for International Development (DFID) disaster risk reduction and Interagency Coordination Group.</w:t>
      </w:r>
    </w:p>
    <w:p w:rsidR="00DA395F" w:rsidRPr="00B5498E" w:rsidRDefault="00DA395F" w:rsidP="00DA395F">
      <w:pPr>
        <w:pStyle w:val="FootnoteText"/>
        <w:spacing w:after="0" w:line="240" w:lineRule="auto"/>
        <w:ind w:left="284" w:hanging="284"/>
        <w:rPr>
          <w:rFonts w:asciiTheme="minorHAnsi" w:hAnsiTheme="minorHAnsi"/>
          <w:sz w:val="22"/>
          <w:szCs w:val="22"/>
        </w:rPr>
      </w:pPr>
    </w:p>
    <w:p w:rsidR="00DA395F" w:rsidRPr="00B5498E" w:rsidRDefault="00DA395F" w:rsidP="00DA395F">
      <w:pPr>
        <w:spacing w:after="0" w:line="240" w:lineRule="auto"/>
        <w:ind w:left="360" w:hanging="360"/>
        <w:rPr>
          <w:rFonts w:asciiTheme="minorHAnsi" w:eastAsia="Calibri" w:hAnsiTheme="minorHAnsi"/>
        </w:rPr>
      </w:pPr>
      <w:r w:rsidRPr="00B5498E">
        <w:rPr>
          <w:rFonts w:asciiTheme="minorHAnsi" w:eastAsia="Calibri" w:hAnsiTheme="minorHAnsi"/>
        </w:rPr>
        <w:t>UNDAF. 2014.</w:t>
      </w:r>
      <w:r w:rsidRPr="00B5498E">
        <w:rPr>
          <w:rFonts w:asciiTheme="minorHAnsi" w:hAnsiTheme="minorHAnsi"/>
        </w:rPr>
        <w:t xml:space="preserve"> UNDAF Outcome/UNDAF Output Outcome 2: Vulnerable groups have improved access to economic opportunities and adequate social protection. Indicator: 2.5 Community Asset Score (CAS).</w:t>
      </w:r>
      <w:r w:rsidRPr="00B5498E">
        <w:rPr>
          <w:rFonts w:asciiTheme="minorHAnsi" w:eastAsia="Calibri" w:hAnsiTheme="minorHAnsi"/>
        </w:rPr>
        <w:t xml:space="preserve"> http://un.org.np/protocol-sheet/outcome2.5.pdf</w:t>
      </w:r>
    </w:p>
    <w:p w:rsidR="00DA395F" w:rsidRPr="00B5498E" w:rsidRDefault="00DA395F" w:rsidP="00DA395F">
      <w:pPr>
        <w:spacing w:after="0" w:line="240" w:lineRule="auto"/>
        <w:ind w:left="180" w:hanging="180"/>
        <w:rPr>
          <w:rFonts w:asciiTheme="minorHAnsi" w:eastAsia="Calibri" w:hAnsiTheme="minorHAnsi"/>
        </w:rPr>
      </w:pPr>
    </w:p>
    <w:p w:rsidR="00DA395F" w:rsidRPr="00B5498E" w:rsidRDefault="00DA395F" w:rsidP="00DA395F">
      <w:pPr>
        <w:pStyle w:val="FootnoteText1"/>
        <w:spacing w:after="0" w:line="240" w:lineRule="auto"/>
        <w:ind w:left="360" w:hanging="360"/>
        <w:rPr>
          <w:rFonts w:asciiTheme="minorHAnsi" w:eastAsia="Cambria" w:hAnsiTheme="minorHAnsi" w:cs="Cambria"/>
          <w:sz w:val="22"/>
          <w:szCs w:val="22"/>
        </w:rPr>
      </w:pPr>
      <w:r w:rsidRPr="00B5498E">
        <w:rPr>
          <w:rFonts w:asciiTheme="minorHAnsi" w:eastAsia="Cambria" w:hAnsiTheme="minorHAnsi" w:cs="Cambria"/>
          <w:sz w:val="22"/>
          <w:szCs w:val="22"/>
        </w:rPr>
        <w:t>UNDP, no date (cited in Winderl, T. 2014.Evaluability Report of UNDP Country Programme Outcome 3.1 (Resilience) and 3.2 (Natural Resource Management and Low Carbon Energy).UNDP, Dhaka, Bangladesh).</w:t>
      </w:r>
    </w:p>
    <w:p w:rsidR="00DA395F" w:rsidRPr="00B5498E" w:rsidRDefault="00DA395F" w:rsidP="00DA395F">
      <w:pPr>
        <w:pStyle w:val="FootnoteText1"/>
        <w:spacing w:after="0" w:line="240" w:lineRule="auto"/>
        <w:ind w:left="284" w:hanging="284"/>
        <w:rPr>
          <w:rFonts w:asciiTheme="minorHAnsi" w:eastAsia="Cambria" w:hAnsiTheme="minorHAnsi" w:cs="Cambria"/>
          <w:sz w:val="22"/>
          <w:szCs w:val="22"/>
        </w:rPr>
      </w:pPr>
    </w:p>
    <w:p w:rsidR="00DA395F" w:rsidRPr="00B5498E" w:rsidRDefault="00DA395F" w:rsidP="00DA395F">
      <w:pPr>
        <w:pStyle w:val="FootnoteText"/>
        <w:ind w:left="360" w:hanging="360"/>
        <w:rPr>
          <w:rFonts w:asciiTheme="minorHAnsi" w:hAnsiTheme="minorHAnsi"/>
          <w:sz w:val="22"/>
          <w:szCs w:val="22"/>
        </w:rPr>
      </w:pPr>
      <w:r w:rsidRPr="00B5498E">
        <w:rPr>
          <w:rFonts w:asciiTheme="minorHAnsi" w:hAnsiTheme="minorHAnsi"/>
          <w:sz w:val="22"/>
          <w:szCs w:val="22"/>
        </w:rPr>
        <w:t xml:space="preserve">UNDP. 2009. </w:t>
      </w:r>
      <w:r w:rsidRPr="00F23C17">
        <w:rPr>
          <w:rFonts w:asciiTheme="minorHAnsi" w:hAnsiTheme="minorHAnsi"/>
          <w:i/>
          <w:sz w:val="22"/>
          <w:szCs w:val="22"/>
        </w:rPr>
        <w:t>Handbook on Planning, Monitoring and Evaluating for Development Results.</w:t>
      </w:r>
      <w:r w:rsidRPr="00B5498E">
        <w:rPr>
          <w:rFonts w:asciiTheme="minorHAnsi" w:hAnsiTheme="minorHAnsi"/>
          <w:sz w:val="22"/>
          <w:szCs w:val="22"/>
        </w:rPr>
        <w:t xml:space="preserve"> UNDP, New York. USA.</w:t>
      </w:r>
    </w:p>
    <w:p w:rsidR="00DA395F" w:rsidRPr="00B5498E" w:rsidRDefault="00DA395F" w:rsidP="00DA395F">
      <w:pPr>
        <w:spacing w:after="0" w:line="240" w:lineRule="auto"/>
        <w:ind w:left="360" w:hanging="360"/>
        <w:rPr>
          <w:rFonts w:asciiTheme="minorHAnsi" w:hAnsiTheme="minorHAnsi"/>
        </w:rPr>
      </w:pPr>
      <w:r w:rsidRPr="00B5498E">
        <w:rPr>
          <w:rFonts w:asciiTheme="minorHAnsi" w:hAnsiTheme="minorHAnsi"/>
        </w:rPr>
        <w:lastRenderedPageBreak/>
        <w:t xml:space="preserve">UNDP. 2011. Bangladesh - Country Programme Document (CPD), 2012-2016. </w:t>
      </w:r>
      <w:hyperlink r:id="rId12" w:history="1">
        <w:r w:rsidRPr="00B5498E">
          <w:rPr>
            <w:rStyle w:val="Hyperlink0"/>
            <w:rFonts w:asciiTheme="minorHAnsi" w:hAnsiTheme="minorHAnsi"/>
            <w:sz w:val="22"/>
            <w:szCs w:val="22"/>
          </w:rPr>
          <w:t>http://www.bd.undp.org/content/dam/bangladesh/docs/LegalFramework/Signed%20CPD-BGD_2012-2016.pdf</w:t>
        </w:r>
      </w:hyperlink>
    </w:p>
    <w:p w:rsidR="00DA395F" w:rsidRPr="00B5498E" w:rsidRDefault="00DA395F" w:rsidP="00DA395F">
      <w:pPr>
        <w:spacing w:after="0" w:line="240" w:lineRule="auto"/>
        <w:ind w:left="284" w:hanging="284"/>
        <w:rPr>
          <w:rFonts w:asciiTheme="minorHAnsi" w:eastAsia="Arial Unicode MS" w:hAnsiTheme="minorHAnsi"/>
        </w:rPr>
      </w:pPr>
    </w:p>
    <w:p w:rsidR="00DA395F" w:rsidRPr="00B5498E" w:rsidRDefault="00DA395F" w:rsidP="00DA395F">
      <w:pPr>
        <w:pStyle w:val="FootnoteText"/>
        <w:spacing w:after="0" w:line="240" w:lineRule="auto"/>
        <w:ind w:left="360" w:hanging="360"/>
        <w:rPr>
          <w:rFonts w:asciiTheme="minorHAnsi" w:hAnsiTheme="minorHAnsi"/>
          <w:sz w:val="22"/>
          <w:szCs w:val="22"/>
          <w:lang w:val="en-US"/>
        </w:rPr>
      </w:pPr>
      <w:r w:rsidRPr="00B5498E">
        <w:rPr>
          <w:rFonts w:asciiTheme="minorHAnsi" w:hAnsiTheme="minorHAnsi"/>
          <w:sz w:val="22"/>
          <w:szCs w:val="22"/>
          <w:lang w:val="en-US"/>
        </w:rPr>
        <w:t xml:space="preserve">UNDP. 2011. </w:t>
      </w:r>
      <w:r w:rsidRPr="00F23C17">
        <w:rPr>
          <w:rFonts w:asciiTheme="minorHAnsi" w:hAnsiTheme="minorHAnsi"/>
          <w:i/>
          <w:sz w:val="22"/>
          <w:szCs w:val="22"/>
          <w:lang w:val="en-US"/>
        </w:rPr>
        <w:t>Assessment of Development Results (ADR): Bangladesh-Evaluation of UNDP Contribution.</w:t>
      </w:r>
      <w:r w:rsidRPr="00B5498E">
        <w:rPr>
          <w:rFonts w:asciiTheme="minorHAnsi" w:hAnsiTheme="minorHAnsi"/>
          <w:sz w:val="22"/>
          <w:szCs w:val="22"/>
          <w:lang w:val="en-US"/>
        </w:rPr>
        <w:t xml:space="preserve"> 2011. Evaluation Office. UNDP, USA. </w:t>
      </w:r>
    </w:p>
    <w:p w:rsidR="00DA395F" w:rsidRPr="00B5498E" w:rsidRDefault="00DA395F" w:rsidP="00DA395F">
      <w:pPr>
        <w:pStyle w:val="FootnoteText"/>
        <w:spacing w:after="0" w:line="240" w:lineRule="auto"/>
        <w:ind w:left="284" w:hanging="284"/>
        <w:rPr>
          <w:rFonts w:asciiTheme="minorHAnsi" w:hAnsiTheme="minorHAnsi"/>
          <w:sz w:val="22"/>
          <w:szCs w:val="22"/>
          <w:lang w:val="en-US"/>
        </w:rPr>
      </w:pPr>
    </w:p>
    <w:p w:rsidR="00DA395F" w:rsidRPr="00B5498E" w:rsidRDefault="00DA395F" w:rsidP="00DA395F">
      <w:pPr>
        <w:pStyle w:val="FootnoteText"/>
        <w:spacing w:after="0" w:line="240" w:lineRule="auto"/>
        <w:ind w:left="284" w:hanging="284"/>
        <w:rPr>
          <w:rFonts w:asciiTheme="minorHAnsi" w:hAnsiTheme="minorHAnsi"/>
          <w:sz w:val="22"/>
          <w:szCs w:val="22"/>
          <w:lang w:val="en-US"/>
        </w:rPr>
      </w:pPr>
      <w:r w:rsidRPr="00B5498E">
        <w:rPr>
          <w:rFonts w:asciiTheme="minorHAnsi" w:hAnsiTheme="minorHAnsi"/>
          <w:sz w:val="22"/>
          <w:szCs w:val="22"/>
        </w:rPr>
        <w:t xml:space="preserve">UNDP. 2012. </w:t>
      </w:r>
      <w:r w:rsidRPr="00B5498E">
        <w:rPr>
          <w:rFonts w:asciiTheme="minorHAnsi" w:hAnsiTheme="minorHAnsi"/>
          <w:i/>
          <w:sz w:val="22"/>
          <w:szCs w:val="22"/>
        </w:rPr>
        <w:t>Empowered Lives: Resilient Bangladesh: Results Achieved with Our Partners, 2006-2011.</w:t>
      </w:r>
      <w:r w:rsidRPr="00B5498E">
        <w:rPr>
          <w:rFonts w:asciiTheme="minorHAnsi" w:hAnsiTheme="minorHAnsi"/>
          <w:sz w:val="22"/>
          <w:szCs w:val="22"/>
        </w:rPr>
        <w:t xml:space="preserve"> UNDP, Dhaka, p. 52.</w:t>
      </w:r>
      <w:r w:rsidRPr="00B5498E">
        <w:rPr>
          <w:rFonts w:asciiTheme="minorHAnsi" w:hAnsiTheme="minorHAnsi"/>
          <w:sz w:val="22"/>
          <w:szCs w:val="22"/>
          <w:lang w:val="en-US"/>
        </w:rPr>
        <w:t xml:space="preserve"> http://data.worldbank.org/indicator/EN.ATM.CO2E.PC</w:t>
      </w:r>
    </w:p>
    <w:p w:rsidR="00DA395F" w:rsidRPr="00B5498E" w:rsidRDefault="00DA395F" w:rsidP="00DA395F">
      <w:pPr>
        <w:pStyle w:val="FootnoteText"/>
        <w:spacing w:after="0" w:line="240" w:lineRule="auto"/>
        <w:ind w:left="180" w:hanging="180"/>
        <w:rPr>
          <w:rFonts w:asciiTheme="minorHAnsi" w:hAnsiTheme="minorHAnsi"/>
          <w:sz w:val="22"/>
          <w:szCs w:val="22"/>
          <w:lang w:val="en-US"/>
        </w:rPr>
      </w:pPr>
    </w:p>
    <w:p w:rsidR="00DA395F" w:rsidRPr="00B5498E" w:rsidRDefault="00DA395F" w:rsidP="00DA395F">
      <w:pPr>
        <w:pStyle w:val="FootnoteText"/>
        <w:rPr>
          <w:rFonts w:asciiTheme="minorHAnsi" w:hAnsiTheme="minorHAnsi"/>
          <w:sz w:val="22"/>
          <w:szCs w:val="22"/>
          <w:lang w:val="en-US"/>
        </w:rPr>
      </w:pPr>
      <w:r w:rsidRPr="00B5498E">
        <w:rPr>
          <w:rFonts w:asciiTheme="minorHAnsi" w:hAnsiTheme="minorHAnsi"/>
          <w:sz w:val="22"/>
          <w:szCs w:val="22"/>
          <w:lang w:val="en-US"/>
        </w:rPr>
        <w:t xml:space="preserve">UNDP. 2013. </w:t>
      </w:r>
      <w:r w:rsidRPr="00F23C17">
        <w:rPr>
          <w:rFonts w:asciiTheme="minorHAnsi" w:hAnsiTheme="minorHAnsi"/>
          <w:i/>
          <w:sz w:val="22"/>
          <w:szCs w:val="22"/>
          <w:lang w:val="en-US"/>
        </w:rPr>
        <w:t>CDMPII, Annual Progress Report, 2013.</w:t>
      </w:r>
      <w:r w:rsidRPr="00B5498E">
        <w:rPr>
          <w:rFonts w:asciiTheme="minorHAnsi" w:hAnsiTheme="minorHAnsi"/>
          <w:sz w:val="22"/>
          <w:szCs w:val="22"/>
          <w:lang w:val="en-US"/>
        </w:rPr>
        <w:t xml:space="preserve"> UNDP Bangladesh, Dhaka.</w:t>
      </w:r>
    </w:p>
    <w:p w:rsidR="00DA395F" w:rsidRPr="00B5498E" w:rsidRDefault="00DA395F" w:rsidP="00DA395F">
      <w:pPr>
        <w:spacing w:after="0" w:line="240" w:lineRule="auto"/>
        <w:rPr>
          <w:rFonts w:asciiTheme="minorHAnsi" w:hAnsiTheme="minorHAnsi"/>
          <w:lang w:val="en-US"/>
        </w:rPr>
      </w:pPr>
      <w:r w:rsidRPr="00B5498E">
        <w:rPr>
          <w:rFonts w:asciiTheme="minorHAnsi" w:hAnsiTheme="minorHAnsi"/>
          <w:lang w:val="en-US"/>
        </w:rPr>
        <w:t>UNDP. 2014.  SREPGen Project Document (signed). UNDP Bangladesh, Dhaka.</w:t>
      </w:r>
    </w:p>
    <w:p w:rsidR="00DA395F" w:rsidRPr="00B5498E" w:rsidRDefault="00DA395F" w:rsidP="00DA395F">
      <w:pPr>
        <w:spacing w:after="0" w:line="240" w:lineRule="auto"/>
        <w:rPr>
          <w:rFonts w:asciiTheme="minorHAnsi" w:hAnsiTheme="minorHAnsi"/>
          <w:lang w:val="en-US"/>
        </w:rPr>
      </w:pPr>
    </w:p>
    <w:p w:rsidR="00DA395F" w:rsidRPr="00B5498E" w:rsidRDefault="00DA395F" w:rsidP="00DA395F">
      <w:pPr>
        <w:spacing w:after="0" w:line="240" w:lineRule="auto"/>
        <w:ind w:left="360" w:hanging="360"/>
        <w:rPr>
          <w:rFonts w:asciiTheme="minorHAnsi" w:hAnsiTheme="minorHAnsi"/>
        </w:rPr>
      </w:pPr>
      <w:r w:rsidRPr="00B5498E">
        <w:rPr>
          <w:rFonts w:asciiTheme="minorHAnsi" w:hAnsiTheme="minorHAnsi"/>
        </w:rPr>
        <w:t xml:space="preserve">UNDP. 2014. </w:t>
      </w:r>
      <w:r w:rsidRPr="00B5498E">
        <w:rPr>
          <w:rFonts w:asciiTheme="minorHAnsi" w:hAnsiTheme="minorHAnsi"/>
          <w:i/>
        </w:rPr>
        <w:t>UNDP Strategic Plan, 2014-17.</w:t>
      </w:r>
      <w:r w:rsidRPr="00B5498E">
        <w:rPr>
          <w:rFonts w:asciiTheme="minorHAnsi" w:hAnsiTheme="minorHAnsi"/>
        </w:rPr>
        <w:t xml:space="preserve"> http://www.undp.org/content/undp/en/home/librarypage/corporate/Changing_with_the_World_UNDP_Strategic_Plan_2014_17/ </w:t>
      </w:r>
    </w:p>
    <w:p w:rsidR="00DA395F" w:rsidRPr="00B5498E" w:rsidRDefault="00DA395F" w:rsidP="00DA395F">
      <w:pPr>
        <w:spacing w:after="0" w:line="240" w:lineRule="auto"/>
        <w:ind w:left="284" w:hanging="284"/>
        <w:rPr>
          <w:rFonts w:asciiTheme="minorHAnsi" w:eastAsia="Arial Unicode MS" w:hAnsiTheme="minorHAnsi"/>
        </w:rPr>
      </w:pPr>
    </w:p>
    <w:p w:rsidR="00DA395F" w:rsidRPr="00B5498E" w:rsidRDefault="00DA395F" w:rsidP="00DA395F">
      <w:pPr>
        <w:pStyle w:val="FootnoteText1"/>
        <w:spacing w:after="0" w:line="240" w:lineRule="auto"/>
        <w:ind w:left="360" w:hanging="360"/>
        <w:rPr>
          <w:rFonts w:asciiTheme="minorHAnsi" w:eastAsia="Cambria" w:hAnsiTheme="minorHAnsi" w:cs="Cambria"/>
          <w:sz w:val="22"/>
          <w:szCs w:val="22"/>
        </w:rPr>
      </w:pPr>
      <w:r w:rsidRPr="00B5498E">
        <w:rPr>
          <w:rFonts w:asciiTheme="minorHAnsi" w:eastAsia="Cambria" w:hAnsiTheme="minorHAnsi" w:cs="Cambria"/>
          <w:sz w:val="22"/>
          <w:szCs w:val="22"/>
        </w:rPr>
        <w:t>Winderl, T. 2014</w:t>
      </w:r>
      <w:r w:rsidRPr="00F23C17">
        <w:rPr>
          <w:rFonts w:asciiTheme="minorHAnsi" w:eastAsia="Cambria" w:hAnsiTheme="minorHAnsi" w:cs="Cambria"/>
          <w:sz w:val="22"/>
          <w:szCs w:val="22"/>
        </w:rPr>
        <w:t>. Evaluability Report of UNDP Country Programme Outcome 3.1 (Resilience) and 3.2 (Natural Resource Management and Low Carbon Energy).</w:t>
      </w:r>
      <w:r w:rsidRPr="00B5498E">
        <w:rPr>
          <w:rFonts w:asciiTheme="minorHAnsi" w:eastAsia="Cambria" w:hAnsiTheme="minorHAnsi" w:cs="Cambria"/>
          <w:sz w:val="22"/>
          <w:szCs w:val="22"/>
        </w:rPr>
        <w:t>UNDP, Dhaka, Bangladesh.</w:t>
      </w:r>
    </w:p>
    <w:p w:rsidR="00DA395F" w:rsidRPr="00B5498E" w:rsidRDefault="00DA395F" w:rsidP="00DA395F">
      <w:pPr>
        <w:pStyle w:val="FootnoteText1"/>
        <w:spacing w:after="0" w:line="240" w:lineRule="auto"/>
        <w:ind w:left="90" w:hanging="90"/>
        <w:rPr>
          <w:rFonts w:asciiTheme="minorHAnsi" w:eastAsia="Arial Unicode MS" w:hAnsiTheme="minorHAnsi" w:cs="Times New Roman"/>
          <w:color w:val="auto"/>
          <w:sz w:val="22"/>
          <w:szCs w:val="22"/>
        </w:rPr>
      </w:pPr>
    </w:p>
    <w:p w:rsidR="00DA395F" w:rsidRPr="00B5498E" w:rsidRDefault="00DA395F" w:rsidP="00DA395F">
      <w:pPr>
        <w:pStyle w:val="FootnoteText1"/>
        <w:spacing w:after="0" w:line="240" w:lineRule="auto"/>
        <w:ind w:left="360" w:hanging="360"/>
        <w:rPr>
          <w:rFonts w:asciiTheme="minorHAnsi" w:hAnsiTheme="minorHAnsi"/>
          <w:sz w:val="22"/>
          <w:szCs w:val="22"/>
        </w:rPr>
      </w:pPr>
      <w:r w:rsidRPr="00B5498E">
        <w:rPr>
          <w:rFonts w:asciiTheme="minorHAnsi" w:hAnsiTheme="minorHAnsi"/>
          <w:sz w:val="22"/>
          <w:szCs w:val="22"/>
        </w:rPr>
        <w:t xml:space="preserve">World Bank. 2015. accessed on 28 May </w:t>
      </w:r>
      <w:r w:rsidRPr="00B5498E">
        <w:rPr>
          <w:rFonts w:asciiTheme="minorHAnsi" w:hAnsiTheme="minorHAnsi"/>
          <w:color w:val="auto"/>
          <w:sz w:val="22"/>
          <w:szCs w:val="22"/>
        </w:rPr>
        <w:t>(</w:t>
      </w:r>
      <w:hyperlink r:id="rId13" w:anchor="q=population%20growth%20rate%20of%20bangladesh" w:history="1">
        <w:r w:rsidRPr="00B5498E">
          <w:rPr>
            <w:rStyle w:val="Hyperlink"/>
            <w:rFonts w:asciiTheme="minorHAnsi" w:hAnsiTheme="minorHAnsi"/>
            <w:color w:val="auto"/>
            <w:sz w:val="22"/>
            <w:szCs w:val="22"/>
          </w:rPr>
          <w:t>https://www.google.com.bd/webhp?sourceid=chrome-instant&amp;ion=1&amp;espv=2&amp;ie=UTF-8#q=population%20growth%20rate%20of%20bangladesh</w:t>
        </w:r>
      </w:hyperlink>
      <w:r w:rsidRPr="00B5498E">
        <w:rPr>
          <w:rFonts w:asciiTheme="minorHAnsi" w:hAnsiTheme="minorHAnsi"/>
          <w:sz w:val="22"/>
          <w:szCs w:val="22"/>
        </w:rPr>
        <w:t>).</w:t>
      </w:r>
    </w:p>
    <w:p w:rsidR="00DA395F" w:rsidRPr="00B5498E" w:rsidRDefault="00DA395F" w:rsidP="00DA395F">
      <w:pPr>
        <w:pStyle w:val="FootnoteText1"/>
        <w:spacing w:after="0" w:line="240" w:lineRule="auto"/>
        <w:ind w:left="284" w:hanging="284"/>
        <w:rPr>
          <w:rFonts w:asciiTheme="minorHAnsi" w:eastAsia="Arial Unicode MS" w:hAnsiTheme="minorHAnsi" w:cs="Times New Roman"/>
          <w:color w:val="auto"/>
          <w:sz w:val="22"/>
          <w:szCs w:val="22"/>
        </w:rPr>
      </w:pPr>
    </w:p>
    <w:p w:rsidR="00DA395F" w:rsidRPr="00B5498E" w:rsidRDefault="00DA395F" w:rsidP="00DA395F">
      <w:pPr>
        <w:spacing w:after="0" w:line="240" w:lineRule="auto"/>
        <w:ind w:left="360" w:hanging="360"/>
        <w:rPr>
          <w:rFonts w:asciiTheme="minorHAnsi" w:hAnsiTheme="minorHAnsi"/>
        </w:rPr>
      </w:pPr>
      <w:r w:rsidRPr="00B5498E">
        <w:rPr>
          <w:rFonts w:asciiTheme="minorHAnsi" w:hAnsiTheme="minorHAnsi"/>
        </w:rPr>
        <w:t xml:space="preserve">World Bank. 2000. </w:t>
      </w:r>
      <w:r w:rsidRPr="00B5498E">
        <w:rPr>
          <w:rFonts w:asciiTheme="minorHAnsi" w:hAnsiTheme="minorHAnsi"/>
          <w:i/>
        </w:rPr>
        <w:t>Bangladesh: Climate Change and Sustainable Development.</w:t>
      </w:r>
      <w:r w:rsidRPr="00B5498E">
        <w:rPr>
          <w:rFonts w:asciiTheme="minorHAnsi" w:hAnsiTheme="minorHAnsi"/>
        </w:rPr>
        <w:t xml:space="preserve"> Report No. 21104-BD, Rural Development Unit, South Asia Region, The World Bank, Dhaka.</w:t>
      </w:r>
    </w:p>
    <w:p w:rsidR="00DA395F" w:rsidRPr="00B5498E" w:rsidRDefault="00DA395F" w:rsidP="00DA395F">
      <w:pPr>
        <w:pStyle w:val="FootnoteText"/>
        <w:spacing w:after="0" w:line="240" w:lineRule="auto"/>
        <w:ind w:left="284" w:hanging="284"/>
        <w:rPr>
          <w:rFonts w:asciiTheme="minorHAnsi" w:hAnsiTheme="minorHAnsi"/>
          <w:sz w:val="22"/>
          <w:szCs w:val="22"/>
          <w:lang w:val="en-US"/>
        </w:rPr>
      </w:pPr>
    </w:p>
    <w:p w:rsidR="00DA395F" w:rsidRPr="00B5498E" w:rsidRDefault="00DA395F" w:rsidP="00DA395F">
      <w:pPr>
        <w:pStyle w:val="FootnoteText"/>
        <w:spacing w:after="0" w:line="240" w:lineRule="auto"/>
        <w:ind w:left="360" w:hanging="360"/>
        <w:rPr>
          <w:rFonts w:asciiTheme="minorHAnsi" w:hAnsiTheme="minorHAnsi"/>
          <w:sz w:val="22"/>
          <w:szCs w:val="22"/>
          <w:u w:color="FF0000"/>
        </w:rPr>
      </w:pPr>
      <w:r w:rsidRPr="00B5498E">
        <w:rPr>
          <w:rFonts w:asciiTheme="minorHAnsi" w:hAnsiTheme="minorHAnsi"/>
          <w:sz w:val="22"/>
          <w:szCs w:val="22"/>
          <w:u w:color="FF0000"/>
        </w:rPr>
        <w:t>World Bank.2015. Data on World Bank, IBRD, IDA sites.[worldbank.org/index/AG.LND.ARBL.ZS], accessed on May 2, 2015.</w:t>
      </w:r>
    </w:p>
    <w:p w:rsidR="00DA395F" w:rsidRPr="00B5498E" w:rsidRDefault="00DA395F" w:rsidP="00DA395F">
      <w:pPr>
        <w:pStyle w:val="FootnoteText1"/>
        <w:spacing w:after="0" w:line="240" w:lineRule="auto"/>
        <w:ind w:left="284" w:hanging="284"/>
        <w:rPr>
          <w:rFonts w:asciiTheme="minorHAnsi" w:eastAsia="Arial Unicode MS" w:hAnsiTheme="minorHAnsi" w:cs="Times New Roman"/>
          <w:color w:val="auto"/>
          <w:sz w:val="22"/>
          <w:szCs w:val="22"/>
        </w:rPr>
      </w:pPr>
    </w:p>
    <w:p w:rsidR="00DA395F" w:rsidRPr="00B5498E" w:rsidRDefault="00DA395F" w:rsidP="00DA395F">
      <w:pPr>
        <w:pStyle w:val="FootnoteText1"/>
        <w:spacing w:after="0" w:line="240" w:lineRule="auto"/>
        <w:ind w:left="360" w:hanging="360"/>
        <w:rPr>
          <w:rFonts w:asciiTheme="minorHAnsi" w:hAnsiTheme="minorHAnsi"/>
          <w:sz w:val="22"/>
          <w:szCs w:val="22"/>
        </w:rPr>
      </w:pPr>
      <w:r w:rsidRPr="00B5498E">
        <w:rPr>
          <w:rFonts w:asciiTheme="minorHAnsi" w:hAnsiTheme="minorHAnsi"/>
          <w:sz w:val="22"/>
          <w:szCs w:val="22"/>
        </w:rPr>
        <w:t>World Bank Group. 2014</w:t>
      </w:r>
      <w:r w:rsidRPr="00B5498E">
        <w:rPr>
          <w:rFonts w:asciiTheme="minorHAnsi" w:hAnsiTheme="minorHAnsi"/>
          <w:color w:val="auto"/>
          <w:sz w:val="22"/>
          <w:szCs w:val="22"/>
        </w:rPr>
        <w:t>.</w:t>
      </w:r>
      <w:r w:rsidR="00B5498E">
        <w:rPr>
          <w:rFonts w:asciiTheme="minorHAnsi" w:hAnsiTheme="minorHAnsi"/>
          <w:color w:val="auto"/>
          <w:sz w:val="22"/>
          <w:szCs w:val="22"/>
        </w:rPr>
        <w:t xml:space="preserve"> Lighting Global: IFC Partners </w:t>
      </w:r>
      <w:r w:rsidRPr="00B5498E">
        <w:rPr>
          <w:rFonts w:asciiTheme="minorHAnsi" w:hAnsiTheme="minorHAnsi"/>
          <w:color w:val="auto"/>
          <w:sz w:val="22"/>
          <w:szCs w:val="22"/>
        </w:rPr>
        <w:t>with GIZ Bangladesh to increase Energy Access for Off-Grid Communities. [</w:t>
      </w:r>
      <w:hyperlink r:id="rId14" w:history="1">
        <w:r w:rsidRPr="00B5498E">
          <w:rPr>
            <w:rStyle w:val="Hyperlink"/>
            <w:rFonts w:asciiTheme="minorHAnsi" w:hAnsiTheme="minorHAnsi"/>
            <w:color w:val="auto"/>
            <w:sz w:val="22"/>
            <w:szCs w:val="22"/>
          </w:rPr>
          <w:t>https://www.lightingglobal.org/ifc-partners-with-giz-in-bangladesh-to-increase-energy-access-for-off-grid-communities/</w:t>
        </w:r>
      </w:hyperlink>
      <w:r w:rsidRPr="00B5498E">
        <w:rPr>
          <w:rStyle w:val="Hyperlink"/>
          <w:rFonts w:asciiTheme="minorHAnsi" w:hAnsiTheme="minorHAnsi"/>
          <w:color w:val="auto"/>
          <w:sz w:val="22"/>
          <w:szCs w:val="22"/>
        </w:rPr>
        <w:t>], accessed on May 3, 2015.</w:t>
      </w:r>
    </w:p>
    <w:p w:rsidR="00DA395F" w:rsidRPr="00B5498E" w:rsidRDefault="00DA395F" w:rsidP="00DA395F">
      <w:pPr>
        <w:pStyle w:val="FootnoteText1"/>
        <w:spacing w:after="0" w:line="240" w:lineRule="auto"/>
        <w:ind w:left="180" w:hanging="180"/>
        <w:rPr>
          <w:rFonts w:asciiTheme="minorHAnsi" w:hAnsiTheme="minorHAnsi"/>
          <w:sz w:val="22"/>
          <w:szCs w:val="22"/>
        </w:rPr>
      </w:pPr>
    </w:p>
    <w:p w:rsidR="00DA395F" w:rsidRPr="00B5498E" w:rsidRDefault="00DA395F" w:rsidP="00DA395F">
      <w:pPr>
        <w:pStyle w:val="FootnoteText"/>
        <w:spacing w:after="0" w:line="240" w:lineRule="auto"/>
        <w:ind w:left="284" w:hanging="284"/>
        <w:rPr>
          <w:rFonts w:asciiTheme="minorHAnsi" w:hAnsiTheme="minorHAnsi"/>
          <w:sz w:val="22"/>
          <w:szCs w:val="22"/>
        </w:rPr>
      </w:pPr>
    </w:p>
    <w:p w:rsidR="00DA395F" w:rsidRPr="00B5498E" w:rsidRDefault="00DA395F" w:rsidP="00DA395F">
      <w:pPr>
        <w:pStyle w:val="FootnoteText"/>
        <w:spacing w:after="0" w:line="240" w:lineRule="auto"/>
        <w:rPr>
          <w:rFonts w:asciiTheme="minorHAnsi" w:hAnsiTheme="minorHAnsi"/>
          <w:sz w:val="22"/>
          <w:szCs w:val="22"/>
          <w:lang w:val="en-US"/>
        </w:rPr>
      </w:pPr>
    </w:p>
    <w:p w:rsidR="00DA395F" w:rsidRPr="00B5498E" w:rsidRDefault="00DA395F" w:rsidP="00DA395F">
      <w:pPr>
        <w:pStyle w:val="FootnoteText1"/>
        <w:spacing w:after="0" w:line="240" w:lineRule="auto"/>
        <w:ind w:left="180" w:hanging="180"/>
        <w:rPr>
          <w:rFonts w:asciiTheme="minorHAnsi" w:eastAsia="Arial Unicode MS" w:hAnsiTheme="minorHAnsi" w:cs="Times New Roman"/>
          <w:color w:val="auto"/>
          <w:sz w:val="22"/>
          <w:szCs w:val="22"/>
        </w:rPr>
      </w:pPr>
    </w:p>
    <w:p w:rsidR="00DA395F" w:rsidRPr="00B5498E" w:rsidRDefault="00DA395F" w:rsidP="00DA395F">
      <w:pPr>
        <w:spacing w:after="0" w:line="240" w:lineRule="auto"/>
        <w:ind w:left="180" w:hanging="180"/>
        <w:rPr>
          <w:rFonts w:asciiTheme="minorHAnsi" w:eastAsia="Calibri" w:hAnsiTheme="minorHAnsi"/>
        </w:rPr>
      </w:pPr>
    </w:p>
    <w:p w:rsidR="00DA395F" w:rsidRPr="00B5498E" w:rsidRDefault="00DA395F" w:rsidP="00DA395F">
      <w:pPr>
        <w:spacing w:after="0" w:line="240" w:lineRule="auto"/>
        <w:ind w:left="180" w:hanging="180"/>
        <w:rPr>
          <w:rFonts w:asciiTheme="minorHAnsi" w:eastAsia="Calibri" w:hAnsiTheme="minorHAnsi"/>
        </w:rPr>
      </w:pPr>
    </w:p>
    <w:p w:rsidR="00DA395F" w:rsidRPr="00B5498E" w:rsidRDefault="00DA395F" w:rsidP="00DA395F">
      <w:pPr>
        <w:pStyle w:val="FootnoteText"/>
        <w:spacing w:after="0" w:line="240" w:lineRule="auto"/>
        <w:ind w:left="284" w:hanging="284"/>
        <w:rPr>
          <w:rFonts w:asciiTheme="minorHAnsi" w:hAnsiTheme="minorHAnsi"/>
          <w:sz w:val="22"/>
          <w:szCs w:val="22"/>
          <w:lang w:val="en-US"/>
        </w:rPr>
      </w:pPr>
    </w:p>
    <w:p w:rsidR="00954B08" w:rsidRPr="00B5498E" w:rsidRDefault="00954B08" w:rsidP="00DA395F">
      <w:pPr>
        <w:pStyle w:val="FootnoteText"/>
        <w:spacing w:after="0" w:line="240" w:lineRule="auto"/>
        <w:ind w:left="284" w:hanging="284"/>
        <w:rPr>
          <w:rFonts w:asciiTheme="minorHAnsi" w:hAnsiTheme="minorHAnsi"/>
          <w:sz w:val="22"/>
          <w:szCs w:val="22"/>
          <w:lang w:val="en-US"/>
        </w:rPr>
      </w:pPr>
    </w:p>
    <w:p w:rsidR="00954B08" w:rsidRDefault="00954B08" w:rsidP="00DA395F">
      <w:pPr>
        <w:pStyle w:val="FootnoteText"/>
        <w:spacing w:after="0" w:line="240" w:lineRule="auto"/>
        <w:ind w:left="284" w:hanging="284"/>
        <w:rPr>
          <w:rFonts w:asciiTheme="minorHAnsi" w:hAnsiTheme="minorHAnsi"/>
          <w:sz w:val="22"/>
          <w:szCs w:val="22"/>
          <w:lang w:val="en-US"/>
        </w:rPr>
      </w:pPr>
    </w:p>
    <w:p w:rsidR="00954B08" w:rsidRDefault="00954B08" w:rsidP="00DA395F">
      <w:pPr>
        <w:pStyle w:val="FootnoteText"/>
        <w:spacing w:after="0" w:line="240" w:lineRule="auto"/>
        <w:ind w:left="284" w:hanging="284"/>
        <w:rPr>
          <w:rFonts w:asciiTheme="minorHAnsi" w:hAnsiTheme="minorHAnsi"/>
          <w:sz w:val="22"/>
          <w:szCs w:val="22"/>
          <w:lang w:val="en-US"/>
        </w:rPr>
      </w:pPr>
    </w:p>
    <w:p w:rsidR="00954B08" w:rsidRDefault="00954B08" w:rsidP="00DA395F">
      <w:pPr>
        <w:pStyle w:val="FootnoteText"/>
        <w:spacing w:after="0" w:line="240" w:lineRule="auto"/>
        <w:ind w:left="284" w:hanging="284"/>
        <w:rPr>
          <w:rFonts w:asciiTheme="minorHAnsi" w:hAnsiTheme="minorHAnsi"/>
          <w:sz w:val="22"/>
          <w:szCs w:val="22"/>
          <w:lang w:val="en-US"/>
        </w:rPr>
      </w:pPr>
    </w:p>
    <w:p w:rsidR="00954B08" w:rsidRDefault="00954B08" w:rsidP="00DA395F">
      <w:pPr>
        <w:pStyle w:val="FootnoteText"/>
        <w:spacing w:after="0" w:line="240" w:lineRule="auto"/>
        <w:ind w:left="284" w:hanging="284"/>
        <w:rPr>
          <w:rFonts w:asciiTheme="minorHAnsi" w:hAnsiTheme="minorHAnsi"/>
          <w:sz w:val="22"/>
          <w:szCs w:val="22"/>
          <w:lang w:val="en-US"/>
        </w:rPr>
      </w:pPr>
    </w:p>
    <w:p w:rsidR="00954B08" w:rsidRDefault="00954B08" w:rsidP="00DA395F">
      <w:pPr>
        <w:pStyle w:val="FootnoteText"/>
        <w:spacing w:after="0" w:line="240" w:lineRule="auto"/>
        <w:ind w:left="284" w:hanging="284"/>
        <w:rPr>
          <w:rFonts w:asciiTheme="minorHAnsi" w:hAnsiTheme="minorHAnsi"/>
          <w:sz w:val="22"/>
          <w:szCs w:val="22"/>
          <w:lang w:val="en-US"/>
        </w:rPr>
      </w:pPr>
    </w:p>
    <w:p w:rsidR="00954B08" w:rsidRDefault="00954B08" w:rsidP="00DA395F">
      <w:pPr>
        <w:pStyle w:val="FootnoteText"/>
        <w:spacing w:after="0" w:line="240" w:lineRule="auto"/>
        <w:ind w:left="284" w:hanging="284"/>
        <w:rPr>
          <w:rFonts w:asciiTheme="minorHAnsi" w:hAnsiTheme="minorHAnsi"/>
          <w:sz w:val="22"/>
          <w:szCs w:val="22"/>
          <w:lang w:val="en-US"/>
        </w:rPr>
      </w:pPr>
    </w:p>
    <w:p w:rsidR="00AF2492" w:rsidRDefault="00C1616F" w:rsidP="00BF7E33">
      <w:pPr>
        <w:pStyle w:val="FootnoteText1"/>
        <w:spacing w:after="0" w:line="240" w:lineRule="auto"/>
        <w:rPr>
          <w:rFonts w:asciiTheme="minorHAnsi" w:hAnsiTheme="minorHAnsi"/>
          <w:b/>
          <w:sz w:val="36"/>
          <w:szCs w:val="36"/>
        </w:rPr>
      </w:pPr>
      <w:r>
        <w:rPr>
          <w:rFonts w:asciiTheme="minorHAnsi" w:hAnsiTheme="minorHAnsi"/>
          <w:b/>
          <w:sz w:val="36"/>
          <w:szCs w:val="36"/>
        </w:rPr>
        <w:lastRenderedPageBreak/>
        <w:t xml:space="preserve">REFERENCES </w:t>
      </w:r>
    </w:p>
    <w:p w:rsidR="00954B08" w:rsidRPr="00AF2492" w:rsidRDefault="00C1616F" w:rsidP="00954B08">
      <w:pPr>
        <w:pStyle w:val="FootnoteText1"/>
        <w:spacing w:after="0" w:line="240" w:lineRule="auto"/>
        <w:ind w:left="284" w:hanging="284"/>
        <w:rPr>
          <w:rFonts w:asciiTheme="minorHAnsi" w:hAnsiTheme="minorHAnsi"/>
          <w:b/>
          <w:sz w:val="22"/>
          <w:szCs w:val="22"/>
        </w:rPr>
      </w:pPr>
      <w:r w:rsidRPr="00AF2492">
        <w:rPr>
          <w:rFonts w:asciiTheme="minorHAnsi" w:hAnsiTheme="minorHAnsi"/>
          <w:b/>
          <w:sz w:val="22"/>
          <w:szCs w:val="22"/>
        </w:rPr>
        <w:t>(CITED IN</w:t>
      </w:r>
      <w:r w:rsidR="00954B08" w:rsidRPr="00AF2492">
        <w:rPr>
          <w:rFonts w:asciiTheme="minorHAnsi" w:hAnsiTheme="minorHAnsi"/>
          <w:b/>
          <w:sz w:val="22"/>
          <w:szCs w:val="22"/>
        </w:rPr>
        <w:t xml:space="preserve"> ANNEXES)</w:t>
      </w:r>
    </w:p>
    <w:p w:rsidR="00954B08" w:rsidRPr="00A34ADC" w:rsidRDefault="00954B08" w:rsidP="00954B08">
      <w:pPr>
        <w:pStyle w:val="FootnoteText1"/>
        <w:spacing w:after="0" w:line="240" w:lineRule="auto"/>
        <w:ind w:left="284" w:hanging="284"/>
        <w:rPr>
          <w:rFonts w:asciiTheme="minorHAnsi" w:hAnsiTheme="minorHAnsi"/>
          <w:sz w:val="22"/>
          <w:szCs w:val="22"/>
        </w:rPr>
      </w:pPr>
    </w:p>
    <w:p w:rsidR="00954B08" w:rsidRPr="00B5498E" w:rsidRDefault="00954B08" w:rsidP="00B5498E">
      <w:pPr>
        <w:pStyle w:val="EndnoteText"/>
        <w:ind w:left="360" w:hanging="360"/>
        <w:rPr>
          <w:rFonts w:asciiTheme="minorHAnsi" w:hAnsiTheme="minorHAnsi"/>
          <w:sz w:val="22"/>
          <w:szCs w:val="22"/>
        </w:rPr>
      </w:pPr>
      <w:r w:rsidRPr="00B5498E">
        <w:rPr>
          <w:rFonts w:asciiTheme="minorHAnsi" w:hAnsiTheme="minorHAnsi"/>
          <w:sz w:val="22"/>
          <w:szCs w:val="22"/>
        </w:rPr>
        <w:t xml:space="preserve">ADB (Asian Development Bank). 2006. </w:t>
      </w:r>
      <w:r w:rsidRPr="00B5498E">
        <w:rPr>
          <w:rFonts w:asciiTheme="minorHAnsi" w:hAnsiTheme="minorHAnsi"/>
          <w:i/>
          <w:sz w:val="22"/>
          <w:szCs w:val="22"/>
        </w:rPr>
        <w:t>Bangladesh: Early Warning Systems Study</w:t>
      </w:r>
      <w:r w:rsidRPr="00B5498E">
        <w:rPr>
          <w:rFonts w:asciiTheme="minorHAnsi" w:hAnsiTheme="minorHAnsi"/>
          <w:sz w:val="22"/>
          <w:szCs w:val="22"/>
        </w:rPr>
        <w:t>, Technical Assistance Consultant’s Report. Project Number: 38625 (TA 4562). Asian Development Bank, Dhaka.</w:t>
      </w:r>
    </w:p>
    <w:p w:rsidR="00954B08" w:rsidRDefault="00954B08" w:rsidP="00954B08">
      <w:pPr>
        <w:ind w:left="180" w:hanging="180"/>
        <w:rPr>
          <w:rFonts w:asciiTheme="minorHAnsi" w:hAnsiTheme="minorHAnsi"/>
        </w:rPr>
      </w:pPr>
      <w:r w:rsidRPr="00B5498E">
        <w:rPr>
          <w:rFonts w:asciiTheme="minorHAnsi" w:hAnsiTheme="minorHAnsi"/>
        </w:rPr>
        <w:t xml:space="preserve">Asian Development Bank. 2009. </w:t>
      </w:r>
      <w:r w:rsidRPr="005F0807">
        <w:rPr>
          <w:rFonts w:asciiTheme="minorHAnsi" w:hAnsiTheme="minorHAnsi"/>
          <w:i/>
        </w:rPr>
        <w:t>The Economic Analysis of the Power System Expansion and Efficiency Improvement Investment Program in Bangladesh</w:t>
      </w:r>
      <w:r w:rsidR="007571BA">
        <w:rPr>
          <w:rFonts w:asciiTheme="minorHAnsi" w:hAnsiTheme="minorHAnsi"/>
        </w:rPr>
        <w:t xml:space="preserve"> (RRP BAN 42378).</w:t>
      </w:r>
      <w:r w:rsidR="00BF7E33">
        <w:rPr>
          <w:rFonts w:asciiTheme="minorHAnsi" w:hAnsiTheme="minorHAnsi"/>
        </w:rPr>
        <w:t xml:space="preserve"> </w:t>
      </w:r>
      <w:r w:rsidRPr="00B5498E">
        <w:rPr>
          <w:rFonts w:asciiTheme="minorHAnsi" w:hAnsiTheme="minorHAnsi"/>
        </w:rPr>
        <w:t>[http://www.adb.org/sites/default/files/linked-documents/37113-013-ban-ea.pdf] accessed on May 15, 2015.</w:t>
      </w:r>
    </w:p>
    <w:p w:rsidR="00AB06B7" w:rsidRPr="005F0807" w:rsidRDefault="00AB06B7" w:rsidP="00954B08">
      <w:pPr>
        <w:ind w:left="180" w:hanging="180"/>
        <w:rPr>
          <w:rFonts w:asciiTheme="minorHAnsi" w:hAnsiTheme="minorHAnsi"/>
        </w:rPr>
      </w:pPr>
      <w:r w:rsidRPr="005F0807">
        <w:rPr>
          <w:rFonts w:asciiTheme="minorHAnsi" w:hAnsiTheme="minorHAnsi"/>
        </w:rPr>
        <w:t xml:space="preserve">Chisty, </w:t>
      </w:r>
      <w:r w:rsidR="005F0807" w:rsidRPr="005F0807">
        <w:rPr>
          <w:rFonts w:asciiTheme="minorHAnsi" w:hAnsiTheme="minorHAnsi"/>
        </w:rPr>
        <w:t xml:space="preserve">M.H.U. </w:t>
      </w:r>
      <w:r w:rsidRPr="005F0807">
        <w:rPr>
          <w:rFonts w:asciiTheme="minorHAnsi" w:hAnsiTheme="minorHAnsi"/>
        </w:rPr>
        <w:t>2013.</w:t>
      </w:r>
      <w:r w:rsidR="005F0807" w:rsidRPr="005F0807">
        <w:rPr>
          <w:rFonts w:asciiTheme="minorHAnsi" w:hAnsiTheme="minorHAnsi"/>
          <w:i/>
        </w:rPr>
        <w:t>Socioeconomic Profile, Profitability, and Replication Study on HHK Demo Plants: Final Report.</w:t>
      </w:r>
      <w:r w:rsidR="005F0807" w:rsidRPr="005F0807">
        <w:rPr>
          <w:rFonts w:asciiTheme="minorHAnsi" w:hAnsiTheme="minorHAnsi"/>
        </w:rPr>
        <w:t>Green Brick (IKEBMI) Project, UNDP-GEF, UNDP Bangladesh, Dhaka.</w:t>
      </w:r>
    </w:p>
    <w:p w:rsidR="00954B08" w:rsidRPr="00B5498E" w:rsidRDefault="00954B08" w:rsidP="00954B08">
      <w:pPr>
        <w:ind w:left="360" w:hanging="360"/>
        <w:jc w:val="both"/>
        <w:rPr>
          <w:rFonts w:asciiTheme="minorHAnsi" w:hAnsiTheme="minorHAnsi"/>
        </w:rPr>
      </w:pPr>
      <w:r w:rsidRPr="00B5498E">
        <w:rPr>
          <w:rFonts w:asciiTheme="minorHAnsi" w:hAnsiTheme="minorHAnsi"/>
        </w:rPr>
        <w:t xml:space="preserve">GED (General Economics Division). 2014. </w:t>
      </w:r>
      <w:r w:rsidRPr="00B5498E">
        <w:rPr>
          <w:rFonts w:asciiTheme="minorHAnsi" w:hAnsiTheme="minorHAnsi"/>
          <w:i/>
        </w:rPr>
        <w:t>Manual of Instruction for Preparation of Development Project Proforma</w:t>
      </w:r>
      <w:r w:rsidR="007571BA">
        <w:rPr>
          <w:rFonts w:asciiTheme="minorHAnsi" w:hAnsiTheme="minorHAnsi"/>
        </w:rPr>
        <w:t>.</w:t>
      </w:r>
      <w:r w:rsidRPr="00B5498E">
        <w:rPr>
          <w:rFonts w:asciiTheme="minorHAnsi" w:hAnsiTheme="minorHAnsi"/>
        </w:rPr>
        <w:t xml:space="preserve"> Planning Commission, Ministry of Planning, Government of Bangladesh, Dhaka</w:t>
      </w:r>
    </w:p>
    <w:p w:rsidR="00954B08" w:rsidRPr="00B5498E" w:rsidRDefault="00954B08" w:rsidP="00954B08">
      <w:pPr>
        <w:spacing w:after="0" w:line="240" w:lineRule="auto"/>
        <w:ind w:left="360" w:hanging="360"/>
        <w:rPr>
          <w:rFonts w:asciiTheme="minorHAnsi" w:hAnsiTheme="minorHAnsi"/>
          <w:lang w:val="en-GB"/>
        </w:rPr>
      </w:pPr>
      <w:r w:rsidRPr="00B5498E">
        <w:rPr>
          <w:rFonts w:asciiTheme="minorHAnsi" w:hAnsiTheme="minorHAnsi"/>
          <w:lang w:val="en-GB"/>
        </w:rPr>
        <w:t>IEA (International Energy Agency). 2015.World Energy Outlook. WEO Electrification Database 2014.http://www.worldenergyoutlook.org/resources/energydevelopment/energyaccessdatabase/</w:t>
      </w:r>
    </w:p>
    <w:p w:rsidR="00954B08" w:rsidRPr="00B5498E" w:rsidRDefault="00954B08" w:rsidP="00954B08">
      <w:pPr>
        <w:spacing w:after="0" w:line="240" w:lineRule="auto"/>
        <w:jc w:val="both"/>
        <w:rPr>
          <w:rFonts w:asciiTheme="minorHAnsi" w:hAnsiTheme="minorHAnsi"/>
          <w:lang w:val="en-GB"/>
        </w:rPr>
      </w:pPr>
    </w:p>
    <w:p w:rsidR="00954B08" w:rsidRPr="00B5498E" w:rsidRDefault="00954B08" w:rsidP="00954B08">
      <w:pPr>
        <w:spacing w:after="0" w:line="240" w:lineRule="auto"/>
        <w:ind w:left="360" w:hanging="360"/>
        <w:rPr>
          <w:rFonts w:asciiTheme="minorHAnsi" w:hAnsiTheme="minorHAnsi"/>
          <w:lang w:val="en-GB"/>
        </w:rPr>
      </w:pPr>
      <w:r w:rsidRPr="00B5498E">
        <w:rPr>
          <w:rFonts w:asciiTheme="minorHAnsi" w:hAnsiTheme="minorHAnsi"/>
          <w:lang w:val="en-GB"/>
        </w:rPr>
        <w:t>IEA (International Energy Agency). 2015.World Energy Outlook. WEO Biomass Database 2014.http://www.worldenergyoutlook.org/resources/energydevelopment/energyaccessdatabase/</w:t>
      </w:r>
    </w:p>
    <w:p w:rsidR="00954B08" w:rsidRPr="00B5498E" w:rsidRDefault="00954B08" w:rsidP="00954B08">
      <w:pPr>
        <w:spacing w:after="0" w:line="240" w:lineRule="auto"/>
        <w:ind w:left="360" w:hanging="360"/>
        <w:rPr>
          <w:rFonts w:asciiTheme="minorHAnsi" w:hAnsiTheme="minorHAnsi"/>
          <w:lang w:val="en-GB"/>
        </w:rPr>
      </w:pPr>
    </w:p>
    <w:p w:rsidR="00954B08" w:rsidRPr="00B5498E" w:rsidRDefault="00954B08" w:rsidP="00954B08">
      <w:pPr>
        <w:ind w:left="270" w:hanging="270"/>
        <w:rPr>
          <w:rFonts w:asciiTheme="minorHAnsi" w:hAnsiTheme="minorHAnsi"/>
        </w:rPr>
      </w:pPr>
      <w:r w:rsidRPr="00B5498E">
        <w:rPr>
          <w:rFonts w:asciiTheme="minorHAnsi" w:hAnsiTheme="minorHAnsi"/>
        </w:rPr>
        <w:t>IFRC and RCS (International Federation of Red Cross and Red Crescent Societies). 2014. World Disaster Report 2014: Focus on Culture and Risk. [https://www.ifrc.org/Global/Documents/Secretariat/201410/WDR%202014.pdf], accessed on May 9, 2015.</w:t>
      </w:r>
    </w:p>
    <w:p w:rsidR="00954B08" w:rsidRPr="00B5498E" w:rsidRDefault="00954B08" w:rsidP="00954B08">
      <w:pPr>
        <w:tabs>
          <w:tab w:val="left" w:pos="-720"/>
        </w:tabs>
        <w:suppressAutoHyphens/>
        <w:spacing w:line="300" w:lineRule="auto"/>
        <w:ind w:left="360" w:hanging="360"/>
        <w:jc w:val="both"/>
        <w:rPr>
          <w:rFonts w:asciiTheme="minorHAnsi" w:hAnsiTheme="minorHAnsi"/>
          <w:spacing w:val="-2"/>
        </w:rPr>
      </w:pPr>
      <w:r w:rsidRPr="00B5498E">
        <w:rPr>
          <w:rFonts w:asciiTheme="minorHAnsi" w:hAnsiTheme="minorHAnsi"/>
        </w:rPr>
        <w:t>Islam, K.M.N.</w:t>
      </w:r>
      <w:r w:rsidRPr="00B5498E">
        <w:rPr>
          <w:rFonts w:asciiTheme="minorHAnsi" w:hAnsiTheme="minorHAnsi"/>
          <w:spacing w:val="-2"/>
        </w:rPr>
        <w:t xml:space="preserve"> 1997. </w:t>
      </w:r>
      <w:r w:rsidRPr="00B5498E">
        <w:rPr>
          <w:rFonts w:asciiTheme="minorHAnsi" w:hAnsiTheme="minorHAnsi"/>
          <w:i/>
          <w:spacing w:val="-2"/>
        </w:rPr>
        <w:t>The Role of Perception, Warning and Human Factors in Flood Losses</w:t>
      </w:r>
      <w:r w:rsidR="007571BA">
        <w:rPr>
          <w:rFonts w:asciiTheme="minorHAnsi" w:hAnsiTheme="minorHAnsi"/>
          <w:spacing w:val="-2"/>
        </w:rPr>
        <w:t>.</w:t>
      </w:r>
      <w:r w:rsidRPr="00B5498E">
        <w:rPr>
          <w:rFonts w:asciiTheme="minorHAnsi" w:hAnsiTheme="minorHAnsi"/>
          <w:spacing w:val="-2"/>
        </w:rPr>
        <w:t xml:space="preserve"> Research Report 152, Bangladesh Institute of Development Studies (BIDS), Dhaka. </w:t>
      </w:r>
    </w:p>
    <w:p w:rsidR="00954B08" w:rsidRPr="00B5498E" w:rsidRDefault="00954B08" w:rsidP="00954B08">
      <w:pPr>
        <w:tabs>
          <w:tab w:val="left" w:pos="-720"/>
          <w:tab w:val="left" w:pos="270"/>
          <w:tab w:val="left" w:pos="720"/>
          <w:tab w:val="left" w:pos="1440"/>
        </w:tabs>
        <w:autoSpaceDE w:val="0"/>
        <w:autoSpaceDN w:val="0"/>
        <w:adjustRightInd w:val="0"/>
        <w:spacing w:line="300" w:lineRule="auto"/>
        <w:ind w:left="270" w:hanging="270"/>
        <w:jc w:val="both"/>
        <w:rPr>
          <w:rFonts w:asciiTheme="minorHAnsi" w:hAnsiTheme="minorHAnsi"/>
          <w:bCs/>
        </w:rPr>
      </w:pPr>
      <w:r w:rsidRPr="00B5498E">
        <w:rPr>
          <w:rFonts w:asciiTheme="minorHAnsi" w:hAnsiTheme="minorHAnsi"/>
        </w:rPr>
        <w:t xml:space="preserve">Islam, K.M.N. 2011a. </w:t>
      </w:r>
      <w:r w:rsidRPr="00B5498E">
        <w:rPr>
          <w:rFonts w:asciiTheme="minorHAnsi" w:hAnsiTheme="minorHAnsi"/>
          <w:bCs/>
          <w:i/>
        </w:rPr>
        <w:t>Handbook of Flood Loss Potentials and Assessment Methods in Non-agricultural Sectors, A Case Study of Bangladesh</w:t>
      </w:r>
      <w:r w:rsidR="007571BA">
        <w:rPr>
          <w:rFonts w:asciiTheme="minorHAnsi" w:hAnsiTheme="minorHAnsi"/>
          <w:bCs/>
        </w:rPr>
        <w:t>.</w:t>
      </w:r>
      <w:r w:rsidRPr="00B5498E">
        <w:rPr>
          <w:rFonts w:asciiTheme="minorHAnsi" w:hAnsiTheme="minorHAnsi"/>
          <w:bCs/>
        </w:rPr>
        <w:t xml:space="preserve"> VDM Publishers, Germany</w:t>
      </w:r>
    </w:p>
    <w:p w:rsidR="00954B08" w:rsidRPr="00B5498E" w:rsidRDefault="00954B08" w:rsidP="00954B08">
      <w:pPr>
        <w:tabs>
          <w:tab w:val="left" w:pos="-720"/>
          <w:tab w:val="left" w:pos="360"/>
          <w:tab w:val="left" w:pos="720"/>
          <w:tab w:val="left" w:pos="1440"/>
        </w:tabs>
        <w:autoSpaceDE w:val="0"/>
        <w:autoSpaceDN w:val="0"/>
        <w:adjustRightInd w:val="0"/>
        <w:spacing w:line="300" w:lineRule="auto"/>
        <w:ind w:left="360" w:hanging="360"/>
        <w:jc w:val="both"/>
        <w:rPr>
          <w:rFonts w:asciiTheme="minorHAnsi" w:hAnsiTheme="minorHAnsi"/>
          <w:bCs/>
          <w:i/>
          <w:iCs/>
          <w:spacing w:val="-2"/>
        </w:rPr>
      </w:pPr>
      <w:r w:rsidRPr="00B5498E">
        <w:rPr>
          <w:rFonts w:asciiTheme="minorHAnsi" w:hAnsiTheme="minorHAnsi"/>
        </w:rPr>
        <w:t xml:space="preserve">Islam, K.M.N. 2011b. </w:t>
      </w:r>
      <w:r w:rsidRPr="00B5498E">
        <w:rPr>
          <w:rFonts w:asciiTheme="minorHAnsi" w:hAnsiTheme="minorHAnsi"/>
          <w:bCs/>
          <w:i/>
          <w:spacing w:val="-3"/>
        </w:rPr>
        <w:t>Impacts of Urban Floods from</w:t>
      </w:r>
      <w:r w:rsidR="007571BA">
        <w:rPr>
          <w:rFonts w:asciiTheme="minorHAnsi" w:hAnsiTheme="minorHAnsi"/>
          <w:bCs/>
          <w:i/>
          <w:spacing w:val="-3"/>
        </w:rPr>
        <w:t xml:space="preserve"> Micro-Macro Level Perspectives:</w:t>
      </w:r>
      <w:r w:rsidRPr="00B5498E">
        <w:rPr>
          <w:rFonts w:asciiTheme="minorHAnsi" w:hAnsiTheme="minorHAnsi"/>
          <w:bCs/>
          <w:i/>
          <w:spacing w:val="-3"/>
        </w:rPr>
        <w:t xml:space="preserve"> A case study of Bangladesh</w:t>
      </w:r>
      <w:r w:rsidR="007571BA">
        <w:rPr>
          <w:rFonts w:asciiTheme="minorHAnsi" w:hAnsiTheme="minorHAnsi"/>
          <w:bCs/>
          <w:spacing w:val="-3"/>
        </w:rPr>
        <w:t>.</w:t>
      </w:r>
      <w:r w:rsidRPr="00B5498E">
        <w:rPr>
          <w:rFonts w:asciiTheme="minorHAnsi" w:hAnsiTheme="minorHAnsi"/>
          <w:bCs/>
          <w:spacing w:val="-3"/>
        </w:rPr>
        <w:t xml:space="preserve"> LAP LAMBERT Academic Publishing House</w:t>
      </w:r>
      <w:r w:rsidRPr="00B5498E">
        <w:rPr>
          <w:rFonts w:asciiTheme="minorHAnsi" w:hAnsiTheme="minorHAnsi"/>
          <w:bCs/>
        </w:rPr>
        <w:t>, Germany</w:t>
      </w:r>
      <w:r w:rsidRPr="00B5498E">
        <w:rPr>
          <w:rFonts w:asciiTheme="minorHAnsi" w:hAnsiTheme="minorHAnsi"/>
          <w:bCs/>
          <w:i/>
          <w:iCs/>
          <w:spacing w:val="-2"/>
        </w:rPr>
        <w:t>.</w:t>
      </w:r>
    </w:p>
    <w:p w:rsidR="00954B08" w:rsidRPr="00B5498E" w:rsidRDefault="00954B08" w:rsidP="00954B08">
      <w:pPr>
        <w:autoSpaceDE w:val="0"/>
        <w:autoSpaceDN w:val="0"/>
        <w:adjustRightInd w:val="0"/>
        <w:spacing w:line="300" w:lineRule="auto"/>
        <w:ind w:left="360" w:hanging="360"/>
        <w:jc w:val="both"/>
        <w:rPr>
          <w:rFonts w:asciiTheme="minorHAnsi" w:hAnsiTheme="minorHAnsi"/>
          <w:i/>
        </w:rPr>
      </w:pPr>
      <w:r w:rsidRPr="00B5498E">
        <w:rPr>
          <w:rFonts w:asciiTheme="minorHAnsi" w:hAnsiTheme="minorHAnsi"/>
        </w:rPr>
        <w:t xml:space="preserve">Islam, K.M.N. and </w:t>
      </w:r>
      <w:r w:rsidRPr="00B5498E">
        <w:rPr>
          <w:rFonts w:asciiTheme="minorHAnsi" w:hAnsiTheme="minorHAnsi"/>
          <w:bCs/>
        </w:rPr>
        <w:t xml:space="preserve">Mechler, R. 2007. </w:t>
      </w:r>
      <w:r w:rsidRPr="00B5498E">
        <w:rPr>
          <w:rFonts w:asciiTheme="minorHAnsi" w:hAnsiTheme="minorHAnsi"/>
          <w:bCs/>
          <w:i/>
        </w:rPr>
        <w:t>An Economic and Cost Benefit Analysis of Adaptation Options, Opportunities and Risks of Climate Change and Disasters</w:t>
      </w:r>
      <w:r w:rsidR="007571BA">
        <w:rPr>
          <w:rFonts w:asciiTheme="minorHAnsi" w:hAnsiTheme="minorHAnsi"/>
          <w:bCs/>
        </w:rPr>
        <w:t>.</w:t>
      </w:r>
      <w:r w:rsidRPr="00B5498E">
        <w:rPr>
          <w:rFonts w:asciiTheme="minorHAnsi" w:hAnsiTheme="minorHAnsi"/>
        </w:rPr>
        <w:t>IDS, Sussex University, UK.</w:t>
      </w:r>
    </w:p>
    <w:p w:rsidR="00954B08" w:rsidRPr="00B5498E" w:rsidRDefault="00954B08" w:rsidP="00954B08">
      <w:pPr>
        <w:spacing w:after="0" w:line="240" w:lineRule="auto"/>
        <w:ind w:left="284" w:hanging="284"/>
        <w:rPr>
          <w:rFonts w:asciiTheme="minorHAnsi" w:hAnsiTheme="minorHAnsi"/>
          <w:lang w:val="en-US"/>
        </w:rPr>
      </w:pPr>
      <w:r w:rsidRPr="00B5498E">
        <w:rPr>
          <w:rFonts w:asciiTheme="minorHAnsi" w:hAnsiTheme="minorHAnsi" w:cstheme="minorHAnsi"/>
          <w:lang w:val="en-US"/>
        </w:rPr>
        <w:t>Ministry of Disaster Management and Relief. 2015.  A Value for Money Analysis Report, Final Version,</w:t>
      </w:r>
      <w:r w:rsidRPr="00B5498E">
        <w:rPr>
          <w:rFonts w:asciiTheme="minorHAnsi" w:hAnsiTheme="minorHAnsi"/>
        </w:rPr>
        <w:t>Government of the People’s Republic of Bangladesh, Dhaka.</w:t>
      </w:r>
    </w:p>
    <w:p w:rsidR="00954B08" w:rsidRPr="00B5498E" w:rsidRDefault="00954B08" w:rsidP="00954B08">
      <w:pPr>
        <w:spacing w:after="0" w:line="240" w:lineRule="auto"/>
        <w:ind w:left="284" w:hanging="284"/>
        <w:rPr>
          <w:rFonts w:asciiTheme="minorHAnsi" w:hAnsiTheme="minorHAnsi"/>
          <w:lang w:val="en-US"/>
        </w:rPr>
      </w:pPr>
    </w:p>
    <w:p w:rsidR="00954B08" w:rsidRPr="00B5498E" w:rsidRDefault="00954B08" w:rsidP="00954B08">
      <w:pPr>
        <w:spacing w:after="0" w:line="240" w:lineRule="auto"/>
        <w:ind w:left="270" w:hanging="270"/>
        <w:rPr>
          <w:rFonts w:asciiTheme="minorHAnsi" w:eastAsia="Calibri" w:hAnsiTheme="minorHAnsi" w:cs="Calibri"/>
          <w:color w:val="000000"/>
          <w:u w:color="000000"/>
          <w:lang w:val="en-US"/>
        </w:rPr>
      </w:pPr>
      <w:r w:rsidRPr="00B5498E">
        <w:rPr>
          <w:rFonts w:asciiTheme="minorHAnsi" w:eastAsia="Calibri" w:hAnsiTheme="minorHAnsi" w:cs="Calibri"/>
          <w:color w:val="000000"/>
          <w:u w:color="000000"/>
          <w:lang w:val="en-US"/>
        </w:rPr>
        <w:lastRenderedPageBreak/>
        <w:t xml:space="preserve">Ministry of Power, Energy and Mineral Resources. 2011. </w:t>
      </w:r>
      <w:r w:rsidRPr="007571BA">
        <w:rPr>
          <w:rFonts w:asciiTheme="minorHAnsi" w:eastAsia="Calibri" w:hAnsiTheme="minorHAnsi" w:cs="Calibri"/>
          <w:i/>
          <w:color w:val="000000"/>
          <w:u w:color="000000"/>
          <w:lang w:val="en-US"/>
        </w:rPr>
        <w:t>Power System Master Plan 2010.</w:t>
      </w:r>
      <w:r w:rsidRPr="00B5498E">
        <w:rPr>
          <w:rFonts w:asciiTheme="minorHAnsi" w:eastAsia="Calibri" w:hAnsiTheme="minorHAnsi" w:cs="Calibri"/>
          <w:color w:val="000000"/>
          <w:u w:color="000000"/>
          <w:lang w:val="en-US"/>
        </w:rPr>
        <w:t>Government of Bangladesh, Japan International Cooperation Agency (JICA), and Tokyo Electric Company, Inc, (IDD-JR-011-029).</w:t>
      </w:r>
    </w:p>
    <w:p w:rsidR="00954B08" w:rsidRPr="00B5498E" w:rsidRDefault="00954B08" w:rsidP="00954B08">
      <w:pPr>
        <w:spacing w:after="0" w:line="240" w:lineRule="auto"/>
        <w:ind w:left="270" w:hanging="270"/>
        <w:rPr>
          <w:rFonts w:asciiTheme="minorHAnsi" w:eastAsia="Calibri" w:hAnsiTheme="minorHAnsi" w:cs="Calibri"/>
          <w:color w:val="000000"/>
          <w:u w:color="000000"/>
          <w:lang w:val="en-US"/>
        </w:rPr>
      </w:pPr>
    </w:p>
    <w:p w:rsidR="00954B08" w:rsidRPr="00B5498E" w:rsidRDefault="00954B08" w:rsidP="00954B08">
      <w:pPr>
        <w:pStyle w:val="FootnoteText"/>
        <w:ind w:left="270" w:hanging="270"/>
        <w:rPr>
          <w:rFonts w:asciiTheme="minorHAnsi" w:hAnsiTheme="minorHAnsi"/>
          <w:sz w:val="22"/>
          <w:szCs w:val="22"/>
          <w:lang w:val="en-GB"/>
        </w:rPr>
      </w:pPr>
      <w:r w:rsidRPr="00B5498E">
        <w:rPr>
          <w:rFonts w:asciiTheme="minorHAnsi" w:hAnsiTheme="minorHAnsi"/>
          <w:sz w:val="22"/>
          <w:szCs w:val="22"/>
          <w:lang w:val="en-GB"/>
        </w:rPr>
        <w:t>Ministry of Power, Energy and Mineral Resources, 2013.</w:t>
      </w:r>
      <w:r w:rsidR="007571BA">
        <w:rPr>
          <w:rFonts w:asciiTheme="minorHAnsi" w:hAnsiTheme="minorHAnsi"/>
          <w:i/>
          <w:sz w:val="22"/>
          <w:szCs w:val="22"/>
          <w:lang w:val="en-GB"/>
        </w:rPr>
        <w:t>500 MW Solar Power Programme.</w:t>
      </w:r>
      <w:r w:rsidRPr="00B5498E">
        <w:rPr>
          <w:rFonts w:asciiTheme="minorHAnsi" w:hAnsiTheme="minorHAnsi"/>
          <w:sz w:val="22"/>
          <w:szCs w:val="22"/>
          <w:lang w:val="en-GB"/>
        </w:rPr>
        <w:t xml:space="preserve"> Government of Bangladesh, Dhaka. </w:t>
      </w:r>
    </w:p>
    <w:p w:rsidR="00954B08" w:rsidRPr="00B5498E" w:rsidRDefault="00954B08" w:rsidP="00B5498E">
      <w:pPr>
        <w:pStyle w:val="EndnoteText"/>
        <w:spacing w:line="300" w:lineRule="auto"/>
        <w:ind w:left="360" w:hanging="360"/>
        <w:rPr>
          <w:rFonts w:asciiTheme="minorHAnsi" w:hAnsiTheme="minorHAnsi"/>
          <w:sz w:val="22"/>
          <w:szCs w:val="22"/>
          <w:lang w:val="en-GB"/>
        </w:rPr>
      </w:pPr>
      <w:r w:rsidRPr="00B5498E">
        <w:rPr>
          <w:rFonts w:asciiTheme="minorHAnsi" w:hAnsiTheme="minorHAnsi"/>
          <w:sz w:val="22"/>
          <w:szCs w:val="22"/>
          <w:lang w:val="en-GB"/>
        </w:rPr>
        <w:t>Nandi, P. 2014a.</w:t>
      </w:r>
      <w:r w:rsidRPr="00B5498E">
        <w:rPr>
          <w:rFonts w:asciiTheme="minorHAnsi" w:hAnsiTheme="minorHAnsi"/>
          <w:i/>
          <w:sz w:val="22"/>
          <w:szCs w:val="22"/>
          <w:lang w:val="en-GB"/>
        </w:rPr>
        <w:t>Project cost effectiveness and efficiency through Value for Money Analysis</w:t>
      </w:r>
      <w:r w:rsidRPr="00B5498E">
        <w:rPr>
          <w:rFonts w:asciiTheme="minorHAnsi" w:hAnsiTheme="minorHAnsi"/>
          <w:sz w:val="22"/>
          <w:szCs w:val="22"/>
          <w:lang w:val="en-GB"/>
        </w:rPr>
        <w:t xml:space="preserve">, FFF Model, Dhaka.  </w:t>
      </w:r>
    </w:p>
    <w:p w:rsidR="00954B08" w:rsidRPr="00B5498E" w:rsidRDefault="00954B08" w:rsidP="00954B08">
      <w:pPr>
        <w:pStyle w:val="EndnoteText"/>
        <w:spacing w:line="300" w:lineRule="auto"/>
        <w:ind w:left="360" w:hanging="360"/>
        <w:rPr>
          <w:rFonts w:asciiTheme="minorHAnsi" w:hAnsiTheme="minorHAnsi"/>
          <w:sz w:val="22"/>
          <w:szCs w:val="22"/>
          <w:lang w:val="en-GB"/>
        </w:rPr>
      </w:pPr>
      <w:r w:rsidRPr="00B5498E">
        <w:rPr>
          <w:rFonts w:asciiTheme="minorHAnsi" w:hAnsiTheme="minorHAnsi"/>
          <w:sz w:val="22"/>
          <w:szCs w:val="22"/>
          <w:lang w:val="en-GB"/>
        </w:rPr>
        <w:t>Nandi, P. 2014b.</w:t>
      </w:r>
      <w:r w:rsidRPr="00B5498E">
        <w:rPr>
          <w:rFonts w:asciiTheme="minorHAnsi" w:hAnsiTheme="minorHAnsi"/>
          <w:i/>
          <w:sz w:val="22"/>
          <w:szCs w:val="22"/>
          <w:lang w:val="en-GB"/>
        </w:rPr>
        <w:t>Application of innovative CBA measures mainstreaming and transformation in coastal Bangladesh</w:t>
      </w:r>
      <w:r w:rsidRPr="00B5498E">
        <w:rPr>
          <w:rFonts w:asciiTheme="minorHAnsi" w:hAnsiTheme="minorHAnsi"/>
          <w:sz w:val="22"/>
          <w:szCs w:val="22"/>
          <w:lang w:val="en-GB"/>
        </w:rPr>
        <w:t>, The Guardian, June.</w:t>
      </w:r>
    </w:p>
    <w:p w:rsidR="00954B08" w:rsidRPr="00B5498E" w:rsidRDefault="00954B08" w:rsidP="00954B08">
      <w:pPr>
        <w:pStyle w:val="FootnoteText"/>
        <w:ind w:left="360" w:hanging="360"/>
        <w:rPr>
          <w:rFonts w:asciiTheme="minorHAnsi" w:hAnsiTheme="minorHAnsi"/>
          <w:sz w:val="22"/>
          <w:szCs w:val="22"/>
        </w:rPr>
      </w:pPr>
      <w:r w:rsidRPr="00B5498E">
        <w:rPr>
          <w:rFonts w:asciiTheme="minorHAnsi" w:hAnsiTheme="minorHAnsi"/>
          <w:sz w:val="22"/>
          <w:szCs w:val="22"/>
        </w:rPr>
        <w:t>ODI (Overseas Development Institute) and World Bank. 2015. Post 2015: What Comes after the MDGs?: “ODI and World Bank report finds that managing disaster risks can bring other benefits, eve</w:t>
      </w:r>
      <w:r w:rsidR="007571BA">
        <w:rPr>
          <w:rFonts w:asciiTheme="minorHAnsi" w:hAnsiTheme="minorHAnsi"/>
          <w:sz w:val="22"/>
          <w:szCs w:val="22"/>
        </w:rPr>
        <w:t xml:space="preserve">n if catastrophe never strikes”. </w:t>
      </w:r>
      <w:r w:rsidRPr="00B5498E">
        <w:rPr>
          <w:rFonts w:asciiTheme="minorHAnsi" w:hAnsiTheme="minorHAnsi"/>
          <w:sz w:val="22"/>
          <w:szCs w:val="22"/>
        </w:rPr>
        <w:t>[http://post2015.org/2015/03/16/odi-and-world-bank-report-finds-that-managing-disaster-risks-can-bring-other-benefits-even-if-catastrophe-never-strikes/] Accessed on May 15, 2015.</w:t>
      </w:r>
    </w:p>
    <w:p w:rsidR="00954B08" w:rsidRPr="00B5498E" w:rsidRDefault="00954B08" w:rsidP="00954B08">
      <w:pPr>
        <w:pStyle w:val="EndnoteText"/>
        <w:spacing w:line="300" w:lineRule="auto"/>
        <w:ind w:left="360" w:hanging="360"/>
        <w:jc w:val="both"/>
        <w:rPr>
          <w:rFonts w:asciiTheme="minorHAnsi" w:hAnsiTheme="minorHAnsi"/>
          <w:sz w:val="22"/>
          <w:szCs w:val="22"/>
        </w:rPr>
      </w:pPr>
      <w:r w:rsidRPr="00B5498E">
        <w:rPr>
          <w:rFonts w:asciiTheme="minorHAnsi" w:hAnsiTheme="minorHAnsi"/>
          <w:sz w:val="22"/>
          <w:szCs w:val="22"/>
        </w:rPr>
        <w:t>Subbiah et al. 2008.</w:t>
      </w:r>
      <w:r w:rsidRPr="007571BA">
        <w:rPr>
          <w:rFonts w:asciiTheme="minorHAnsi" w:hAnsiTheme="minorHAnsi"/>
          <w:i/>
          <w:sz w:val="22"/>
          <w:szCs w:val="22"/>
        </w:rPr>
        <w:t>Background Paper on the Assessment of Early Warning Syst</w:t>
      </w:r>
      <w:r w:rsidR="007571BA">
        <w:rPr>
          <w:rFonts w:asciiTheme="minorHAnsi" w:hAnsiTheme="minorHAnsi"/>
          <w:i/>
          <w:sz w:val="22"/>
          <w:szCs w:val="22"/>
        </w:rPr>
        <w:t>ems for Disaster Risk Reduction.</w:t>
      </w:r>
      <w:r w:rsidR="007571BA" w:rsidRPr="007571BA">
        <w:rPr>
          <w:rFonts w:asciiTheme="minorHAnsi" w:hAnsiTheme="minorHAnsi"/>
          <w:sz w:val="22"/>
          <w:szCs w:val="22"/>
        </w:rPr>
        <w:t>T</w:t>
      </w:r>
      <w:r w:rsidRPr="007571BA">
        <w:rPr>
          <w:rFonts w:asciiTheme="minorHAnsi" w:hAnsiTheme="minorHAnsi"/>
          <w:sz w:val="22"/>
          <w:szCs w:val="22"/>
        </w:rPr>
        <w:t>h</w:t>
      </w:r>
      <w:r w:rsidRPr="00B5498E">
        <w:rPr>
          <w:rFonts w:asciiTheme="minorHAnsi" w:hAnsiTheme="minorHAnsi"/>
          <w:sz w:val="22"/>
          <w:szCs w:val="22"/>
        </w:rPr>
        <w:t xml:space="preserve">e World Bank, GFDRR. </w:t>
      </w:r>
    </w:p>
    <w:p w:rsidR="00954B08" w:rsidRPr="00B5498E" w:rsidRDefault="00954B08" w:rsidP="00954B08">
      <w:pPr>
        <w:spacing w:after="0" w:line="240" w:lineRule="auto"/>
        <w:ind w:left="360" w:hanging="360"/>
        <w:jc w:val="both"/>
        <w:rPr>
          <w:rFonts w:asciiTheme="minorHAnsi" w:hAnsiTheme="minorHAnsi"/>
          <w:lang w:val="en-GB"/>
        </w:rPr>
      </w:pPr>
      <w:r w:rsidRPr="00B5498E">
        <w:rPr>
          <w:rFonts w:asciiTheme="minorHAnsi" w:hAnsiTheme="minorHAnsi"/>
          <w:lang w:val="en-GB"/>
        </w:rPr>
        <w:t>SREDA (Sustainable and Renewable Energy Development Authority), Min</w:t>
      </w:r>
      <w:r w:rsidR="00AF2492">
        <w:rPr>
          <w:rFonts w:asciiTheme="minorHAnsi" w:hAnsiTheme="minorHAnsi"/>
          <w:lang w:val="en-GB"/>
        </w:rPr>
        <w:t>i</w:t>
      </w:r>
      <w:r w:rsidRPr="00B5498E">
        <w:rPr>
          <w:rFonts w:asciiTheme="minorHAnsi" w:hAnsiTheme="minorHAnsi"/>
          <w:lang w:val="en-GB"/>
        </w:rPr>
        <w:t xml:space="preserve">stry of Power, Energy and Minerals. 2015. </w:t>
      </w:r>
      <w:r w:rsidRPr="007571BA">
        <w:rPr>
          <w:rFonts w:asciiTheme="minorHAnsi" w:hAnsiTheme="minorHAnsi"/>
          <w:i/>
          <w:lang w:val="en-GB"/>
        </w:rPr>
        <w:t>Energy Efficiency and Conservation Master Plan up to 2010.</w:t>
      </w:r>
      <w:r w:rsidRPr="00B5498E">
        <w:rPr>
          <w:rFonts w:asciiTheme="minorHAnsi" w:hAnsiTheme="minorHAnsi"/>
          <w:lang w:val="en-GB"/>
        </w:rPr>
        <w:t xml:space="preserve"> Power Division, Government of Bangladesh, Dhaka. </w:t>
      </w:r>
    </w:p>
    <w:p w:rsidR="00954B08" w:rsidRPr="00B5498E" w:rsidRDefault="00954B08" w:rsidP="00954B08">
      <w:pPr>
        <w:spacing w:after="0" w:line="240" w:lineRule="auto"/>
        <w:ind w:left="360" w:hanging="360"/>
        <w:jc w:val="both"/>
        <w:rPr>
          <w:rFonts w:asciiTheme="minorHAnsi" w:hAnsiTheme="minorHAnsi"/>
          <w:lang w:val="en-GB"/>
        </w:rPr>
      </w:pPr>
    </w:p>
    <w:p w:rsidR="00954B08" w:rsidRPr="00B5498E" w:rsidRDefault="00954B08" w:rsidP="00954B08">
      <w:pPr>
        <w:spacing w:after="0" w:line="240" w:lineRule="auto"/>
        <w:ind w:left="360" w:hanging="360"/>
        <w:rPr>
          <w:rFonts w:asciiTheme="minorHAnsi" w:hAnsiTheme="minorHAnsi"/>
        </w:rPr>
      </w:pPr>
      <w:r w:rsidRPr="00B5498E">
        <w:rPr>
          <w:rFonts w:asciiTheme="minorHAnsi" w:hAnsiTheme="minorHAnsi"/>
        </w:rPr>
        <w:t xml:space="preserve">Twigg, J. 2007. </w:t>
      </w:r>
      <w:r w:rsidRPr="007571BA">
        <w:rPr>
          <w:rFonts w:asciiTheme="minorHAnsi" w:hAnsiTheme="minorHAnsi"/>
          <w:i/>
        </w:rPr>
        <w:t>Characteristics of disaster-resilient community: A Guidance note.</w:t>
      </w:r>
      <w:r w:rsidRPr="00B5498E">
        <w:rPr>
          <w:rFonts w:asciiTheme="minorHAnsi" w:hAnsiTheme="minorHAnsi"/>
        </w:rPr>
        <w:t xml:space="preserve"> Version-1 for the  Department for International Development (DFID) disaster risk reduction and Interagency Coordination Group.</w:t>
      </w:r>
    </w:p>
    <w:p w:rsidR="00954B08" w:rsidRPr="00B5498E" w:rsidRDefault="00954B08" w:rsidP="00954B08">
      <w:pPr>
        <w:spacing w:after="0" w:line="240" w:lineRule="auto"/>
        <w:ind w:left="284" w:hanging="284"/>
        <w:rPr>
          <w:rFonts w:asciiTheme="minorHAnsi" w:hAnsiTheme="minorHAnsi"/>
        </w:rPr>
      </w:pPr>
    </w:p>
    <w:p w:rsidR="00954B08" w:rsidRPr="00B5498E" w:rsidRDefault="00954B08" w:rsidP="00954B08">
      <w:pPr>
        <w:ind w:left="360" w:hanging="360"/>
        <w:rPr>
          <w:rFonts w:asciiTheme="minorHAnsi" w:hAnsiTheme="minorHAnsi" w:cs="Calibri"/>
        </w:rPr>
      </w:pPr>
      <w:r w:rsidRPr="00B5498E">
        <w:rPr>
          <w:rFonts w:asciiTheme="minorHAnsi" w:hAnsiTheme="minorHAnsi" w:cs="Calibri"/>
        </w:rPr>
        <w:t xml:space="preserve">UNDP. 2014. </w:t>
      </w:r>
      <w:r w:rsidRPr="007571BA">
        <w:rPr>
          <w:rFonts w:asciiTheme="minorHAnsi" w:hAnsiTheme="minorHAnsi" w:cs="Calibri"/>
          <w:i/>
        </w:rPr>
        <w:t>Human Development Report 2014: Sustaining Human Progress: Reducing Vulnerabilities and Building Resilience.</w:t>
      </w:r>
      <w:r w:rsidRPr="00B5498E">
        <w:rPr>
          <w:rFonts w:asciiTheme="minorHAnsi" w:hAnsiTheme="minorHAnsi" w:cs="Calibri"/>
        </w:rPr>
        <w:t>[http://hdr.undp.org/sites/default/files/hdr14-summary-en.pdf], accessed on May 5, 2015.</w:t>
      </w:r>
    </w:p>
    <w:p w:rsidR="00954B08" w:rsidRPr="00B5498E" w:rsidRDefault="00954B08" w:rsidP="00954B08">
      <w:pPr>
        <w:pStyle w:val="bodytext"/>
        <w:ind w:left="360" w:hanging="360"/>
        <w:rPr>
          <w:rFonts w:asciiTheme="minorHAnsi" w:hAnsiTheme="minorHAnsi"/>
          <w:sz w:val="22"/>
          <w:szCs w:val="22"/>
        </w:rPr>
      </w:pPr>
      <w:r w:rsidRPr="00B5498E">
        <w:rPr>
          <w:rFonts w:asciiTheme="minorHAnsi" w:hAnsiTheme="minorHAnsi"/>
          <w:sz w:val="22"/>
          <w:szCs w:val="22"/>
        </w:rPr>
        <w:t xml:space="preserve">Wörlen, C. 2011.a. </w:t>
      </w:r>
      <w:r w:rsidRPr="007571BA">
        <w:rPr>
          <w:rFonts w:asciiTheme="minorHAnsi" w:hAnsiTheme="minorHAnsi"/>
          <w:i/>
          <w:sz w:val="22"/>
          <w:szCs w:val="22"/>
        </w:rPr>
        <w:t>Transforming Markets for Sustainable District Heating in Poland – a Meta-Evaluation and Barrier Analysis.</w:t>
      </w:r>
      <w:r w:rsidRPr="00B5498E">
        <w:rPr>
          <w:rFonts w:asciiTheme="minorHAnsi" w:hAnsiTheme="minorHAnsi"/>
          <w:sz w:val="22"/>
          <w:szCs w:val="22"/>
        </w:rPr>
        <w:t>Climate Change Evaluation Community of Practice Study.</w:t>
      </w:r>
    </w:p>
    <w:p w:rsidR="00954B08" w:rsidRPr="00B5498E" w:rsidRDefault="00954B08" w:rsidP="00954B08">
      <w:pPr>
        <w:pStyle w:val="bodytext"/>
        <w:ind w:left="360" w:hanging="360"/>
        <w:rPr>
          <w:rFonts w:asciiTheme="minorHAnsi" w:hAnsiTheme="minorHAnsi"/>
          <w:sz w:val="22"/>
          <w:szCs w:val="22"/>
        </w:rPr>
      </w:pPr>
      <w:r w:rsidRPr="00B5498E">
        <w:rPr>
          <w:rFonts w:asciiTheme="minorHAnsi" w:hAnsiTheme="minorHAnsi"/>
          <w:sz w:val="22"/>
          <w:szCs w:val="22"/>
        </w:rPr>
        <w:t>Wörlen, C. 2011b.</w:t>
      </w:r>
      <w:r w:rsidRPr="007571BA">
        <w:rPr>
          <w:rFonts w:asciiTheme="minorHAnsi" w:hAnsiTheme="minorHAnsi"/>
          <w:i/>
          <w:sz w:val="22"/>
          <w:szCs w:val="22"/>
        </w:rPr>
        <w:t>Transforming Markets for Energy Efficient Products in Thailand – a Meta-Evaluation and Barrier Analysis.</w:t>
      </w:r>
      <w:r w:rsidRPr="00B5498E">
        <w:rPr>
          <w:rFonts w:asciiTheme="minorHAnsi" w:hAnsiTheme="minorHAnsi"/>
          <w:sz w:val="22"/>
          <w:szCs w:val="22"/>
        </w:rPr>
        <w:t>28 p. Climate Change Evaluation Community of Practice Study.</w:t>
      </w:r>
    </w:p>
    <w:p w:rsidR="00954B08" w:rsidRPr="00B5498E" w:rsidRDefault="00954B08" w:rsidP="00954B08">
      <w:pPr>
        <w:spacing w:after="0" w:line="240" w:lineRule="auto"/>
        <w:ind w:left="360" w:hanging="360"/>
        <w:rPr>
          <w:rFonts w:asciiTheme="minorHAnsi" w:hAnsiTheme="minorHAnsi"/>
        </w:rPr>
      </w:pPr>
      <w:r w:rsidRPr="00B5498E">
        <w:rPr>
          <w:rFonts w:asciiTheme="minorHAnsi" w:hAnsiTheme="minorHAnsi"/>
        </w:rPr>
        <w:t xml:space="preserve">World Bank. 2014. </w:t>
      </w:r>
      <w:r w:rsidRPr="007571BA">
        <w:rPr>
          <w:rFonts w:asciiTheme="minorHAnsi" w:hAnsiTheme="minorHAnsi"/>
          <w:i/>
        </w:rPr>
        <w:t>South Asian Countries Show Potential for Accelerated Growth.</w:t>
      </w:r>
      <w:r w:rsidRPr="00B5498E">
        <w:rPr>
          <w:rFonts w:asciiTheme="minorHAnsi" w:hAnsiTheme="minorHAnsi"/>
        </w:rPr>
        <w:t>[http://www.worldbank.org/en/region/sar/publication/south-asian-countries-potential-accelerated-growth], accessed on May 16, 2015.</w:t>
      </w:r>
    </w:p>
    <w:p w:rsidR="00954B08" w:rsidRPr="00B5498E" w:rsidRDefault="00954B08" w:rsidP="00954B08">
      <w:pPr>
        <w:spacing w:after="0" w:line="240" w:lineRule="auto"/>
        <w:ind w:left="360" w:hanging="360"/>
        <w:rPr>
          <w:rFonts w:asciiTheme="minorHAnsi" w:hAnsiTheme="minorHAnsi"/>
        </w:rPr>
      </w:pPr>
    </w:p>
    <w:p w:rsidR="00954B08" w:rsidRPr="00B5498E" w:rsidRDefault="00954B08" w:rsidP="00954B08">
      <w:pPr>
        <w:pStyle w:val="FootnoteText"/>
        <w:ind w:left="360" w:hanging="360"/>
        <w:rPr>
          <w:rFonts w:asciiTheme="minorHAnsi" w:hAnsiTheme="minorHAnsi"/>
          <w:sz w:val="22"/>
          <w:szCs w:val="22"/>
          <w:lang w:val="en-GB"/>
        </w:rPr>
      </w:pPr>
      <w:r w:rsidRPr="00B5498E">
        <w:rPr>
          <w:rFonts w:asciiTheme="minorHAnsi" w:hAnsiTheme="minorHAnsi"/>
          <w:sz w:val="22"/>
          <w:szCs w:val="22"/>
        </w:rPr>
        <w:t>World Bank and IFC (International Finance Corporation). 2013.</w:t>
      </w:r>
      <w:r w:rsidRPr="007571BA">
        <w:rPr>
          <w:rFonts w:asciiTheme="minorHAnsi" w:hAnsiTheme="minorHAnsi"/>
          <w:i/>
          <w:sz w:val="22"/>
          <w:szCs w:val="22"/>
          <w:lang w:val="en-GB"/>
        </w:rPr>
        <w:t>Bangladesh Country Profile, 2013:  Enterprise Surveys.</w:t>
      </w:r>
      <w:r w:rsidRPr="00B5498E">
        <w:rPr>
          <w:rFonts w:asciiTheme="minorHAnsi" w:hAnsiTheme="minorHAnsi"/>
          <w:sz w:val="22"/>
          <w:szCs w:val="22"/>
          <w:lang w:val="en-GB"/>
        </w:rPr>
        <w:t>Enterprise Analysis Unit of the World Bank and the IFC.</w:t>
      </w:r>
      <w:r w:rsidR="00BF7E33">
        <w:rPr>
          <w:rFonts w:asciiTheme="minorHAnsi" w:hAnsiTheme="minorHAnsi"/>
          <w:sz w:val="22"/>
          <w:szCs w:val="22"/>
          <w:lang w:val="en-GB"/>
        </w:rPr>
        <w:t xml:space="preserve"> </w:t>
      </w:r>
      <w:r w:rsidRPr="00B5498E">
        <w:rPr>
          <w:rFonts w:asciiTheme="minorHAnsi" w:hAnsiTheme="minorHAnsi"/>
          <w:sz w:val="22"/>
          <w:szCs w:val="22"/>
        </w:rPr>
        <w:lastRenderedPageBreak/>
        <w:t>[http://www.enterprisesurveys.org/~/media/GIAWB/EnterpriseSurveys/Documents/Profiles/English/Bangladesh-2013.pdf], accessed on May 10, 2015.</w:t>
      </w:r>
    </w:p>
    <w:p w:rsidR="00954B08" w:rsidRPr="00B5498E" w:rsidRDefault="00954B08" w:rsidP="00954B08">
      <w:pPr>
        <w:spacing w:after="0" w:line="240" w:lineRule="auto"/>
        <w:jc w:val="both"/>
        <w:rPr>
          <w:rFonts w:asciiTheme="minorHAnsi" w:hAnsiTheme="minorHAnsi"/>
          <w:lang w:val="en-GB"/>
        </w:rPr>
      </w:pPr>
    </w:p>
    <w:p w:rsidR="00954B08" w:rsidRPr="00B5498E" w:rsidRDefault="00954B08" w:rsidP="00954B08">
      <w:pPr>
        <w:spacing w:after="0" w:line="240" w:lineRule="auto"/>
        <w:jc w:val="both"/>
        <w:rPr>
          <w:rFonts w:asciiTheme="minorHAnsi" w:hAnsiTheme="minorHAnsi"/>
          <w:lang w:val="en-GB"/>
        </w:rPr>
      </w:pPr>
    </w:p>
    <w:p w:rsidR="00954B08" w:rsidRDefault="00954B08" w:rsidP="00954B08">
      <w:pPr>
        <w:rPr>
          <w:rFonts w:asciiTheme="minorHAnsi" w:hAnsiTheme="minorHAnsi"/>
        </w:rPr>
      </w:pPr>
    </w:p>
    <w:p w:rsidR="00BF7E33" w:rsidRDefault="00BF7E33" w:rsidP="00954B08">
      <w:pPr>
        <w:rPr>
          <w:rFonts w:asciiTheme="minorHAnsi" w:hAnsiTheme="minorHAnsi"/>
        </w:rPr>
      </w:pPr>
    </w:p>
    <w:p w:rsidR="00BF7E33" w:rsidRDefault="00BF7E33" w:rsidP="00954B08">
      <w:pPr>
        <w:rPr>
          <w:rFonts w:asciiTheme="minorHAnsi" w:hAnsiTheme="minorHAnsi"/>
        </w:rPr>
      </w:pPr>
    </w:p>
    <w:p w:rsidR="00BF7E33" w:rsidRDefault="00BF7E33" w:rsidP="00954B08">
      <w:pPr>
        <w:rPr>
          <w:rFonts w:asciiTheme="minorHAnsi" w:hAnsiTheme="minorHAnsi"/>
        </w:rPr>
      </w:pPr>
    </w:p>
    <w:p w:rsidR="00BF7E33" w:rsidRDefault="00BF7E33" w:rsidP="00954B08">
      <w:pPr>
        <w:rPr>
          <w:rFonts w:asciiTheme="minorHAnsi" w:hAnsiTheme="minorHAnsi"/>
        </w:rPr>
      </w:pPr>
    </w:p>
    <w:p w:rsidR="00BF7E33" w:rsidRDefault="00BF7E33" w:rsidP="00954B08">
      <w:pPr>
        <w:rPr>
          <w:rFonts w:asciiTheme="minorHAnsi" w:hAnsiTheme="minorHAnsi"/>
        </w:rPr>
      </w:pPr>
    </w:p>
    <w:p w:rsidR="00BF7E33" w:rsidRDefault="00BF7E33" w:rsidP="00954B08">
      <w:pPr>
        <w:rPr>
          <w:rFonts w:asciiTheme="minorHAnsi" w:hAnsiTheme="minorHAnsi"/>
        </w:rPr>
      </w:pPr>
    </w:p>
    <w:p w:rsidR="00BF7E33" w:rsidRDefault="00BF7E33" w:rsidP="00954B08">
      <w:pPr>
        <w:rPr>
          <w:rFonts w:asciiTheme="minorHAnsi" w:hAnsiTheme="minorHAnsi"/>
        </w:rPr>
      </w:pPr>
    </w:p>
    <w:p w:rsidR="00BF7E33" w:rsidRDefault="00BF7E33" w:rsidP="00954B08">
      <w:pPr>
        <w:rPr>
          <w:rFonts w:asciiTheme="minorHAnsi" w:hAnsiTheme="minorHAnsi"/>
        </w:rPr>
      </w:pPr>
    </w:p>
    <w:p w:rsidR="00BF7E33" w:rsidRDefault="00BF7E33" w:rsidP="00954B08">
      <w:pPr>
        <w:rPr>
          <w:rFonts w:asciiTheme="minorHAnsi" w:hAnsiTheme="minorHAnsi"/>
        </w:rPr>
      </w:pPr>
    </w:p>
    <w:p w:rsidR="00BF7E33" w:rsidRDefault="00BF7E33" w:rsidP="00954B08">
      <w:pPr>
        <w:rPr>
          <w:rFonts w:asciiTheme="minorHAnsi" w:hAnsiTheme="minorHAnsi"/>
        </w:rPr>
      </w:pPr>
    </w:p>
    <w:p w:rsidR="00BF7E33" w:rsidRDefault="00BF7E33" w:rsidP="00954B08">
      <w:pPr>
        <w:rPr>
          <w:rFonts w:asciiTheme="minorHAnsi" w:hAnsiTheme="minorHAnsi"/>
        </w:rPr>
      </w:pPr>
    </w:p>
    <w:p w:rsidR="00BF7E33" w:rsidRDefault="00BF7E33" w:rsidP="00954B08">
      <w:pPr>
        <w:rPr>
          <w:rFonts w:asciiTheme="minorHAnsi" w:hAnsiTheme="minorHAnsi"/>
        </w:rPr>
      </w:pPr>
    </w:p>
    <w:p w:rsidR="00BF7E33" w:rsidRDefault="00BF7E33" w:rsidP="00954B08">
      <w:pPr>
        <w:rPr>
          <w:rFonts w:asciiTheme="minorHAnsi" w:hAnsiTheme="minorHAnsi"/>
        </w:rPr>
      </w:pPr>
    </w:p>
    <w:p w:rsidR="00BF7E33" w:rsidRDefault="00BF7E33" w:rsidP="00954B08">
      <w:pPr>
        <w:rPr>
          <w:rFonts w:asciiTheme="minorHAnsi" w:hAnsiTheme="minorHAnsi"/>
        </w:rPr>
      </w:pPr>
    </w:p>
    <w:p w:rsidR="00BF7E33" w:rsidRDefault="00BF7E33" w:rsidP="00954B08">
      <w:pPr>
        <w:rPr>
          <w:rFonts w:asciiTheme="minorHAnsi" w:hAnsiTheme="minorHAnsi"/>
        </w:rPr>
      </w:pPr>
    </w:p>
    <w:p w:rsidR="00BF7E33" w:rsidRDefault="00BF7E33" w:rsidP="00954B08">
      <w:pPr>
        <w:rPr>
          <w:rFonts w:asciiTheme="minorHAnsi" w:hAnsiTheme="minorHAnsi"/>
        </w:rPr>
      </w:pPr>
    </w:p>
    <w:p w:rsidR="00BF7E33" w:rsidRDefault="00BF7E33" w:rsidP="00954B08">
      <w:pPr>
        <w:rPr>
          <w:rFonts w:asciiTheme="minorHAnsi" w:hAnsiTheme="minorHAnsi"/>
        </w:rPr>
      </w:pPr>
    </w:p>
    <w:p w:rsidR="00BF7E33" w:rsidRDefault="00BF7E33" w:rsidP="00954B08">
      <w:pPr>
        <w:rPr>
          <w:rFonts w:asciiTheme="minorHAnsi" w:hAnsiTheme="minorHAnsi"/>
        </w:rPr>
      </w:pPr>
    </w:p>
    <w:p w:rsidR="00BF7E33" w:rsidRDefault="00BF7E33" w:rsidP="00954B08">
      <w:pPr>
        <w:rPr>
          <w:rFonts w:asciiTheme="minorHAnsi" w:hAnsiTheme="minorHAnsi"/>
        </w:rPr>
      </w:pPr>
    </w:p>
    <w:p w:rsidR="00BF7E33" w:rsidRDefault="00BF7E33" w:rsidP="00954B08">
      <w:pPr>
        <w:rPr>
          <w:rFonts w:asciiTheme="minorHAnsi" w:hAnsiTheme="minorHAnsi"/>
        </w:rPr>
      </w:pPr>
    </w:p>
    <w:p w:rsidR="00BF7E33" w:rsidRDefault="00BF7E33" w:rsidP="00954B08">
      <w:pPr>
        <w:rPr>
          <w:rFonts w:asciiTheme="minorHAnsi" w:hAnsiTheme="minorHAnsi"/>
        </w:rPr>
      </w:pPr>
    </w:p>
    <w:p w:rsidR="000A210C" w:rsidRDefault="000A210C" w:rsidP="00954B08">
      <w:pPr>
        <w:rPr>
          <w:rFonts w:asciiTheme="minorHAnsi" w:hAnsiTheme="minorHAnsi"/>
        </w:rPr>
        <w:sectPr w:rsidR="000A210C" w:rsidSect="00C61EA4">
          <w:pgSz w:w="12240" w:h="15840"/>
          <w:pgMar w:top="1440" w:right="1440" w:bottom="1440" w:left="1440" w:header="720" w:footer="720" w:gutter="0"/>
          <w:pgNumType w:start="1"/>
          <w:cols w:space="720"/>
          <w:docGrid w:linePitch="360"/>
        </w:sectPr>
      </w:pPr>
    </w:p>
    <w:p w:rsidR="000A210C" w:rsidRPr="00ED1313" w:rsidRDefault="000A210C" w:rsidP="000A210C">
      <w:pPr>
        <w:tabs>
          <w:tab w:val="left" w:pos="12960"/>
        </w:tabs>
        <w:ind w:right="360"/>
        <w:jc w:val="center"/>
        <w:rPr>
          <w:b/>
        </w:rPr>
      </w:pPr>
      <w:r>
        <w:rPr>
          <w:b/>
        </w:rPr>
        <w:lastRenderedPageBreak/>
        <w:t xml:space="preserve">Annex I: </w:t>
      </w:r>
      <w:r w:rsidRPr="00ED1313">
        <w:rPr>
          <w:b/>
        </w:rPr>
        <w:t>UNDP CCED Project List, Budget</w:t>
      </w:r>
      <w:r>
        <w:rPr>
          <w:b/>
        </w:rPr>
        <w:t xml:space="preserve"> (2012-2016)</w:t>
      </w:r>
      <w:r w:rsidRPr="00ED1313">
        <w:rPr>
          <w:b/>
        </w:rPr>
        <w:t xml:space="preserve"> and Expenditure</w:t>
      </w:r>
      <w:r>
        <w:rPr>
          <w:b/>
        </w:rPr>
        <w:t>, 2012-2014</w:t>
      </w:r>
    </w:p>
    <w:tbl>
      <w:tblPr>
        <w:tblW w:w="13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990"/>
        <w:gridCol w:w="792"/>
        <w:gridCol w:w="1548"/>
        <w:gridCol w:w="1422"/>
        <w:gridCol w:w="904"/>
        <w:gridCol w:w="900"/>
        <w:gridCol w:w="1350"/>
        <w:gridCol w:w="1260"/>
        <w:gridCol w:w="1350"/>
        <w:gridCol w:w="1274"/>
        <w:gridCol w:w="706"/>
      </w:tblGrid>
      <w:tr w:rsidR="000A210C" w:rsidRPr="005B07A2" w:rsidTr="000A210C">
        <w:trPr>
          <w:trHeight w:val="285"/>
        </w:trPr>
        <w:tc>
          <w:tcPr>
            <w:tcW w:w="1188" w:type="dxa"/>
            <w:vMerge w:val="restart"/>
            <w:shd w:val="clear" w:color="auto" w:fill="DAEEF3" w:themeFill="accent5" w:themeFillTint="33"/>
            <w:noWrap/>
            <w:hideMark/>
          </w:tcPr>
          <w:p w:rsidR="000A210C" w:rsidRPr="00DF46B1" w:rsidRDefault="000A210C" w:rsidP="000A210C">
            <w:pPr>
              <w:spacing w:after="0" w:line="240" w:lineRule="auto"/>
              <w:rPr>
                <w:rFonts w:cstheme="minorHAnsi"/>
                <w:sz w:val="18"/>
                <w:szCs w:val="18"/>
              </w:rPr>
            </w:pPr>
            <w:bookmarkStart w:id="1" w:name="RANGE!A1:M32"/>
            <w:r w:rsidRPr="00DF46B1">
              <w:rPr>
                <w:rFonts w:cstheme="minorHAnsi"/>
                <w:sz w:val="18"/>
                <w:szCs w:val="18"/>
              </w:rPr>
              <w:t>Outcome</w:t>
            </w:r>
            <w:bookmarkEnd w:id="1"/>
          </w:p>
        </w:tc>
        <w:tc>
          <w:tcPr>
            <w:tcW w:w="990" w:type="dxa"/>
            <w:vMerge w:val="restart"/>
            <w:shd w:val="clear" w:color="auto" w:fill="DAEEF3" w:themeFill="accent5" w:themeFillTint="33"/>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CPD Outcome</w:t>
            </w:r>
          </w:p>
        </w:tc>
        <w:tc>
          <w:tcPr>
            <w:tcW w:w="792" w:type="dxa"/>
            <w:vMerge w:val="restart"/>
            <w:shd w:val="clear" w:color="auto" w:fill="DAEEF3" w:themeFill="accent5" w:themeFillTint="33"/>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Project</w:t>
            </w:r>
          </w:p>
        </w:tc>
        <w:tc>
          <w:tcPr>
            <w:tcW w:w="1548" w:type="dxa"/>
            <w:vMerge w:val="restart"/>
            <w:shd w:val="clear" w:color="auto" w:fill="DAEEF3" w:themeFill="accent5" w:themeFillTint="33"/>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Project Name</w:t>
            </w:r>
          </w:p>
        </w:tc>
        <w:tc>
          <w:tcPr>
            <w:tcW w:w="1422" w:type="dxa"/>
            <w:vMerge w:val="restart"/>
            <w:shd w:val="clear" w:color="auto" w:fill="DAEEF3" w:themeFill="accent5" w:themeFillTint="33"/>
            <w:hideMark/>
          </w:tcPr>
          <w:p w:rsidR="000A210C" w:rsidRPr="005B07A2" w:rsidRDefault="000A210C" w:rsidP="000A210C">
            <w:pPr>
              <w:spacing w:after="0" w:line="240" w:lineRule="auto"/>
              <w:rPr>
                <w:rFonts w:cstheme="minorHAnsi"/>
                <w:bCs/>
                <w:sz w:val="18"/>
                <w:szCs w:val="18"/>
              </w:rPr>
            </w:pPr>
            <w:r w:rsidRPr="00DF46B1">
              <w:rPr>
                <w:rFonts w:cstheme="minorHAnsi"/>
                <w:sz w:val="18"/>
                <w:szCs w:val="18"/>
              </w:rPr>
              <w:t>Donor Name</w:t>
            </w:r>
          </w:p>
          <w:p w:rsidR="000A210C" w:rsidRPr="00DF46B1" w:rsidRDefault="000A210C" w:rsidP="000A210C">
            <w:pPr>
              <w:spacing w:after="0" w:line="240" w:lineRule="auto"/>
              <w:rPr>
                <w:rFonts w:cstheme="minorHAnsi"/>
                <w:sz w:val="18"/>
                <w:szCs w:val="18"/>
              </w:rPr>
            </w:pPr>
            <w:r w:rsidRPr="00DF46B1">
              <w:rPr>
                <w:rFonts w:cstheme="minorHAnsi"/>
                <w:sz w:val="18"/>
                <w:szCs w:val="18"/>
              </w:rPr>
              <w:t> </w:t>
            </w:r>
          </w:p>
        </w:tc>
        <w:tc>
          <w:tcPr>
            <w:tcW w:w="904" w:type="dxa"/>
            <w:vMerge w:val="restart"/>
            <w:shd w:val="clear" w:color="auto" w:fill="DAEEF3" w:themeFill="accent5" w:themeFillTint="33"/>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 xml:space="preserve"> Starting Date </w:t>
            </w:r>
          </w:p>
        </w:tc>
        <w:tc>
          <w:tcPr>
            <w:tcW w:w="900" w:type="dxa"/>
            <w:vMerge w:val="restart"/>
            <w:shd w:val="clear" w:color="auto" w:fill="DAEEF3" w:themeFill="accent5" w:themeFillTint="33"/>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 xml:space="preserve"> Ending Date </w:t>
            </w:r>
          </w:p>
        </w:tc>
        <w:tc>
          <w:tcPr>
            <w:tcW w:w="3960" w:type="dxa"/>
            <w:gridSpan w:val="3"/>
            <w:shd w:val="clear" w:color="auto" w:fill="DAEEF3" w:themeFill="accent5" w:themeFillTint="33"/>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Budget 2012-2016</w:t>
            </w:r>
          </w:p>
        </w:tc>
        <w:tc>
          <w:tcPr>
            <w:tcW w:w="1274" w:type="dxa"/>
            <w:vMerge w:val="restart"/>
            <w:shd w:val="clear" w:color="auto" w:fill="DAEEF3" w:themeFill="accent5" w:themeFillTint="33"/>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Exp. 2012-2014</w:t>
            </w:r>
          </w:p>
        </w:tc>
        <w:tc>
          <w:tcPr>
            <w:tcW w:w="706" w:type="dxa"/>
            <w:vMerge w:val="restart"/>
            <w:shd w:val="clear" w:color="auto" w:fill="92D050"/>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 for the period</w:t>
            </w:r>
            <w:r w:rsidRPr="00DF46B1">
              <w:rPr>
                <w:rFonts w:cstheme="minorHAnsi"/>
                <w:sz w:val="18"/>
                <w:szCs w:val="18"/>
              </w:rPr>
              <w:br/>
              <w:t>2012-2014</w:t>
            </w:r>
          </w:p>
        </w:tc>
      </w:tr>
      <w:tr w:rsidR="000A210C" w:rsidRPr="005B07A2" w:rsidTr="000A210C">
        <w:trPr>
          <w:trHeight w:val="630"/>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vMerge/>
            <w:hideMark/>
          </w:tcPr>
          <w:p w:rsidR="000A210C" w:rsidRPr="00DF46B1" w:rsidRDefault="000A210C" w:rsidP="000A210C">
            <w:pPr>
              <w:spacing w:after="0" w:line="240" w:lineRule="auto"/>
              <w:rPr>
                <w:rFonts w:cstheme="minorHAnsi"/>
                <w:b/>
                <w:bCs/>
                <w:sz w:val="18"/>
                <w:szCs w:val="18"/>
              </w:rPr>
            </w:pPr>
          </w:p>
        </w:tc>
        <w:tc>
          <w:tcPr>
            <w:tcW w:w="1548" w:type="dxa"/>
            <w:vMerge/>
            <w:hideMark/>
          </w:tcPr>
          <w:p w:rsidR="000A210C" w:rsidRPr="00DF46B1" w:rsidRDefault="000A210C" w:rsidP="000A210C">
            <w:pPr>
              <w:spacing w:after="0" w:line="240" w:lineRule="auto"/>
              <w:rPr>
                <w:rFonts w:cstheme="minorHAnsi"/>
                <w:b/>
                <w:bCs/>
                <w:sz w:val="18"/>
                <w:szCs w:val="18"/>
              </w:rPr>
            </w:pPr>
          </w:p>
        </w:tc>
        <w:tc>
          <w:tcPr>
            <w:tcW w:w="1422" w:type="dxa"/>
            <w:vMerge/>
            <w:hideMark/>
          </w:tcPr>
          <w:p w:rsidR="000A210C" w:rsidRPr="00DF46B1" w:rsidRDefault="000A210C" w:rsidP="000A210C">
            <w:pPr>
              <w:spacing w:after="0" w:line="240" w:lineRule="auto"/>
              <w:rPr>
                <w:rFonts w:cstheme="minorHAnsi"/>
                <w:b/>
                <w:bCs/>
                <w:sz w:val="18"/>
                <w:szCs w:val="18"/>
              </w:rPr>
            </w:pPr>
          </w:p>
        </w:tc>
        <w:tc>
          <w:tcPr>
            <w:tcW w:w="904" w:type="dxa"/>
            <w:vMerge/>
            <w:hideMark/>
          </w:tcPr>
          <w:p w:rsidR="000A210C" w:rsidRPr="00DF46B1" w:rsidRDefault="000A210C" w:rsidP="000A210C">
            <w:pPr>
              <w:spacing w:after="0" w:line="240" w:lineRule="auto"/>
              <w:rPr>
                <w:rFonts w:cstheme="minorHAnsi"/>
                <w:b/>
                <w:bCs/>
                <w:sz w:val="18"/>
                <w:szCs w:val="18"/>
              </w:rPr>
            </w:pPr>
          </w:p>
        </w:tc>
        <w:tc>
          <w:tcPr>
            <w:tcW w:w="900" w:type="dxa"/>
            <w:vMerge/>
            <w:hideMark/>
          </w:tcPr>
          <w:p w:rsidR="000A210C" w:rsidRPr="00DF46B1" w:rsidRDefault="000A210C" w:rsidP="000A210C">
            <w:pPr>
              <w:spacing w:after="0" w:line="240" w:lineRule="auto"/>
              <w:rPr>
                <w:rFonts w:cstheme="minorHAnsi"/>
                <w:b/>
                <w:bCs/>
                <w:sz w:val="18"/>
                <w:szCs w:val="18"/>
              </w:rPr>
            </w:pPr>
          </w:p>
        </w:tc>
        <w:tc>
          <w:tcPr>
            <w:tcW w:w="1350" w:type="dxa"/>
            <w:shd w:val="clear" w:color="auto" w:fill="FBD4B4" w:themeFill="accent6" w:themeFillTint="66"/>
            <w:noWrap/>
            <w:hideMark/>
          </w:tcPr>
          <w:p w:rsidR="000A210C" w:rsidRPr="00DF46B1" w:rsidRDefault="000A210C" w:rsidP="000A210C">
            <w:pPr>
              <w:spacing w:after="0" w:line="240" w:lineRule="auto"/>
              <w:jc w:val="center"/>
              <w:rPr>
                <w:rFonts w:cstheme="minorHAnsi"/>
                <w:b/>
                <w:bCs/>
                <w:sz w:val="18"/>
                <w:szCs w:val="18"/>
              </w:rPr>
            </w:pPr>
            <w:r w:rsidRPr="00DF46B1">
              <w:rPr>
                <w:rFonts w:cstheme="minorHAnsi"/>
                <w:b/>
                <w:bCs/>
                <w:sz w:val="18"/>
                <w:szCs w:val="18"/>
              </w:rPr>
              <w:t>Budget</w:t>
            </w:r>
          </w:p>
        </w:tc>
        <w:tc>
          <w:tcPr>
            <w:tcW w:w="1260" w:type="dxa"/>
            <w:shd w:val="clear" w:color="auto" w:fill="FBD4B4" w:themeFill="accent6" w:themeFillTint="66"/>
            <w:hideMark/>
          </w:tcPr>
          <w:p w:rsidR="000A210C" w:rsidRPr="00DF46B1" w:rsidRDefault="000A210C" w:rsidP="000A210C">
            <w:pPr>
              <w:spacing w:after="0" w:line="240" w:lineRule="auto"/>
              <w:jc w:val="center"/>
              <w:rPr>
                <w:rFonts w:cstheme="minorHAnsi"/>
                <w:b/>
                <w:bCs/>
                <w:sz w:val="18"/>
                <w:szCs w:val="18"/>
              </w:rPr>
            </w:pPr>
            <w:r w:rsidRPr="00DF46B1">
              <w:rPr>
                <w:rFonts w:cstheme="minorHAnsi"/>
                <w:b/>
                <w:bCs/>
                <w:sz w:val="18"/>
                <w:szCs w:val="18"/>
              </w:rPr>
              <w:t>UNDP Contribution</w:t>
            </w:r>
          </w:p>
        </w:tc>
        <w:tc>
          <w:tcPr>
            <w:tcW w:w="1350" w:type="dxa"/>
            <w:shd w:val="clear" w:color="auto" w:fill="FBD4B4" w:themeFill="accent6" w:themeFillTint="66"/>
            <w:hideMark/>
          </w:tcPr>
          <w:p w:rsidR="000A210C" w:rsidRPr="00DF46B1" w:rsidRDefault="000A210C" w:rsidP="000A210C">
            <w:pPr>
              <w:spacing w:after="0" w:line="240" w:lineRule="auto"/>
              <w:jc w:val="center"/>
              <w:rPr>
                <w:rFonts w:cstheme="minorHAnsi"/>
                <w:b/>
                <w:bCs/>
                <w:sz w:val="18"/>
                <w:szCs w:val="18"/>
              </w:rPr>
            </w:pPr>
            <w:r w:rsidRPr="00DF46B1">
              <w:rPr>
                <w:rFonts w:cstheme="minorHAnsi"/>
                <w:b/>
                <w:bCs/>
                <w:sz w:val="18"/>
                <w:szCs w:val="18"/>
              </w:rPr>
              <w:t>Donor and HQ Contribution</w:t>
            </w:r>
          </w:p>
        </w:tc>
        <w:tc>
          <w:tcPr>
            <w:tcW w:w="1274" w:type="dxa"/>
            <w:vMerge/>
            <w:hideMark/>
          </w:tcPr>
          <w:p w:rsidR="000A210C" w:rsidRPr="00DF46B1" w:rsidRDefault="000A210C" w:rsidP="000A210C">
            <w:pPr>
              <w:spacing w:after="0" w:line="240" w:lineRule="auto"/>
              <w:jc w:val="center"/>
              <w:rPr>
                <w:rFonts w:cstheme="minorHAnsi"/>
                <w:b/>
                <w:bCs/>
                <w:sz w:val="18"/>
                <w:szCs w:val="18"/>
              </w:rPr>
            </w:pPr>
          </w:p>
        </w:tc>
        <w:tc>
          <w:tcPr>
            <w:tcW w:w="706" w:type="dxa"/>
            <w:vMerge/>
            <w:shd w:val="clear" w:color="auto" w:fill="92D050"/>
            <w:hideMark/>
          </w:tcPr>
          <w:p w:rsidR="000A210C" w:rsidRPr="00DF46B1" w:rsidRDefault="000A210C" w:rsidP="000A210C">
            <w:pPr>
              <w:spacing w:after="0" w:line="240" w:lineRule="auto"/>
              <w:rPr>
                <w:rFonts w:cstheme="minorHAnsi"/>
                <w:sz w:val="18"/>
                <w:szCs w:val="18"/>
              </w:rPr>
            </w:pPr>
          </w:p>
        </w:tc>
      </w:tr>
      <w:tr w:rsidR="000A210C" w:rsidRPr="005B07A2" w:rsidTr="000A210C">
        <w:trPr>
          <w:trHeight w:val="510"/>
        </w:trPr>
        <w:tc>
          <w:tcPr>
            <w:tcW w:w="1188" w:type="dxa"/>
            <w:vMerge w:val="restart"/>
            <w:shd w:val="clear" w:color="auto" w:fill="DAEEF3" w:themeFill="accent5" w:themeFillTint="33"/>
            <w:hideMark/>
          </w:tcPr>
          <w:p w:rsidR="000A210C" w:rsidRPr="005B07A2" w:rsidRDefault="000A210C" w:rsidP="000A210C">
            <w:pPr>
              <w:spacing w:after="0" w:line="240" w:lineRule="auto"/>
              <w:rPr>
                <w:rFonts w:cstheme="minorHAnsi"/>
                <w:b/>
                <w:bCs/>
                <w:sz w:val="18"/>
                <w:szCs w:val="18"/>
              </w:rPr>
            </w:pPr>
            <w:r w:rsidRPr="00DF46B1">
              <w:rPr>
                <w:rFonts w:cstheme="minorHAnsi"/>
                <w:sz w:val="18"/>
                <w:szCs w:val="18"/>
              </w:rPr>
              <w:t>BGD_</w:t>
            </w:r>
          </w:p>
          <w:p w:rsidR="000A210C" w:rsidRPr="00DF46B1" w:rsidRDefault="000A210C" w:rsidP="000A210C">
            <w:pPr>
              <w:spacing w:after="0" w:line="240" w:lineRule="auto"/>
              <w:rPr>
                <w:rFonts w:cstheme="minorHAnsi"/>
                <w:sz w:val="18"/>
                <w:szCs w:val="18"/>
              </w:rPr>
            </w:pPr>
            <w:r w:rsidRPr="00DF46B1">
              <w:rPr>
                <w:rFonts w:cstheme="minorHAnsi"/>
                <w:sz w:val="18"/>
                <w:szCs w:val="18"/>
              </w:rPr>
              <w:t xml:space="preserve">OUTCOME52 - </w:t>
            </w:r>
            <w:r w:rsidRPr="00DF46B1">
              <w:rPr>
                <w:rFonts w:cstheme="minorHAnsi"/>
                <w:sz w:val="18"/>
                <w:szCs w:val="18"/>
              </w:rPr>
              <w:br/>
              <w:t>By 2016, populations vulnerabl</w:t>
            </w:r>
            <w:r w:rsidRPr="005B07A2">
              <w:rPr>
                <w:rFonts w:cstheme="minorHAnsi"/>
                <w:b/>
                <w:bCs/>
                <w:sz w:val="18"/>
                <w:szCs w:val="18"/>
              </w:rPr>
              <w:t>e</w:t>
            </w:r>
          </w:p>
        </w:tc>
        <w:tc>
          <w:tcPr>
            <w:tcW w:w="990" w:type="dxa"/>
            <w:vMerge w:val="restart"/>
            <w:hideMark/>
          </w:tcPr>
          <w:p w:rsidR="000A210C" w:rsidRPr="00DF46B1" w:rsidRDefault="000A210C" w:rsidP="000A210C">
            <w:pPr>
              <w:spacing w:after="0" w:line="240" w:lineRule="auto"/>
              <w:rPr>
                <w:rFonts w:cstheme="minorHAnsi"/>
                <w:b/>
                <w:bCs/>
                <w:sz w:val="18"/>
                <w:szCs w:val="18"/>
              </w:rPr>
            </w:pPr>
            <w:r w:rsidRPr="00DF46B1">
              <w:rPr>
                <w:rFonts w:cstheme="minorHAnsi"/>
                <w:b/>
                <w:bCs/>
                <w:sz w:val="18"/>
                <w:szCs w:val="18"/>
              </w:rPr>
              <w:t>Outcome 3:1:</w:t>
            </w: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62536</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 xml:space="preserve">Coastal </w:t>
            </w:r>
            <w:r w:rsidRPr="005B07A2">
              <w:rPr>
                <w:rFonts w:cstheme="minorHAnsi"/>
                <w:sz w:val="18"/>
                <w:szCs w:val="18"/>
              </w:rPr>
              <w:t>Afforestation</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UNDP, SDC, GEF, Netherland</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01-Jul-08</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30-Jun-15</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6,249,352.00</w:t>
            </w:r>
          </w:p>
        </w:tc>
        <w:tc>
          <w:tcPr>
            <w:tcW w:w="126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888,655.00</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5,360,697.00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3,936,847.09</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63%</w:t>
            </w:r>
          </w:p>
        </w:tc>
      </w:tr>
      <w:tr w:rsidR="000A210C" w:rsidRPr="005B07A2" w:rsidTr="000A210C">
        <w:trPr>
          <w:trHeight w:val="510"/>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73416</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CDMP Phase II</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UNDP, DFID, EU, SIDA, DFAT, Norway</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01-Jan-10</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31-Dec-15</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63,898,351.00</w:t>
            </w:r>
          </w:p>
        </w:tc>
        <w:tc>
          <w:tcPr>
            <w:tcW w:w="126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3,438,064.00</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60,460,287.00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46,567,420.30</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73%</w:t>
            </w:r>
          </w:p>
        </w:tc>
      </w:tr>
      <w:tr w:rsidR="000A210C" w:rsidRPr="005B07A2" w:rsidTr="000A210C">
        <w:trPr>
          <w:trHeight w:val="510"/>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77582</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Early Recovery Facility (ERF)</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UNDP, BCPR, SDC, DFID, DFAT, Netherlands</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01-Jan-11</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31-Dec-15</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10,159,788.00</w:t>
            </w:r>
          </w:p>
        </w:tc>
        <w:tc>
          <w:tcPr>
            <w:tcW w:w="126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4,847,534.00</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5,312,254.00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7,213,272.49</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71%</w:t>
            </w:r>
          </w:p>
        </w:tc>
      </w:tr>
      <w:tr w:rsidR="000A210C" w:rsidRPr="005B07A2" w:rsidTr="000A210C">
        <w:trPr>
          <w:trHeight w:val="255"/>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81303</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Integrating Community-based Ad</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GEF</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01-Feb-12</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31-Dec-13</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83,983.00</w:t>
            </w:r>
          </w:p>
        </w:tc>
        <w:tc>
          <w:tcPr>
            <w:tcW w:w="1260" w:type="dxa"/>
            <w:noWrap/>
            <w:hideMark/>
          </w:tcPr>
          <w:p w:rsidR="000A210C" w:rsidRPr="00DF46B1" w:rsidRDefault="000A210C" w:rsidP="000A210C">
            <w:pPr>
              <w:spacing w:after="0" w:line="240" w:lineRule="auto"/>
              <w:jc w:val="center"/>
              <w:rPr>
                <w:rFonts w:cstheme="minorHAnsi"/>
                <w:sz w:val="18"/>
                <w:szCs w:val="18"/>
              </w:rPr>
            </w:pP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83,983.00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45,104.66</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54%</w:t>
            </w:r>
          </w:p>
        </w:tc>
      </w:tr>
      <w:tr w:rsidR="000A210C" w:rsidRPr="005B07A2" w:rsidTr="000A210C">
        <w:trPr>
          <w:trHeight w:val="255"/>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92207</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Waterlogged Communities</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UNDP</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15-Oct-14</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13-Oct-15</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150,000.00</w:t>
            </w:r>
          </w:p>
        </w:tc>
        <w:tc>
          <w:tcPr>
            <w:tcW w:w="126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150,000.00</w:t>
            </w:r>
          </w:p>
        </w:tc>
        <w:tc>
          <w:tcPr>
            <w:tcW w:w="1350" w:type="dxa"/>
            <w:noWrap/>
            <w:hideMark/>
          </w:tcPr>
          <w:p w:rsidR="000A210C" w:rsidRPr="00DF46B1" w:rsidRDefault="000A210C" w:rsidP="000A210C">
            <w:pPr>
              <w:spacing w:after="0" w:line="240" w:lineRule="auto"/>
              <w:jc w:val="center"/>
              <w:rPr>
                <w:rFonts w:cstheme="minorHAnsi"/>
                <w:sz w:val="18"/>
                <w:szCs w:val="18"/>
              </w:rPr>
            </w:pP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12,549.18</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8%</w:t>
            </w:r>
          </w:p>
        </w:tc>
      </w:tr>
      <w:tr w:rsidR="000A210C" w:rsidRPr="005B07A2" w:rsidTr="000A210C">
        <w:trPr>
          <w:trHeight w:val="765"/>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hideMark/>
          </w:tcPr>
          <w:p w:rsidR="000A210C" w:rsidRPr="00DF46B1" w:rsidRDefault="000A210C" w:rsidP="000A210C">
            <w:pPr>
              <w:spacing w:after="0" w:line="240" w:lineRule="auto"/>
              <w:rPr>
                <w:rFonts w:cstheme="minorHAnsi"/>
                <w:b/>
                <w:bCs/>
                <w:sz w:val="18"/>
                <w:szCs w:val="18"/>
              </w:rPr>
            </w:pPr>
            <w:r w:rsidRPr="00DF46B1">
              <w:rPr>
                <w:rFonts w:cstheme="minorHAnsi"/>
                <w:b/>
                <w:bCs/>
                <w:sz w:val="18"/>
                <w:szCs w:val="18"/>
              </w:rPr>
              <w:t> </w:t>
            </w: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42248</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Comprehensive Disaster Mgt. Pr</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UNDP, DANIDA, U</w:t>
            </w:r>
            <w:r>
              <w:rPr>
                <w:rFonts w:cstheme="minorHAnsi"/>
                <w:sz w:val="18"/>
                <w:szCs w:val="18"/>
              </w:rPr>
              <w:t>K</w:t>
            </w:r>
            <w:r w:rsidRPr="00DF46B1">
              <w:rPr>
                <w:rFonts w:cstheme="minorHAnsi"/>
                <w:sz w:val="18"/>
                <w:szCs w:val="18"/>
              </w:rPr>
              <w:t>, EU, DFAT, DFID, Netherlands, Norway</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01-Jan-03</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31-Dec-10</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176,448.00</w:t>
            </w:r>
          </w:p>
        </w:tc>
        <w:tc>
          <w:tcPr>
            <w:tcW w:w="126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27,827.00</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148,621.00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1,931.83</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1%</w:t>
            </w:r>
          </w:p>
        </w:tc>
      </w:tr>
      <w:tr w:rsidR="000A210C" w:rsidRPr="005B07A2" w:rsidTr="000A210C">
        <w:trPr>
          <w:trHeight w:val="255"/>
        </w:trPr>
        <w:tc>
          <w:tcPr>
            <w:tcW w:w="1188" w:type="dxa"/>
            <w:shd w:val="clear" w:color="auto" w:fill="DAEEF3" w:themeFill="accent5" w:themeFillTint="33"/>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 </w:t>
            </w:r>
          </w:p>
        </w:tc>
        <w:tc>
          <w:tcPr>
            <w:tcW w:w="99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 </w:t>
            </w:r>
          </w:p>
        </w:tc>
        <w:tc>
          <w:tcPr>
            <w:tcW w:w="2340" w:type="dxa"/>
            <w:gridSpan w:val="2"/>
            <w:noWrap/>
            <w:hideMark/>
          </w:tcPr>
          <w:p w:rsidR="000A210C" w:rsidRPr="00DF46B1" w:rsidRDefault="000A210C" w:rsidP="000A210C">
            <w:pPr>
              <w:spacing w:after="0" w:line="240" w:lineRule="auto"/>
              <w:rPr>
                <w:rFonts w:cstheme="minorHAnsi"/>
                <w:b/>
                <w:bCs/>
                <w:sz w:val="18"/>
                <w:szCs w:val="18"/>
              </w:rPr>
            </w:pPr>
            <w:r w:rsidRPr="00DF46B1">
              <w:rPr>
                <w:rFonts w:cstheme="minorHAnsi"/>
                <w:b/>
                <w:bCs/>
                <w:sz w:val="18"/>
                <w:szCs w:val="18"/>
              </w:rPr>
              <w:t>Sub Total</w:t>
            </w:r>
          </w:p>
        </w:tc>
        <w:tc>
          <w:tcPr>
            <w:tcW w:w="1422" w:type="dxa"/>
            <w:hideMark/>
          </w:tcPr>
          <w:p w:rsidR="000A210C" w:rsidRPr="00DF46B1" w:rsidRDefault="000A210C" w:rsidP="000A210C">
            <w:pPr>
              <w:spacing w:after="0" w:line="240" w:lineRule="auto"/>
              <w:rPr>
                <w:rFonts w:cstheme="minorHAnsi"/>
                <w:b/>
                <w:bCs/>
                <w:sz w:val="18"/>
                <w:szCs w:val="18"/>
              </w:rPr>
            </w:pPr>
            <w:r w:rsidRPr="00DF46B1">
              <w:rPr>
                <w:rFonts w:cstheme="minorHAnsi"/>
                <w:b/>
                <w:bCs/>
                <w:sz w:val="18"/>
                <w:szCs w:val="18"/>
              </w:rPr>
              <w:t> </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 </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 </w:t>
            </w:r>
          </w:p>
        </w:tc>
        <w:tc>
          <w:tcPr>
            <w:tcW w:w="1350" w:type="dxa"/>
            <w:noWrap/>
            <w:hideMark/>
          </w:tcPr>
          <w:p w:rsidR="000A210C" w:rsidRPr="00DF46B1" w:rsidRDefault="000A210C" w:rsidP="000A210C">
            <w:pPr>
              <w:spacing w:after="0" w:line="240" w:lineRule="auto"/>
              <w:jc w:val="center"/>
              <w:rPr>
                <w:rFonts w:cstheme="minorHAnsi"/>
                <w:b/>
                <w:bCs/>
                <w:sz w:val="18"/>
                <w:szCs w:val="18"/>
              </w:rPr>
            </w:pPr>
            <w:r w:rsidRPr="00DF46B1">
              <w:rPr>
                <w:rFonts w:cstheme="minorHAnsi"/>
                <w:b/>
                <w:bCs/>
                <w:sz w:val="18"/>
                <w:szCs w:val="18"/>
              </w:rPr>
              <w:t>80,717,922.00</w:t>
            </w:r>
          </w:p>
        </w:tc>
        <w:tc>
          <w:tcPr>
            <w:tcW w:w="1260" w:type="dxa"/>
            <w:noWrap/>
            <w:hideMark/>
          </w:tcPr>
          <w:p w:rsidR="000A210C" w:rsidRPr="00DF46B1" w:rsidRDefault="000A210C" w:rsidP="000A210C">
            <w:pPr>
              <w:spacing w:after="0" w:line="240" w:lineRule="auto"/>
              <w:jc w:val="center"/>
              <w:rPr>
                <w:rFonts w:cstheme="minorHAnsi"/>
                <w:b/>
                <w:bCs/>
                <w:sz w:val="18"/>
                <w:szCs w:val="18"/>
              </w:rPr>
            </w:pPr>
            <w:r w:rsidRPr="00DF46B1">
              <w:rPr>
                <w:rFonts w:cstheme="minorHAnsi"/>
                <w:b/>
                <w:bCs/>
                <w:sz w:val="18"/>
                <w:szCs w:val="18"/>
              </w:rPr>
              <w:t>9,352,080.00</w:t>
            </w:r>
          </w:p>
        </w:tc>
        <w:tc>
          <w:tcPr>
            <w:tcW w:w="1350" w:type="dxa"/>
            <w:noWrap/>
            <w:hideMark/>
          </w:tcPr>
          <w:p w:rsidR="000A210C" w:rsidRPr="00DF46B1" w:rsidRDefault="000A210C" w:rsidP="000A210C">
            <w:pPr>
              <w:spacing w:after="0" w:line="240" w:lineRule="auto"/>
              <w:jc w:val="center"/>
              <w:rPr>
                <w:rFonts w:cstheme="minorHAnsi"/>
                <w:b/>
                <w:bCs/>
                <w:sz w:val="18"/>
                <w:szCs w:val="18"/>
              </w:rPr>
            </w:pPr>
            <w:r w:rsidRPr="00DF46B1">
              <w:rPr>
                <w:rFonts w:cstheme="minorHAnsi"/>
                <w:b/>
                <w:bCs/>
                <w:sz w:val="18"/>
                <w:szCs w:val="18"/>
              </w:rPr>
              <w:t>71,365,842.00</w:t>
            </w:r>
          </w:p>
        </w:tc>
        <w:tc>
          <w:tcPr>
            <w:tcW w:w="1274" w:type="dxa"/>
            <w:noWrap/>
            <w:hideMark/>
          </w:tcPr>
          <w:p w:rsidR="000A210C" w:rsidRPr="00DF46B1" w:rsidRDefault="000A210C" w:rsidP="000A210C">
            <w:pPr>
              <w:spacing w:after="0" w:line="240" w:lineRule="auto"/>
              <w:jc w:val="center"/>
              <w:rPr>
                <w:rFonts w:cstheme="minorHAnsi"/>
                <w:b/>
                <w:bCs/>
                <w:sz w:val="18"/>
                <w:szCs w:val="18"/>
              </w:rPr>
            </w:pPr>
            <w:r w:rsidRPr="00DF46B1">
              <w:rPr>
                <w:rFonts w:cstheme="minorHAnsi"/>
                <w:b/>
                <w:bCs/>
                <w:sz w:val="18"/>
                <w:szCs w:val="18"/>
              </w:rPr>
              <w:t>57,777,125.55</w:t>
            </w:r>
          </w:p>
        </w:tc>
        <w:tc>
          <w:tcPr>
            <w:tcW w:w="706" w:type="dxa"/>
            <w:noWrap/>
            <w:hideMark/>
          </w:tcPr>
          <w:p w:rsidR="000A210C" w:rsidRPr="00DF46B1" w:rsidRDefault="000A210C" w:rsidP="000A210C">
            <w:pPr>
              <w:spacing w:after="0" w:line="240" w:lineRule="auto"/>
              <w:rPr>
                <w:rFonts w:cstheme="minorHAnsi"/>
                <w:b/>
                <w:bCs/>
                <w:sz w:val="18"/>
                <w:szCs w:val="18"/>
              </w:rPr>
            </w:pPr>
            <w:r w:rsidRPr="00DF46B1">
              <w:rPr>
                <w:rFonts w:cstheme="minorHAnsi"/>
                <w:b/>
                <w:bCs/>
                <w:sz w:val="18"/>
                <w:szCs w:val="18"/>
              </w:rPr>
              <w:t>72%</w:t>
            </w:r>
          </w:p>
        </w:tc>
      </w:tr>
      <w:tr w:rsidR="000A210C" w:rsidRPr="005B07A2" w:rsidTr="000A210C">
        <w:trPr>
          <w:trHeight w:val="255"/>
        </w:trPr>
        <w:tc>
          <w:tcPr>
            <w:tcW w:w="1188" w:type="dxa"/>
            <w:vMerge w:val="restart"/>
            <w:shd w:val="clear" w:color="auto" w:fill="DAEEF3" w:themeFill="accent5" w:themeFillTint="33"/>
            <w:hideMark/>
          </w:tcPr>
          <w:p w:rsidR="000A210C" w:rsidRPr="005B07A2" w:rsidRDefault="000A210C" w:rsidP="000A210C">
            <w:pPr>
              <w:spacing w:after="0" w:line="240" w:lineRule="auto"/>
              <w:rPr>
                <w:rFonts w:cstheme="minorHAnsi"/>
                <w:b/>
                <w:bCs/>
                <w:sz w:val="18"/>
                <w:szCs w:val="18"/>
              </w:rPr>
            </w:pPr>
            <w:r w:rsidRPr="00DF46B1">
              <w:rPr>
                <w:rFonts w:cstheme="minorHAnsi"/>
                <w:sz w:val="18"/>
                <w:szCs w:val="18"/>
              </w:rPr>
              <w:t>BGD_</w:t>
            </w:r>
          </w:p>
          <w:p w:rsidR="000A210C" w:rsidRPr="00DF46B1" w:rsidRDefault="000A210C" w:rsidP="000A210C">
            <w:pPr>
              <w:spacing w:after="0" w:line="240" w:lineRule="auto"/>
              <w:rPr>
                <w:rFonts w:cstheme="minorHAnsi"/>
                <w:sz w:val="18"/>
                <w:szCs w:val="18"/>
              </w:rPr>
            </w:pPr>
            <w:r w:rsidRPr="00DF46B1">
              <w:rPr>
                <w:rFonts w:cstheme="minorHAnsi"/>
                <w:sz w:val="18"/>
                <w:szCs w:val="18"/>
              </w:rPr>
              <w:t xml:space="preserve">OUTCOME53 - </w:t>
            </w:r>
            <w:r w:rsidRPr="00DF46B1">
              <w:rPr>
                <w:rFonts w:cstheme="minorHAnsi"/>
                <w:sz w:val="18"/>
                <w:szCs w:val="18"/>
              </w:rPr>
              <w:br/>
              <w:t>By 2016, vulnerable population  Hierarchy</w:t>
            </w:r>
          </w:p>
        </w:tc>
        <w:tc>
          <w:tcPr>
            <w:tcW w:w="990" w:type="dxa"/>
            <w:vMerge w:val="restart"/>
            <w:hideMark/>
          </w:tcPr>
          <w:p w:rsidR="000A210C" w:rsidRPr="00DF46B1" w:rsidRDefault="000A210C" w:rsidP="000A210C">
            <w:pPr>
              <w:spacing w:after="0" w:line="240" w:lineRule="auto"/>
              <w:rPr>
                <w:rFonts w:cstheme="minorHAnsi"/>
                <w:b/>
                <w:bCs/>
                <w:sz w:val="18"/>
                <w:szCs w:val="18"/>
              </w:rPr>
            </w:pPr>
            <w:r w:rsidRPr="00DF46B1">
              <w:rPr>
                <w:rFonts w:cstheme="minorHAnsi"/>
                <w:b/>
                <w:bCs/>
                <w:sz w:val="18"/>
                <w:szCs w:val="18"/>
              </w:rPr>
              <w:t>Outcome 3.2:</w:t>
            </w: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45948</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Sustainable Land Management</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GEF</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23-Jun-05</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30-Jun-12</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86,498.00</w:t>
            </w:r>
          </w:p>
        </w:tc>
        <w:tc>
          <w:tcPr>
            <w:tcW w:w="1260" w:type="dxa"/>
            <w:noWrap/>
            <w:hideMark/>
          </w:tcPr>
          <w:p w:rsidR="000A210C" w:rsidRPr="00DF46B1" w:rsidRDefault="000A210C" w:rsidP="000A210C">
            <w:pPr>
              <w:spacing w:after="0" w:line="240" w:lineRule="auto"/>
              <w:jc w:val="center"/>
              <w:rPr>
                <w:rFonts w:cstheme="minorHAnsi"/>
                <w:sz w:val="18"/>
                <w:szCs w:val="18"/>
              </w:rPr>
            </w:pP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86,498.00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62,785.04</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73%</w:t>
            </w:r>
          </w:p>
        </w:tc>
      </w:tr>
      <w:tr w:rsidR="000A210C" w:rsidRPr="005B07A2" w:rsidTr="000A210C">
        <w:trPr>
          <w:trHeight w:val="255"/>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46281</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PIMS 2961 EA-SNC</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GEF</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19-Nov-05</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31-Dec-12</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49,672.00</w:t>
            </w:r>
          </w:p>
        </w:tc>
        <w:tc>
          <w:tcPr>
            <w:tcW w:w="1260" w:type="dxa"/>
            <w:noWrap/>
            <w:hideMark/>
          </w:tcPr>
          <w:p w:rsidR="000A210C" w:rsidRPr="00DF46B1" w:rsidRDefault="000A210C" w:rsidP="000A210C">
            <w:pPr>
              <w:spacing w:after="0" w:line="240" w:lineRule="auto"/>
              <w:jc w:val="center"/>
              <w:rPr>
                <w:rFonts w:cstheme="minorHAnsi"/>
                <w:sz w:val="18"/>
                <w:szCs w:val="18"/>
              </w:rPr>
            </w:pP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49,672.00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16,743.29</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34%</w:t>
            </w:r>
          </w:p>
        </w:tc>
      </w:tr>
      <w:tr w:rsidR="000A210C" w:rsidRPr="005B07A2" w:rsidTr="000A210C">
        <w:trPr>
          <w:trHeight w:val="255"/>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57386</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National ODS Phase-out Plan</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MP fund</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03-Jul-07</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30-Jun-12</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44,993.00</w:t>
            </w:r>
          </w:p>
        </w:tc>
        <w:tc>
          <w:tcPr>
            <w:tcW w:w="1260" w:type="dxa"/>
            <w:noWrap/>
            <w:hideMark/>
          </w:tcPr>
          <w:p w:rsidR="000A210C" w:rsidRPr="00DF46B1" w:rsidRDefault="000A210C" w:rsidP="000A210C">
            <w:pPr>
              <w:spacing w:after="0" w:line="240" w:lineRule="auto"/>
              <w:jc w:val="center"/>
              <w:rPr>
                <w:rFonts w:cstheme="minorHAnsi"/>
                <w:sz w:val="18"/>
                <w:szCs w:val="18"/>
              </w:rPr>
            </w:pP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44,993.00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40,105.34</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89%</w:t>
            </w:r>
          </w:p>
        </w:tc>
      </w:tr>
      <w:tr w:rsidR="000A210C" w:rsidRPr="005B07A2" w:rsidTr="000A210C">
        <w:trPr>
          <w:trHeight w:val="255"/>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62091</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Phase-out of CFC consumption</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MP fund</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01-Jul-08</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31-Dec-14</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829,735.00</w:t>
            </w:r>
          </w:p>
        </w:tc>
        <w:tc>
          <w:tcPr>
            <w:tcW w:w="1260" w:type="dxa"/>
            <w:noWrap/>
            <w:hideMark/>
          </w:tcPr>
          <w:p w:rsidR="000A210C" w:rsidRPr="00DF46B1" w:rsidRDefault="000A210C" w:rsidP="000A210C">
            <w:pPr>
              <w:spacing w:after="0" w:line="240" w:lineRule="auto"/>
              <w:jc w:val="center"/>
              <w:rPr>
                <w:rFonts w:cstheme="minorHAnsi"/>
                <w:sz w:val="18"/>
                <w:szCs w:val="18"/>
              </w:rPr>
            </w:pP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829,735.00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671,300.71</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81%</w:t>
            </w:r>
          </w:p>
        </w:tc>
      </w:tr>
      <w:tr w:rsidR="000A210C" w:rsidRPr="005B07A2" w:rsidTr="000A210C">
        <w:trPr>
          <w:trHeight w:val="548"/>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62270</w:t>
            </w:r>
            <w:r w:rsidRPr="00DF46B1">
              <w:rPr>
                <w:rFonts w:cstheme="minorHAnsi"/>
                <w:sz w:val="18"/>
                <w:szCs w:val="18"/>
              </w:rPr>
              <w:br/>
              <w:t>60890</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PECM : Poverty Environment, HQ</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UNDP, PEI</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20-Mar-08</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31-Mar-14</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884,040.00</w:t>
            </w:r>
          </w:p>
        </w:tc>
        <w:tc>
          <w:tcPr>
            <w:tcW w:w="126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884,040.00</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417,366.00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670,126.06</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76%</w:t>
            </w:r>
          </w:p>
        </w:tc>
      </w:tr>
      <w:tr w:rsidR="000A210C" w:rsidRPr="005B07A2" w:rsidTr="000A210C">
        <w:trPr>
          <w:trHeight w:val="255"/>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74185</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Barrier Removal Energy Standar</w:t>
            </w:r>
            <w:r w:rsidRPr="005B07A2">
              <w:rPr>
                <w:rFonts w:cstheme="minorHAnsi"/>
                <w:sz w:val="18"/>
                <w:szCs w:val="18"/>
              </w:rPr>
              <w:t>d</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GEF</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01-Jan-10</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30-Jun-15</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615,921.00</w:t>
            </w:r>
          </w:p>
        </w:tc>
        <w:tc>
          <w:tcPr>
            <w:tcW w:w="1260" w:type="dxa"/>
            <w:noWrap/>
            <w:hideMark/>
          </w:tcPr>
          <w:p w:rsidR="000A210C" w:rsidRPr="00DF46B1" w:rsidRDefault="000A210C" w:rsidP="000A210C">
            <w:pPr>
              <w:spacing w:after="0" w:line="240" w:lineRule="auto"/>
              <w:jc w:val="center"/>
              <w:rPr>
                <w:rFonts w:cstheme="minorHAnsi"/>
                <w:sz w:val="18"/>
                <w:szCs w:val="18"/>
              </w:rPr>
            </w:pP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615,921.00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378,743.89</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61%</w:t>
            </w:r>
          </w:p>
        </w:tc>
      </w:tr>
      <w:tr w:rsidR="000A210C" w:rsidRPr="005B07A2" w:rsidTr="000A210C">
        <w:trPr>
          <w:trHeight w:val="255"/>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75326</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 xml:space="preserve">Improving </w:t>
            </w:r>
            <w:r w:rsidRPr="00DF46B1">
              <w:rPr>
                <w:rFonts w:cstheme="minorHAnsi"/>
                <w:sz w:val="18"/>
                <w:szCs w:val="18"/>
              </w:rPr>
              <w:lastRenderedPageBreak/>
              <w:t>Bric</w:t>
            </w:r>
            <w:r>
              <w:rPr>
                <w:rFonts w:cstheme="minorHAnsi"/>
                <w:sz w:val="18"/>
                <w:szCs w:val="18"/>
              </w:rPr>
              <w:t>kK</w:t>
            </w:r>
            <w:r w:rsidRPr="00DF46B1">
              <w:rPr>
                <w:rFonts w:cstheme="minorHAnsi"/>
                <w:sz w:val="18"/>
                <w:szCs w:val="18"/>
              </w:rPr>
              <w:t>iln Efficienc</w:t>
            </w:r>
            <w:r w:rsidRPr="005B07A2">
              <w:rPr>
                <w:rFonts w:cstheme="minorHAnsi"/>
                <w:sz w:val="18"/>
                <w:szCs w:val="18"/>
              </w:rPr>
              <w:t>y</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lastRenderedPageBreak/>
              <w:t xml:space="preserve">UNDP, GEF, </w:t>
            </w:r>
            <w:r w:rsidRPr="00DF46B1">
              <w:rPr>
                <w:rFonts w:cstheme="minorHAnsi"/>
                <w:sz w:val="18"/>
                <w:szCs w:val="18"/>
              </w:rPr>
              <w:lastRenderedPageBreak/>
              <w:t>Netherlands</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lastRenderedPageBreak/>
              <w:t>Jan-09</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31-Dec-</w:t>
            </w:r>
            <w:r w:rsidRPr="00DF46B1">
              <w:rPr>
                <w:rFonts w:cstheme="minorHAnsi"/>
                <w:sz w:val="18"/>
                <w:szCs w:val="18"/>
              </w:rPr>
              <w:lastRenderedPageBreak/>
              <w:t>15</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lastRenderedPageBreak/>
              <w:t>1,786,123.00</w:t>
            </w:r>
          </w:p>
        </w:tc>
        <w:tc>
          <w:tcPr>
            <w:tcW w:w="126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258,956.00</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1,527,167.00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1,531,421.41</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86%</w:t>
            </w:r>
          </w:p>
        </w:tc>
      </w:tr>
      <w:tr w:rsidR="000A210C" w:rsidRPr="005B07A2" w:rsidTr="000A210C">
        <w:trPr>
          <w:trHeight w:val="255"/>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79998</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Bangladesh Green Dev. Program</w:t>
            </w:r>
            <w:r w:rsidRPr="005B07A2">
              <w:rPr>
                <w:rFonts w:cstheme="minorHAnsi"/>
                <w:sz w:val="18"/>
                <w:szCs w:val="18"/>
              </w:rPr>
              <w:t>m</w:t>
            </w:r>
            <w:r w:rsidRPr="00DF46B1">
              <w:rPr>
                <w:rFonts w:cstheme="minorHAnsi"/>
                <w:sz w:val="18"/>
                <w:szCs w:val="18"/>
              </w:rPr>
              <w:t>e</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UNDP</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01-Oct-11</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01-Dec-12</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628,841.00</w:t>
            </w:r>
          </w:p>
        </w:tc>
        <w:tc>
          <w:tcPr>
            <w:tcW w:w="126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628,841.00</w:t>
            </w:r>
          </w:p>
        </w:tc>
        <w:tc>
          <w:tcPr>
            <w:tcW w:w="1350" w:type="dxa"/>
            <w:noWrap/>
            <w:hideMark/>
          </w:tcPr>
          <w:p w:rsidR="000A210C" w:rsidRPr="00DF46B1" w:rsidRDefault="000A210C" w:rsidP="000A210C">
            <w:pPr>
              <w:spacing w:after="0" w:line="240" w:lineRule="auto"/>
              <w:jc w:val="center"/>
              <w:rPr>
                <w:rFonts w:cstheme="minorHAnsi"/>
                <w:sz w:val="18"/>
                <w:szCs w:val="18"/>
              </w:rPr>
            </w:pP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407,707.16</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65%</w:t>
            </w:r>
          </w:p>
        </w:tc>
      </w:tr>
      <w:tr w:rsidR="000A210C" w:rsidRPr="005B07A2" w:rsidTr="000A210C">
        <w:trPr>
          <w:trHeight w:val="255"/>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80108</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Sustainable Energy Generation</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GEF</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01-Jan-12</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01-Mar-13</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253,410.00</w:t>
            </w:r>
          </w:p>
        </w:tc>
        <w:tc>
          <w:tcPr>
            <w:tcW w:w="1260" w:type="dxa"/>
            <w:noWrap/>
            <w:hideMark/>
          </w:tcPr>
          <w:p w:rsidR="000A210C" w:rsidRPr="00DF46B1" w:rsidRDefault="000A210C" w:rsidP="000A210C">
            <w:pPr>
              <w:spacing w:after="0" w:line="240" w:lineRule="auto"/>
              <w:jc w:val="center"/>
              <w:rPr>
                <w:rFonts w:cstheme="minorHAnsi"/>
                <w:sz w:val="18"/>
                <w:szCs w:val="18"/>
              </w:rPr>
            </w:pP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253,410.00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69,356.27</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27%</w:t>
            </w:r>
          </w:p>
        </w:tc>
      </w:tr>
      <w:tr w:rsidR="000A210C" w:rsidRPr="005B07A2" w:rsidTr="000A210C">
        <w:trPr>
          <w:trHeight w:val="255"/>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80696</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Institutional StrengtheningODS</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MP fund</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01-Jan-12</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31-Dec-14</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140,870.00</w:t>
            </w:r>
          </w:p>
        </w:tc>
        <w:tc>
          <w:tcPr>
            <w:tcW w:w="1260" w:type="dxa"/>
            <w:noWrap/>
            <w:hideMark/>
          </w:tcPr>
          <w:p w:rsidR="000A210C" w:rsidRPr="00DF46B1" w:rsidRDefault="000A210C" w:rsidP="000A210C">
            <w:pPr>
              <w:spacing w:after="0" w:line="240" w:lineRule="auto"/>
              <w:jc w:val="center"/>
              <w:rPr>
                <w:rFonts w:cstheme="minorHAnsi"/>
                <w:sz w:val="18"/>
                <w:szCs w:val="18"/>
              </w:rPr>
            </w:pP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140,870.00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128,860.04</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91%</w:t>
            </w:r>
          </w:p>
        </w:tc>
      </w:tr>
      <w:tr w:rsidR="000A210C" w:rsidRPr="005B07A2" w:rsidTr="000A210C">
        <w:trPr>
          <w:trHeight w:val="255"/>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81038</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Conversion Cyclopentane techno</w:t>
            </w:r>
            <w:r>
              <w:rPr>
                <w:rFonts w:cstheme="minorHAnsi"/>
                <w:sz w:val="18"/>
                <w:szCs w:val="18"/>
              </w:rPr>
              <w:t>logy</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MP fund</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01-Jan-12</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31-Dec-14</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1,414,786.00</w:t>
            </w:r>
          </w:p>
        </w:tc>
        <w:tc>
          <w:tcPr>
            <w:tcW w:w="1260" w:type="dxa"/>
            <w:noWrap/>
            <w:hideMark/>
          </w:tcPr>
          <w:p w:rsidR="000A210C" w:rsidRPr="00DF46B1" w:rsidRDefault="000A210C" w:rsidP="000A210C">
            <w:pPr>
              <w:spacing w:after="0" w:line="240" w:lineRule="auto"/>
              <w:jc w:val="center"/>
              <w:rPr>
                <w:rFonts w:cstheme="minorHAnsi"/>
                <w:sz w:val="18"/>
                <w:szCs w:val="18"/>
              </w:rPr>
            </w:pP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1,414,786.00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1,141,310.93</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81%</w:t>
            </w:r>
          </w:p>
        </w:tc>
      </w:tr>
      <w:tr w:rsidR="000A210C" w:rsidRPr="005B07A2" w:rsidTr="000A210C">
        <w:trPr>
          <w:trHeight w:val="255"/>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85864</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CCAC HFCFocal Area Initiative, HQ</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MP fund</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05-Mar-13</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31-Dec-14</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63,694.90</w:t>
            </w:r>
          </w:p>
        </w:tc>
        <w:tc>
          <w:tcPr>
            <w:tcW w:w="1260" w:type="dxa"/>
            <w:noWrap/>
            <w:hideMark/>
          </w:tcPr>
          <w:p w:rsidR="000A210C" w:rsidRPr="00DF46B1" w:rsidRDefault="000A210C" w:rsidP="000A210C">
            <w:pPr>
              <w:spacing w:after="0" w:line="240" w:lineRule="auto"/>
              <w:jc w:val="center"/>
              <w:rPr>
                <w:rFonts w:cstheme="minorHAnsi"/>
                <w:sz w:val="18"/>
                <w:szCs w:val="18"/>
              </w:rPr>
            </w:pP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63,694.90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20,305.10</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32%</w:t>
            </w:r>
          </w:p>
        </w:tc>
      </w:tr>
      <w:tr w:rsidR="000A210C" w:rsidRPr="005B07A2" w:rsidTr="000A210C">
        <w:trPr>
          <w:trHeight w:val="300"/>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88340</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PEI Bangladesh, HQ</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UNEP</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06-Dec-13</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31-Dec-15</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131,101.00</w:t>
            </w:r>
          </w:p>
        </w:tc>
        <w:tc>
          <w:tcPr>
            <w:tcW w:w="1260" w:type="dxa"/>
            <w:noWrap/>
            <w:hideMark/>
          </w:tcPr>
          <w:p w:rsidR="000A210C" w:rsidRPr="00DF46B1" w:rsidRDefault="000A210C" w:rsidP="000A210C">
            <w:pPr>
              <w:spacing w:after="0" w:line="240" w:lineRule="auto"/>
              <w:jc w:val="center"/>
              <w:rPr>
                <w:rFonts w:cstheme="minorHAnsi"/>
                <w:sz w:val="18"/>
                <w:szCs w:val="18"/>
              </w:rPr>
            </w:pP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131,101.00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45,259.53</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35%</w:t>
            </w:r>
          </w:p>
        </w:tc>
      </w:tr>
      <w:tr w:rsidR="000A210C" w:rsidRPr="005B07A2" w:rsidTr="000A210C">
        <w:trPr>
          <w:trHeight w:val="255"/>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83557</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Support to implement REDD+</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UNDP and REDD</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15-Jul-12</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30-Jun-14</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282,694.00</w:t>
            </w:r>
          </w:p>
        </w:tc>
        <w:tc>
          <w:tcPr>
            <w:tcW w:w="126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12,658.00</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270,036.00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66,340.36</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23%</w:t>
            </w:r>
          </w:p>
        </w:tc>
      </w:tr>
      <w:tr w:rsidR="000A210C" w:rsidRPr="005B07A2" w:rsidTr="000A210C">
        <w:trPr>
          <w:trHeight w:val="255"/>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83901</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National Consultations, HQ</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 xml:space="preserve"> SPAIN</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01-Jan-13</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31-Dec-13</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48,773.00</w:t>
            </w:r>
          </w:p>
        </w:tc>
        <w:tc>
          <w:tcPr>
            <w:tcW w:w="1260" w:type="dxa"/>
            <w:noWrap/>
            <w:hideMark/>
          </w:tcPr>
          <w:p w:rsidR="000A210C" w:rsidRPr="00DF46B1" w:rsidRDefault="000A210C" w:rsidP="000A210C">
            <w:pPr>
              <w:spacing w:after="0" w:line="240" w:lineRule="auto"/>
              <w:jc w:val="center"/>
              <w:rPr>
                <w:rFonts w:cstheme="minorHAnsi"/>
                <w:sz w:val="18"/>
                <w:szCs w:val="18"/>
              </w:rPr>
            </w:pP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48,773.00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48,771.23</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100%</w:t>
            </w:r>
          </w:p>
        </w:tc>
      </w:tr>
      <w:tr w:rsidR="000A210C" w:rsidRPr="005B07A2" w:rsidTr="000A210C">
        <w:trPr>
          <w:trHeight w:val="510"/>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85647</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Sustainable Environmental Gove</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UNDP and Norway, Netherlands</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01-Mar-13</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30-Jun-15</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2,800,511.00</w:t>
            </w:r>
          </w:p>
        </w:tc>
        <w:tc>
          <w:tcPr>
            <w:tcW w:w="126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354,219.00</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2,446,292.00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1,620,784.94</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58%</w:t>
            </w:r>
          </w:p>
        </w:tc>
      </w:tr>
      <w:tr w:rsidR="000A210C" w:rsidRPr="005B07A2" w:rsidTr="000A210C">
        <w:trPr>
          <w:trHeight w:val="255"/>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85938</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Expanding the PA system</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GEF</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01-Mar-13</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31-Oct-14</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90,410.00</w:t>
            </w:r>
          </w:p>
        </w:tc>
        <w:tc>
          <w:tcPr>
            <w:tcW w:w="1260" w:type="dxa"/>
            <w:noWrap/>
            <w:hideMark/>
          </w:tcPr>
          <w:p w:rsidR="000A210C" w:rsidRPr="00DF46B1" w:rsidRDefault="000A210C" w:rsidP="000A210C">
            <w:pPr>
              <w:spacing w:after="0" w:line="240" w:lineRule="auto"/>
              <w:jc w:val="center"/>
              <w:rPr>
                <w:rFonts w:cstheme="minorHAnsi"/>
                <w:sz w:val="18"/>
                <w:szCs w:val="18"/>
              </w:rPr>
            </w:pP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90,410.00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72,970.10</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81%</w:t>
            </w:r>
          </w:p>
        </w:tc>
      </w:tr>
      <w:tr w:rsidR="000A210C" w:rsidRPr="005B07A2" w:rsidTr="000A210C">
        <w:trPr>
          <w:trHeight w:val="255"/>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85997</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National Capacity Development</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GEF</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01-Mar-13</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04-Mar-14</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25,000.00</w:t>
            </w:r>
          </w:p>
        </w:tc>
        <w:tc>
          <w:tcPr>
            <w:tcW w:w="1260" w:type="dxa"/>
            <w:noWrap/>
            <w:hideMark/>
          </w:tcPr>
          <w:p w:rsidR="000A210C" w:rsidRPr="00DF46B1" w:rsidRDefault="000A210C" w:rsidP="000A210C">
            <w:pPr>
              <w:spacing w:after="0" w:line="240" w:lineRule="auto"/>
              <w:jc w:val="center"/>
              <w:rPr>
                <w:rFonts w:cstheme="minorHAnsi"/>
                <w:sz w:val="18"/>
                <w:szCs w:val="18"/>
              </w:rPr>
            </w:pP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25,000.00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22,547.58</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90%</w:t>
            </w:r>
          </w:p>
        </w:tc>
      </w:tr>
      <w:tr w:rsidR="000A210C" w:rsidRPr="005B07A2" w:rsidTr="000A210C">
        <w:trPr>
          <w:trHeight w:val="255"/>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86516</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Development of Sustainable Ren</w:t>
            </w:r>
            <w:r w:rsidRPr="005B07A2">
              <w:rPr>
                <w:rFonts w:cstheme="minorHAnsi"/>
                <w:sz w:val="18"/>
                <w:szCs w:val="18"/>
              </w:rPr>
              <w:t>eration</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GEF</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01-Jan-14</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31-Dec-18</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2,144,330.00</w:t>
            </w:r>
          </w:p>
        </w:tc>
        <w:tc>
          <w:tcPr>
            <w:tcW w:w="1260" w:type="dxa"/>
            <w:noWrap/>
            <w:hideMark/>
          </w:tcPr>
          <w:p w:rsidR="000A210C" w:rsidRPr="00DF46B1" w:rsidRDefault="000A210C" w:rsidP="000A210C">
            <w:pPr>
              <w:spacing w:after="0" w:line="240" w:lineRule="auto"/>
              <w:jc w:val="center"/>
              <w:rPr>
                <w:rFonts w:cstheme="minorHAnsi"/>
                <w:sz w:val="18"/>
                <w:szCs w:val="18"/>
              </w:rPr>
            </w:pP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2,144,330.00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3,256.49</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w:t>
            </w:r>
          </w:p>
        </w:tc>
      </w:tr>
      <w:tr w:rsidR="000A210C" w:rsidRPr="005B07A2" w:rsidTr="000A210C">
        <w:trPr>
          <w:trHeight w:val="255"/>
        </w:trPr>
        <w:tc>
          <w:tcPr>
            <w:tcW w:w="1188" w:type="dxa"/>
            <w:vMerge/>
            <w:shd w:val="clear" w:color="auto" w:fill="DAEEF3" w:themeFill="accent5" w:themeFillTint="33"/>
            <w:hideMark/>
          </w:tcPr>
          <w:p w:rsidR="000A210C" w:rsidRPr="00DF46B1" w:rsidRDefault="000A210C" w:rsidP="000A210C">
            <w:pPr>
              <w:spacing w:after="0" w:line="240" w:lineRule="auto"/>
              <w:rPr>
                <w:rFonts w:cstheme="minorHAnsi"/>
                <w:sz w:val="18"/>
                <w:szCs w:val="18"/>
              </w:rPr>
            </w:pPr>
          </w:p>
        </w:tc>
        <w:tc>
          <w:tcPr>
            <w:tcW w:w="990" w:type="dxa"/>
            <w:vMerge/>
            <w:hideMark/>
          </w:tcPr>
          <w:p w:rsidR="000A210C" w:rsidRPr="00DF46B1" w:rsidRDefault="000A210C" w:rsidP="000A210C">
            <w:pPr>
              <w:spacing w:after="0" w:line="240" w:lineRule="auto"/>
              <w:rPr>
                <w:rFonts w:cstheme="minorHAnsi"/>
                <w:b/>
                <w:bCs/>
                <w:sz w:val="18"/>
                <w:szCs w:val="18"/>
              </w:rPr>
            </w:pP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86756</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Third National Communication t</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GEF</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01-Sep-13</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31-Aug-16</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335,947.00</w:t>
            </w:r>
          </w:p>
        </w:tc>
        <w:tc>
          <w:tcPr>
            <w:tcW w:w="1260" w:type="dxa"/>
            <w:noWrap/>
            <w:hideMark/>
          </w:tcPr>
          <w:p w:rsidR="000A210C" w:rsidRPr="00DF46B1" w:rsidRDefault="000A210C" w:rsidP="000A210C">
            <w:pPr>
              <w:spacing w:after="0" w:line="240" w:lineRule="auto"/>
              <w:jc w:val="center"/>
              <w:rPr>
                <w:rFonts w:cstheme="minorHAnsi"/>
                <w:sz w:val="18"/>
                <w:szCs w:val="18"/>
              </w:rPr>
            </w:pP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335,947.00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6,750.61</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2%</w:t>
            </w:r>
          </w:p>
        </w:tc>
      </w:tr>
      <w:tr w:rsidR="000A210C" w:rsidRPr="005B07A2" w:rsidTr="000A210C">
        <w:trPr>
          <w:trHeight w:val="255"/>
        </w:trPr>
        <w:tc>
          <w:tcPr>
            <w:tcW w:w="1188" w:type="dxa"/>
            <w:shd w:val="clear" w:color="auto" w:fill="DAEEF3" w:themeFill="accent5" w:themeFillTint="33"/>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 </w:t>
            </w:r>
          </w:p>
        </w:tc>
        <w:tc>
          <w:tcPr>
            <w:tcW w:w="990" w:type="dxa"/>
            <w:hideMark/>
          </w:tcPr>
          <w:p w:rsidR="000A210C" w:rsidRPr="00DF46B1" w:rsidRDefault="000A210C" w:rsidP="000A210C">
            <w:pPr>
              <w:spacing w:after="0" w:line="240" w:lineRule="auto"/>
              <w:rPr>
                <w:rFonts w:cstheme="minorHAnsi"/>
                <w:b/>
                <w:bCs/>
                <w:sz w:val="18"/>
                <w:szCs w:val="18"/>
              </w:rPr>
            </w:pPr>
            <w:r w:rsidRPr="00DF46B1">
              <w:rPr>
                <w:rFonts w:cstheme="minorHAnsi"/>
                <w:b/>
                <w:bCs/>
                <w:sz w:val="18"/>
                <w:szCs w:val="18"/>
              </w:rPr>
              <w:t> </w:t>
            </w: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88463</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USAID Watershed (CHTDF)</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USAID, UNDP</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01-Jan-14</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31-Aug-17</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8,817,209.00</w:t>
            </w:r>
          </w:p>
        </w:tc>
        <w:tc>
          <w:tcPr>
            <w:tcW w:w="126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60,405.00</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8,756,804.00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284,257.35</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w:t>
            </w:r>
          </w:p>
        </w:tc>
      </w:tr>
      <w:tr w:rsidR="000A210C" w:rsidRPr="005B07A2" w:rsidTr="000A210C">
        <w:trPr>
          <w:trHeight w:val="255"/>
        </w:trPr>
        <w:tc>
          <w:tcPr>
            <w:tcW w:w="1188" w:type="dxa"/>
            <w:shd w:val="clear" w:color="auto" w:fill="DAEEF3" w:themeFill="accent5" w:themeFillTint="33"/>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 </w:t>
            </w:r>
          </w:p>
        </w:tc>
        <w:tc>
          <w:tcPr>
            <w:tcW w:w="990" w:type="dxa"/>
            <w:hideMark/>
          </w:tcPr>
          <w:p w:rsidR="000A210C" w:rsidRPr="00DF46B1" w:rsidRDefault="000A210C" w:rsidP="000A210C">
            <w:pPr>
              <w:spacing w:after="0" w:line="240" w:lineRule="auto"/>
              <w:rPr>
                <w:rFonts w:cstheme="minorHAnsi"/>
                <w:b/>
                <w:bCs/>
                <w:sz w:val="18"/>
                <w:szCs w:val="18"/>
              </w:rPr>
            </w:pPr>
            <w:r w:rsidRPr="00DF46B1">
              <w:rPr>
                <w:rFonts w:cstheme="minorHAnsi"/>
                <w:b/>
                <w:bCs/>
                <w:sz w:val="18"/>
                <w:szCs w:val="18"/>
              </w:rPr>
              <w:t> </w:t>
            </w:r>
          </w:p>
        </w:tc>
        <w:tc>
          <w:tcPr>
            <w:tcW w:w="792"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90906</w:t>
            </w:r>
          </w:p>
        </w:tc>
        <w:tc>
          <w:tcPr>
            <w:tcW w:w="1548"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ODS VII</w:t>
            </w:r>
          </w:p>
        </w:tc>
        <w:tc>
          <w:tcPr>
            <w:tcW w:w="1422" w:type="dxa"/>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MP fund</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01-Jul-14</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30-Jun-16</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130,000.00</w:t>
            </w:r>
          </w:p>
        </w:tc>
        <w:tc>
          <w:tcPr>
            <w:tcW w:w="126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w:t>
            </w:r>
          </w:p>
        </w:tc>
        <w:tc>
          <w:tcPr>
            <w:tcW w:w="1350"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130,000.00</w:t>
            </w:r>
          </w:p>
        </w:tc>
        <w:tc>
          <w:tcPr>
            <w:tcW w:w="1274" w:type="dxa"/>
            <w:noWrap/>
            <w:hideMark/>
          </w:tcPr>
          <w:p w:rsidR="000A210C" w:rsidRPr="00DF46B1" w:rsidRDefault="000A210C" w:rsidP="000A210C">
            <w:pPr>
              <w:spacing w:after="0" w:line="240" w:lineRule="auto"/>
              <w:jc w:val="center"/>
              <w:rPr>
                <w:rFonts w:cstheme="minorHAnsi"/>
                <w:sz w:val="18"/>
                <w:szCs w:val="18"/>
              </w:rPr>
            </w:pPr>
            <w:r w:rsidRPr="00DF46B1">
              <w:rPr>
                <w:rFonts w:cstheme="minorHAnsi"/>
                <w:sz w:val="18"/>
                <w:szCs w:val="18"/>
              </w:rPr>
              <w:t>-</w:t>
            </w:r>
          </w:p>
        </w:tc>
        <w:tc>
          <w:tcPr>
            <w:tcW w:w="706"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0%</w:t>
            </w:r>
          </w:p>
        </w:tc>
      </w:tr>
      <w:tr w:rsidR="000A210C" w:rsidRPr="005B07A2" w:rsidTr="000A210C">
        <w:trPr>
          <w:trHeight w:val="255"/>
        </w:trPr>
        <w:tc>
          <w:tcPr>
            <w:tcW w:w="1188" w:type="dxa"/>
            <w:shd w:val="clear" w:color="auto" w:fill="DAEEF3" w:themeFill="accent5" w:themeFillTint="33"/>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 </w:t>
            </w:r>
          </w:p>
        </w:tc>
        <w:tc>
          <w:tcPr>
            <w:tcW w:w="99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 </w:t>
            </w:r>
          </w:p>
        </w:tc>
        <w:tc>
          <w:tcPr>
            <w:tcW w:w="2340" w:type="dxa"/>
            <w:gridSpan w:val="2"/>
            <w:noWrap/>
            <w:hideMark/>
          </w:tcPr>
          <w:p w:rsidR="000A210C" w:rsidRPr="00DF46B1" w:rsidRDefault="000A210C" w:rsidP="000A210C">
            <w:pPr>
              <w:spacing w:after="0" w:line="240" w:lineRule="auto"/>
              <w:rPr>
                <w:rFonts w:cstheme="minorHAnsi"/>
                <w:b/>
                <w:bCs/>
                <w:sz w:val="18"/>
                <w:szCs w:val="18"/>
              </w:rPr>
            </w:pPr>
            <w:r w:rsidRPr="00DF46B1">
              <w:rPr>
                <w:rFonts w:cstheme="minorHAnsi"/>
                <w:b/>
                <w:bCs/>
                <w:sz w:val="18"/>
                <w:szCs w:val="18"/>
              </w:rPr>
              <w:t>Sub Total</w:t>
            </w:r>
          </w:p>
        </w:tc>
        <w:tc>
          <w:tcPr>
            <w:tcW w:w="1422" w:type="dxa"/>
            <w:hideMark/>
          </w:tcPr>
          <w:p w:rsidR="000A210C" w:rsidRPr="00DF46B1" w:rsidRDefault="000A210C" w:rsidP="000A210C">
            <w:pPr>
              <w:spacing w:after="0" w:line="240" w:lineRule="auto"/>
              <w:rPr>
                <w:rFonts w:cstheme="minorHAnsi"/>
                <w:b/>
                <w:bCs/>
                <w:sz w:val="18"/>
                <w:szCs w:val="18"/>
              </w:rPr>
            </w:pPr>
            <w:r w:rsidRPr="00DF46B1">
              <w:rPr>
                <w:rFonts w:cstheme="minorHAnsi"/>
                <w:b/>
                <w:bCs/>
                <w:sz w:val="18"/>
                <w:szCs w:val="18"/>
              </w:rPr>
              <w:t> </w:t>
            </w:r>
          </w:p>
        </w:tc>
        <w:tc>
          <w:tcPr>
            <w:tcW w:w="904"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 </w:t>
            </w:r>
          </w:p>
        </w:tc>
        <w:tc>
          <w:tcPr>
            <w:tcW w:w="900" w:type="dxa"/>
            <w:noWrap/>
            <w:hideMark/>
          </w:tcPr>
          <w:p w:rsidR="000A210C" w:rsidRPr="00DF46B1" w:rsidRDefault="000A210C" w:rsidP="000A210C">
            <w:pPr>
              <w:spacing w:after="0" w:line="240" w:lineRule="auto"/>
              <w:rPr>
                <w:rFonts w:cstheme="minorHAnsi"/>
                <w:sz w:val="18"/>
                <w:szCs w:val="18"/>
              </w:rPr>
            </w:pPr>
            <w:r w:rsidRPr="00DF46B1">
              <w:rPr>
                <w:rFonts w:cstheme="minorHAnsi"/>
                <w:sz w:val="18"/>
                <w:szCs w:val="18"/>
              </w:rPr>
              <w:t> </w:t>
            </w:r>
          </w:p>
        </w:tc>
        <w:tc>
          <w:tcPr>
            <w:tcW w:w="1350" w:type="dxa"/>
            <w:noWrap/>
            <w:hideMark/>
          </w:tcPr>
          <w:p w:rsidR="000A210C" w:rsidRPr="00DF46B1" w:rsidRDefault="000A210C" w:rsidP="000A210C">
            <w:pPr>
              <w:spacing w:after="0" w:line="240" w:lineRule="auto"/>
              <w:jc w:val="center"/>
              <w:rPr>
                <w:rFonts w:cstheme="minorHAnsi"/>
                <w:b/>
                <w:bCs/>
                <w:sz w:val="18"/>
                <w:szCs w:val="18"/>
              </w:rPr>
            </w:pPr>
            <w:r w:rsidRPr="00DF46B1">
              <w:rPr>
                <w:rFonts w:cstheme="minorHAnsi"/>
                <w:b/>
                <w:bCs/>
                <w:sz w:val="18"/>
                <w:szCs w:val="18"/>
              </w:rPr>
              <w:t>21,604,558.90</w:t>
            </w:r>
          </w:p>
        </w:tc>
        <w:tc>
          <w:tcPr>
            <w:tcW w:w="1260" w:type="dxa"/>
            <w:noWrap/>
            <w:hideMark/>
          </w:tcPr>
          <w:p w:rsidR="000A210C" w:rsidRPr="00DF46B1" w:rsidRDefault="000A210C" w:rsidP="000A210C">
            <w:pPr>
              <w:spacing w:after="0" w:line="240" w:lineRule="auto"/>
              <w:jc w:val="center"/>
              <w:rPr>
                <w:rFonts w:cstheme="minorHAnsi"/>
                <w:b/>
                <w:bCs/>
                <w:sz w:val="18"/>
                <w:szCs w:val="18"/>
              </w:rPr>
            </w:pPr>
            <w:r w:rsidRPr="00DF46B1">
              <w:rPr>
                <w:rFonts w:cstheme="minorHAnsi"/>
                <w:b/>
                <w:bCs/>
                <w:sz w:val="18"/>
                <w:szCs w:val="18"/>
              </w:rPr>
              <w:t>2,199,119.00</w:t>
            </w:r>
          </w:p>
        </w:tc>
        <w:tc>
          <w:tcPr>
            <w:tcW w:w="1350" w:type="dxa"/>
            <w:noWrap/>
            <w:hideMark/>
          </w:tcPr>
          <w:p w:rsidR="000A210C" w:rsidRPr="00DF46B1" w:rsidRDefault="000A210C" w:rsidP="000A210C">
            <w:pPr>
              <w:spacing w:after="0" w:line="240" w:lineRule="auto"/>
              <w:jc w:val="center"/>
              <w:rPr>
                <w:rFonts w:cstheme="minorHAnsi"/>
                <w:b/>
                <w:bCs/>
                <w:sz w:val="18"/>
                <w:szCs w:val="18"/>
              </w:rPr>
            </w:pPr>
            <w:r w:rsidRPr="00DF46B1">
              <w:rPr>
                <w:rFonts w:cstheme="minorHAnsi"/>
                <w:b/>
                <w:bCs/>
                <w:sz w:val="18"/>
                <w:szCs w:val="18"/>
              </w:rPr>
              <w:t>19,822,805.90</w:t>
            </w:r>
          </w:p>
        </w:tc>
        <w:tc>
          <w:tcPr>
            <w:tcW w:w="1274" w:type="dxa"/>
            <w:noWrap/>
            <w:hideMark/>
          </w:tcPr>
          <w:p w:rsidR="000A210C" w:rsidRPr="00DF46B1" w:rsidRDefault="000A210C" w:rsidP="000A210C">
            <w:pPr>
              <w:spacing w:after="0" w:line="240" w:lineRule="auto"/>
              <w:jc w:val="center"/>
              <w:rPr>
                <w:rFonts w:cstheme="minorHAnsi"/>
                <w:b/>
                <w:bCs/>
                <w:sz w:val="18"/>
                <w:szCs w:val="18"/>
              </w:rPr>
            </w:pPr>
            <w:r w:rsidRPr="00DF46B1">
              <w:rPr>
                <w:rFonts w:cstheme="minorHAnsi"/>
                <w:b/>
                <w:bCs/>
                <w:sz w:val="18"/>
                <w:szCs w:val="18"/>
              </w:rPr>
              <w:t>7,309,703.43</w:t>
            </w:r>
          </w:p>
        </w:tc>
        <w:tc>
          <w:tcPr>
            <w:tcW w:w="706" w:type="dxa"/>
            <w:noWrap/>
            <w:hideMark/>
          </w:tcPr>
          <w:p w:rsidR="000A210C" w:rsidRPr="00DF46B1" w:rsidRDefault="000A210C" w:rsidP="000A210C">
            <w:pPr>
              <w:spacing w:after="0" w:line="240" w:lineRule="auto"/>
              <w:rPr>
                <w:rFonts w:cstheme="minorHAnsi"/>
                <w:b/>
                <w:bCs/>
                <w:sz w:val="18"/>
                <w:szCs w:val="18"/>
              </w:rPr>
            </w:pPr>
            <w:r w:rsidRPr="00DF46B1">
              <w:rPr>
                <w:rFonts w:cstheme="minorHAnsi"/>
                <w:b/>
                <w:bCs/>
                <w:sz w:val="18"/>
                <w:szCs w:val="18"/>
              </w:rPr>
              <w:t>34%</w:t>
            </w:r>
          </w:p>
        </w:tc>
      </w:tr>
    </w:tbl>
    <w:p w:rsidR="005F5DC3" w:rsidRDefault="005F5DC3" w:rsidP="00954B08">
      <w:pPr>
        <w:rPr>
          <w:rFonts w:asciiTheme="minorHAnsi" w:hAnsiTheme="minorHAnsi"/>
        </w:rPr>
        <w:sectPr w:rsidR="005F5DC3" w:rsidSect="00525AE5">
          <w:pgSz w:w="15840" w:h="12240" w:orient="landscape"/>
          <w:pgMar w:top="1440" w:right="1440" w:bottom="1440" w:left="1440" w:header="720" w:footer="720" w:gutter="0"/>
          <w:cols w:space="720"/>
          <w:docGrid w:linePitch="360"/>
        </w:sectPr>
      </w:pPr>
    </w:p>
    <w:p w:rsidR="005F5DC3" w:rsidRDefault="005F5DC3" w:rsidP="005F5DC3">
      <w:pPr>
        <w:spacing w:after="0" w:line="240" w:lineRule="auto"/>
        <w:jc w:val="center"/>
        <w:rPr>
          <w:rFonts w:eastAsia="Cambria" w:cs="Calibri"/>
          <w:b/>
          <w:iCs/>
        </w:rPr>
      </w:pPr>
      <w:r>
        <w:rPr>
          <w:rFonts w:eastAsia="Cambria" w:cs="Calibri"/>
          <w:b/>
          <w:iCs/>
        </w:rPr>
        <w:lastRenderedPageBreak/>
        <w:t>Annex II:</w:t>
      </w:r>
      <w:r w:rsidRPr="001067FC">
        <w:rPr>
          <w:rFonts w:eastAsia="Cambria" w:cs="Calibri"/>
          <w:b/>
          <w:iCs/>
        </w:rPr>
        <w:t xml:space="preserve"> Principles and Areas Covered by Guidelines (Following UNEG Ethical Guideline)</w:t>
      </w:r>
    </w:p>
    <w:p w:rsidR="005F5DC3" w:rsidRDefault="00B652A0" w:rsidP="00954B08">
      <w:pPr>
        <w:rPr>
          <w:rFonts w:asciiTheme="minorHAnsi" w:hAnsiTheme="minorHAnsi"/>
        </w:rPr>
      </w:pPr>
      <w:r>
        <w:rPr>
          <w:rFonts w:asciiTheme="minorHAnsi" w:hAnsiTheme="minorHAnsi"/>
          <w:noProof/>
          <w:lang w:val="en-US" w:eastAsia="en-US"/>
        </w:rPr>
        <mc:AlternateContent>
          <mc:Choice Requires="wps">
            <w:drawing>
              <wp:anchor distT="0" distB="0" distL="114300" distR="114300" simplePos="0" relativeHeight="251668480" behindDoc="0" locked="0" layoutInCell="1" allowOverlap="1" wp14:anchorId="7D8E262E" wp14:editId="515B9D7C">
                <wp:simplePos x="0" y="0"/>
                <wp:positionH relativeFrom="column">
                  <wp:align>center</wp:align>
                </wp:positionH>
                <wp:positionV relativeFrom="paragraph">
                  <wp:posOffset>9525</wp:posOffset>
                </wp:positionV>
                <wp:extent cx="5737860" cy="5877560"/>
                <wp:effectExtent l="0" t="0" r="15240" b="2794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5877560"/>
                        </a:xfrm>
                        <a:prstGeom prst="rect">
                          <a:avLst/>
                        </a:prstGeom>
                        <a:solidFill>
                          <a:schemeClr val="accent3">
                            <a:lumMod val="20000"/>
                            <a:lumOff val="80000"/>
                          </a:schemeClr>
                        </a:solidFill>
                        <a:ln w="19050">
                          <a:solidFill>
                            <a:srgbClr val="000000"/>
                          </a:solidFill>
                          <a:miter lim="800000"/>
                          <a:headEnd/>
                          <a:tailEnd/>
                        </a:ln>
                      </wps:spPr>
                      <wps:txbx>
                        <w:txbxContent>
                          <w:p w:rsidR="00EA3B8B" w:rsidRPr="00094BE8" w:rsidRDefault="00EA3B8B" w:rsidP="005F5DC3">
                            <w:pPr>
                              <w:spacing w:after="0" w:line="240" w:lineRule="auto"/>
                              <w:jc w:val="both"/>
                              <w:rPr>
                                <w:rFonts w:eastAsia="Cambria" w:cs="Calibri"/>
                              </w:rPr>
                            </w:pPr>
                            <w:r w:rsidRPr="001067FC">
                              <w:rPr>
                                <w:rFonts w:eastAsia="Cambria" w:cs="Calibri"/>
                                <w:b/>
                                <w:i/>
                                <w:iCs/>
                              </w:rPr>
                              <w:t>Independence:</w:t>
                            </w:r>
                            <w:r w:rsidRPr="00094BE8">
                              <w:rPr>
                                <w:rFonts w:eastAsia="Cambria" w:cs="Calibri"/>
                              </w:rPr>
                              <w:t>The evaluators performed and considered all discussions/meetings with programme/project participants and beneficiaries without interference or “guidance” from third parties.</w:t>
                            </w:r>
                          </w:p>
                          <w:p w:rsidR="00EA3B8B" w:rsidRDefault="00EA3B8B" w:rsidP="005F5DC3">
                            <w:pPr>
                              <w:spacing w:after="0" w:line="240" w:lineRule="auto"/>
                              <w:jc w:val="both"/>
                              <w:rPr>
                                <w:rFonts w:eastAsia="Cambria" w:cs="Calibri"/>
                                <w:i/>
                                <w:iCs/>
                              </w:rPr>
                            </w:pPr>
                          </w:p>
                          <w:p w:rsidR="00EA3B8B" w:rsidRPr="00094BE8" w:rsidRDefault="00EA3B8B" w:rsidP="005F5DC3">
                            <w:pPr>
                              <w:spacing w:after="0" w:line="240" w:lineRule="auto"/>
                              <w:jc w:val="both"/>
                              <w:rPr>
                                <w:rFonts w:eastAsia="Cambria" w:cs="Calibri"/>
                              </w:rPr>
                            </w:pPr>
                            <w:r w:rsidRPr="001067FC">
                              <w:rPr>
                                <w:rFonts w:eastAsia="Cambria" w:cs="Calibri"/>
                                <w:b/>
                                <w:i/>
                                <w:iCs/>
                              </w:rPr>
                              <w:t>Impartiality:</w:t>
                            </w:r>
                            <w:r w:rsidRPr="00094BE8">
                              <w:rPr>
                                <w:rFonts w:eastAsia="Cambria" w:cs="Calibri"/>
                              </w:rPr>
                              <w:t xml:space="preserve"> The International Consultants had no previous connections to the programmes/projects being examined, and too</w:t>
                            </w:r>
                            <w:r>
                              <w:rPr>
                                <w:rFonts w:eastAsia="Cambria" w:cs="Calibri"/>
                              </w:rPr>
                              <w:t>k</w:t>
                            </w:r>
                            <w:r w:rsidRPr="00094BE8">
                              <w:rPr>
                                <w:rFonts w:eastAsia="Cambria" w:cs="Calibri"/>
                              </w:rPr>
                              <w:t xml:space="preserve"> responsibility for evaluating outcomes without any preconceptions or bias; the national consultants were aware of some of the programmes/projects but had no previous involvement.</w:t>
                            </w:r>
                          </w:p>
                          <w:p w:rsidR="00EA3B8B" w:rsidRDefault="00EA3B8B" w:rsidP="005F5DC3">
                            <w:pPr>
                              <w:spacing w:after="0" w:line="240" w:lineRule="auto"/>
                              <w:jc w:val="both"/>
                              <w:rPr>
                                <w:rFonts w:eastAsia="Cambria" w:cs="Calibri"/>
                                <w:i/>
                                <w:iCs/>
                              </w:rPr>
                            </w:pPr>
                          </w:p>
                          <w:p w:rsidR="00EA3B8B" w:rsidRPr="00094BE8" w:rsidRDefault="00EA3B8B" w:rsidP="005F5DC3">
                            <w:pPr>
                              <w:spacing w:after="0" w:line="240" w:lineRule="auto"/>
                              <w:jc w:val="both"/>
                              <w:rPr>
                                <w:rFonts w:eastAsia="Cambria" w:cs="Calibri"/>
                              </w:rPr>
                            </w:pPr>
                            <w:r w:rsidRPr="001067FC">
                              <w:rPr>
                                <w:rFonts w:eastAsia="Cambria" w:cs="Calibri"/>
                                <w:b/>
                                <w:i/>
                                <w:iCs/>
                              </w:rPr>
                              <w:t>Transparency:</w:t>
                            </w:r>
                            <w:r w:rsidRPr="00094BE8">
                              <w:rPr>
                                <w:rFonts w:eastAsia="Cambria" w:cs="Calibri"/>
                              </w:rPr>
                              <w:t>The evaluation process was framed, defined, and discussed with all participants, with no hidden agendas.</w:t>
                            </w:r>
                          </w:p>
                          <w:p w:rsidR="00EA3B8B" w:rsidRDefault="00EA3B8B" w:rsidP="005F5DC3">
                            <w:pPr>
                              <w:spacing w:after="0" w:line="240" w:lineRule="auto"/>
                              <w:jc w:val="both"/>
                              <w:rPr>
                                <w:rFonts w:eastAsia="Cambria" w:cs="Calibri"/>
                                <w:i/>
                                <w:iCs/>
                              </w:rPr>
                            </w:pPr>
                          </w:p>
                          <w:p w:rsidR="00EA3B8B" w:rsidRPr="00094BE8" w:rsidRDefault="00EA3B8B" w:rsidP="005F5DC3">
                            <w:pPr>
                              <w:spacing w:after="0" w:line="240" w:lineRule="auto"/>
                              <w:jc w:val="both"/>
                              <w:rPr>
                                <w:rFonts w:eastAsia="Cambria" w:cs="Calibri"/>
                              </w:rPr>
                            </w:pPr>
                            <w:r w:rsidRPr="001067FC">
                              <w:rPr>
                                <w:rFonts w:eastAsia="Cambria" w:cs="Calibri"/>
                                <w:b/>
                                <w:i/>
                                <w:iCs/>
                              </w:rPr>
                              <w:t>Disclosure</w:t>
                            </w:r>
                            <w:r w:rsidRPr="00094BE8">
                              <w:rPr>
                                <w:rFonts w:eastAsia="Cambria" w:cs="Calibri"/>
                                <w:i/>
                                <w:iCs/>
                              </w:rPr>
                              <w:t>:</w:t>
                            </w:r>
                            <w:r w:rsidRPr="00094BE8">
                              <w:rPr>
                                <w:rFonts w:eastAsia="Cambria" w:cs="Calibri"/>
                              </w:rPr>
                              <w:t xml:space="preserve"> Bac</w:t>
                            </w:r>
                            <w:r>
                              <w:rPr>
                                <w:rFonts w:eastAsia="Cambria" w:cs="Calibri"/>
                              </w:rPr>
                              <w:t>k</w:t>
                            </w:r>
                            <w:r w:rsidRPr="00094BE8">
                              <w:rPr>
                                <w:rFonts w:eastAsia="Cambria" w:cs="Calibri"/>
                              </w:rPr>
                              <w:t>ground, purpose and roles of evaluators were revealed to all participants at the beginning of deliberations and the neutrality of evaluators was maintained throughout.</w:t>
                            </w:r>
                          </w:p>
                          <w:p w:rsidR="00EA3B8B" w:rsidRDefault="00EA3B8B" w:rsidP="005F5DC3">
                            <w:pPr>
                              <w:spacing w:after="0" w:line="240" w:lineRule="auto"/>
                              <w:jc w:val="both"/>
                              <w:rPr>
                                <w:rFonts w:eastAsia="Cambria" w:cs="Calibri"/>
                                <w:i/>
                                <w:iCs/>
                              </w:rPr>
                            </w:pPr>
                          </w:p>
                          <w:p w:rsidR="00EA3B8B" w:rsidRPr="00094BE8" w:rsidRDefault="00EA3B8B" w:rsidP="005F5DC3">
                            <w:pPr>
                              <w:spacing w:after="0" w:line="240" w:lineRule="auto"/>
                              <w:jc w:val="both"/>
                              <w:rPr>
                                <w:rFonts w:eastAsia="Cambria" w:cs="Calibri"/>
                              </w:rPr>
                            </w:pPr>
                            <w:r w:rsidRPr="001067FC">
                              <w:rPr>
                                <w:rFonts w:eastAsia="Cambria" w:cs="Calibri"/>
                                <w:b/>
                                <w:i/>
                                <w:iCs/>
                              </w:rPr>
                              <w:t>Rights and Confidentiality</w:t>
                            </w:r>
                            <w:r w:rsidRPr="00094BE8">
                              <w:rPr>
                                <w:rFonts w:eastAsia="Cambria" w:cs="Calibri"/>
                                <w:i/>
                                <w:iCs/>
                              </w:rPr>
                              <w:t xml:space="preserve">: </w:t>
                            </w:r>
                            <w:r w:rsidRPr="00094BE8">
                              <w:rPr>
                                <w:rFonts w:eastAsia="Cambria" w:cs="Calibri"/>
                              </w:rPr>
                              <w:t>The rights and confidentiality of information providers were maintained throughout the evaluation.</w:t>
                            </w:r>
                          </w:p>
                          <w:p w:rsidR="00EA3B8B" w:rsidRDefault="00EA3B8B" w:rsidP="005F5DC3">
                            <w:pPr>
                              <w:spacing w:after="0" w:line="240" w:lineRule="auto"/>
                              <w:jc w:val="both"/>
                              <w:rPr>
                                <w:rFonts w:eastAsia="Cambria" w:cs="Calibri"/>
                                <w:i/>
                                <w:iCs/>
                              </w:rPr>
                            </w:pPr>
                          </w:p>
                          <w:p w:rsidR="00EA3B8B" w:rsidRPr="00094BE8" w:rsidRDefault="00EA3B8B" w:rsidP="005F5DC3">
                            <w:pPr>
                              <w:spacing w:after="0" w:line="240" w:lineRule="auto"/>
                              <w:jc w:val="both"/>
                              <w:rPr>
                                <w:rFonts w:eastAsia="Cambria" w:cs="Calibri"/>
                              </w:rPr>
                            </w:pPr>
                            <w:r w:rsidRPr="001067FC">
                              <w:rPr>
                                <w:rFonts w:eastAsia="Cambria" w:cs="Calibri"/>
                                <w:b/>
                                <w:i/>
                                <w:iCs/>
                              </w:rPr>
                              <w:t>Ethical Conduct</w:t>
                            </w:r>
                            <w:r w:rsidRPr="00094BE8">
                              <w:rPr>
                                <w:rFonts w:eastAsia="Cambria" w:cs="Calibri"/>
                                <w:i/>
                                <w:iCs/>
                              </w:rPr>
                              <w:t xml:space="preserve">: </w:t>
                            </w:r>
                            <w:r w:rsidRPr="00094BE8">
                              <w:rPr>
                                <w:rFonts w:eastAsia="Cambria" w:cs="Calibri"/>
                              </w:rPr>
                              <w:t>All evaluation processes and forms of engagement were carried out with respect and dignity, with adequate time was given to allow input from all participants.</w:t>
                            </w:r>
                          </w:p>
                          <w:p w:rsidR="00EA3B8B" w:rsidRDefault="00EA3B8B" w:rsidP="005F5DC3">
                            <w:pPr>
                              <w:spacing w:after="0" w:line="240" w:lineRule="auto"/>
                              <w:jc w:val="both"/>
                              <w:rPr>
                                <w:rFonts w:eastAsia="Cambria" w:cs="Calibri"/>
                                <w:i/>
                                <w:iCs/>
                              </w:rPr>
                            </w:pPr>
                          </w:p>
                          <w:p w:rsidR="00EA3B8B" w:rsidRPr="00094BE8" w:rsidRDefault="00EA3B8B" w:rsidP="005F5DC3">
                            <w:pPr>
                              <w:spacing w:after="0" w:line="240" w:lineRule="auto"/>
                              <w:jc w:val="both"/>
                              <w:rPr>
                                <w:rFonts w:eastAsia="Cambria" w:cs="Calibri"/>
                              </w:rPr>
                            </w:pPr>
                            <w:r w:rsidRPr="001067FC">
                              <w:rPr>
                                <w:rFonts w:eastAsia="Cambria" w:cs="Calibri"/>
                                <w:b/>
                                <w:i/>
                                <w:iCs/>
                              </w:rPr>
                              <w:t>Partnership</w:t>
                            </w:r>
                            <w:r w:rsidRPr="00094BE8">
                              <w:rPr>
                                <w:rFonts w:eastAsia="Cambria" w:cs="Calibri"/>
                                <w:i/>
                                <w:iCs/>
                              </w:rPr>
                              <w:t>:</w:t>
                            </w:r>
                            <w:r w:rsidRPr="00094BE8">
                              <w:rPr>
                                <w:rFonts w:eastAsia="Cambria" w:cs="Calibri"/>
                              </w:rPr>
                              <w:t xml:space="preserve"> During the process of evaluation, the programme/project participants and beneficiaries were considered as ‘partners’ in a collaborative and constructive capacity.</w:t>
                            </w:r>
                          </w:p>
                          <w:p w:rsidR="00EA3B8B" w:rsidRDefault="00EA3B8B" w:rsidP="005F5DC3">
                            <w:pPr>
                              <w:spacing w:after="0" w:line="240" w:lineRule="auto"/>
                              <w:jc w:val="both"/>
                              <w:rPr>
                                <w:rFonts w:eastAsia="Cambria" w:cs="Calibri"/>
                                <w:i/>
                                <w:iCs/>
                              </w:rPr>
                            </w:pPr>
                          </w:p>
                          <w:p w:rsidR="00EA3B8B" w:rsidRPr="00094BE8" w:rsidRDefault="00EA3B8B" w:rsidP="005F5DC3">
                            <w:pPr>
                              <w:spacing w:after="0" w:line="240" w:lineRule="auto"/>
                              <w:jc w:val="both"/>
                              <w:rPr>
                                <w:rFonts w:eastAsia="Cambria" w:cs="Calibri"/>
                              </w:rPr>
                            </w:pPr>
                            <w:r w:rsidRPr="001067FC">
                              <w:rPr>
                                <w:rFonts w:eastAsia="Cambria" w:cs="Calibri"/>
                                <w:b/>
                                <w:i/>
                                <w:iCs/>
                              </w:rPr>
                              <w:t>Competencies and Capacities</w:t>
                            </w:r>
                            <w:r w:rsidRPr="00094BE8">
                              <w:rPr>
                                <w:rFonts w:eastAsia="Cambria" w:cs="Calibri"/>
                                <w:i/>
                                <w:iCs/>
                              </w:rPr>
                              <w:t>:</w:t>
                            </w:r>
                            <w:r w:rsidRPr="00094BE8">
                              <w:rPr>
                                <w:rFonts w:eastAsia="Cambria" w:cs="Calibri"/>
                              </w:rPr>
                              <w:t xml:space="preserve"> The evaluators offered adequate experience, qualifications, and s</w:t>
                            </w:r>
                            <w:r>
                              <w:rPr>
                                <w:rFonts w:eastAsia="Cambria" w:cs="Calibri"/>
                              </w:rPr>
                              <w:t>k</w:t>
                            </w:r>
                            <w:r w:rsidRPr="00094BE8">
                              <w:rPr>
                                <w:rFonts w:eastAsia="Cambria" w:cs="Calibri"/>
                              </w:rPr>
                              <w:t>ills to the process to legitimize the evaluation observations and recommendations</w:t>
                            </w:r>
                          </w:p>
                          <w:p w:rsidR="00EA3B8B" w:rsidRDefault="00EA3B8B" w:rsidP="005F5DC3">
                            <w:pPr>
                              <w:spacing w:after="0" w:line="240" w:lineRule="auto"/>
                              <w:jc w:val="both"/>
                              <w:rPr>
                                <w:rFonts w:eastAsia="Cambria" w:cs="Calibri"/>
                                <w:i/>
                                <w:iCs/>
                              </w:rPr>
                            </w:pPr>
                          </w:p>
                          <w:p w:rsidR="00EA3B8B" w:rsidRPr="00094BE8" w:rsidRDefault="00EA3B8B" w:rsidP="005F5DC3">
                            <w:pPr>
                              <w:spacing w:after="0" w:line="240" w:lineRule="auto"/>
                              <w:jc w:val="both"/>
                              <w:rPr>
                                <w:rFonts w:eastAsia="Cambria" w:cs="Calibri"/>
                              </w:rPr>
                            </w:pPr>
                            <w:r w:rsidRPr="001067FC">
                              <w:rPr>
                                <w:rFonts w:eastAsia="Cambria" w:cs="Calibri"/>
                                <w:b/>
                                <w:i/>
                                <w:iCs/>
                              </w:rPr>
                              <w:t>Credibility</w:t>
                            </w:r>
                            <w:r w:rsidRPr="00094BE8">
                              <w:rPr>
                                <w:rFonts w:eastAsia="Cambria" w:cs="Calibri"/>
                                <w:i/>
                                <w:iCs/>
                              </w:rPr>
                              <w:t xml:space="preserve">: </w:t>
                            </w:r>
                            <w:r w:rsidRPr="00094BE8">
                              <w:rPr>
                                <w:rFonts w:eastAsia="Cambria" w:cs="Calibri"/>
                              </w:rPr>
                              <w:t>Significant efforts have been made to establish clear lin</w:t>
                            </w:r>
                            <w:r>
                              <w:rPr>
                                <w:rFonts w:eastAsia="Cambria" w:cs="Calibri"/>
                              </w:rPr>
                              <w:t>k</w:t>
                            </w:r>
                            <w:r w:rsidRPr="00094BE8">
                              <w:rPr>
                                <w:rFonts w:eastAsia="Cambria" w:cs="Calibri"/>
                              </w:rPr>
                              <w:t>ages between observations and evidence, grounded in the documents review, data analysis and participation of all sta</w:t>
                            </w:r>
                            <w:r>
                              <w:rPr>
                                <w:rFonts w:eastAsia="Cambria" w:cs="Calibri"/>
                              </w:rPr>
                              <w:t>k</w:t>
                            </w:r>
                            <w:r w:rsidRPr="00094BE8">
                              <w:rPr>
                                <w:rFonts w:eastAsia="Cambria" w:cs="Calibri"/>
                              </w:rPr>
                              <w:t>eholders in the evaluation).</w:t>
                            </w:r>
                          </w:p>
                          <w:p w:rsidR="00EA3B8B" w:rsidRDefault="00EA3B8B" w:rsidP="005F5DC3">
                            <w:pPr>
                              <w:spacing w:after="0" w:line="240" w:lineRule="auto"/>
                              <w:jc w:val="both"/>
                              <w:rPr>
                                <w:rFonts w:eastAsia="Cambria" w:cs="Calibri"/>
                                <w:i/>
                                <w:iCs/>
                              </w:rPr>
                            </w:pPr>
                          </w:p>
                          <w:p w:rsidR="00EA3B8B" w:rsidRPr="00094BE8" w:rsidRDefault="00EA3B8B" w:rsidP="005F5DC3">
                            <w:pPr>
                              <w:spacing w:after="0" w:line="240" w:lineRule="auto"/>
                              <w:jc w:val="both"/>
                              <w:rPr>
                                <w:rFonts w:eastAsia="Cambria" w:cs="Calibri"/>
                              </w:rPr>
                            </w:pPr>
                            <w:r w:rsidRPr="001067FC">
                              <w:rPr>
                                <w:rFonts w:eastAsia="Cambria" w:cs="Calibri"/>
                                <w:b/>
                                <w:i/>
                                <w:iCs/>
                              </w:rPr>
                              <w:t>Utility</w:t>
                            </w:r>
                            <w:r w:rsidRPr="00094BE8">
                              <w:rPr>
                                <w:rFonts w:eastAsia="Cambria" w:cs="Calibri"/>
                                <w:i/>
                                <w:iCs/>
                              </w:rPr>
                              <w:t>:</w:t>
                            </w:r>
                            <w:r w:rsidRPr="00094BE8">
                              <w:rPr>
                                <w:rFonts w:eastAsia="Cambria" w:cs="Calibri"/>
                              </w:rPr>
                              <w:t xml:space="preserve"> The evaluation observations and recommendations contribute to the implementation of immediate adjustments as the development of future programmes.</w:t>
                            </w:r>
                          </w:p>
                          <w:p w:rsidR="00EA3B8B" w:rsidRDefault="00EA3B8B" w:rsidP="005F5D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E262E" id="Text Box 3" o:spid="_x0000_s1092" type="#_x0000_t202" style="position:absolute;margin-left:0;margin-top:.75pt;width:451.8pt;height:462.8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U7TwIAAJgEAAAOAAAAZHJzL2Uyb0RvYy54bWysVNtu2zAMfR+wfxD0vti5NakRp+jSdRjQ&#10;XYB2H6DIcixMEjVJiZ19fSkpzdLtbdiLIZLS4SEP6dXNoBU5COclmJqORyUlwnBopNnV9PvT/bsl&#10;JT4w0zAFRtT0KDy9Wb99s+ptJSbQgWqEIwhifNXbmnYh2KooPO+EZn4EVhgMtuA0C2i6XdE41iO6&#10;VsWkLK+KHlxjHXDhPXrvcpCuE37bCh6+tq0XgaiaIreQvi59t/FbrFes2jlmO8lPNNg/sNBMGkx6&#10;hrpjgZG9k39BackdeGjDiIMuoG0lF6kGrGZc/lHNY8esSLVgc7w9t8n/P1j+5fDNEdnU9JoSwzRK&#10;9CSGQN7DQKaxO731FV56tHgtDOhGlVOl3j4A/+GJgU3HzE7cOgd9J1iD7MbxZXHxNOP4CLLtP0OD&#10;adg+QAIaWqdj67AZBNFRpeNZmUiFo3O+mC6WVxjiGJsvF4s5GjEHq16eW+fDRwGaxENNHUqf4Nnh&#10;wYd89eVKzOZByeZeKpWMOG5ioxw5MBwUxrkwYZqeq71GvtmPA1eeRgbdOFjZvXxxI5s0uBEpcXuV&#10;RBnSY2uuy3mZkF8Fvdttz/kjXk4UES+JahlwXZTUNU1ZT2xi2z+YBqtkVWBS5TM+VuakQ2x9FiEM&#10;2yEJPj3ru4XmiMo4yOuB64yHDtwvSnpcjZr6n3vmBCXqk0F1r8ezWdylZMzmiwka7jKyvYwwwxGq&#10;poGSfNyEvH976+Suw0x5ngzc4kS0MmkVRyezOvHH8U8dPa1q3K9LO936/UNZPwMAAP//AwBQSwME&#10;FAAGAAgAAAAhAE2F17bgAAAABgEAAA8AAABkcnMvZG93bnJldi54bWxMj0FPwkAQhe8m/IfNkHgh&#10;sKUG0NotIRKiIUYFPXBcukPb2J1tugut/57xpLd58ybvfZMue1uLC7a+cqRgOolAIOXOVFQo+Prc&#10;jO9B+KDJ6NoRKvhBD8tscJPqxLiOdnjZh0JwCPlEKyhDaBIpfV6i1X7iGiT2Tq61OrBsC2la3XG4&#10;rWUcRXNpdUXcUOoGn0rMv/dnq+DjdNitng+z+EW+v47e1t22kqOtUrfDfvUIImAf/o7hF5/RIWOm&#10;ozuT8aJWwI8E3s5AsPkQ3c1BHHmIF1OQWSr/42dXAAAA//8DAFBLAQItABQABgAIAAAAIQC2gziS&#10;/gAAAOEBAAATAAAAAAAAAAAAAAAAAAAAAABbQ29udGVudF9UeXBlc10ueG1sUEsBAi0AFAAGAAgA&#10;AAAhADj9If/WAAAAlAEAAAsAAAAAAAAAAAAAAAAALwEAAF9yZWxzLy5yZWxzUEsBAi0AFAAGAAgA&#10;AAAhAOTD1TtPAgAAmAQAAA4AAAAAAAAAAAAAAAAALgIAAGRycy9lMm9Eb2MueG1sUEsBAi0AFAAG&#10;AAgAAAAhAE2F17bgAAAABgEAAA8AAAAAAAAAAAAAAAAAqQQAAGRycy9kb3ducmV2LnhtbFBLBQYA&#10;AAAABAAEAPMAAAC2BQAAAAA=&#10;" fillcolor="#eaf1dd [662]" strokeweight="1.5pt">
                <v:textbox>
                  <w:txbxContent>
                    <w:p w:rsidR="00EA3B8B" w:rsidRPr="00094BE8" w:rsidRDefault="00EA3B8B" w:rsidP="005F5DC3">
                      <w:pPr>
                        <w:spacing w:after="0" w:line="240" w:lineRule="auto"/>
                        <w:jc w:val="both"/>
                        <w:rPr>
                          <w:rFonts w:eastAsia="Cambria" w:cs="Calibri"/>
                        </w:rPr>
                      </w:pPr>
                      <w:r w:rsidRPr="001067FC">
                        <w:rPr>
                          <w:rFonts w:eastAsia="Cambria" w:cs="Calibri"/>
                          <w:b/>
                          <w:i/>
                          <w:iCs/>
                        </w:rPr>
                        <w:t>Independence:</w:t>
                      </w:r>
                      <w:r w:rsidRPr="00094BE8">
                        <w:rPr>
                          <w:rFonts w:eastAsia="Cambria" w:cs="Calibri"/>
                        </w:rPr>
                        <w:t>The evaluators performed and considered all discussions/meetings with programme/project participants and beneficiaries without interference or “guidance” from third parties.</w:t>
                      </w:r>
                    </w:p>
                    <w:p w:rsidR="00EA3B8B" w:rsidRDefault="00EA3B8B" w:rsidP="005F5DC3">
                      <w:pPr>
                        <w:spacing w:after="0" w:line="240" w:lineRule="auto"/>
                        <w:jc w:val="both"/>
                        <w:rPr>
                          <w:rFonts w:eastAsia="Cambria" w:cs="Calibri"/>
                          <w:i/>
                          <w:iCs/>
                        </w:rPr>
                      </w:pPr>
                    </w:p>
                    <w:p w:rsidR="00EA3B8B" w:rsidRPr="00094BE8" w:rsidRDefault="00EA3B8B" w:rsidP="005F5DC3">
                      <w:pPr>
                        <w:spacing w:after="0" w:line="240" w:lineRule="auto"/>
                        <w:jc w:val="both"/>
                        <w:rPr>
                          <w:rFonts w:eastAsia="Cambria" w:cs="Calibri"/>
                        </w:rPr>
                      </w:pPr>
                      <w:r w:rsidRPr="001067FC">
                        <w:rPr>
                          <w:rFonts w:eastAsia="Cambria" w:cs="Calibri"/>
                          <w:b/>
                          <w:i/>
                          <w:iCs/>
                        </w:rPr>
                        <w:t>Impartiality:</w:t>
                      </w:r>
                      <w:r w:rsidRPr="00094BE8">
                        <w:rPr>
                          <w:rFonts w:eastAsia="Cambria" w:cs="Calibri"/>
                        </w:rPr>
                        <w:t xml:space="preserve"> The International Consultants had no previous connections to the programmes/projects being examined, and too</w:t>
                      </w:r>
                      <w:r>
                        <w:rPr>
                          <w:rFonts w:eastAsia="Cambria" w:cs="Calibri"/>
                        </w:rPr>
                        <w:t>k</w:t>
                      </w:r>
                      <w:r w:rsidRPr="00094BE8">
                        <w:rPr>
                          <w:rFonts w:eastAsia="Cambria" w:cs="Calibri"/>
                        </w:rPr>
                        <w:t xml:space="preserve"> responsibility for evaluating outcomes without any preconceptions or bias; the national consultants were aware of some of the programmes/projects but had no previous involvement.</w:t>
                      </w:r>
                    </w:p>
                    <w:p w:rsidR="00EA3B8B" w:rsidRDefault="00EA3B8B" w:rsidP="005F5DC3">
                      <w:pPr>
                        <w:spacing w:after="0" w:line="240" w:lineRule="auto"/>
                        <w:jc w:val="both"/>
                        <w:rPr>
                          <w:rFonts w:eastAsia="Cambria" w:cs="Calibri"/>
                          <w:i/>
                          <w:iCs/>
                        </w:rPr>
                      </w:pPr>
                    </w:p>
                    <w:p w:rsidR="00EA3B8B" w:rsidRPr="00094BE8" w:rsidRDefault="00EA3B8B" w:rsidP="005F5DC3">
                      <w:pPr>
                        <w:spacing w:after="0" w:line="240" w:lineRule="auto"/>
                        <w:jc w:val="both"/>
                        <w:rPr>
                          <w:rFonts w:eastAsia="Cambria" w:cs="Calibri"/>
                        </w:rPr>
                      </w:pPr>
                      <w:r w:rsidRPr="001067FC">
                        <w:rPr>
                          <w:rFonts w:eastAsia="Cambria" w:cs="Calibri"/>
                          <w:b/>
                          <w:i/>
                          <w:iCs/>
                        </w:rPr>
                        <w:t>Transparency:</w:t>
                      </w:r>
                      <w:r w:rsidRPr="00094BE8">
                        <w:rPr>
                          <w:rFonts w:eastAsia="Cambria" w:cs="Calibri"/>
                        </w:rPr>
                        <w:t>The evaluation process was framed, defined, and discussed with all participants, with no hidden agendas.</w:t>
                      </w:r>
                    </w:p>
                    <w:p w:rsidR="00EA3B8B" w:rsidRDefault="00EA3B8B" w:rsidP="005F5DC3">
                      <w:pPr>
                        <w:spacing w:after="0" w:line="240" w:lineRule="auto"/>
                        <w:jc w:val="both"/>
                        <w:rPr>
                          <w:rFonts w:eastAsia="Cambria" w:cs="Calibri"/>
                          <w:i/>
                          <w:iCs/>
                        </w:rPr>
                      </w:pPr>
                    </w:p>
                    <w:p w:rsidR="00EA3B8B" w:rsidRPr="00094BE8" w:rsidRDefault="00EA3B8B" w:rsidP="005F5DC3">
                      <w:pPr>
                        <w:spacing w:after="0" w:line="240" w:lineRule="auto"/>
                        <w:jc w:val="both"/>
                        <w:rPr>
                          <w:rFonts w:eastAsia="Cambria" w:cs="Calibri"/>
                        </w:rPr>
                      </w:pPr>
                      <w:r w:rsidRPr="001067FC">
                        <w:rPr>
                          <w:rFonts w:eastAsia="Cambria" w:cs="Calibri"/>
                          <w:b/>
                          <w:i/>
                          <w:iCs/>
                        </w:rPr>
                        <w:t>Disclosure</w:t>
                      </w:r>
                      <w:r w:rsidRPr="00094BE8">
                        <w:rPr>
                          <w:rFonts w:eastAsia="Cambria" w:cs="Calibri"/>
                          <w:i/>
                          <w:iCs/>
                        </w:rPr>
                        <w:t>:</w:t>
                      </w:r>
                      <w:r w:rsidRPr="00094BE8">
                        <w:rPr>
                          <w:rFonts w:eastAsia="Cambria" w:cs="Calibri"/>
                        </w:rPr>
                        <w:t xml:space="preserve"> Bac</w:t>
                      </w:r>
                      <w:r>
                        <w:rPr>
                          <w:rFonts w:eastAsia="Cambria" w:cs="Calibri"/>
                        </w:rPr>
                        <w:t>k</w:t>
                      </w:r>
                      <w:r w:rsidRPr="00094BE8">
                        <w:rPr>
                          <w:rFonts w:eastAsia="Cambria" w:cs="Calibri"/>
                        </w:rPr>
                        <w:t>ground, purpose and roles of evaluators were revealed to all participants at the beginning of deliberations and the neutrality of evaluators was maintained throughout.</w:t>
                      </w:r>
                    </w:p>
                    <w:p w:rsidR="00EA3B8B" w:rsidRDefault="00EA3B8B" w:rsidP="005F5DC3">
                      <w:pPr>
                        <w:spacing w:after="0" w:line="240" w:lineRule="auto"/>
                        <w:jc w:val="both"/>
                        <w:rPr>
                          <w:rFonts w:eastAsia="Cambria" w:cs="Calibri"/>
                          <w:i/>
                          <w:iCs/>
                        </w:rPr>
                      </w:pPr>
                    </w:p>
                    <w:p w:rsidR="00EA3B8B" w:rsidRPr="00094BE8" w:rsidRDefault="00EA3B8B" w:rsidP="005F5DC3">
                      <w:pPr>
                        <w:spacing w:after="0" w:line="240" w:lineRule="auto"/>
                        <w:jc w:val="both"/>
                        <w:rPr>
                          <w:rFonts w:eastAsia="Cambria" w:cs="Calibri"/>
                        </w:rPr>
                      </w:pPr>
                      <w:r w:rsidRPr="001067FC">
                        <w:rPr>
                          <w:rFonts w:eastAsia="Cambria" w:cs="Calibri"/>
                          <w:b/>
                          <w:i/>
                          <w:iCs/>
                        </w:rPr>
                        <w:t>Rights and Confidentiality</w:t>
                      </w:r>
                      <w:r w:rsidRPr="00094BE8">
                        <w:rPr>
                          <w:rFonts w:eastAsia="Cambria" w:cs="Calibri"/>
                          <w:i/>
                          <w:iCs/>
                        </w:rPr>
                        <w:t xml:space="preserve">: </w:t>
                      </w:r>
                      <w:r w:rsidRPr="00094BE8">
                        <w:rPr>
                          <w:rFonts w:eastAsia="Cambria" w:cs="Calibri"/>
                        </w:rPr>
                        <w:t>The rights and confidentiality of information providers were maintained throughout the evaluation.</w:t>
                      </w:r>
                    </w:p>
                    <w:p w:rsidR="00EA3B8B" w:rsidRDefault="00EA3B8B" w:rsidP="005F5DC3">
                      <w:pPr>
                        <w:spacing w:after="0" w:line="240" w:lineRule="auto"/>
                        <w:jc w:val="both"/>
                        <w:rPr>
                          <w:rFonts w:eastAsia="Cambria" w:cs="Calibri"/>
                          <w:i/>
                          <w:iCs/>
                        </w:rPr>
                      </w:pPr>
                    </w:p>
                    <w:p w:rsidR="00EA3B8B" w:rsidRPr="00094BE8" w:rsidRDefault="00EA3B8B" w:rsidP="005F5DC3">
                      <w:pPr>
                        <w:spacing w:after="0" w:line="240" w:lineRule="auto"/>
                        <w:jc w:val="both"/>
                        <w:rPr>
                          <w:rFonts w:eastAsia="Cambria" w:cs="Calibri"/>
                        </w:rPr>
                      </w:pPr>
                      <w:r w:rsidRPr="001067FC">
                        <w:rPr>
                          <w:rFonts w:eastAsia="Cambria" w:cs="Calibri"/>
                          <w:b/>
                          <w:i/>
                          <w:iCs/>
                        </w:rPr>
                        <w:t>Ethical Conduct</w:t>
                      </w:r>
                      <w:r w:rsidRPr="00094BE8">
                        <w:rPr>
                          <w:rFonts w:eastAsia="Cambria" w:cs="Calibri"/>
                          <w:i/>
                          <w:iCs/>
                        </w:rPr>
                        <w:t xml:space="preserve">: </w:t>
                      </w:r>
                      <w:r w:rsidRPr="00094BE8">
                        <w:rPr>
                          <w:rFonts w:eastAsia="Cambria" w:cs="Calibri"/>
                        </w:rPr>
                        <w:t>All evaluation processes and forms of engagement were carried out with respect and dignity, with adequate time was given to allow input from all participants.</w:t>
                      </w:r>
                    </w:p>
                    <w:p w:rsidR="00EA3B8B" w:rsidRDefault="00EA3B8B" w:rsidP="005F5DC3">
                      <w:pPr>
                        <w:spacing w:after="0" w:line="240" w:lineRule="auto"/>
                        <w:jc w:val="both"/>
                        <w:rPr>
                          <w:rFonts w:eastAsia="Cambria" w:cs="Calibri"/>
                          <w:i/>
                          <w:iCs/>
                        </w:rPr>
                      </w:pPr>
                    </w:p>
                    <w:p w:rsidR="00EA3B8B" w:rsidRPr="00094BE8" w:rsidRDefault="00EA3B8B" w:rsidP="005F5DC3">
                      <w:pPr>
                        <w:spacing w:after="0" w:line="240" w:lineRule="auto"/>
                        <w:jc w:val="both"/>
                        <w:rPr>
                          <w:rFonts w:eastAsia="Cambria" w:cs="Calibri"/>
                        </w:rPr>
                      </w:pPr>
                      <w:r w:rsidRPr="001067FC">
                        <w:rPr>
                          <w:rFonts w:eastAsia="Cambria" w:cs="Calibri"/>
                          <w:b/>
                          <w:i/>
                          <w:iCs/>
                        </w:rPr>
                        <w:t>Partnership</w:t>
                      </w:r>
                      <w:r w:rsidRPr="00094BE8">
                        <w:rPr>
                          <w:rFonts w:eastAsia="Cambria" w:cs="Calibri"/>
                          <w:i/>
                          <w:iCs/>
                        </w:rPr>
                        <w:t>:</w:t>
                      </w:r>
                      <w:r w:rsidRPr="00094BE8">
                        <w:rPr>
                          <w:rFonts w:eastAsia="Cambria" w:cs="Calibri"/>
                        </w:rPr>
                        <w:t xml:space="preserve"> During the process of evaluation, the programme/project participants and beneficiaries were considered as ‘partners’ in a collaborative and constructive capacity.</w:t>
                      </w:r>
                    </w:p>
                    <w:p w:rsidR="00EA3B8B" w:rsidRDefault="00EA3B8B" w:rsidP="005F5DC3">
                      <w:pPr>
                        <w:spacing w:after="0" w:line="240" w:lineRule="auto"/>
                        <w:jc w:val="both"/>
                        <w:rPr>
                          <w:rFonts w:eastAsia="Cambria" w:cs="Calibri"/>
                          <w:i/>
                          <w:iCs/>
                        </w:rPr>
                      </w:pPr>
                    </w:p>
                    <w:p w:rsidR="00EA3B8B" w:rsidRPr="00094BE8" w:rsidRDefault="00EA3B8B" w:rsidP="005F5DC3">
                      <w:pPr>
                        <w:spacing w:after="0" w:line="240" w:lineRule="auto"/>
                        <w:jc w:val="both"/>
                        <w:rPr>
                          <w:rFonts w:eastAsia="Cambria" w:cs="Calibri"/>
                        </w:rPr>
                      </w:pPr>
                      <w:r w:rsidRPr="001067FC">
                        <w:rPr>
                          <w:rFonts w:eastAsia="Cambria" w:cs="Calibri"/>
                          <w:b/>
                          <w:i/>
                          <w:iCs/>
                        </w:rPr>
                        <w:t>Competencies and Capacities</w:t>
                      </w:r>
                      <w:r w:rsidRPr="00094BE8">
                        <w:rPr>
                          <w:rFonts w:eastAsia="Cambria" w:cs="Calibri"/>
                          <w:i/>
                          <w:iCs/>
                        </w:rPr>
                        <w:t>:</w:t>
                      </w:r>
                      <w:r w:rsidRPr="00094BE8">
                        <w:rPr>
                          <w:rFonts w:eastAsia="Cambria" w:cs="Calibri"/>
                        </w:rPr>
                        <w:t xml:space="preserve"> The evaluators offered adequate experience, qualifications, and s</w:t>
                      </w:r>
                      <w:r>
                        <w:rPr>
                          <w:rFonts w:eastAsia="Cambria" w:cs="Calibri"/>
                        </w:rPr>
                        <w:t>k</w:t>
                      </w:r>
                      <w:r w:rsidRPr="00094BE8">
                        <w:rPr>
                          <w:rFonts w:eastAsia="Cambria" w:cs="Calibri"/>
                        </w:rPr>
                        <w:t>ills to the process to legitimize the evaluation observations and recommendations</w:t>
                      </w:r>
                    </w:p>
                    <w:p w:rsidR="00EA3B8B" w:rsidRDefault="00EA3B8B" w:rsidP="005F5DC3">
                      <w:pPr>
                        <w:spacing w:after="0" w:line="240" w:lineRule="auto"/>
                        <w:jc w:val="both"/>
                        <w:rPr>
                          <w:rFonts w:eastAsia="Cambria" w:cs="Calibri"/>
                          <w:i/>
                          <w:iCs/>
                        </w:rPr>
                      </w:pPr>
                    </w:p>
                    <w:p w:rsidR="00EA3B8B" w:rsidRPr="00094BE8" w:rsidRDefault="00EA3B8B" w:rsidP="005F5DC3">
                      <w:pPr>
                        <w:spacing w:after="0" w:line="240" w:lineRule="auto"/>
                        <w:jc w:val="both"/>
                        <w:rPr>
                          <w:rFonts w:eastAsia="Cambria" w:cs="Calibri"/>
                        </w:rPr>
                      </w:pPr>
                      <w:r w:rsidRPr="001067FC">
                        <w:rPr>
                          <w:rFonts w:eastAsia="Cambria" w:cs="Calibri"/>
                          <w:b/>
                          <w:i/>
                          <w:iCs/>
                        </w:rPr>
                        <w:t>Credibility</w:t>
                      </w:r>
                      <w:r w:rsidRPr="00094BE8">
                        <w:rPr>
                          <w:rFonts w:eastAsia="Cambria" w:cs="Calibri"/>
                          <w:i/>
                          <w:iCs/>
                        </w:rPr>
                        <w:t xml:space="preserve">: </w:t>
                      </w:r>
                      <w:r w:rsidRPr="00094BE8">
                        <w:rPr>
                          <w:rFonts w:eastAsia="Cambria" w:cs="Calibri"/>
                        </w:rPr>
                        <w:t>Significant efforts have been made to establish clear lin</w:t>
                      </w:r>
                      <w:r>
                        <w:rPr>
                          <w:rFonts w:eastAsia="Cambria" w:cs="Calibri"/>
                        </w:rPr>
                        <w:t>k</w:t>
                      </w:r>
                      <w:r w:rsidRPr="00094BE8">
                        <w:rPr>
                          <w:rFonts w:eastAsia="Cambria" w:cs="Calibri"/>
                        </w:rPr>
                        <w:t>ages between observations and evidence, grounded in the documents review, data analysis and participation of all sta</w:t>
                      </w:r>
                      <w:r>
                        <w:rPr>
                          <w:rFonts w:eastAsia="Cambria" w:cs="Calibri"/>
                        </w:rPr>
                        <w:t>k</w:t>
                      </w:r>
                      <w:r w:rsidRPr="00094BE8">
                        <w:rPr>
                          <w:rFonts w:eastAsia="Cambria" w:cs="Calibri"/>
                        </w:rPr>
                        <w:t>eholders in the evaluation).</w:t>
                      </w:r>
                    </w:p>
                    <w:p w:rsidR="00EA3B8B" w:rsidRDefault="00EA3B8B" w:rsidP="005F5DC3">
                      <w:pPr>
                        <w:spacing w:after="0" w:line="240" w:lineRule="auto"/>
                        <w:jc w:val="both"/>
                        <w:rPr>
                          <w:rFonts w:eastAsia="Cambria" w:cs="Calibri"/>
                          <w:i/>
                          <w:iCs/>
                        </w:rPr>
                      </w:pPr>
                    </w:p>
                    <w:p w:rsidR="00EA3B8B" w:rsidRPr="00094BE8" w:rsidRDefault="00EA3B8B" w:rsidP="005F5DC3">
                      <w:pPr>
                        <w:spacing w:after="0" w:line="240" w:lineRule="auto"/>
                        <w:jc w:val="both"/>
                        <w:rPr>
                          <w:rFonts w:eastAsia="Cambria" w:cs="Calibri"/>
                        </w:rPr>
                      </w:pPr>
                      <w:r w:rsidRPr="001067FC">
                        <w:rPr>
                          <w:rFonts w:eastAsia="Cambria" w:cs="Calibri"/>
                          <w:b/>
                          <w:i/>
                          <w:iCs/>
                        </w:rPr>
                        <w:t>Utility</w:t>
                      </w:r>
                      <w:r w:rsidRPr="00094BE8">
                        <w:rPr>
                          <w:rFonts w:eastAsia="Cambria" w:cs="Calibri"/>
                          <w:i/>
                          <w:iCs/>
                        </w:rPr>
                        <w:t>:</w:t>
                      </w:r>
                      <w:r w:rsidRPr="00094BE8">
                        <w:rPr>
                          <w:rFonts w:eastAsia="Cambria" w:cs="Calibri"/>
                        </w:rPr>
                        <w:t xml:space="preserve"> The evaluation observations and recommendations contribute to the implementation of immediate adjustments as the development of future programmes.</w:t>
                      </w:r>
                    </w:p>
                    <w:p w:rsidR="00EA3B8B" w:rsidRDefault="00EA3B8B" w:rsidP="005F5DC3"/>
                  </w:txbxContent>
                </v:textbox>
              </v:shape>
            </w:pict>
          </mc:Fallback>
        </mc:AlternateContent>
      </w:r>
    </w:p>
    <w:p w:rsidR="005F5DC3" w:rsidRPr="005F5DC3" w:rsidRDefault="005F5DC3" w:rsidP="005F5DC3">
      <w:pPr>
        <w:rPr>
          <w:rFonts w:asciiTheme="minorHAnsi" w:hAnsiTheme="minorHAnsi"/>
        </w:rPr>
      </w:pPr>
    </w:p>
    <w:p w:rsidR="005F5DC3" w:rsidRPr="005F5DC3" w:rsidRDefault="005F5DC3" w:rsidP="005F5DC3">
      <w:pPr>
        <w:rPr>
          <w:rFonts w:asciiTheme="minorHAnsi" w:hAnsiTheme="minorHAnsi"/>
        </w:rPr>
      </w:pPr>
    </w:p>
    <w:p w:rsidR="005F5DC3" w:rsidRPr="005F5DC3" w:rsidRDefault="005F5DC3" w:rsidP="005F5DC3">
      <w:pPr>
        <w:rPr>
          <w:rFonts w:asciiTheme="minorHAnsi" w:hAnsiTheme="minorHAnsi"/>
        </w:rPr>
      </w:pPr>
    </w:p>
    <w:p w:rsidR="005F5DC3" w:rsidRPr="005F5DC3" w:rsidRDefault="005F5DC3" w:rsidP="005F5DC3">
      <w:pPr>
        <w:rPr>
          <w:rFonts w:asciiTheme="minorHAnsi" w:hAnsiTheme="minorHAnsi"/>
        </w:rPr>
      </w:pPr>
    </w:p>
    <w:p w:rsidR="005F5DC3" w:rsidRPr="005F5DC3" w:rsidRDefault="005F5DC3" w:rsidP="005F5DC3">
      <w:pPr>
        <w:rPr>
          <w:rFonts w:asciiTheme="minorHAnsi" w:hAnsiTheme="minorHAnsi"/>
        </w:rPr>
      </w:pPr>
    </w:p>
    <w:p w:rsidR="005F5DC3" w:rsidRPr="005F5DC3" w:rsidRDefault="005F5DC3" w:rsidP="005F5DC3">
      <w:pPr>
        <w:rPr>
          <w:rFonts w:asciiTheme="minorHAnsi" w:hAnsiTheme="minorHAnsi"/>
        </w:rPr>
      </w:pPr>
    </w:p>
    <w:p w:rsidR="005F5DC3" w:rsidRPr="005F5DC3" w:rsidRDefault="005F5DC3" w:rsidP="005F5DC3">
      <w:pPr>
        <w:rPr>
          <w:rFonts w:asciiTheme="minorHAnsi" w:hAnsiTheme="minorHAnsi"/>
        </w:rPr>
      </w:pPr>
    </w:p>
    <w:p w:rsidR="005F5DC3" w:rsidRPr="005F5DC3" w:rsidRDefault="005F5DC3" w:rsidP="005F5DC3">
      <w:pPr>
        <w:rPr>
          <w:rFonts w:asciiTheme="minorHAnsi" w:hAnsiTheme="minorHAnsi"/>
        </w:rPr>
      </w:pPr>
    </w:p>
    <w:p w:rsidR="005F5DC3" w:rsidRPr="005F5DC3" w:rsidRDefault="005F5DC3" w:rsidP="005F5DC3">
      <w:pPr>
        <w:rPr>
          <w:rFonts w:asciiTheme="minorHAnsi" w:hAnsiTheme="minorHAnsi"/>
        </w:rPr>
      </w:pPr>
    </w:p>
    <w:p w:rsidR="005F5DC3" w:rsidRPr="005F5DC3" w:rsidRDefault="005F5DC3" w:rsidP="005F5DC3">
      <w:pPr>
        <w:rPr>
          <w:rFonts w:asciiTheme="minorHAnsi" w:hAnsiTheme="minorHAnsi"/>
        </w:rPr>
      </w:pPr>
    </w:p>
    <w:p w:rsidR="005F5DC3" w:rsidRPr="005F5DC3" w:rsidRDefault="005F5DC3" w:rsidP="005F5DC3">
      <w:pPr>
        <w:rPr>
          <w:rFonts w:asciiTheme="minorHAnsi" w:hAnsiTheme="minorHAnsi"/>
        </w:rPr>
      </w:pPr>
    </w:p>
    <w:p w:rsidR="005F5DC3" w:rsidRPr="005F5DC3" w:rsidRDefault="005F5DC3" w:rsidP="005F5DC3">
      <w:pPr>
        <w:rPr>
          <w:rFonts w:asciiTheme="minorHAnsi" w:hAnsiTheme="minorHAnsi"/>
        </w:rPr>
      </w:pPr>
    </w:p>
    <w:p w:rsidR="005F5DC3" w:rsidRPr="005F5DC3" w:rsidRDefault="005F5DC3" w:rsidP="005F5DC3">
      <w:pPr>
        <w:rPr>
          <w:rFonts w:asciiTheme="minorHAnsi" w:hAnsiTheme="minorHAnsi"/>
        </w:rPr>
      </w:pPr>
    </w:p>
    <w:p w:rsidR="005F5DC3" w:rsidRPr="005F5DC3" w:rsidRDefault="005F5DC3" w:rsidP="005F5DC3">
      <w:pPr>
        <w:rPr>
          <w:rFonts w:asciiTheme="minorHAnsi" w:hAnsiTheme="minorHAnsi"/>
        </w:rPr>
      </w:pPr>
    </w:p>
    <w:p w:rsidR="005F5DC3" w:rsidRPr="005F5DC3" w:rsidRDefault="005F5DC3" w:rsidP="005F5DC3">
      <w:pPr>
        <w:rPr>
          <w:rFonts w:asciiTheme="minorHAnsi" w:hAnsiTheme="minorHAnsi"/>
        </w:rPr>
      </w:pPr>
    </w:p>
    <w:p w:rsidR="005F5DC3" w:rsidRPr="005F5DC3" w:rsidRDefault="005F5DC3" w:rsidP="005F5DC3">
      <w:pPr>
        <w:rPr>
          <w:rFonts w:asciiTheme="minorHAnsi" w:hAnsiTheme="minorHAnsi"/>
        </w:rPr>
      </w:pPr>
    </w:p>
    <w:p w:rsidR="005F5DC3" w:rsidRPr="005F5DC3" w:rsidRDefault="005F5DC3" w:rsidP="005F5DC3">
      <w:pPr>
        <w:rPr>
          <w:rFonts w:asciiTheme="minorHAnsi" w:hAnsiTheme="minorHAnsi"/>
        </w:rPr>
      </w:pPr>
    </w:p>
    <w:p w:rsidR="005F5DC3" w:rsidRPr="005F5DC3" w:rsidRDefault="005F5DC3" w:rsidP="005F5DC3">
      <w:pPr>
        <w:rPr>
          <w:rFonts w:asciiTheme="minorHAnsi" w:hAnsiTheme="minorHAnsi"/>
        </w:rPr>
      </w:pPr>
    </w:p>
    <w:p w:rsidR="005F5DC3" w:rsidRDefault="005F5DC3" w:rsidP="005F5DC3">
      <w:pPr>
        <w:rPr>
          <w:rFonts w:asciiTheme="minorHAnsi" w:hAnsiTheme="minorHAnsi"/>
        </w:rPr>
      </w:pPr>
    </w:p>
    <w:p w:rsidR="005F5DC3" w:rsidRDefault="005F5DC3" w:rsidP="005F5DC3">
      <w:pPr>
        <w:tabs>
          <w:tab w:val="left" w:pos="2595"/>
        </w:tabs>
        <w:rPr>
          <w:rFonts w:asciiTheme="minorHAnsi" w:hAnsiTheme="minorHAnsi"/>
        </w:rPr>
        <w:sectPr w:rsidR="005F5DC3" w:rsidSect="005F5DC3">
          <w:pgSz w:w="12240" w:h="15840"/>
          <w:pgMar w:top="1440" w:right="1440" w:bottom="1440" w:left="1440" w:header="720" w:footer="720" w:gutter="0"/>
          <w:cols w:space="720"/>
          <w:docGrid w:linePitch="360"/>
        </w:sectPr>
      </w:pPr>
      <w:r>
        <w:rPr>
          <w:rFonts w:asciiTheme="minorHAnsi" w:hAnsiTheme="minorHAnsi"/>
        </w:rPr>
        <w:tab/>
      </w:r>
    </w:p>
    <w:p w:rsidR="005F5DC3" w:rsidRPr="0057538B" w:rsidRDefault="005F5DC3" w:rsidP="005F5DC3">
      <w:pPr>
        <w:tabs>
          <w:tab w:val="left" w:pos="2235"/>
        </w:tabs>
        <w:jc w:val="center"/>
        <w:rPr>
          <w:sz w:val="18"/>
          <w:szCs w:val="18"/>
        </w:rPr>
      </w:pPr>
      <w:r>
        <w:rPr>
          <w:rFonts w:cs="Calibri"/>
          <w:b/>
          <w:szCs w:val="18"/>
        </w:rPr>
        <w:lastRenderedPageBreak/>
        <w:t>Annex III: Evaluation Matrix for Six selected UNDP Projects</w:t>
      </w:r>
    </w:p>
    <w:p w:rsidR="005F5DC3" w:rsidRPr="00075E67" w:rsidRDefault="005F5DC3" w:rsidP="005F5DC3">
      <w:pPr>
        <w:autoSpaceDE w:val="0"/>
        <w:autoSpaceDN w:val="0"/>
        <w:adjustRightInd w:val="0"/>
        <w:spacing w:after="0" w:line="240" w:lineRule="auto"/>
        <w:jc w:val="center"/>
        <w:rPr>
          <w:rFonts w:cs="Calibri"/>
          <w:b/>
          <w:sz w:val="18"/>
          <w:szCs w:val="18"/>
        </w:rPr>
      </w:pPr>
    </w:p>
    <w:p w:rsidR="005F5DC3" w:rsidRDefault="005F5DC3" w:rsidP="005F5DC3">
      <w:pPr>
        <w:autoSpaceDE w:val="0"/>
        <w:autoSpaceDN w:val="0"/>
        <w:adjustRightInd w:val="0"/>
        <w:spacing w:after="0" w:line="240" w:lineRule="auto"/>
        <w:jc w:val="center"/>
        <w:rPr>
          <w:rFonts w:cs="Calibri"/>
          <w:b/>
          <w:szCs w:val="18"/>
        </w:rPr>
      </w:pPr>
      <w:r w:rsidRPr="004F24C4">
        <w:rPr>
          <w:rFonts w:cs="Calibri"/>
          <w:b/>
          <w:szCs w:val="18"/>
        </w:rPr>
        <w:t>UNDP Country Outcome 3.1/UNDAF Outcome 5.1</w:t>
      </w:r>
    </w:p>
    <w:p w:rsidR="005F5DC3" w:rsidRDefault="005F5DC3" w:rsidP="005F5DC3">
      <w:pPr>
        <w:autoSpaceDE w:val="0"/>
        <w:autoSpaceDN w:val="0"/>
        <w:adjustRightInd w:val="0"/>
        <w:spacing w:after="0" w:line="240" w:lineRule="auto"/>
        <w:jc w:val="center"/>
        <w:rPr>
          <w:rFonts w:cs="Calibri"/>
          <w:b/>
          <w:szCs w:val="18"/>
        </w:rPr>
      </w:pPr>
    </w:p>
    <w:p w:rsidR="005F5DC3" w:rsidRPr="004F24C4" w:rsidRDefault="005F5DC3" w:rsidP="005F5DC3">
      <w:pPr>
        <w:autoSpaceDE w:val="0"/>
        <w:autoSpaceDN w:val="0"/>
        <w:adjustRightInd w:val="0"/>
        <w:spacing w:after="0" w:line="240" w:lineRule="auto"/>
        <w:jc w:val="center"/>
        <w:rPr>
          <w:rFonts w:cs="Calibri"/>
          <w:b/>
          <w:szCs w:val="18"/>
        </w:rPr>
      </w:pPr>
    </w:p>
    <w:p w:rsidR="00BF7E33" w:rsidRPr="005F5DC3" w:rsidRDefault="005F5DC3" w:rsidP="005F5DC3">
      <w:pPr>
        <w:tabs>
          <w:tab w:val="left" w:pos="2595"/>
        </w:tabs>
        <w:spacing w:after="0" w:line="240" w:lineRule="auto"/>
        <w:rPr>
          <w:rFonts w:asciiTheme="minorHAnsi" w:hAnsiTheme="minorHAnsi"/>
          <w:b/>
        </w:rPr>
      </w:pPr>
      <w:r w:rsidRPr="005F5DC3">
        <w:rPr>
          <w:rFonts w:asciiTheme="minorHAnsi" w:hAnsiTheme="minorHAnsi"/>
          <w:b/>
        </w:rPr>
        <w:t>Relevance</w:t>
      </w:r>
    </w:p>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70"/>
        <w:gridCol w:w="2520"/>
        <w:gridCol w:w="1350"/>
        <w:gridCol w:w="1170"/>
        <w:gridCol w:w="1170"/>
        <w:gridCol w:w="1170"/>
        <w:gridCol w:w="1170"/>
      </w:tblGrid>
      <w:tr w:rsidR="005F5DC3" w:rsidRPr="00075E67" w:rsidTr="005F5DC3">
        <w:trPr>
          <w:trHeight w:val="692"/>
        </w:trPr>
        <w:tc>
          <w:tcPr>
            <w:tcW w:w="2178"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Main Evaluation Question</w:t>
            </w:r>
          </w:p>
          <w:p w:rsidR="005F5DC3" w:rsidRPr="00075E67" w:rsidRDefault="005F5DC3" w:rsidP="005F5DC3">
            <w:pPr>
              <w:autoSpaceDE w:val="0"/>
              <w:autoSpaceDN w:val="0"/>
              <w:adjustRightInd w:val="0"/>
              <w:spacing w:after="0" w:line="240" w:lineRule="auto"/>
              <w:rPr>
                <w:rFonts w:cs="Calibri"/>
                <w:b/>
                <w:sz w:val="18"/>
                <w:szCs w:val="18"/>
              </w:rPr>
            </w:pPr>
          </w:p>
        </w:tc>
        <w:tc>
          <w:tcPr>
            <w:tcW w:w="297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Specific Evaluation Question</w:t>
            </w:r>
          </w:p>
          <w:p w:rsidR="005F5DC3" w:rsidRPr="00075E67" w:rsidRDefault="005F5DC3" w:rsidP="005F5DC3">
            <w:pPr>
              <w:autoSpaceDE w:val="0"/>
              <w:autoSpaceDN w:val="0"/>
              <w:adjustRightInd w:val="0"/>
              <w:spacing w:after="0" w:line="240" w:lineRule="auto"/>
              <w:rPr>
                <w:rFonts w:cs="Calibri"/>
                <w:b/>
                <w:sz w:val="18"/>
                <w:szCs w:val="18"/>
              </w:rPr>
            </w:pPr>
          </w:p>
        </w:tc>
        <w:tc>
          <w:tcPr>
            <w:tcW w:w="252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 xml:space="preserve">Indicator </w:t>
            </w:r>
          </w:p>
          <w:p w:rsidR="005F5DC3" w:rsidRPr="00075E67" w:rsidRDefault="005F5DC3" w:rsidP="005F5DC3">
            <w:pPr>
              <w:autoSpaceDE w:val="0"/>
              <w:autoSpaceDN w:val="0"/>
              <w:adjustRightInd w:val="0"/>
              <w:spacing w:after="0" w:line="240" w:lineRule="auto"/>
              <w:rPr>
                <w:rFonts w:cs="Calibri"/>
                <w:b/>
                <w:sz w:val="18"/>
                <w:szCs w:val="18"/>
              </w:rPr>
            </w:pPr>
          </w:p>
        </w:tc>
        <w:tc>
          <w:tcPr>
            <w:tcW w:w="135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 xml:space="preserve">Data Source </w:t>
            </w:r>
          </w:p>
          <w:p w:rsidR="005F5DC3" w:rsidRPr="00075E67" w:rsidRDefault="005F5DC3" w:rsidP="005F5DC3">
            <w:pPr>
              <w:autoSpaceDE w:val="0"/>
              <w:autoSpaceDN w:val="0"/>
              <w:adjustRightInd w:val="0"/>
              <w:spacing w:after="0" w:line="240" w:lineRule="auto"/>
              <w:rPr>
                <w:rFonts w:cs="Calibri"/>
                <w:b/>
                <w:sz w:val="18"/>
                <w:szCs w:val="18"/>
              </w:rPr>
            </w:pP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Data Collection Method</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Selection of Respondent</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Method of Data Analysis</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Limitation/</w:t>
            </w:r>
          </w:p>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Ris</w:t>
            </w:r>
            <w:r>
              <w:rPr>
                <w:rFonts w:cs="Calibri"/>
                <w:b/>
                <w:sz w:val="18"/>
                <w:szCs w:val="18"/>
              </w:rPr>
              <w:t>k</w:t>
            </w:r>
          </w:p>
        </w:tc>
      </w:tr>
      <w:tr w:rsidR="005F5DC3" w:rsidRPr="00075E67" w:rsidTr="005F5DC3">
        <w:tc>
          <w:tcPr>
            <w:tcW w:w="2178" w:type="dxa"/>
            <w:shd w:val="clear" w:color="auto" w:fill="auto"/>
          </w:tcPr>
          <w:p w:rsidR="005F5DC3" w:rsidRPr="00075E67" w:rsidRDefault="005F5DC3" w:rsidP="005F5DC3">
            <w:pPr>
              <w:pStyle w:val="ListParagraph"/>
              <w:spacing w:after="0" w:line="240" w:lineRule="auto"/>
              <w:ind w:left="0"/>
              <w:rPr>
                <w:rFonts w:cs="Calibri"/>
                <w:b/>
                <w:sz w:val="18"/>
                <w:szCs w:val="18"/>
              </w:rPr>
            </w:pPr>
            <w:r w:rsidRPr="00075E67">
              <w:rPr>
                <w:rFonts w:cs="Calibri"/>
                <w:b/>
                <w:sz w:val="18"/>
                <w:szCs w:val="18"/>
              </w:rPr>
              <w:t>Country Program Outcome 3.1/ UNDAF Outcome 5.1</w:t>
            </w:r>
          </w:p>
          <w:p w:rsidR="005F5DC3" w:rsidRPr="00075E67" w:rsidRDefault="005F5DC3" w:rsidP="005F5DC3">
            <w:pPr>
              <w:pStyle w:val="ListParagraph"/>
              <w:spacing w:after="0" w:line="240" w:lineRule="auto"/>
              <w:ind w:left="0"/>
              <w:jc w:val="both"/>
              <w:rPr>
                <w:rFonts w:cs="Calibri"/>
                <w:b/>
                <w:sz w:val="18"/>
                <w:szCs w:val="18"/>
              </w:rPr>
            </w:pPr>
          </w:p>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 To what extent </w:t>
            </w:r>
            <w:r w:rsidRPr="00075E67">
              <w:rPr>
                <w:rFonts w:cs="Calibri"/>
                <w:b/>
                <w:sz w:val="18"/>
                <w:szCs w:val="18"/>
              </w:rPr>
              <w:t xml:space="preserve">UNDP’s </w:t>
            </w:r>
            <w:r>
              <w:rPr>
                <w:rFonts w:cs="Calibri"/>
                <w:b/>
                <w:sz w:val="18"/>
                <w:szCs w:val="18"/>
              </w:rPr>
              <w:t>k</w:t>
            </w:r>
            <w:r w:rsidRPr="00075E67">
              <w:rPr>
                <w:rFonts w:cs="Calibri"/>
                <w:b/>
                <w:sz w:val="18"/>
                <w:szCs w:val="18"/>
              </w:rPr>
              <w:t>ey programmes/projects</w:t>
            </w:r>
            <w:r w:rsidRPr="00075E67">
              <w:rPr>
                <w:rFonts w:cs="Calibri"/>
                <w:sz w:val="18"/>
                <w:szCs w:val="18"/>
              </w:rPr>
              <w:t xml:space="preserve"> are relevant to ma</w:t>
            </w:r>
            <w:r>
              <w:rPr>
                <w:rFonts w:cs="Calibri"/>
                <w:sz w:val="18"/>
                <w:szCs w:val="18"/>
              </w:rPr>
              <w:t>k</w:t>
            </w:r>
            <w:r w:rsidRPr="00075E67">
              <w:rPr>
                <w:rFonts w:cs="Calibri"/>
                <w:sz w:val="18"/>
                <w:szCs w:val="18"/>
              </w:rPr>
              <w:t>e vulnerable populations more resilient to the ris</w:t>
            </w:r>
            <w:r>
              <w:rPr>
                <w:rFonts w:cs="Calibri"/>
                <w:sz w:val="18"/>
                <w:szCs w:val="18"/>
              </w:rPr>
              <w:t>k</w:t>
            </w:r>
            <w:r w:rsidRPr="00075E67">
              <w:rPr>
                <w:rFonts w:cs="Calibri"/>
                <w:sz w:val="18"/>
                <w:szCs w:val="18"/>
              </w:rPr>
              <w:t>s of climate change and natural disasters?</w:t>
            </w:r>
          </w:p>
          <w:p w:rsidR="005F5DC3" w:rsidRPr="00075E67" w:rsidRDefault="005F5DC3" w:rsidP="005F5DC3">
            <w:pPr>
              <w:autoSpaceDE w:val="0"/>
              <w:autoSpaceDN w:val="0"/>
              <w:adjustRightInd w:val="0"/>
              <w:spacing w:after="0" w:line="240" w:lineRule="auto"/>
              <w:rPr>
                <w:rFonts w:cs="Calibri"/>
                <w:sz w:val="18"/>
                <w:szCs w:val="18"/>
              </w:rPr>
            </w:pPr>
          </w:p>
        </w:tc>
        <w:tc>
          <w:tcPr>
            <w:tcW w:w="29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Annual average economic loss from natural hazards (e.g. geo-physical and climate-induced hazards) as a proportion of GDP in the last five years</w:t>
            </w:r>
          </w:p>
          <w:p w:rsidR="005F5DC3" w:rsidRPr="00075E67" w:rsidRDefault="005F5DC3" w:rsidP="005F5DC3">
            <w:pPr>
              <w:spacing w:after="0" w:line="240" w:lineRule="auto"/>
              <w:rPr>
                <w:rFonts w:cs="Calibri"/>
                <w:sz w:val="18"/>
                <w:szCs w:val="18"/>
              </w:rPr>
            </w:pPr>
            <w:r w:rsidRPr="00075E67">
              <w:rPr>
                <w:rFonts w:cs="Calibri"/>
                <w:sz w:val="18"/>
                <w:szCs w:val="18"/>
                <w:u w:val="single"/>
              </w:rPr>
              <w:t>Baseline</w:t>
            </w:r>
            <w:r w:rsidRPr="00075E67">
              <w:rPr>
                <w:rFonts w:cs="Calibri"/>
                <w:sz w:val="18"/>
                <w:szCs w:val="18"/>
              </w:rPr>
              <w:t xml:space="preserve"> 2011: 1.23%</w:t>
            </w:r>
          </w:p>
          <w:p w:rsidR="005F5DC3" w:rsidRPr="00075E67" w:rsidRDefault="005F5DC3" w:rsidP="005F5DC3">
            <w:pPr>
              <w:spacing w:after="0" w:line="240" w:lineRule="auto"/>
              <w:rPr>
                <w:rFonts w:cs="Calibri"/>
                <w:sz w:val="18"/>
                <w:szCs w:val="18"/>
              </w:rPr>
            </w:pPr>
            <w:r w:rsidRPr="00075E67">
              <w:rPr>
                <w:rFonts w:cs="Calibri"/>
                <w:sz w:val="18"/>
                <w:szCs w:val="18"/>
                <w:u w:val="single"/>
              </w:rPr>
              <w:t>Target</w:t>
            </w:r>
            <w:r w:rsidRPr="00075E67">
              <w:rPr>
                <w:rFonts w:cs="Calibri"/>
                <w:sz w:val="18"/>
                <w:szCs w:val="18"/>
              </w:rPr>
              <w:t xml:space="preserve"> 2016: 0.8%</w:t>
            </w:r>
          </w:p>
          <w:p w:rsidR="005F5DC3" w:rsidRPr="00075E67" w:rsidRDefault="005F5DC3" w:rsidP="005F5DC3">
            <w:pPr>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eastAsia="Calibri" w:cs="Calibri"/>
                <w:sz w:val="18"/>
                <w:szCs w:val="18"/>
              </w:rPr>
            </w:pPr>
            <w:r w:rsidRPr="00075E67">
              <w:rPr>
                <w:rFonts w:eastAsia="Calibri" w:cs="Calibri"/>
                <w:sz w:val="18"/>
                <w:szCs w:val="18"/>
              </w:rPr>
              <w:t>Average annual number of  loss of human lives and injuries (serious) due to  natural hazards (geo-physical and climate-induced hazards)</w:t>
            </w:r>
          </w:p>
          <w:p w:rsidR="005F5DC3" w:rsidRPr="00075E67" w:rsidRDefault="005F5DC3" w:rsidP="005F5DC3">
            <w:pPr>
              <w:autoSpaceDE w:val="0"/>
              <w:autoSpaceDN w:val="0"/>
              <w:adjustRightInd w:val="0"/>
              <w:spacing w:after="0" w:line="240" w:lineRule="auto"/>
              <w:rPr>
                <w:rFonts w:eastAsia="Calibri" w:cs="Calibri"/>
                <w:sz w:val="18"/>
                <w:szCs w:val="18"/>
              </w:rPr>
            </w:pPr>
          </w:p>
          <w:p w:rsidR="005F5DC3" w:rsidRPr="00075E67" w:rsidRDefault="005F5DC3" w:rsidP="005F5DC3">
            <w:pPr>
              <w:spacing w:after="0" w:line="240" w:lineRule="auto"/>
              <w:rPr>
                <w:rFonts w:cs="Calibri"/>
                <w:sz w:val="18"/>
                <w:szCs w:val="18"/>
              </w:rPr>
            </w:pPr>
            <w:r w:rsidRPr="00075E67">
              <w:rPr>
                <w:rFonts w:cs="Calibri"/>
                <w:sz w:val="18"/>
                <w:szCs w:val="18"/>
              </w:rPr>
              <w:t>Extent to which disaster and climate ris</w:t>
            </w:r>
            <w:r>
              <w:rPr>
                <w:rFonts w:cs="Calibri"/>
                <w:sz w:val="18"/>
                <w:szCs w:val="18"/>
              </w:rPr>
              <w:t>k</w:t>
            </w:r>
            <w:r w:rsidRPr="00075E67">
              <w:rPr>
                <w:rFonts w:cs="Calibri"/>
                <w:sz w:val="18"/>
                <w:szCs w:val="18"/>
              </w:rPr>
              <w:t xml:space="preserve"> management plans are funded through national, local and sectorial development budgets (Rating Scale; 1-not adequately; 2-very partially; 3-partially; 4-largely) </w:t>
            </w:r>
          </w:p>
          <w:p w:rsidR="005F5DC3" w:rsidRPr="00075E67" w:rsidRDefault="005F5DC3" w:rsidP="005F5DC3">
            <w:pPr>
              <w:spacing w:after="0" w:line="240" w:lineRule="auto"/>
              <w:rPr>
                <w:rFonts w:cs="Calibri"/>
                <w:sz w:val="18"/>
                <w:szCs w:val="18"/>
              </w:rPr>
            </w:pPr>
          </w:p>
          <w:p w:rsidR="005F5DC3" w:rsidRPr="00075E67" w:rsidRDefault="005F5DC3" w:rsidP="005F5DC3">
            <w:pPr>
              <w:spacing w:after="0" w:line="240" w:lineRule="auto"/>
              <w:rPr>
                <w:rFonts w:cs="Calibri"/>
                <w:sz w:val="18"/>
                <w:szCs w:val="18"/>
              </w:rPr>
            </w:pPr>
            <w:r w:rsidRPr="00075E67">
              <w:rPr>
                <w:rFonts w:cs="Calibri"/>
                <w:sz w:val="18"/>
                <w:szCs w:val="18"/>
              </w:rPr>
              <w:t>% of total funds delivered by national, local, and development budgets to disaster and climate ris</w:t>
            </w:r>
            <w:r>
              <w:rPr>
                <w:rFonts w:cs="Calibri"/>
                <w:sz w:val="18"/>
                <w:szCs w:val="18"/>
              </w:rPr>
              <w:t>k</w:t>
            </w:r>
            <w:r w:rsidRPr="00075E67">
              <w:rPr>
                <w:rFonts w:cs="Calibri"/>
                <w:sz w:val="18"/>
                <w:szCs w:val="18"/>
              </w:rPr>
              <w:t xml:space="preserve"> management plans would wor</w:t>
            </w:r>
            <w:r>
              <w:rPr>
                <w:rFonts w:cs="Calibri"/>
                <w:sz w:val="18"/>
                <w:szCs w:val="18"/>
              </w:rPr>
              <w:t>k</w:t>
            </w:r>
            <w:r w:rsidRPr="00075E67">
              <w:rPr>
                <w:rFonts w:cs="Calibri"/>
                <w:sz w:val="18"/>
                <w:szCs w:val="18"/>
              </w:rPr>
              <w:t xml:space="preserve"> better </w:t>
            </w:r>
          </w:p>
          <w:p w:rsidR="005F5DC3" w:rsidRPr="00075E67" w:rsidRDefault="005F5DC3" w:rsidP="005F5DC3">
            <w:pPr>
              <w:spacing w:after="0" w:line="240" w:lineRule="auto"/>
              <w:rPr>
                <w:rFonts w:cs="Calibri"/>
                <w:sz w:val="18"/>
                <w:szCs w:val="18"/>
              </w:rPr>
            </w:pPr>
          </w:p>
          <w:p w:rsidR="005F5DC3" w:rsidRPr="00075E67" w:rsidRDefault="005F5DC3" w:rsidP="005F5DC3">
            <w:pPr>
              <w:spacing w:after="0" w:line="240" w:lineRule="auto"/>
              <w:rPr>
                <w:rFonts w:cs="Calibri"/>
                <w:sz w:val="18"/>
                <w:szCs w:val="18"/>
              </w:rPr>
            </w:pPr>
            <w:r w:rsidRPr="00075E67">
              <w:rPr>
                <w:rFonts w:cs="Calibri"/>
                <w:sz w:val="18"/>
                <w:szCs w:val="18"/>
                <w:u w:val="single"/>
              </w:rPr>
              <w:t>Baseline</w:t>
            </w:r>
            <w:r w:rsidRPr="00075E67">
              <w:rPr>
                <w:rFonts w:cs="Calibri"/>
                <w:sz w:val="18"/>
                <w:szCs w:val="18"/>
              </w:rPr>
              <w:t xml:space="preserve"> 2011: 1 point (Not adequately)</w:t>
            </w:r>
          </w:p>
          <w:p w:rsidR="005F5DC3" w:rsidRPr="00075E67" w:rsidRDefault="005F5DC3" w:rsidP="005F5DC3">
            <w:pPr>
              <w:spacing w:after="0" w:line="240" w:lineRule="auto"/>
              <w:rPr>
                <w:rFonts w:cs="Calibri"/>
                <w:sz w:val="18"/>
                <w:szCs w:val="18"/>
              </w:rPr>
            </w:pPr>
            <w:r w:rsidRPr="00075E67">
              <w:rPr>
                <w:rFonts w:cs="Calibri"/>
                <w:sz w:val="18"/>
                <w:szCs w:val="18"/>
                <w:u w:val="single"/>
              </w:rPr>
              <w:lastRenderedPageBreak/>
              <w:t>Target</w:t>
            </w:r>
            <w:r w:rsidRPr="00075E67">
              <w:rPr>
                <w:rFonts w:cs="Calibri"/>
                <w:sz w:val="18"/>
                <w:szCs w:val="18"/>
              </w:rPr>
              <w:t xml:space="preserve"> 2016: 3 points (Partially)</w:t>
            </w:r>
          </w:p>
          <w:p w:rsidR="005F5DC3" w:rsidRPr="00075E67" w:rsidRDefault="005F5DC3" w:rsidP="005F5DC3">
            <w:pPr>
              <w:spacing w:after="0" w:line="240" w:lineRule="auto"/>
              <w:rPr>
                <w:rFonts w:cs="Calibri"/>
                <w:sz w:val="18"/>
                <w:szCs w:val="18"/>
              </w:rPr>
            </w:pPr>
            <w:r w:rsidRPr="00075E67">
              <w:rPr>
                <w:rFonts w:cs="Calibri"/>
                <w:sz w:val="18"/>
                <w:szCs w:val="18"/>
                <w:u w:val="single"/>
              </w:rPr>
              <w:t>Data Source</w:t>
            </w:r>
            <w:r w:rsidRPr="00075E67">
              <w:rPr>
                <w:rFonts w:cs="Calibri"/>
                <w:sz w:val="18"/>
                <w:szCs w:val="18"/>
              </w:rPr>
              <w:t xml:space="preserve">: </w:t>
            </w:r>
          </w:p>
          <w:p w:rsidR="005F5DC3" w:rsidRPr="00075E67" w:rsidRDefault="005F5DC3" w:rsidP="005F5DC3">
            <w:pPr>
              <w:spacing w:after="0" w:line="240" w:lineRule="auto"/>
              <w:rPr>
                <w:rFonts w:cs="Calibri"/>
                <w:sz w:val="18"/>
                <w:szCs w:val="18"/>
              </w:rPr>
            </w:pPr>
          </w:p>
          <w:p w:rsidR="005F5DC3" w:rsidRPr="00075E67" w:rsidRDefault="005F5DC3" w:rsidP="005F5DC3">
            <w:pPr>
              <w:spacing w:after="0" w:line="240" w:lineRule="auto"/>
              <w:rPr>
                <w:rFonts w:cs="Calibri"/>
                <w:sz w:val="18"/>
                <w:szCs w:val="18"/>
              </w:rPr>
            </w:pPr>
            <w:r w:rsidRPr="00075E67">
              <w:rPr>
                <w:rFonts w:cs="Calibri"/>
                <w:sz w:val="18"/>
                <w:szCs w:val="18"/>
              </w:rPr>
              <w:t xml:space="preserve"> # of community/union institutionalized disaster and climate ris</w:t>
            </w:r>
            <w:r>
              <w:rPr>
                <w:rFonts w:cs="Calibri"/>
                <w:sz w:val="18"/>
                <w:szCs w:val="18"/>
              </w:rPr>
              <w:t>k</w:t>
            </w:r>
            <w:r w:rsidRPr="00075E67">
              <w:rPr>
                <w:rFonts w:cs="Calibri"/>
                <w:sz w:val="18"/>
                <w:szCs w:val="18"/>
              </w:rPr>
              <w:t xml:space="preserve"> management plans/action plans</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eastAsia="Calibri" w:cs="Calibri"/>
                <w:sz w:val="18"/>
                <w:szCs w:val="18"/>
              </w:rPr>
            </w:pPr>
            <w:r w:rsidRPr="00075E67">
              <w:rPr>
                <w:rFonts w:eastAsia="Calibri" w:cs="Calibri"/>
                <w:sz w:val="18"/>
                <w:szCs w:val="18"/>
              </w:rPr>
              <w:t xml:space="preserve">gender distribution and  equality dimension  </w:t>
            </w:r>
          </w:p>
          <w:p w:rsidR="005F5DC3" w:rsidRPr="00075E67" w:rsidRDefault="005F5DC3" w:rsidP="005F5DC3">
            <w:pPr>
              <w:autoSpaceDE w:val="0"/>
              <w:autoSpaceDN w:val="0"/>
              <w:adjustRightInd w:val="0"/>
              <w:spacing w:after="0" w:line="240" w:lineRule="auto"/>
              <w:rPr>
                <w:rFonts w:cs="Calibri"/>
                <w:sz w:val="18"/>
                <w:szCs w:val="18"/>
              </w:rPr>
            </w:pPr>
          </w:p>
        </w:tc>
        <w:tc>
          <w:tcPr>
            <w:tcW w:w="13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Loss and Damage Report from Ministry of Disaster Management and Relief</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Disaster and Climate Change Public Expenditure Report from Ministry of Disaster Management and Relief</w:t>
            </w:r>
          </w:p>
        </w:tc>
        <w:tc>
          <w:tcPr>
            <w:tcW w:w="1170" w:type="dxa"/>
            <w:shd w:val="clear" w:color="auto" w:fill="auto"/>
          </w:tcPr>
          <w:p w:rsidR="005F5DC3" w:rsidRPr="00075E67" w:rsidRDefault="005F5DC3" w:rsidP="005F5DC3">
            <w:pPr>
              <w:autoSpaceDE w:val="0"/>
              <w:autoSpaceDN w:val="0"/>
              <w:adjustRightInd w:val="0"/>
              <w:spacing w:after="0" w:line="240" w:lineRule="auto"/>
              <w:jc w:val="right"/>
              <w:rPr>
                <w:rFonts w:cs="Calibri"/>
                <w:sz w:val="18"/>
                <w:szCs w:val="18"/>
              </w:rPr>
            </w:pPr>
            <w:r w:rsidRPr="00075E67">
              <w:rPr>
                <w:rFonts w:cs="Calibri"/>
                <w:sz w:val="18"/>
                <w:szCs w:val="18"/>
              </w:rPr>
              <w:t>Secondary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N/A</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Data availability</w:t>
            </w:r>
          </w:p>
        </w:tc>
      </w:tr>
      <w:tr w:rsidR="005F5DC3" w:rsidRPr="00075E67" w:rsidTr="005F5DC3">
        <w:tc>
          <w:tcPr>
            <w:tcW w:w="2178" w:type="dxa"/>
            <w:vMerge w:val="restart"/>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lastRenderedPageBreak/>
              <w:t xml:space="preserve">1.1 To what extent UNDP’s </w:t>
            </w:r>
            <w:r w:rsidRPr="00075E67">
              <w:rPr>
                <w:rFonts w:cs="Calibri"/>
                <w:b/>
                <w:sz w:val="18"/>
                <w:szCs w:val="18"/>
              </w:rPr>
              <w:t>CDMP-II project</w:t>
            </w:r>
            <w:r w:rsidRPr="00075E67">
              <w:rPr>
                <w:rFonts w:cs="Calibri"/>
                <w:sz w:val="18"/>
                <w:szCs w:val="18"/>
              </w:rPr>
              <w:t xml:space="preserve"> is relevant to ma</w:t>
            </w:r>
            <w:r>
              <w:rPr>
                <w:rFonts w:cs="Calibri"/>
                <w:sz w:val="18"/>
                <w:szCs w:val="18"/>
              </w:rPr>
              <w:t>k</w:t>
            </w:r>
            <w:r w:rsidRPr="00075E67">
              <w:rPr>
                <w:rFonts w:cs="Calibri"/>
                <w:sz w:val="18"/>
                <w:szCs w:val="18"/>
              </w:rPr>
              <w:t>e vulnerable populations more resilient to the ris</w:t>
            </w:r>
            <w:r>
              <w:rPr>
                <w:rFonts w:cs="Calibri"/>
                <w:sz w:val="18"/>
                <w:szCs w:val="18"/>
              </w:rPr>
              <w:t>k</w:t>
            </w:r>
            <w:r w:rsidRPr="00075E67">
              <w:rPr>
                <w:rFonts w:cs="Calibri"/>
                <w:sz w:val="18"/>
                <w:szCs w:val="18"/>
              </w:rPr>
              <w:t>s of natural disasters and climate change?</w:t>
            </w:r>
          </w:p>
          <w:p w:rsidR="005F5DC3" w:rsidRPr="00075E67" w:rsidRDefault="005F5DC3" w:rsidP="005F5DC3">
            <w:pPr>
              <w:autoSpaceDE w:val="0"/>
              <w:autoSpaceDN w:val="0"/>
              <w:adjustRightInd w:val="0"/>
              <w:spacing w:after="0" w:line="240" w:lineRule="auto"/>
              <w:rPr>
                <w:rFonts w:cs="Calibri"/>
                <w:sz w:val="18"/>
                <w:szCs w:val="18"/>
              </w:rPr>
            </w:pPr>
          </w:p>
        </w:tc>
        <w:tc>
          <w:tcPr>
            <w:tcW w:w="297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1.1.1 To what extent CDMP-II project’s </w:t>
            </w:r>
            <w:r w:rsidRPr="00075E67">
              <w:rPr>
                <w:rFonts w:cs="Calibri"/>
                <w:b/>
                <w:sz w:val="18"/>
                <w:szCs w:val="18"/>
              </w:rPr>
              <w:t>resilient habitat</w:t>
            </w:r>
            <w:r w:rsidRPr="00075E67">
              <w:rPr>
                <w:rFonts w:cs="Calibri"/>
                <w:sz w:val="18"/>
                <w:szCs w:val="18"/>
              </w:rPr>
              <w:t xml:space="preserve"> component is relevant to ma</w:t>
            </w:r>
            <w:r>
              <w:rPr>
                <w:rFonts w:cs="Calibri"/>
                <w:sz w:val="18"/>
                <w:szCs w:val="18"/>
              </w:rPr>
              <w:t>k</w:t>
            </w:r>
            <w:r w:rsidRPr="00075E67">
              <w:rPr>
                <w:rFonts w:cs="Calibri"/>
                <w:sz w:val="18"/>
                <w:szCs w:val="18"/>
              </w:rPr>
              <w:t>e vulnerable populations more resilient to the ris</w:t>
            </w:r>
            <w:r>
              <w:rPr>
                <w:rFonts w:cs="Calibri"/>
                <w:sz w:val="18"/>
                <w:szCs w:val="18"/>
              </w:rPr>
              <w:t>k</w:t>
            </w:r>
            <w:r w:rsidRPr="00075E67">
              <w:rPr>
                <w:rFonts w:cs="Calibri"/>
                <w:sz w:val="18"/>
                <w:szCs w:val="18"/>
              </w:rPr>
              <w:t>s of natural disasters and climate change?</w:t>
            </w:r>
          </w:p>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Number of constructed houses; number of solar panel installed; secondary emban</w:t>
            </w:r>
            <w:r>
              <w:rPr>
                <w:rFonts w:cs="Calibri"/>
                <w:sz w:val="18"/>
                <w:szCs w:val="18"/>
              </w:rPr>
              <w:t>k</w:t>
            </w:r>
            <w:r w:rsidRPr="00075E67">
              <w:rPr>
                <w:rFonts w:cs="Calibri"/>
                <w:sz w:val="18"/>
                <w:szCs w:val="18"/>
              </w:rPr>
              <w:t>ment construction; water facilities; livelihood diversification; lin</w:t>
            </w:r>
            <w:r>
              <w:rPr>
                <w:rFonts w:cs="Calibri"/>
                <w:sz w:val="18"/>
                <w:szCs w:val="18"/>
              </w:rPr>
              <w:t>k</w:t>
            </w:r>
            <w:r w:rsidRPr="00075E67">
              <w:rPr>
                <w:rFonts w:cs="Calibri"/>
                <w:sz w:val="18"/>
                <w:szCs w:val="18"/>
              </w:rPr>
              <w:t>age with prevailing hazards (measuring physical resilience)</w:t>
            </w:r>
          </w:p>
          <w:p w:rsidR="005F5DC3" w:rsidRPr="00075E67" w:rsidRDefault="005F5DC3" w:rsidP="005F5DC3">
            <w:pPr>
              <w:autoSpaceDE w:val="0"/>
              <w:autoSpaceDN w:val="0"/>
              <w:adjustRightInd w:val="0"/>
              <w:spacing w:after="0" w:line="240" w:lineRule="auto"/>
              <w:rPr>
                <w:rFonts w:cs="Calibri"/>
                <w:sz w:val="18"/>
                <w:szCs w:val="18"/>
              </w:rPr>
            </w:pPr>
          </w:p>
        </w:tc>
        <w:tc>
          <w:tcPr>
            <w:tcW w:w="13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 CDMP-II Project Office;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Purposive </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Descriptive Statistics</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Limited Scope of Quantitative Analysis</w:t>
            </w:r>
          </w:p>
        </w:tc>
      </w:tr>
      <w:tr w:rsidR="005F5DC3" w:rsidRPr="00075E67" w:rsidTr="005F5DC3">
        <w:tc>
          <w:tcPr>
            <w:tcW w:w="2178" w:type="dxa"/>
            <w:vMerge/>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97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1.1.2 To what extent CDMP-II project’s </w:t>
            </w:r>
            <w:r w:rsidRPr="00075E67">
              <w:rPr>
                <w:rFonts w:cs="Calibri"/>
                <w:b/>
                <w:sz w:val="18"/>
                <w:szCs w:val="18"/>
              </w:rPr>
              <w:t>water purification plant and water supply</w:t>
            </w:r>
            <w:r w:rsidRPr="00075E67">
              <w:rPr>
                <w:rFonts w:cs="Calibri"/>
                <w:sz w:val="18"/>
                <w:szCs w:val="18"/>
              </w:rPr>
              <w:t xml:space="preserve"> component is relevant to ma</w:t>
            </w:r>
            <w:r>
              <w:rPr>
                <w:rFonts w:cs="Calibri"/>
                <w:sz w:val="18"/>
                <w:szCs w:val="18"/>
              </w:rPr>
              <w:t>k</w:t>
            </w:r>
            <w:r w:rsidRPr="00075E67">
              <w:rPr>
                <w:rFonts w:cs="Calibri"/>
                <w:sz w:val="18"/>
                <w:szCs w:val="18"/>
              </w:rPr>
              <w:t>e vulnerable populations more resilient to the ris</w:t>
            </w:r>
            <w:r>
              <w:rPr>
                <w:rFonts w:cs="Calibri"/>
                <w:sz w:val="18"/>
                <w:szCs w:val="18"/>
              </w:rPr>
              <w:t>k</w:t>
            </w:r>
            <w:r w:rsidRPr="00075E67">
              <w:rPr>
                <w:rFonts w:cs="Calibri"/>
                <w:sz w:val="18"/>
                <w:szCs w:val="18"/>
              </w:rPr>
              <w:t>s of natural disasters and climate change?</w:t>
            </w:r>
          </w:p>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Number of beneficiaries; reduced burden on women (reduced wor</w:t>
            </w:r>
            <w:r>
              <w:rPr>
                <w:rFonts w:cs="Calibri"/>
                <w:sz w:val="18"/>
                <w:szCs w:val="18"/>
              </w:rPr>
              <w:t>k</w:t>
            </w:r>
            <w:r w:rsidRPr="00075E67">
              <w:rPr>
                <w:rFonts w:cs="Calibri"/>
                <w:sz w:val="18"/>
                <w:szCs w:val="18"/>
              </w:rPr>
              <w:t>ing hours); change in accessibility to drin</w:t>
            </w:r>
            <w:r>
              <w:rPr>
                <w:rFonts w:cs="Calibri"/>
                <w:sz w:val="18"/>
                <w:szCs w:val="18"/>
              </w:rPr>
              <w:t>k</w:t>
            </w:r>
            <w:r w:rsidRPr="00075E67">
              <w:rPr>
                <w:rFonts w:cs="Calibri"/>
                <w:sz w:val="18"/>
                <w:szCs w:val="18"/>
              </w:rPr>
              <w:t xml:space="preserve">ing water during onset and post- disaster; incidence of health hazards (perceptional data) </w:t>
            </w:r>
          </w:p>
          <w:p w:rsidR="005F5DC3" w:rsidRPr="00075E67" w:rsidRDefault="005F5DC3" w:rsidP="005F5DC3">
            <w:pPr>
              <w:autoSpaceDE w:val="0"/>
              <w:autoSpaceDN w:val="0"/>
              <w:adjustRightInd w:val="0"/>
              <w:spacing w:after="0" w:line="240" w:lineRule="auto"/>
              <w:rPr>
                <w:rFonts w:cs="Calibri"/>
                <w:sz w:val="18"/>
                <w:szCs w:val="18"/>
              </w:rPr>
            </w:pPr>
          </w:p>
        </w:tc>
        <w:tc>
          <w:tcPr>
            <w:tcW w:w="13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 ; CDMP-II Project Office ;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Secondary (Data base, reports)</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Limited Scope for Validation</w:t>
            </w:r>
          </w:p>
        </w:tc>
      </w:tr>
      <w:tr w:rsidR="005F5DC3" w:rsidRPr="00075E67" w:rsidTr="005F5DC3">
        <w:tc>
          <w:tcPr>
            <w:tcW w:w="2178" w:type="dxa"/>
            <w:vMerge/>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97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1.1.3 To what extent CDMP-II project’s </w:t>
            </w:r>
            <w:r w:rsidRPr="00075E67">
              <w:rPr>
                <w:rFonts w:cs="Calibri"/>
                <w:b/>
                <w:sz w:val="18"/>
                <w:szCs w:val="18"/>
              </w:rPr>
              <w:t>urban ris</w:t>
            </w:r>
            <w:r>
              <w:rPr>
                <w:rFonts w:cs="Calibri"/>
                <w:b/>
                <w:sz w:val="18"/>
                <w:szCs w:val="18"/>
              </w:rPr>
              <w:t>k</w:t>
            </w:r>
            <w:r w:rsidRPr="00075E67">
              <w:rPr>
                <w:rFonts w:cs="Calibri"/>
                <w:b/>
                <w:sz w:val="18"/>
                <w:szCs w:val="18"/>
              </w:rPr>
              <w:t xml:space="preserve"> reduction and volunteer mobilization</w:t>
            </w:r>
            <w:r w:rsidRPr="00075E67">
              <w:rPr>
                <w:rFonts w:cs="Calibri"/>
                <w:sz w:val="18"/>
                <w:szCs w:val="18"/>
              </w:rPr>
              <w:t xml:space="preserve"> component is relevant to ma</w:t>
            </w:r>
            <w:r>
              <w:rPr>
                <w:rFonts w:cs="Calibri"/>
                <w:sz w:val="18"/>
                <w:szCs w:val="18"/>
              </w:rPr>
              <w:t>k</w:t>
            </w:r>
            <w:r w:rsidRPr="00075E67">
              <w:rPr>
                <w:rFonts w:cs="Calibri"/>
                <w:sz w:val="18"/>
                <w:szCs w:val="18"/>
              </w:rPr>
              <w:t>e vulnerable populations more resilient to the ris</w:t>
            </w:r>
            <w:r>
              <w:rPr>
                <w:rFonts w:cs="Calibri"/>
                <w:sz w:val="18"/>
                <w:szCs w:val="18"/>
              </w:rPr>
              <w:t>k</w:t>
            </w:r>
            <w:r w:rsidRPr="00075E67">
              <w:rPr>
                <w:rFonts w:cs="Calibri"/>
                <w:sz w:val="18"/>
                <w:szCs w:val="18"/>
              </w:rPr>
              <w:t>s of natural disasters and climate change?</w:t>
            </w:r>
          </w:p>
          <w:p w:rsidR="005F5DC3" w:rsidRPr="00075E67" w:rsidRDefault="005F5DC3" w:rsidP="005F5DC3">
            <w:pPr>
              <w:pStyle w:val="ListParagraph"/>
              <w:spacing w:after="0" w:line="240" w:lineRule="auto"/>
              <w:ind w:left="0"/>
              <w:rPr>
                <w:rFonts w:cs="Calibri"/>
                <w:sz w:val="18"/>
                <w:szCs w:val="18"/>
              </w:rPr>
            </w:pPr>
          </w:p>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1.1.4 Whether any other ris</w:t>
            </w:r>
            <w:r>
              <w:rPr>
                <w:rFonts w:cs="Calibri"/>
                <w:sz w:val="18"/>
                <w:szCs w:val="18"/>
              </w:rPr>
              <w:t>k</w:t>
            </w:r>
            <w:r w:rsidRPr="00075E67">
              <w:rPr>
                <w:rFonts w:cs="Calibri"/>
                <w:sz w:val="18"/>
                <w:szCs w:val="18"/>
              </w:rPr>
              <w:t xml:space="preserve"> assessment other than earthqua</w:t>
            </w:r>
            <w:r>
              <w:rPr>
                <w:rFonts w:cs="Calibri"/>
                <w:sz w:val="18"/>
                <w:szCs w:val="18"/>
              </w:rPr>
              <w:t>k</w:t>
            </w:r>
            <w:r w:rsidRPr="00075E67">
              <w:rPr>
                <w:rFonts w:cs="Calibri"/>
                <w:sz w:val="18"/>
                <w:szCs w:val="18"/>
              </w:rPr>
              <w:t>e and fire (e.g. urban drought, excessive precipitation and water logging, and heat wave)?</w:t>
            </w:r>
          </w:p>
          <w:p w:rsidR="005F5DC3" w:rsidRPr="00075E67" w:rsidRDefault="005F5DC3" w:rsidP="005F5DC3">
            <w:pPr>
              <w:pStyle w:val="ListParagraph"/>
              <w:spacing w:after="0" w:line="240" w:lineRule="auto"/>
              <w:ind w:left="0"/>
              <w:rPr>
                <w:rFonts w:cs="Calibri"/>
                <w:sz w:val="18"/>
                <w:szCs w:val="18"/>
              </w:rPr>
            </w:pPr>
          </w:p>
          <w:p w:rsidR="005F5DC3" w:rsidRPr="00075E67" w:rsidRDefault="005F5DC3" w:rsidP="005F5DC3">
            <w:pPr>
              <w:pStyle w:val="ListParagraph"/>
              <w:spacing w:after="0" w:line="240" w:lineRule="auto"/>
              <w:ind w:left="0"/>
              <w:rPr>
                <w:rFonts w:cs="Calibri"/>
                <w:sz w:val="18"/>
                <w:szCs w:val="18"/>
              </w:rPr>
            </w:pPr>
          </w:p>
        </w:tc>
        <w:tc>
          <w:tcPr>
            <w:tcW w:w="25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Number of volunteers recruited and trained; Number of women volunteers recruited and trained; number of equipment procured by type; adequacy of the elements; community awareness and engagement</w:t>
            </w:r>
          </w:p>
        </w:tc>
        <w:tc>
          <w:tcPr>
            <w:tcW w:w="13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UNDP Country Office ; CDMP-II Project Office </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Secondary (Data base, reports)</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Limited Scope of Validation</w:t>
            </w:r>
          </w:p>
        </w:tc>
      </w:tr>
      <w:tr w:rsidR="005F5DC3" w:rsidRPr="00075E67" w:rsidTr="005F5DC3">
        <w:tc>
          <w:tcPr>
            <w:tcW w:w="2178" w:type="dxa"/>
            <w:vMerge/>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97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1.1.5 To what extent CDMP-II project’s </w:t>
            </w:r>
            <w:r w:rsidRPr="00075E67">
              <w:rPr>
                <w:rFonts w:cs="Calibri"/>
                <w:b/>
                <w:sz w:val="18"/>
                <w:szCs w:val="18"/>
              </w:rPr>
              <w:t xml:space="preserve">cell-based early warning system </w:t>
            </w:r>
            <w:r w:rsidRPr="00075E67">
              <w:rPr>
                <w:rFonts w:cs="Calibri"/>
                <w:sz w:val="18"/>
                <w:szCs w:val="18"/>
              </w:rPr>
              <w:t>component is relevant to ma</w:t>
            </w:r>
            <w:r>
              <w:rPr>
                <w:rFonts w:cs="Calibri"/>
                <w:sz w:val="18"/>
                <w:szCs w:val="18"/>
              </w:rPr>
              <w:t>k</w:t>
            </w:r>
            <w:r w:rsidRPr="00075E67">
              <w:rPr>
                <w:rFonts w:cs="Calibri"/>
                <w:sz w:val="18"/>
                <w:szCs w:val="18"/>
              </w:rPr>
              <w:t>e vulnerable populations more resilient to the ris</w:t>
            </w:r>
            <w:r>
              <w:rPr>
                <w:rFonts w:cs="Calibri"/>
                <w:sz w:val="18"/>
                <w:szCs w:val="18"/>
              </w:rPr>
              <w:t>k</w:t>
            </w:r>
            <w:r w:rsidRPr="00075E67">
              <w:rPr>
                <w:rFonts w:cs="Calibri"/>
                <w:sz w:val="18"/>
                <w:szCs w:val="18"/>
              </w:rPr>
              <w:t>s of natural disasters and climate change?</w:t>
            </w:r>
          </w:p>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Number of cell-phone users served by SMS; number of hit for weather information by cell phone users; percentage of population served; percentage of population aware about the SMS services; Lead time; degree of understandability of the message; type of hazards covered</w:t>
            </w:r>
          </w:p>
          <w:p w:rsidR="005F5DC3" w:rsidRPr="00075E67" w:rsidRDefault="005F5DC3" w:rsidP="005F5DC3">
            <w:pPr>
              <w:autoSpaceDE w:val="0"/>
              <w:autoSpaceDN w:val="0"/>
              <w:adjustRightInd w:val="0"/>
              <w:spacing w:after="0" w:line="240" w:lineRule="auto"/>
              <w:rPr>
                <w:rFonts w:cs="Calibri"/>
                <w:sz w:val="18"/>
                <w:szCs w:val="18"/>
              </w:rPr>
            </w:pPr>
          </w:p>
        </w:tc>
        <w:tc>
          <w:tcPr>
            <w:tcW w:w="13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UNDP Country Office ; CDMP-II Project Office </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Secondary (Data base, reports)</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Limited Ris</w:t>
            </w:r>
            <w:r>
              <w:rPr>
                <w:rFonts w:cs="Calibri"/>
                <w:sz w:val="18"/>
                <w:szCs w:val="18"/>
              </w:rPr>
              <w:t>k</w:t>
            </w:r>
          </w:p>
        </w:tc>
      </w:tr>
      <w:tr w:rsidR="005F5DC3" w:rsidRPr="00075E67" w:rsidTr="005F5DC3">
        <w:tc>
          <w:tcPr>
            <w:tcW w:w="2178"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1.2 To what extent UNDP’s </w:t>
            </w:r>
            <w:r w:rsidRPr="00075E67">
              <w:rPr>
                <w:rFonts w:cs="Calibri"/>
                <w:b/>
                <w:sz w:val="18"/>
                <w:szCs w:val="18"/>
              </w:rPr>
              <w:t>Early Recovery Facility (ERF) program</w:t>
            </w:r>
            <w:r w:rsidRPr="00075E67">
              <w:rPr>
                <w:rFonts w:cs="Calibri"/>
                <w:sz w:val="18"/>
                <w:szCs w:val="18"/>
              </w:rPr>
              <w:t xml:space="preserve"> is relevant to ma</w:t>
            </w:r>
            <w:r>
              <w:rPr>
                <w:rFonts w:cs="Calibri"/>
                <w:sz w:val="18"/>
                <w:szCs w:val="18"/>
              </w:rPr>
              <w:t>k</w:t>
            </w:r>
            <w:r w:rsidRPr="00075E67">
              <w:rPr>
                <w:rFonts w:cs="Calibri"/>
                <w:sz w:val="18"/>
                <w:szCs w:val="18"/>
              </w:rPr>
              <w:t>e vulnerable populations more resilient to the ris</w:t>
            </w:r>
            <w:r>
              <w:rPr>
                <w:rFonts w:cs="Calibri"/>
                <w:sz w:val="18"/>
                <w:szCs w:val="18"/>
              </w:rPr>
              <w:t>k</w:t>
            </w:r>
            <w:r w:rsidRPr="00075E67">
              <w:rPr>
                <w:rFonts w:cs="Calibri"/>
                <w:sz w:val="18"/>
                <w:szCs w:val="18"/>
              </w:rPr>
              <w:t>s of natural disasters and climate change?</w:t>
            </w:r>
          </w:p>
        </w:tc>
        <w:tc>
          <w:tcPr>
            <w:tcW w:w="297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1.2.1 To what extent </w:t>
            </w:r>
            <w:r w:rsidRPr="00075E67">
              <w:rPr>
                <w:rFonts w:cs="Calibri"/>
                <w:b/>
                <w:sz w:val="18"/>
                <w:szCs w:val="18"/>
              </w:rPr>
              <w:t xml:space="preserve">ERF’s Restarting Income Generating Activities of HH with cash and materials (IGA) </w:t>
            </w:r>
            <w:r w:rsidRPr="00075E67">
              <w:rPr>
                <w:rFonts w:cs="Calibri"/>
                <w:sz w:val="18"/>
                <w:szCs w:val="18"/>
              </w:rPr>
              <w:t>component is relevant to ma</w:t>
            </w:r>
            <w:r>
              <w:rPr>
                <w:rFonts w:cs="Calibri"/>
                <w:sz w:val="18"/>
                <w:szCs w:val="18"/>
              </w:rPr>
              <w:t>k</w:t>
            </w:r>
            <w:r w:rsidRPr="00075E67">
              <w:rPr>
                <w:rFonts w:cs="Calibri"/>
                <w:sz w:val="18"/>
                <w:szCs w:val="18"/>
              </w:rPr>
              <w:t>e vulnerable populations more resilient to the ris</w:t>
            </w:r>
            <w:r>
              <w:rPr>
                <w:rFonts w:cs="Calibri"/>
                <w:sz w:val="18"/>
                <w:szCs w:val="18"/>
              </w:rPr>
              <w:t>k</w:t>
            </w:r>
            <w:r w:rsidRPr="00075E67">
              <w:rPr>
                <w:rFonts w:cs="Calibri"/>
                <w:sz w:val="18"/>
                <w:szCs w:val="18"/>
              </w:rPr>
              <w:t>s of natural disasters and climate change?</w:t>
            </w:r>
          </w:p>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Number of beneficiaries; type of materials provided; role in livelihood reconstruction and diversification</w:t>
            </w:r>
          </w:p>
        </w:tc>
        <w:tc>
          <w:tcPr>
            <w:tcW w:w="13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ERF Project office, UNDP; Field Study in Shyamnagar</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deficiency in baseline data</w:t>
            </w:r>
          </w:p>
        </w:tc>
      </w:tr>
      <w:tr w:rsidR="005F5DC3" w:rsidRPr="00075E67" w:rsidTr="005F5DC3">
        <w:tc>
          <w:tcPr>
            <w:tcW w:w="2178" w:type="dxa"/>
            <w:shd w:val="clear" w:color="auto" w:fill="auto"/>
          </w:tcPr>
          <w:p w:rsidR="005F5DC3" w:rsidRPr="00075E67" w:rsidRDefault="005F5DC3" w:rsidP="005F5DC3">
            <w:pPr>
              <w:pStyle w:val="ListParagraph"/>
              <w:spacing w:after="0" w:line="240" w:lineRule="auto"/>
              <w:ind w:left="0"/>
              <w:rPr>
                <w:rFonts w:cs="Calibri"/>
                <w:sz w:val="18"/>
                <w:szCs w:val="18"/>
              </w:rPr>
            </w:pPr>
          </w:p>
        </w:tc>
        <w:tc>
          <w:tcPr>
            <w:tcW w:w="297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1.2.2 To what extent </w:t>
            </w:r>
            <w:r w:rsidRPr="00075E67">
              <w:rPr>
                <w:rFonts w:cs="Calibri"/>
                <w:b/>
                <w:sz w:val="18"/>
                <w:szCs w:val="18"/>
              </w:rPr>
              <w:t xml:space="preserve">ERF’s construction and reconstruction of Emergency Shelters (ES) </w:t>
            </w:r>
            <w:r w:rsidRPr="00075E67">
              <w:rPr>
                <w:rFonts w:cs="Calibri"/>
                <w:sz w:val="18"/>
                <w:szCs w:val="18"/>
              </w:rPr>
              <w:t>component is relevant to ma</w:t>
            </w:r>
            <w:r>
              <w:rPr>
                <w:rFonts w:cs="Calibri"/>
                <w:sz w:val="18"/>
                <w:szCs w:val="18"/>
              </w:rPr>
              <w:t>k</w:t>
            </w:r>
            <w:r w:rsidRPr="00075E67">
              <w:rPr>
                <w:rFonts w:cs="Calibri"/>
                <w:sz w:val="18"/>
                <w:szCs w:val="18"/>
              </w:rPr>
              <w:t>e vulnerable populations more resilient to the ris</w:t>
            </w:r>
            <w:r>
              <w:rPr>
                <w:rFonts w:cs="Calibri"/>
                <w:sz w:val="18"/>
                <w:szCs w:val="18"/>
              </w:rPr>
              <w:t>k</w:t>
            </w:r>
            <w:r w:rsidRPr="00075E67">
              <w:rPr>
                <w:rFonts w:cs="Calibri"/>
                <w:sz w:val="18"/>
                <w:szCs w:val="18"/>
              </w:rPr>
              <w:t>s of natural disasters and climate change?</w:t>
            </w:r>
          </w:p>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Number of ES constructed; number of ES reconstructed; lin</w:t>
            </w:r>
            <w:r>
              <w:rPr>
                <w:rFonts w:cs="Calibri"/>
                <w:sz w:val="18"/>
                <w:szCs w:val="18"/>
              </w:rPr>
              <w:t>k</w:t>
            </w:r>
            <w:r w:rsidRPr="00075E67">
              <w:rPr>
                <w:rFonts w:cs="Calibri"/>
                <w:sz w:val="18"/>
                <w:szCs w:val="18"/>
              </w:rPr>
              <w:t>age of ES with local livelihood provisions and development activities</w:t>
            </w:r>
          </w:p>
        </w:tc>
        <w:tc>
          <w:tcPr>
            <w:tcW w:w="13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ERF Project office, UNDP; Field Study in Shyamnagar</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deficiency in baseline data</w:t>
            </w:r>
          </w:p>
        </w:tc>
      </w:tr>
      <w:tr w:rsidR="005F5DC3" w:rsidRPr="00075E67" w:rsidTr="005F5DC3">
        <w:tc>
          <w:tcPr>
            <w:tcW w:w="2178"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1.3 To what extent UNDP’s </w:t>
            </w:r>
            <w:r w:rsidRPr="00075E67">
              <w:rPr>
                <w:rFonts w:cs="Calibri"/>
                <w:b/>
                <w:sz w:val="18"/>
                <w:szCs w:val="18"/>
              </w:rPr>
              <w:t>coastal afforestation project</w:t>
            </w:r>
            <w:r w:rsidRPr="00075E67">
              <w:rPr>
                <w:rFonts w:cs="Calibri"/>
                <w:sz w:val="18"/>
                <w:szCs w:val="18"/>
              </w:rPr>
              <w:t xml:space="preserve"> is relevant to ma</w:t>
            </w:r>
            <w:r>
              <w:rPr>
                <w:rFonts w:cs="Calibri"/>
                <w:sz w:val="18"/>
                <w:szCs w:val="18"/>
              </w:rPr>
              <w:t>k</w:t>
            </w:r>
            <w:r w:rsidRPr="00075E67">
              <w:rPr>
                <w:rFonts w:cs="Calibri"/>
                <w:sz w:val="18"/>
                <w:szCs w:val="18"/>
              </w:rPr>
              <w:t>e vulnerable populations more resilient to the ris</w:t>
            </w:r>
            <w:r>
              <w:rPr>
                <w:rFonts w:cs="Calibri"/>
                <w:sz w:val="18"/>
                <w:szCs w:val="18"/>
              </w:rPr>
              <w:t>k</w:t>
            </w:r>
            <w:r w:rsidRPr="00075E67">
              <w:rPr>
                <w:rFonts w:cs="Calibri"/>
                <w:sz w:val="18"/>
                <w:szCs w:val="18"/>
              </w:rPr>
              <w:t>s of natural disasters and climate change?</w:t>
            </w:r>
          </w:p>
          <w:p w:rsidR="005F5DC3" w:rsidRPr="00075E67" w:rsidRDefault="005F5DC3" w:rsidP="005F5DC3">
            <w:pPr>
              <w:autoSpaceDE w:val="0"/>
              <w:autoSpaceDN w:val="0"/>
              <w:adjustRightInd w:val="0"/>
              <w:spacing w:after="0" w:line="240" w:lineRule="auto"/>
              <w:rPr>
                <w:rFonts w:cs="Calibri"/>
                <w:sz w:val="18"/>
                <w:szCs w:val="18"/>
              </w:rPr>
            </w:pPr>
          </w:p>
        </w:tc>
        <w:tc>
          <w:tcPr>
            <w:tcW w:w="297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1.3.1 To what extent </w:t>
            </w:r>
            <w:r w:rsidRPr="00075E67">
              <w:rPr>
                <w:rFonts w:cs="Calibri"/>
                <w:b/>
                <w:sz w:val="18"/>
                <w:szCs w:val="18"/>
              </w:rPr>
              <w:t>coastal afforestation project</w:t>
            </w:r>
            <w:r w:rsidRPr="00075E67">
              <w:rPr>
                <w:rFonts w:cs="Calibri"/>
                <w:sz w:val="18"/>
                <w:szCs w:val="18"/>
              </w:rPr>
              <w:t xml:space="preserve"> component is relevant to ma</w:t>
            </w:r>
            <w:r>
              <w:rPr>
                <w:rFonts w:cs="Calibri"/>
                <w:sz w:val="18"/>
                <w:szCs w:val="18"/>
              </w:rPr>
              <w:t>k</w:t>
            </w:r>
            <w:r w:rsidRPr="00075E67">
              <w:rPr>
                <w:rFonts w:cs="Calibri"/>
                <w:sz w:val="18"/>
                <w:szCs w:val="18"/>
              </w:rPr>
              <w:t>e vulnerable populations more resilient to the ris</w:t>
            </w:r>
            <w:r>
              <w:rPr>
                <w:rFonts w:cs="Calibri"/>
                <w:sz w:val="18"/>
                <w:szCs w:val="18"/>
              </w:rPr>
              <w:t>k</w:t>
            </w:r>
            <w:r w:rsidRPr="00075E67">
              <w:rPr>
                <w:rFonts w:cs="Calibri"/>
                <w:sz w:val="18"/>
                <w:szCs w:val="18"/>
              </w:rPr>
              <w:t>s of natural disasters and climate change?</w:t>
            </w:r>
          </w:p>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Degree of alignment with coastal protection policy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Number of people provided livelihood</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of HH provided livelihood</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Number of hectares of land under afforestation </w:t>
            </w:r>
          </w:p>
          <w:p w:rsidR="005F5DC3" w:rsidRPr="00075E67" w:rsidRDefault="005F5DC3" w:rsidP="005F5DC3">
            <w:pPr>
              <w:autoSpaceDE w:val="0"/>
              <w:autoSpaceDN w:val="0"/>
              <w:adjustRightInd w:val="0"/>
              <w:spacing w:after="0" w:line="240" w:lineRule="auto"/>
              <w:rPr>
                <w:rFonts w:cs="Calibri"/>
                <w:sz w:val="18"/>
                <w:szCs w:val="18"/>
              </w:rPr>
            </w:pPr>
          </w:p>
        </w:tc>
        <w:tc>
          <w:tcPr>
            <w:tcW w:w="13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FD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Project Office;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Field Study</w:t>
            </w:r>
          </w:p>
          <w:p w:rsidR="005F5DC3" w:rsidRPr="00075E67" w:rsidRDefault="005F5DC3" w:rsidP="005F5DC3">
            <w:pPr>
              <w:autoSpaceDE w:val="0"/>
              <w:autoSpaceDN w:val="0"/>
              <w:adjustRightInd w:val="0"/>
              <w:spacing w:after="0" w:line="240" w:lineRule="auto"/>
              <w:rPr>
                <w:rFonts w:cs="Calibri"/>
                <w:sz w:val="18"/>
                <w:szCs w:val="18"/>
              </w:rPr>
            </w:pP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Interviews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FGDs</w:t>
            </w:r>
          </w:p>
          <w:p w:rsidR="005F5DC3" w:rsidRPr="00075E67" w:rsidRDefault="005F5DC3" w:rsidP="005F5DC3">
            <w:pPr>
              <w:autoSpaceDE w:val="0"/>
              <w:autoSpaceDN w:val="0"/>
              <w:adjustRightInd w:val="0"/>
              <w:spacing w:after="0" w:line="240" w:lineRule="auto"/>
              <w:rPr>
                <w:rFonts w:cs="Calibri"/>
                <w:sz w:val="18"/>
                <w:szCs w:val="18"/>
              </w:rPr>
            </w:pPr>
            <w:r>
              <w:rPr>
                <w:rFonts w:cs="Calibri"/>
                <w:sz w:val="18"/>
                <w:szCs w:val="18"/>
              </w:rPr>
              <w:t>K</w:t>
            </w:r>
            <w:r w:rsidRPr="00075E67">
              <w:rPr>
                <w:rFonts w:cs="Calibri"/>
                <w:sz w:val="18"/>
                <w:szCs w:val="18"/>
              </w:rPr>
              <w:t>IIs</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Case Studies</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Descriptive Statistics</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Limited Scope of Quantitative Analysis</w:t>
            </w:r>
          </w:p>
        </w:tc>
      </w:tr>
      <w:tr w:rsidR="005F5DC3" w:rsidRPr="00075E67" w:rsidTr="005F5DC3">
        <w:tc>
          <w:tcPr>
            <w:tcW w:w="217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97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1.3.2 To what extent </w:t>
            </w:r>
            <w:r w:rsidRPr="00075E67">
              <w:rPr>
                <w:rFonts w:cs="Calibri"/>
                <w:b/>
                <w:sz w:val="18"/>
                <w:szCs w:val="18"/>
              </w:rPr>
              <w:t xml:space="preserve">FFF component </w:t>
            </w:r>
            <w:r w:rsidRPr="00075E67">
              <w:rPr>
                <w:rFonts w:cs="Calibri"/>
                <w:sz w:val="18"/>
                <w:szCs w:val="18"/>
              </w:rPr>
              <w:t>is relevant to ma</w:t>
            </w:r>
            <w:r>
              <w:rPr>
                <w:rFonts w:cs="Calibri"/>
                <w:sz w:val="18"/>
                <w:szCs w:val="18"/>
              </w:rPr>
              <w:t>k</w:t>
            </w:r>
            <w:r w:rsidRPr="00075E67">
              <w:rPr>
                <w:rFonts w:cs="Calibri"/>
                <w:sz w:val="18"/>
                <w:szCs w:val="18"/>
              </w:rPr>
              <w:t xml:space="preserve">e vulnerable </w:t>
            </w:r>
            <w:r w:rsidRPr="00075E67">
              <w:rPr>
                <w:rFonts w:cs="Calibri"/>
                <w:sz w:val="18"/>
                <w:szCs w:val="18"/>
              </w:rPr>
              <w:lastRenderedPageBreak/>
              <w:t>populations more resilient to the ris</w:t>
            </w:r>
            <w:r>
              <w:rPr>
                <w:rFonts w:cs="Calibri"/>
                <w:sz w:val="18"/>
                <w:szCs w:val="18"/>
              </w:rPr>
              <w:t>k</w:t>
            </w:r>
            <w:r w:rsidRPr="00075E67">
              <w:rPr>
                <w:rFonts w:cs="Calibri"/>
                <w:sz w:val="18"/>
                <w:szCs w:val="18"/>
              </w:rPr>
              <w:t>s of natural disasters and climate change?</w:t>
            </w:r>
          </w:p>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 xml:space="preserve">Degree of alignment with coastal protection policy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Number of hectares of mangrove and non-mangrove species planted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p>
        </w:tc>
        <w:tc>
          <w:tcPr>
            <w:tcW w:w="13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UNDP Country Office;</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 xml:space="preserve">FD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Project Office;</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 xml:space="preserve">Secondary (Data base, </w:t>
            </w:r>
            <w:r w:rsidRPr="00075E67">
              <w:rPr>
                <w:rFonts w:cs="Calibri"/>
                <w:sz w:val="18"/>
                <w:szCs w:val="18"/>
              </w:rPr>
              <w:lastRenderedPageBreak/>
              <w:t xml:space="preserve">reports);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Interviews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FGDs,</w:t>
            </w:r>
          </w:p>
          <w:p w:rsidR="005F5DC3" w:rsidRPr="00075E67" w:rsidRDefault="005F5DC3" w:rsidP="005F5DC3">
            <w:pPr>
              <w:autoSpaceDE w:val="0"/>
              <w:autoSpaceDN w:val="0"/>
              <w:adjustRightInd w:val="0"/>
              <w:spacing w:after="0" w:line="240" w:lineRule="auto"/>
              <w:rPr>
                <w:rFonts w:cs="Calibri"/>
                <w:sz w:val="18"/>
                <w:szCs w:val="18"/>
              </w:rPr>
            </w:pPr>
            <w:r>
              <w:rPr>
                <w:rFonts w:cs="Calibri"/>
                <w:sz w:val="18"/>
                <w:szCs w:val="18"/>
              </w:rPr>
              <w:t>K</w:t>
            </w:r>
            <w:r w:rsidRPr="00075E67">
              <w:rPr>
                <w:rFonts w:cs="Calibri"/>
                <w:sz w:val="18"/>
                <w:szCs w:val="18"/>
              </w:rPr>
              <w:t>IIs,</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Case Studies</w:t>
            </w:r>
          </w:p>
          <w:p w:rsidR="005F5DC3" w:rsidRPr="00075E67" w:rsidRDefault="005F5DC3" w:rsidP="005F5DC3">
            <w:pPr>
              <w:autoSpaceDE w:val="0"/>
              <w:autoSpaceDN w:val="0"/>
              <w:adjustRightInd w:val="0"/>
              <w:spacing w:after="0" w:line="240" w:lineRule="auto"/>
              <w:rPr>
                <w:rFonts w:cs="Calibri"/>
                <w:sz w:val="18"/>
                <w:szCs w:val="18"/>
              </w:rPr>
            </w:pP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Purposive</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Quantitative and </w:t>
            </w:r>
            <w:r w:rsidRPr="00075E67">
              <w:rPr>
                <w:rFonts w:cs="Calibri"/>
                <w:sz w:val="18"/>
                <w:szCs w:val="18"/>
              </w:rPr>
              <w:lastRenderedPageBreak/>
              <w:t>Qualitative Analyses</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 xml:space="preserve">Limited Scope for </w:t>
            </w:r>
            <w:r w:rsidRPr="00075E67">
              <w:rPr>
                <w:rFonts w:cs="Calibri"/>
                <w:sz w:val="18"/>
                <w:szCs w:val="18"/>
              </w:rPr>
              <w:lastRenderedPageBreak/>
              <w:t>Validation</w:t>
            </w:r>
          </w:p>
        </w:tc>
      </w:tr>
      <w:tr w:rsidR="005F5DC3" w:rsidRPr="00075E67" w:rsidTr="005F5DC3">
        <w:tc>
          <w:tcPr>
            <w:tcW w:w="2178"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lastRenderedPageBreak/>
              <w:t xml:space="preserve">1.4 To what extent UNDP’s </w:t>
            </w:r>
            <w:r w:rsidRPr="00075E67">
              <w:rPr>
                <w:rFonts w:cs="Calibri"/>
                <w:b/>
                <w:sz w:val="18"/>
                <w:szCs w:val="18"/>
              </w:rPr>
              <w:t>PECM project</w:t>
            </w:r>
            <w:r w:rsidRPr="00075E67">
              <w:rPr>
                <w:rFonts w:cs="Calibri"/>
                <w:sz w:val="18"/>
                <w:szCs w:val="18"/>
              </w:rPr>
              <w:t xml:space="preserve"> is relevant to ma</w:t>
            </w:r>
            <w:r>
              <w:rPr>
                <w:rFonts w:cs="Calibri"/>
                <w:sz w:val="18"/>
                <w:szCs w:val="18"/>
              </w:rPr>
              <w:t>k</w:t>
            </w:r>
            <w:r w:rsidRPr="00075E67">
              <w:rPr>
                <w:rFonts w:cs="Calibri"/>
                <w:sz w:val="18"/>
                <w:szCs w:val="18"/>
              </w:rPr>
              <w:t>e vulnerable populations more resilient to the ris</w:t>
            </w:r>
            <w:r>
              <w:rPr>
                <w:rFonts w:cs="Calibri"/>
                <w:sz w:val="18"/>
                <w:szCs w:val="18"/>
              </w:rPr>
              <w:t>k</w:t>
            </w:r>
            <w:r w:rsidRPr="00075E67">
              <w:rPr>
                <w:rFonts w:cs="Calibri"/>
                <w:sz w:val="18"/>
                <w:szCs w:val="18"/>
              </w:rPr>
              <w:t>s of natural disasters and climate change?</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p>
        </w:tc>
        <w:tc>
          <w:tcPr>
            <w:tcW w:w="297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1.4.1 To what extent </w:t>
            </w:r>
            <w:r w:rsidRPr="00075E67">
              <w:rPr>
                <w:rFonts w:cs="Calibri"/>
                <w:b/>
                <w:sz w:val="18"/>
                <w:szCs w:val="18"/>
              </w:rPr>
              <w:t>PECM-CPEIRcomponent</w:t>
            </w:r>
            <w:r w:rsidRPr="00075E67">
              <w:rPr>
                <w:rFonts w:cs="Calibri"/>
                <w:sz w:val="18"/>
                <w:szCs w:val="18"/>
              </w:rPr>
              <w:t xml:space="preserve"> is relevant to ma</w:t>
            </w:r>
            <w:r>
              <w:rPr>
                <w:rFonts w:cs="Calibri"/>
                <w:sz w:val="18"/>
                <w:szCs w:val="18"/>
              </w:rPr>
              <w:t>k</w:t>
            </w:r>
            <w:r w:rsidRPr="00075E67">
              <w:rPr>
                <w:rFonts w:cs="Calibri"/>
                <w:sz w:val="18"/>
                <w:szCs w:val="18"/>
              </w:rPr>
              <w:t>e vulnerable populations more resilient to the ris</w:t>
            </w:r>
            <w:r>
              <w:rPr>
                <w:rFonts w:cs="Calibri"/>
                <w:sz w:val="18"/>
                <w:szCs w:val="18"/>
              </w:rPr>
              <w:t>k</w:t>
            </w:r>
            <w:r w:rsidRPr="00075E67">
              <w:rPr>
                <w:rFonts w:cs="Calibri"/>
                <w:sz w:val="18"/>
                <w:szCs w:val="18"/>
              </w:rPr>
              <w:t>s of natural disasters and climate change?</w:t>
            </w:r>
          </w:p>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Degree of influence</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b/>
                <w:sz w:val="18"/>
                <w:szCs w:val="18"/>
              </w:rPr>
              <w:t>[Low-</w:t>
            </w:r>
            <w:r w:rsidRPr="00075E67">
              <w:rPr>
                <w:rFonts w:cs="Calibri"/>
                <w:sz w:val="18"/>
                <w:szCs w:val="18"/>
              </w:rPr>
              <w:t xml:space="preserve"> Issues related to CPEIR little or not  ta</w:t>
            </w:r>
            <w:r>
              <w:rPr>
                <w:rFonts w:cs="Calibri"/>
                <w:sz w:val="18"/>
                <w:szCs w:val="18"/>
              </w:rPr>
              <w:t>k</w:t>
            </w:r>
            <w:r w:rsidRPr="00075E67">
              <w:rPr>
                <w:rFonts w:cs="Calibri"/>
                <w:sz w:val="18"/>
                <w:szCs w:val="18"/>
              </w:rPr>
              <w:t xml:space="preserve">en into consideration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b/>
                <w:sz w:val="18"/>
                <w:szCs w:val="18"/>
              </w:rPr>
              <w:t xml:space="preserve">Moderate </w:t>
            </w:r>
            <w:r w:rsidRPr="00075E67">
              <w:rPr>
                <w:rFonts w:cs="Calibri"/>
                <w:sz w:val="18"/>
                <w:szCs w:val="18"/>
              </w:rPr>
              <w:t xml:space="preserve"> owned by several sectors</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b/>
                <w:sz w:val="18"/>
                <w:szCs w:val="18"/>
              </w:rPr>
              <w:t>High-</w:t>
            </w:r>
            <w:r w:rsidRPr="00075E67">
              <w:rPr>
                <w:rFonts w:cs="Calibri"/>
                <w:sz w:val="18"/>
                <w:szCs w:val="18"/>
              </w:rPr>
              <w:t xml:space="preserve">follow-up recommendations implemented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b/>
                <w:sz w:val="18"/>
                <w:szCs w:val="18"/>
              </w:rPr>
              <w:t>Very high</w:t>
            </w:r>
            <w:r w:rsidRPr="00075E67">
              <w:rPr>
                <w:rFonts w:cs="Calibri"/>
                <w:sz w:val="18"/>
                <w:szCs w:val="18"/>
              </w:rPr>
              <w:t>- Investment in CC/DRR has increased]</w:t>
            </w:r>
          </w:p>
        </w:tc>
        <w:tc>
          <w:tcPr>
            <w:tcW w:w="13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UNDP Country Office;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FD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Project Office;</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Field study </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Interviews,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FGDs,</w:t>
            </w:r>
          </w:p>
          <w:p w:rsidR="005F5DC3" w:rsidRPr="00075E67" w:rsidRDefault="005F5DC3" w:rsidP="005F5DC3">
            <w:pPr>
              <w:autoSpaceDE w:val="0"/>
              <w:autoSpaceDN w:val="0"/>
              <w:adjustRightInd w:val="0"/>
              <w:spacing w:after="0" w:line="240" w:lineRule="auto"/>
              <w:rPr>
                <w:rFonts w:cs="Calibri"/>
                <w:sz w:val="18"/>
                <w:szCs w:val="18"/>
              </w:rPr>
            </w:pPr>
            <w:r>
              <w:rPr>
                <w:rFonts w:cs="Calibri"/>
                <w:sz w:val="18"/>
                <w:szCs w:val="18"/>
              </w:rPr>
              <w:t>K</w:t>
            </w:r>
            <w:r w:rsidRPr="00075E67">
              <w:rPr>
                <w:rFonts w:cs="Calibri"/>
                <w:sz w:val="18"/>
                <w:szCs w:val="18"/>
              </w:rPr>
              <w:t>IIs,</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Case Studies </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Descriptive Statistics</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Limited Scope of Quantitative Analysis</w:t>
            </w:r>
          </w:p>
        </w:tc>
      </w:tr>
    </w:tbl>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Pr="004F24C4" w:rsidRDefault="005F5DC3" w:rsidP="005F5DC3">
      <w:pPr>
        <w:autoSpaceDE w:val="0"/>
        <w:autoSpaceDN w:val="0"/>
        <w:adjustRightInd w:val="0"/>
        <w:spacing w:after="0" w:line="240" w:lineRule="auto"/>
        <w:rPr>
          <w:rFonts w:cs="Calibri"/>
          <w:b/>
          <w:szCs w:val="18"/>
        </w:rPr>
      </w:pPr>
      <w:r w:rsidRPr="004F24C4">
        <w:rPr>
          <w:rFonts w:cs="Calibri"/>
          <w:b/>
          <w:szCs w:val="18"/>
        </w:rPr>
        <w:lastRenderedPageBreak/>
        <w:t>Effectiveness</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2520"/>
        <w:gridCol w:w="2610"/>
        <w:gridCol w:w="1440"/>
        <w:gridCol w:w="1170"/>
        <w:gridCol w:w="1260"/>
        <w:gridCol w:w="1260"/>
        <w:gridCol w:w="1150"/>
      </w:tblGrid>
      <w:tr w:rsidR="005F5DC3" w:rsidRPr="00075E67" w:rsidTr="005F5DC3">
        <w:trPr>
          <w:trHeight w:val="710"/>
        </w:trPr>
        <w:tc>
          <w:tcPr>
            <w:tcW w:w="2448"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Main Evaluation Question</w:t>
            </w:r>
          </w:p>
          <w:p w:rsidR="005F5DC3" w:rsidRPr="00075E67" w:rsidRDefault="005F5DC3" w:rsidP="005F5DC3">
            <w:pPr>
              <w:autoSpaceDE w:val="0"/>
              <w:autoSpaceDN w:val="0"/>
              <w:adjustRightInd w:val="0"/>
              <w:spacing w:after="0" w:line="240" w:lineRule="auto"/>
              <w:rPr>
                <w:rFonts w:cs="Calibri"/>
                <w:b/>
                <w:sz w:val="18"/>
                <w:szCs w:val="18"/>
              </w:rPr>
            </w:pPr>
          </w:p>
        </w:tc>
        <w:tc>
          <w:tcPr>
            <w:tcW w:w="252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Specific Evaluation Question</w:t>
            </w:r>
          </w:p>
          <w:p w:rsidR="005F5DC3" w:rsidRPr="00075E67" w:rsidRDefault="005F5DC3" w:rsidP="005F5DC3">
            <w:pPr>
              <w:autoSpaceDE w:val="0"/>
              <w:autoSpaceDN w:val="0"/>
              <w:adjustRightInd w:val="0"/>
              <w:spacing w:after="0" w:line="240" w:lineRule="auto"/>
              <w:rPr>
                <w:rFonts w:cs="Calibri"/>
                <w:b/>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 xml:space="preserve">Indicator </w:t>
            </w:r>
          </w:p>
          <w:p w:rsidR="005F5DC3" w:rsidRPr="00075E67" w:rsidRDefault="005F5DC3" w:rsidP="005F5DC3">
            <w:pPr>
              <w:autoSpaceDE w:val="0"/>
              <w:autoSpaceDN w:val="0"/>
              <w:adjustRightInd w:val="0"/>
              <w:spacing w:after="0" w:line="240" w:lineRule="auto"/>
              <w:rPr>
                <w:rFonts w:cs="Calibri"/>
                <w:b/>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 xml:space="preserve">Data Source </w:t>
            </w:r>
          </w:p>
          <w:p w:rsidR="005F5DC3" w:rsidRPr="00075E67" w:rsidRDefault="005F5DC3" w:rsidP="005F5DC3">
            <w:pPr>
              <w:autoSpaceDE w:val="0"/>
              <w:autoSpaceDN w:val="0"/>
              <w:adjustRightInd w:val="0"/>
              <w:spacing w:after="0" w:line="240" w:lineRule="auto"/>
              <w:rPr>
                <w:rFonts w:cs="Calibri"/>
                <w:b/>
                <w:sz w:val="18"/>
                <w:szCs w:val="18"/>
              </w:rPr>
            </w:pP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Data Collection Method</w:t>
            </w:r>
          </w:p>
          <w:p w:rsidR="005F5DC3" w:rsidRPr="00075E67" w:rsidRDefault="005F5DC3" w:rsidP="005F5DC3">
            <w:pPr>
              <w:autoSpaceDE w:val="0"/>
              <w:autoSpaceDN w:val="0"/>
              <w:adjustRightInd w:val="0"/>
              <w:spacing w:after="0" w:line="240" w:lineRule="auto"/>
              <w:rPr>
                <w:rFonts w:cs="Calibri"/>
                <w:b/>
                <w:sz w:val="18"/>
                <w:szCs w:val="18"/>
              </w:rPr>
            </w:pP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Selection of Respondent</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Method of Data Analysis</w:t>
            </w:r>
          </w:p>
          <w:p w:rsidR="005F5DC3" w:rsidRPr="00075E67" w:rsidRDefault="005F5DC3" w:rsidP="005F5DC3">
            <w:pPr>
              <w:autoSpaceDE w:val="0"/>
              <w:autoSpaceDN w:val="0"/>
              <w:adjustRightInd w:val="0"/>
              <w:spacing w:after="0" w:line="240" w:lineRule="auto"/>
              <w:rPr>
                <w:rFonts w:cs="Calibri"/>
                <w:b/>
                <w:sz w:val="18"/>
                <w:szCs w:val="18"/>
              </w:rPr>
            </w:pPr>
          </w:p>
        </w:tc>
        <w:tc>
          <w:tcPr>
            <w:tcW w:w="115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Limitation/</w:t>
            </w:r>
          </w:p>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Ris</w:t>
            </w:r>
            <w:r>
              <w:rPr>
                <w:rFonts w:cs="Calibri"/>
                <w:b/>
                <w:sz w:val="18"/>
                <w:szCs w:val="18"/>
              </w:rPr>
              <w:t>k</w:t>
            </w:r>
          </w:p>
          <w:p w:rsidR="005F5DC3" w:rsidRPr="00075E67" w:rsidRDefault="005F5DC3" w:rsidP="005F5DC3">
            <w:pPr>
              <w:autoSpaceDE w:val="0"/>
              <w:autoSpaceDN w:val="0"/>
              <w:adjustRightInd w:val="0"/>
              <w:spacing w:after="0" w:line="240" w:lineRule="auto"/>
              <w:rPr>
                <w:rFonts w:cs="Calibri"/>
                <w:b/>
                <w:sz w:val="18"/>
                <w:szCs w:val="18"/>
              </w:rPr>
            </w:pP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rPr>
                <w:rFonts w:cs="Calibri"/>
                <w:b/>
                <w:sz w:val="18"/>
                <w:szCs w:val="18"/>
              </w:rPr>
            </w:pPr>
            <w:r w:rsidRPr="00075E67">
              <w:rPr>
                <w:rFonts w:cs="Calibri"/>
                <w:b/>
                <w:sz w:val="18"/>
                <w:szCs w:val="18"/>
              </w:rPr>
              <w:t>Country Program Outcome 3.1/ UNDAF Outcome 5.1</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 Compared to 2011, are vulnerable populations now more resilient against climate change </w:t>
            </w:r>
            <w:r w:rsidRPr="00075E67">
              <w:rPr>
                <w:rFonts w:cs="Calibri"/>
                <w:b/>
                <w:sz w:val="18"/>
                <w:szCs w:val="18"/>
              </w:rPr>
              <w:t xml:space="preserve">as a result of UNDP’s </w:t>
            </w:r>
            <w:r>
              <w:rPr>
                <w:rFonts w:cs="Calibri"/>
                <w:b/>
                <w:sz w:val="18"/>
                <w:szCs w:val="18"/>
              </w:rPr>
              <w:t>k</w:t>
            </w:r>
            <w:r w:rsidRPr="00075E67">
              <w:rPr>
                <w:rFonts w:cs="Calibri"/>
                <w:b/>
                <w:sz w:val="18"/>
                <w:szCs w:val="18"/>
              </w:rPr>
              <w:t>ey programs/ projects</w:t>
            </w:r>
            <w:r w:rsidRPr="00075E67">
              <w:rPr>
                <w:rFonts w:cs="Calibri"/>
                <w:sz w:val="18"/>
                <w:szCs w:val="18"/>
              </w:rPr>
              <w:t>?</w:t>
            </w:r>
          </w:p>
          <w:p w:rsidR="005F5DC3" w:rsidRPr="00075E67" w:rsidRDefault="005F5DC3" w:rsidP="005F5DC3">
            <w:pPr>
              <w:pStyle w:val="ListParagraph"/>
              <w:spacing w:after="0" w:line="240" w:lineRule="auto"/>
              <w:ind w:left="0"/>
              <w:jc w:val="both"/>
              <w:rPr>
                <w:rFonts w:cs="Calibri"/>
                <w:sz w:val="18"/>
                <w:szCs w:val="18"/>
              </w:rPr>
            </w:pPr>
          </w:p>
        </w:tc>
        <w:tc>
          <w:tcPr>
            <w:tcW w:w="25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1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1.1 Compared to 2011, are vulnerable populations now more resilient against climate change </w:t>
            </w:r>
            <w:r w:rsidRPr="00075E67">
              <w:rPr>
                <w:rFonts w:cs="Calibri"/>
                <w:b/>
                <w:sz w:val="18"/>
                <w:szCs w:val="18"/>
              </w:rPr>
              <w:t>as a result of CDMP-II</w:t>
            </w:r>
            <w:r w:rsidRPr="00075E67">
              <w:rPr>
                <w:rFonts w:cs="Calibri"/>
                <w:sz w:val="18"/>
                <w:szCs w:val="18"/>
              </w:rPr>
              <w:t>?</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1.2 What holistic approach </w:t>
            </w:r>
            <w:r w:rsidRPr="00075E67">
              <w:rPr>
                <w:rFonts w:cs="Calibri"/>
                <w:b/>
                <w:sz w:val="18"/>
                <w:szCs w:val="18"/>
              </w:rPr>
              <w:t>CDMP-II</w:t>
            </w:r>
            <w:r w:rsidRPr="00075E67">
              <w:rPr>
                <w:rFonts w:cs="Calibri"/>
                <w:sz w:val="18"/>
                <w:szCs w:val="18"/>
              </w:rPr>
              <w:t xml:space="preserve"> has ta</w:t>
            </w:r>
            <w:r>
              <w:rPr>
                <w:rFonts w:cs="Calibri"/>
                <w:sz w:val="18"/>
                <w:szCs w:val="18"/>
              </w:rPr>
              <w:t>k</w:t>
            </w:r>
            <w:r w:rsidRPr="00075E67">
              <w:rPr>
                <w:rFonts w:cs="Calibri"/>
                <w:sz w:val="18"/>
                <w:szCs w:val="18"/>
              </w:rPr>
              <w:t>en to address urban hazards related to CC (excessive precipitation, water logging,  and heat waves) (IE coordination among the implementing agencies)</w:t>
            </w:r>
          </w:p>
        </w:tc>
        <w:tc>
          <w:tcPr>
            <w:tcW w:w="252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1.1.1 Compared to 2011, are vulnerable populations now more resilient against climate change </w:t>
            </w:r>
            <w:r w:rsidRPr="00075E67">
              <w:rPr>
                <w:rFonts w:cs="Calibri"/>
                <w:b/>
                <w:sz w:val="18"/>
                <w:szCs w:val="18"/>
              </w:rPr>
              <w:t>as a result of resilient habitat component of CDMP-II</w:t>
            </w:r>
            <w:r w:rsidRPr="00075E67">
              <w:rPr>
                <w:rFonts w:cs="Calibri"/>
                <w:sz w:val="18"/>
                <w:szCs w:val="18"/>
              </w:rPr>
              <w:t>?</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1.1.2 What referenced projections have been used?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What type of indicators the project used to address climate change impacts and challenges?</w:t>
            </w:r>
          </w:p>
          <w:p w:rsidR="005F5DC3" w:rsidRPr="00075E67" w:rsidRDefault="005F5DC3" w:rsidP="005F5DC3">
            <w:pPr>
              <w:autoSpaceDE w:val="0"/>
              <w:autoSpaceDN w:val="0"/>
              <w:adjustRightInd w:val="0"/>
              <w:spacing w:after="0" w:line="240" w:lineRule="auto"/>
              <w:rPr>
                <w:rFonts w:cs="Calibri"/>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Degree of resistance to withstand against  storm and storm surge;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degree of adoption of diversified livelihoods and saline resistant crops;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availability of drin</w:t>
            </w:r>
            <w:r>
              <w:rPr>
                <w:rFonts w:cs="Calibri"/>
                <w:sz w:val="18"/>
                <w:szCs w:val="18"/>
              </w:rPr>
              <w:t>k</w:t>
            </w:r>
            <w:r w:rsidRPr="00075E67">
              <w:rPr>
                <w:rFonts w:cs="Calibri"/>
                <w:sz w:val="18"/>
                <w:szCs w:val="18"/>
              </w:rPr>
              <w:t xml:space="preserve">ing water ensured;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carrying out ris</w:t>
            </w:r>
            <w:r>
              <w:rPr>
                <w:rFonts w:cs="Calibri"/>
                <w:sz w:val="18"/>
                <w:szCs w:val="18"/>
              </w:rPr>
              <w:t>k</w:t>
            </w:r>
            <w:r w:rsidRPr="00075E67">
              <w:rPr>
                <w:rFonts w:cs="Calibri"/>
                <w:sz w:val="18"/>
                <w:szCs w:val="18"/>
              </w:rPr>
              <w:t xml:space="preserve"> assessment for different interventions under CC;  </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 ; CDMP-II Project Office ;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Purposive </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1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Lac</w:t>
            </w:r>
            <w:r>
              <w:rPr>
                <w:rFonts w:cs="Calibri"/>
                <w:sz w:val="18"/>
                <w:szCs w:val="18"/>
              </w:rPr>
              <w:t>k</w:t>
            </w:r>
            <w:r w:rsidRPr="00075E67">
              <w:rPr>
                <w:rFonts w:cs="Calibri"/>
                <w:sz w:val="18"/>
                <w:szCs w:val="18"/>
              </w:rPr>
              <w:t xml:space="preserve"> of specification about CC model</w:t>
            </w: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1.1.3 Compared to 2011, are vulnerable populations now more resilient against climate change </w:t>
            </w:r>
            <w:r w:rsidRPr="00075E67">
              <w:rPr>
                <w:rFonts w:cs="Calibri"/>
                <w:b/>
                <w:sz w:val="18"/>
                <w:szCs w:val="18"/>
              </w:rPr>
              <w:t>as a result of water purification plant and water supply</w:t>
            </w:r>
            <w:r w:rsidRPr="00075E67">
              <w:rPr>
                <w:rFonts w:cs="Calibri"/>
                <w:sz w:val="18"/>
                <w:szCs w:val="18"/>
              </w:rPr>
              <w:t xml:space="preserve"> c</w:t>
            </w:r>
            <w:r w:rsidRPr="00075E67">
              <w:rPr>
                <w:rFonts w:cs="Calibri"/>
                <w:b/>
                <w:sz w:val="18"/>
                <w:szCs w:val="18"/>
              </w:rPr>
              <w:t>omponent of CDMP-II</w:t>
            </w:r>
            <w:r w:rsidRPr="00075E67">
              <w:rPr>
                <w:rFonts w:cs="Calibri"/>
                <w:sz w:val="18"/>
                <w:szCs w:val="18"/>
              </w:rPr>
              <w:t>?</w:t>
            </w:r>
          </w:p>
          <w:p w:rsidR="005F5DC3" w:rsidRPr="00075E67" w:rsidRDefault="005F5DC3" w:rsidP="005F5DC3">
            <w:pPr>
              <w:autoSpaceDE w:val="0"/>
              <w:autoSpaceDN w:val="0"/>
              <w:adjustRightInd w:val="0"/>
              <w:spacing w:after="0" w:line="240" w:lineRule="auto"/>
              <w:rPr>
                <w:rFonts w:cs="Calibri"/>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Trend of changing ground water level;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availability and acceptance by the community</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 ; CDMP-II Project Office ;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Secondary (Data base, reports)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N/A</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Qualitative Analysis</w:t>
            </w:r>
          </w:p>
        </w:tc>
        <w:tc>
          <w:tcPr>
            <w:tcW w:w="11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Limited Scope of Validation</w:t>
            </w: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1.1.4 Compared to 2011, are vulnerable populations now more resilient against climate change as a resultof</w:t>
            </w:r>
            <w:r w:rsidRPr="00075E67">
              <w:rPr>
                <w:rFonts w:cs="Calibri"/>
                <w:b/>
                <w:sz w:val="18"/>
                <w:szCs w:val="18"/>
              </w:rPr>
              <w:t xml:space="preserve"> urban ris</w:t>
            </w:r>
            <w:r>
              <w:rPr>
                <w:rFonts w:cs="Calibri"/>
                <w:b/>
                <w:sz w:val="18"/>
                <w:szCs w:val="18"/>
              </w:rPr>
              <w:t>k</w:t>
            </w:r>
            <w:r w:rsidRPr="00075E67">
              <w:rPr>
                <w:rFonts w:cs="Calibri"/>
                <w:b/>
                <w:sz w:val="18"/>
                <w:szCs w:val="18"/>
              </w:rPr>
              <w:t xml:space="preserve"> reduction and volunteer </w:t>
            </w:r>
            <w:r w:rsidRPr="00075E67">
              <w:rPr>
                <w:rFonts w:cs="Calibri"/>
                <w:b/>
                <w:sz w:val="18"/>
                <w:szCs w:val="18"/>
              </w:rPr>
              <w:lastRenderedPageBreak/>
              <w:t>mobilization</w:t>
            </w:r>
            <w:r w:rsidRPr="00075E67">
              <w:rPr>
                <w:rFonts w:cs="Calibri"/>
                <w:sz w:val="18"/>
                <w:szCs w:val="18"/>
              </w:rPr>
              <w:t xml:space="preserve"> c</w:t>
            </w:r>
            <w:r w:rsidRPr="00075E67">
              <w:rPr>
                <w:rFonts w:cs="Calibri"/>
                <w:b/>
                <w:sz w:val="18"/>
                <w:szCs w:val="18"/>
              </w:rPr>
              <w:t>omponent of CDMP-II</w:t>
            </w:r>
            <w:r w:rsidRPr="00075E67">
              <w:rPr>
                <w:rFonts w:cs="Calibri"/>
                <w:sz w:val="18"/>
                <w:szCs w:val="18"/>
              </w:rPr>
              <w:t>?</w:t>
            </w:r>
          </w:p>
          <w:p w:rsidR="005F5DC3" w:rsidRPr="00075E67" w:rsidRDefault="005F5DC3" w:rsidP="005F5DC3">
            <w:pPr>
              <w:pStyle w:val="ListParagraph"/>
              <w:spacing w:after="0" w:line="240" w:lineRule="auto"/>
              <w:ind w:left="0"/>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N/A</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N/A</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N/A</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N/A</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N/A</w:t>
            </w:r>
          </w:p>
        </w:tc>
        <w:tc>
          <w:tcPr>
            <w:tcW w:w="11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N/A</w:t>
            </w: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1.1.5 Compared to 2011, are vulnerable populations now more resilient against climate change </w:t>
            </w:r>
            <w:r w:rsidRPr="00075E67">
              <w:rPr>
                <w:rFonts w:cs="Calibri"/>
                <w:b/>
                <w:sz w:val="18"/>
                <w:szCs w:val="18"/>
              </w:rPr>
              <w:t>as a result of cell-based early warning system component of CDMP-II</w:t>
            </w:r>
            <w:r w:rsidRPr="00075E67">
              <w:rPr>
                <w:rFonts w:cs="Calibri"/>
                <w:sz w:val="18"/>
                <w:szCs w:val="18"/>
              </w:rPr>
              <w:t>?</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N/A</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N/A</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N/A</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N/A</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N/A</w:t>
            </w:r>
          </w:p>
        </w:tc>
        <w:tc>
          <w:tcPr>
            <w:tcW w:w="11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N/A</w:t>
            </w: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1.3 Compared to 2011, are vulnerable populations now more resilient against climate change </w:t>
            </w:r>
            <w:r w:rsidRPr="00075E67">
              <w:rPr>
                <w:rFonts w:cs="Calibri"/>
                <w:b/>
                <w:sz w:val="18"/>
                <w:szCs w:val="18"/>
              </w:rPr>
              <w:t>as a result of Early Recovery Facility (ERF) program?</w:t>
            </w:r>
          </w:p>
        </w:tc>
        <w:tc>
          <w:tcPr>
            <w:tcW w:w="252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1.3.1 Compared to 2011, are vulnerable populations now more resilient against climate change as a result of </w:t>
            </w:r>
            <w:r w:rsidRPr="00075E67">
              <w:rPr>
                <w:rFonts w:cs="Calibri"/>
                <w:b/>
                <w:sz w:val="18"/>
                <w:szCs w:val="18"/>
              </w:rPr>
              <w:t xml:space="preserve">Restarting Income Generating Activities of HH with cash and materials (IGA) component </w:t>
            </w:r>
            <w:r w:rsidRPr="00075E67">
              <w:rPr>
                <w:rFonts w:cs="Calibri"/>
                <w:sz w:val="18"/>
                <w:szCs w:val="18"/>
              </w:rPr>
              <w:t>of Early Recovery Facility (ERF) program?</w:t>
            </w:r>
          </w:p>
          <w:p w:rsidR="005F5DC3" w:rsidRPr="00075E67" w:rsidRDefault="005F5DC3" w:rsidP="005F5DC3">
            <w:pPr>
              <w:pStyle w:val="ListParagraph"/>
              <w:spacing w:after="0" w:line="240" w:lineRule="auto"/>
              <w:ind w:left="0"/>
              <w:rPr>
                <w:rFonts w:cs="Calibri"/>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Percentage of population served;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Number of beneficiaries;</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 type of materials provided;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role in livelihood reconstruction and diversification</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ERF Project office, UNDP; Field Study in Shyamnagar</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1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deficiency in baseline data</w:t>
            </w: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1.3.2 Compared to 2011, are vulnerable populations now more resilient against climate change as a result of </w:t>
            </w:r>
            <w:r w:rsidRPr="00075E67">
              <w:rPr>
                <w:rFonts w:cs="Calibri"/>
                <w:b/>
                <w:sz w:val="18"/>
                <w:szCs w:val="18"/>
              </w:rPr>
              <w:t xml:space="preserve">Early construction and reconstruction of Emergency Shelter (ES) component </w:t>
            </w:r>
            <w:r w:rsidRPr="00075E67">
              <w:rPr>
                <w:rFonts w:cs="Calibri"/>
                <w:sz w:val="18"/>
                <w:szCs w:val="18"/>
              </w:rPr>
              <w:t>of Early Recovery Facility (ERF) program?</w:t>
            </w:r>
          </w:p>
          <w:p w:rsidR="005F5DC3" w:rsidRPr="00C72258" w:rsidRDefault="005F5DC3" w:rsidP="005F5DC3">
            <w:pPr>
              <w:pStyle w:val="ListParagraph"/>
              <w:spacing w:after="0" w:line="240" w:lineRule="auto"/>
              <w:ind w:left="0"/>
              <w:rPr>
                <w:rFonts w:cs="Calibri"/>
                <w:sz w:val="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Number of populations used the shelter;</w:t>
            </w:r>
          </w:p>
          <w:p w:rsidR="005F5DC3" w:rsidRPr="00C72258" w:rsidRDefault="005F5DC3" w:rsidP="005F5DC3">
            <w:pPr>
              <w:autoSpaceDE w:val="0"/>
              <w:autoSpaceDN w:val="0"/>
              <w:adjustRightInd w:val="0"/>
              <w:spacing w:after="0" w:line="240" w:lineRule="auto"/>
              <w:rPr>
                <w:rFonts w:cs="Calibri"/>
                <w:sz w:val="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 how many times;</w:t>
            </w:r>
          </w:p>
          <w:p w:rsidR="005F5DC3" w:rsidRPr="00C72258" w:rsidRDefault="005F5DC3" w:rsidP="005F5DC3">
            <w:pPr>
              <w:autoSpaceDE w:val="0"/>
              <w:autoSpaceDN w:val="0"/>
              <w:adjustRightInd w:val="0"/>
              <w:spacing w:after="0" w:line="240" w:lineRule="auto"/>
              <w:rPr>
                <w:rFonts w:cs="Calibri"/>
                <w:sz w:val="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 use of ES by the percentage of vulnerable population;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number of ES constructed; number of ES reconstructed</w:t>
            </w:r>
          </w:p>
          <w:p w:rsidR="005F5DC3" w:rsidRPr="00C72258" w:rsidRDefault="005F5DC3" w:rsidP="005F5DC3">
            <w:pPr>
              <w:autoSpaceDE w:val="0"/>
              <w:autoSpaceDN w:val="0"/>
              <w:adjustRightInd w:val="0"/>
              <w:spacing w:after="0" w:line="240" w:lineRule="auto"/>
              <w:rPr>
                <w:rFonts w:cs="Calibri"/>
                <w:sz w:val="12"/>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ERF Project office, UNDP; Field Study in Shyamnagar</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1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deficiency in baseline data</w:t>
            </w: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1.4 Compared to 2011, are vulnerable populations now more resilient against climate change as a result of </w:t>
            </w:r>
            <w:r w:rsidRPr="00075E67">
              <w:rPr>
                <w:rFonts w:cs="Calibri"/>
                <w:b/>
                <w:sz w:val="18"/>
                <w:szCs w:val="18"/>
              </w:rPr>
              <w:t>coastal afforestation Project</w:t>
            </w:r>
            <w:r w:rsidRPr="00075E67">
              <w:rPr>
                <w:rFonts w:cs="Calibri"/>
                <w:sz w:val="18"/>
                <w:szCs w:val="18"/>
              </w:rPr>
              <w:t>?</w:t>
            </w:r>
          </w:p>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1.4.1 Compared to 2011, are vulnerable populations now more resilient against climate change and disasters as a result of</w:t>
            </w:r>
            <w:r w:rsidRPr="00075E67">
              <w:rPr>
                <w:rFonts w:cs="Calibri"/>
                <w:b/>
                <w:sz w:val="18"/>
                <w:szCs w:val="18"/>
              </w:rPr>
              <w:t xml:space="preserve"> coastal afforestation Project</w:t>
            </w:r>
            <w:r w:rsidRPr="00075E67">
              <w:rPr>
                <w:rFonts w:cs="Calibri"/>
                <w:sz w:val="18"/>
                <w:szCs w:val="18"/>
              </w:rPr>
              <w:t>?</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1.4.2 Compared to 2011, are vulnerable populations now more resilient against climate </w:t>
            </w:r>
            <w:r w:rsidRPr="00075E67">
              <w:rPr>
                <w:rFonts w:cs="Calibri"/>
                <w:sz w:val="18"/>
                <w:szCs w:val="18"/>
              </w:rPr>
              <w:lastRenderedPageBreak/>
              <w:t xml:space="preserve">change and disasters </w:t>
            </w:r>
            <w:r w:rsidRPr="00075E67">
              <w:rPr>
                <w:rFonts w:cs="Calibri"/>
                <w:b/>
                <w:sz w:val="18"/>
                <w:szCs w:val="18"/>
              </w:rPr>
              <w:t>as a result of FFF Project</w:t>
            </w:r>
            <w:r w:rsidRPr="00075E67">
              <w:rPr>
                <w:rFonts w:cs="Calibri"/>
                <w:sz w:val="18"/>
                <w:szCs w:val="18"/>
              </w:rPr>
              <w:t>?</w:t>
            </w:r>
          </w:p>
          <w:p w:rsidR="005F5DC3" w:rsidRPr="00075E67" w:rsidRDefault="005F5DC3" w:rsidP="005F5DC3">
            <w:pPr>
              <w:pStyle w:val="ListParagraph"/>
              <w:spacing w:after="0" w:line="240" w:lineRule="auto"/>
              <w:ind w:left="0"/>
              <w:rPr>
                <w:rFonts w:cs="Calibri"/>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Degree of target fulfilment</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Quantity of carbon sin</w:t>
            </w:r>
            <w:r>
              <w:rPr>
                <w:rFonts w:cs="Calibri"/>
                <w:sz w:val="18"/>
                <w:szCs w:val="18"/>
              </w:rPr>
              <w:t>k</w:t>
            </w:r>
            <w:r w:rsidRPr="00075E67">
              <w:rPr>
                <w:rFonts w:cs="Calibri"/>
                <w:sz w:val="18"/>
                <w:szCs w:val="18"/>
              </w:rPr>
              <w:t xml:space="preserve"> capacity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Degree of change in diversified livelihood improvement of community people</w:t>
            </w:r>
          </w:p>
          <w:p w:rsidR="005F5DC3" w:rsidRPr="00C72258" w:rsidRDefault="005F5DC3" w:rsidP="005F5DC3">
            <w:pPr>
              <w:autoSpaceDE w:val="0"/>
              <w:autoSpaceDN w:val="0"/>
              <w:adjustRightInd w:val="0"/>
              <w:spacing w:after="0" w:line="240" w:lineRule="auto"/>
              <w:rPr>
                <w:rFonts w:cs="Calibri"/>
                <w:sz w:val="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Degree of change in income enhancement of community people</w:t>
            </w:r>
          </w:p>
          <w:p w:rsidR="005F5DC3" w:rsidRPr="00C72258" w:rsidRDefault="005F5DC3" w:rsidP="005F5DC3">
            <w:pPr>
              <w:autoSpaceDE w:val="0"/>
              <w:autoSpaceDN w:val="0"/>
              <w:adjustRightInd w:val="0"/>
              <w:spacing w:after="0" w:line="240" w:lineRule="auto"/>
              <w:rPr>
                <w:rFonts w:cs="Calibri"/>
                <w:sz w:val="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Degree of change in resistance to withstand against  storm and storm surge</w:t>
            </w:r>
          </w:p>
          <w:p w:rsidR="005F5DC3" w:rsidRPr="00C72258" w:rsidRDefault="005F5DC3" w:rsidP="005F5DC3">
            <w:pPr>
              <w:autoSpaceDE w:val="0"/>
              <w:autoSpaceDN w:val="0"/>
              <w:adjustRightInd w:val="0"/>
              <w:spacing w:after="0" w:line="240" w:lineRule="auto"/>
              <w:rPr>
                <w:rFonts w:cs="Calibri"/>
                <w:sz w:val="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UNDP Country Office</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FD</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Project Office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Interviews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FGDs</w:t>
            </w:r>
          </w:p>
          <w:p w:rsidR="005F5DC3" w:rsidRPr="00075E67" w:rsidRDefault="005F5DC3" w:rsidP="005F5DC3">
            <w:pPr>
              <w:autoSpaceDE w:val="0"/>
              <w:autoSpaceDN w:val="0"/>
              <w:adjustRightInd w:val="0"/>
              <w:spacing w:after="0" w:line="240" w:lineRule="auto"/>
              <w:rPr>
                <w:rFonts w:cs="Calibri"/>
                <w:sz w:val="18"/>
                <w:szCs w:val="18"/>
              </w:rPr>
            </w:pPr>
            <w:r>
              <w:rPr>
                <w:rFonts w:cs="Calibri"/>
                <w:sz w:val="18"/>
                <w:szCs w:val="18"/>
              </w:rPr>
              <w:t>K</w:t>
            </w:r>
            <w:r w:rsidRPr="00075E67">
              <w:rPr>
                <w:rFonts w:cs="Calibri"/>
                <w:sz w:val="18"/>
                <w:szCs w:val="18"/>
              </w:rPr>
              <w:t>IIs</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Case Studies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Purposive </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1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data limitation</w:t>
            </w: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lastRenderedPageBreak/>
              <w:t xml:space="preserve">1.5 Compared to 2011, are vulnerable populations now more resilient against climate change </w:t>
            </w:r>
            <w:r w:rsidRPr="00075E67">
              <w:rPr>
                <w:rFonts w:cs="Calibri"/>
                <w:b/>
                <w:sz w:val="18"/>
                <w:szCs w:val="18"/>
              </w:rPr>
              <w:t>as a result of PECM</w:t>
            </w:r>
            <w:r w:rsidRPr="00075E67">
              <w:rPr>
                <w:rFonts w:cs="Calibri"/>
                <w:sz w:val="18"/>
                <w:szCs w:val="18"/>
              </w:rPr>
              <w:t>?</w:t>
            </w:r>
          </w:p>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1.5.1 Compared to 2011, are vulnerable populations now more resilient against climate change </w:t>
            </w:r>
            <w:r w:rsidRPr="00075E67">
              <w:rPr>
                <w:rFonts w:cs="Calibri"/>
                <w:b/>
                <w:sz w:val="18"/>
                <w:szCs w:val="18"/>
              </w:rPr>
              <w:t>as a result of PECM-CPEIR component?</w:t>
            </w:r>
          </w:p>
          <w:p w:rsidR="005F5DC3" w:rsidRPr="00075E67" w:rsidRDefault="005F5DC3" w:rsidP="005F5DC3">
            <w:pPr>
              <w:pStyle w:val="ListParagraph"/>
              <w:spacing w:after="0" w:line="240" w:lineRule="auto"/>
              <w:ind w:left="0"/>
              <w:rPr>
                <w:rFonts w:cs="Calibri"/>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No of policies/strategies / plans approved in addressing CC or sustainable management of  natural resources (Baseline</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2010: 2 (Land zoning law; Village improvement Act)</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Target: 4</w:t>
            </w:r>
          </w:p>
          <w:p w:rsidR="005F5DC3" w:rsidRPr="00C72258" w:rsidRDefault="005F5DC3" w:rsidP="005F5DC3">
            <w:pPr>
              <w:autoSpaceDE w:val="0"/>
              <w:autoSpaceDN w:val="0"/>
              <w:adjustRightInd w:val="0"/>
              <w:spacing w:after="0" w:line="240" w:lineRule="auto"/>
              <w:rPr>
                <w:rFonts w:cs="Calibri"/>
                <w:sz w:val="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No of recommendations addressed </w:t>
            </w:r>
          </w:p>
          <w:p w:rsidR="005F5DC3" w:rsidRPr="00C72258" w:rsidRDefault="005F5DC3" w:rsidP="005F5DC3">
            <w:pPr>
              <w:autoSpaceDE w:val="0"/>
              <w:autoSpaceDN w:val="0"/>
              <w:adjustRightInd w:val="0"/>
              <w:spacing w:after="0" w:line="240" w:lineRule="auto"/>
              <w:rPr>
                <w:rFonts w:cs="Calibri"/>
                <w:sz w:val="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No of documentation/analysis to address cc and climate expenditure </w:t>
            </w:r>
          </w:p>
          <w:p w:rsidR="005F5DC3" w:rsidRPr="00C72258" w:rsidRDefault="005F5DC3" w:rsidP="005F5DC3">
            <w:pPr>
              <w:autoSpaceDE w:val="0"/>
              <w:autoSpaceDN w:val="0"/>
              <w:adjustRightInd w:val="0"/>
              <w:spacing w:after="0" w:line="240" w:lineRule="auto"/>
              <w:rPr>
                <w:rFonts w:cs="Calibri"/>
                <w:sz w:val="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Environment, Climate and disaster vulnerability Index </w:t>
            </w:r>
          </w:p>
          <w:p w:rsidR="005F5DC3" w:rsidRDefault="005F5DC3" w:rsidP="005F5DC3">
            <w:pPr>
              <w:autoSpaceDE w:val="0"/>
              <w:autoSpaceDN w:val="0"/>
              <w:adjustRightInd w:val="0"/>
              <w:spacing w:after="0" w:line="240" w:lineRule="auto"/>
              <w:rPr>
                <w:rFonts w:cs="Calibri"/>
                <w:sz w:val="18"/>
                <w:szCs w:val="18"/>
              </w:rPr>
            </w:pPr>
            <w:r w:rsidRPr="00075E67">
              <w:rPr>
                <w:rFonts w:cs="Calibri"/>
                <w:sz w:val="18"/>
                <w:szCs w:val="18"/>
              </w:rPr>
              <w:t>[Baseline 2012 :  N/A Target 2016: 20% vulnerability reduction in coastal districts]</w:t>
            </w:r>
          </w:p>
          <w:p w:rsidR="005F5DC3" w:rsidRPr="00075E67" w:rsidRDefault="005F5DC3" w:rsidP="005F5DC3">
            <w:pPr>
              <w:autoSpaceDE w:val="0"/>
              <w:autoSpaceDN w:val="0"/>
              <w:adjustRightInd w:val="0"/>
              <w:spacing w:after="0" w:line="240" w:lineRule="auto"/>
              <w:rPr>
                <w:rFonts w:cs="Calibri"/>
                <w:sz w:val="18"/>
                <w:szCs w:val="18"/>
              </w:rPr>
            </w:pPr>
          </w:p>
          <w:p w:rsidR="005F5DC3" w:rsidRPr="00C72258" w:rsidRDefault="005F5DC3" w:rsidP="005F5DC3">
            <w:pPr>
              <w:autoSpaceDE w:val="0"/>
              <w:autoSpaceDN w:val="0"/>
              <w:adjustRightInd w:val="0"/>
              <w:spacing w:after="0" w:line="240" w:lineRule="auto"/>
              <w:rPr>
                <w:rFonts w:cs="Calibri"/>
                <w:sz w:val="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UNDP Country Office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Project Office</w:t>
            </w:r>
          </w:p>
          <w:p w:rsidR="005F5DC3" w:rsidRPr="00075E67" w:rsidRDefault="005F5DC3" w:rsidP="005F5DC3">
            <w:pPr>
              <w:autoSpaceDE w:val="0"/>
              <w:autoSpaceDN w:val="0"/>
              <w:adjustRightInd w:val="0"/>
              <w:spacing w:after="0" w:line="240" w:lineRule="auto"/>
              <w:rPr>
                <w:rFonts w:cs="Calibri"/>
                <w:sz w:val="18"/>
                <w:szCs w:val="18"/>
              </w:rPr>
            </w:pP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Interviews </w:t>
            </w:r>
          </w:p>
          <w:p w:rsidR="005F5DC3" w:rsidRPr="00075E67" w:rsidRDefault="005F5DC3" w:rsidP="005F5DC3">
            <w:pPr>
              <w:autoSpaceDE w:val="0"/>
              <w:autoSpaceDN w:val="0"/>
              <w:adjustRightInd w:val="0"/>
              <w:spacing w:after="0" w:line="240" w:lineRule="auto"/>
              <w:rPr>
                <w:rFonts w:cs="Calibri"/>
                <w:sz w:val="18"/>
                <w:szCs w:val="18"/>
              </w:rPr>
            </w:pP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1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w:t>
            </w: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rPr>
                <w:rFonts w:cs="Calibri"/>
                <w:b/>
                <w:sz w:val="18"/>
                <w:szCs w:val="18"/>
              </w:rPr>
            </w:pPr>
            <w:r w:rsidRPr="00075E67">
              <w:rPr>
                <w:rFonts w:cs="Calibri"/>
                <w:b/>
                <w:sz w:val="18"/>
                <w:szCs w:val="18"/>
              </w:rPr>
              <w:t>2. Compared to 2011, are vulnerable populations now more resilient against natural disasters?</w:t>
            </w:r>
          </w:p>
          <w:p w:rsidR="005F5DC3" w:rsidRPr="00075E67" w:rsidRDefault="005F5DC3" w:rsidP="005F5DC3">
            <w:pPr>
              <w:pStyle w:val="ListParagraph"/>
              <w:spacing w:after="0" w:line="240" w:lineRule="auto"/>
              <w:ind w:left="0"/>
              <w:rPr>
                <w:rFonts w:cs="Calibri"/>
                <w:b/>
                <w:sz w:val="18"/>
                <w:szCs w:val="18"/>
              </w:rPr>
            </w:pPr>
          </w:p>
        </w:tc>
        <w:tc>
          <w:tcPr>
            <w:tcW w:w="2520" w:type="dxa"/>
            <w:shd w:val="clear" w:color="auto" w:fill="auto"/>
          </w:tcPr>
          <w:p w:rsidR="005F5DC3" w:rsidRPr="00075E67" w:rsidRDefault="005F5DC3" w:rsidP="005F5DC3">
            <w:pPr>
              <w:pStyle w:val="ListParagraph"/>
              <w:spacing w:after="0" w:line="240" w:lineRule="auto"/>
              <w:ind w:left="0"/>
              <w:rPr>
                <w:rFonts w:cs="Calibri"/>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1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jc w:val="both"/>
              <w:rPr>
                <w:rFonts w:cs="Calibri"/>
                <w:sz w:val="18"/>
                <w:szCs w:val="18"/>
              </w:rPr>
            </w:pPr>
            <w:r w:rsidRPr="00075E67">
              <w:rPr>
                <w:rFonts w:cs="Calibri"/>
                <w:sz w:val="18"/>
                <w:szCs w:val="18"/>
              </w:rPr>
              <w:t xml:space="preserve">2.1 Compared to 2011, are vulnerable populations now more resilient against natural disasters </w:t>
            </w:r>
            <w:r w:rsidRPr="00075E67">
              <w:rPr>
                <w:rFonts w:cs="Calibri"/>
                <w:b/>
                <w:sz w:val="18"/>
                <w:szCs w:val="18"/>
              </w:rPr>
              <w:t>as aresult of CDMP-II</w:t>
            </w:r>
            <w:r w:rsidRPr="00075E67">
              <w:rPr>
                <w:rFonts w:cs="Calibri"/>
                <w:sz w:val="18"/>
                <w:szCs w:val="18"/>
              </w:rPr>
              <w:t>?</w:t>
            </w:r>
          </w:p>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2.1.1 Compared to 2011, are vulnerable populations now more resilient against natural disasters </w:t>
            </w:r>
            <w:r w:rsidRPr="00075E67">
              <w:rPr>
                <w:rFonts w:cs="Calibri"/>
                <w:b/>
                <w:sz w:val="18"/>
                <w:szCs w:val="18"/>
              </w:rPr>
              <w:t>as a result of resilient habitat component of CDMP-II</w:t>
            </w:r>
            <w:r w:rsidRPr="00075E67">
              <w:rPr>
                <w:rFonts w:cs="Calibri"/>
                <w:sz w:val="18"/>
                <w:szCs w:val="18"/>
              </w:rPr>
              <w:t>?</w:t>
            </w:r>
          </w:p>
          <w:p w:rsidR="005F5DC3" w:rsidRPr="00075E67" w:rsidRDefault="005F5DC3" w:rsidP="005F5DC3">
            <w:pPr>
              <w:autoSpaceDE w:val="0"/>
              <w:autoSpaceDN w:val="0"/>
              <w:adjustRightInd w:val="0"/>
              <w:spacing w:after="0" w:line="240" w:lineRule="auto"/>
              <w:rPr>
                <w:rFonts w:cs="Calibri"/>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Type of hazards exposed to;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number of resilient habitat built; percentage of household coverage; extent of hazard withstand capacity; change in resisting cyclone , storm surges and floods</w:t>
            </w:r>
          </w:p>
          <w:p w:rsidR="005F5DC3" w:rsidRPr="00075E67" w:rsidRDefault="005F5DC3" w:rsidP="005F5DC3">
            <w:pPr>
              <w:autoSpaceDE w:val="0"/>
              <w:autoSpaceDN w:val="0"/>
              <w:adjustRightInd w:val="0"/>
              <w:spacing w:after="0" w:line="240" w:lineRule="auto"/>
              <w:rPr>
                <w:rFonts w:cs="Calibri"/>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 ; CDMP-II Project Office ;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Purposive </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1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lac</w:t>
            </w:r>
            <w:r>
              <w:rPr>
                <w:rFonts w:cs="Calibri"/>
                <w:sz w:val="18"/>
                <w:szCs w:val="18"/>
              </w:rPr>
              <w:t>k</w:t>
            </w:r>
            <w:r w:rsidRPr="00075E67">
              <w:rPr>
                <w:rFonts w:cs="Calibri"/>
                <w:sz w:val="18"/>
                <w:szCs w:val="18"/>
              </w:rPr>
              <w:t xml:space="preserve"> of baseline data</w:t>
            </w: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2.1.2 Compared to 2011, are vulnerable populations now more resilient against natural disasters </w:t>
            </w:r>
            <w:r w:rsidRPr="00075E67">
              <w:rPr>
                <w:rFonts w:cs="Calibri"/>
                <w:b/>
                <w:sz w:val="18"/>
                <w:szCs w:val="18"/>
              </w:rPr>
              <w:t xml:space="preserve">as a result of water purification plant and water </w:t>
            </w:r>
            <w:r w:rsidRPr="00075E67">
              <w:rPr>
                <w:rFonts w:cs="Calibri"/>
                <w:b/>
                <w:sz w:val="18"/>
                <w:szCs w:val="18"/>
              </w:rPr>
              <w:lastRenderedPageBreak/>
              <w:t>supply</w:t>
            </w:r>
            <w:r w:rsidRPr="00075E67">
              <w:rPr>
                <w:rFonts w:cs="Calibri"/>
                <w:sz w:val="18"/>
                <w:szCs w:val="18"/>
              </w:rPr>
              <w:t xml:space="preserve"> c</w:t>
            </w:r>
            <w:r w:rsidRPr="00075E67">
              <w:rPr>
                <w:rFonts w:cs="Calibri"/>
                <w:b/>
                <w:sz w:val="18"/>
                <w:szCs w:val="18"/>
              </w:rPr>
              <w:t>omponent of CDMP-II</w:t>
            </w:r>
            <w:r w:rsidRPr="00075E67">
              <w:rPr>
                <w:rFonts w:cs="Calibri"/>
                <w:sz w:val="18"/>
                <w:szCs w:val="18"/>
              </w:rPr>
              <w:t>?</w:t>
            </w:r>
          </w:p>
          <w:p w:rsidR="005F5DC3" w:rsidRPr="00075E67" w:rsidRDefault="005F5DC3" w:rsidP="005F5DC3">
            <w:pPr>
              <w:autoSpaceDE w:val="0"/>
              <w:autoSpaceDN w:val="0"/>
              <w:adjustRightInd w:val="0"/>
              <w:spacing w:after="0" w:line="240" w:lineRule="auto"/>
              <w:rPr>
                <w:rFonts w:cs="Calibri"/>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change in accessibility to drin</w:t>
            </w:r>
            <w:r>
              <w:rPr>
                <w:rFonts w:cs="Calibri"/>
                <w:sz w:val="18"/>
                <w:szCs w:val="18"/>
              </w:rPr>
              <w:t>k</w:t>
            </w:r>
            <w:r w:rsidRPr="00075E67">
              <w:rPr>
                <w:rFonts w:cs="Calibri"/>
                <w:sz w:val="18"/>
                <w:szCs w:val="18"/>
              </w:rPr>
              <w:t>ing water during onset and post- disaster; incidence of health hazards (perceptional data)</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 ; CDMP-II Project Office ;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 xml:space="preserve">IIs, </w:t>
            </w:r>
            <w:r w:rsidRPr="00075E67">
              <w:rPr>
                <w:rFonts w:cs="Calibri"/>
                <w:sz w:val="18"/>
                <w:szCs w:val="18"/>
              </w:rPr>
              <w:lastRenderedPageBreak/>
              <w:t>Case studies)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1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lac</w:t>
            </w:r>
            <w:r>
              <w:rPr>
                <w:rFonts w:cs="Calibri"/>
                <w:sz w:val="18"/>
                <w:szCs w:val="18"/>
              </w:rPr>
              <w:t>k</w:t>
            </w:r>
            <w:r w:rsidRPr="00075E67">
              <w:rPr>
                <w:rFonts w:cs="Calibri"/>
                <w:sz w:val="18"/>
                <w:szCs w:val="18"/>
              </w:rPr>
              <w:t xml:space="preserve"> of baseline data</w:t>
            </w: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2.1.3 Compared to 2011, are vulnerable populations now more resilient against natural disasters</w:t>
            </w:r>
            <w:r w:rsidRPr="00075E67">
              <w:rPr>
                <w:rFonts w:cs="Calibri"/>
                <w:b/>
                <w:sz w:val="18"/>
                <w:szCs w:val="18"/>
              </w:rPr>
              <w:t xml:space="preserve"> as a result of urban ris</w:t>
            </w:r>
            <w:r>
              <w:rPr>
                <w:rFonts w:cs="Calibri"/>
                <w:b/>
                <w:sz w:val="18"/>
                <w:szCs w:val="18"/>
              </w:rPr>
              <w:t>k</w:t>
            </w:r>
            <w:r w:rsidRPr="00075E67">
              <w:rPr>
                <w:rFonts w:cs="Calibri"/>
                <w:b/>
                <w:sz w:val="18"/>
                <w:szCs w:val="18"/>
              </w:rPr>
              <w:t xml:space="preserve"> reduction and volunteer mobilization</w:t>
            </w:r>
            <w:r w:rsidRPr="00075E67">
              <w:rPr>
                <w:rFonts w:cs="Calibri"/>
                <w:sz w:val="18"/>
                <w:szCs w:val="18"/>
              </w:rPr>
              <w:t xml:space="preserve"> c</w:t>
            </w:r>
            <w:r w:rsidRPr="00075E67">
              <w:rPr>
                <w:rFonts w:cs="Calibri"/>
                <w:b/>
                <w:sz w:val="18"/>
                <w:szCs w:val="18"/>
              </w:rPr>
              <w:t>omponent of CDMP-II</w:t>
            </w:r>
            <w:r w:rsidRPr="00075E67">
              <w:rPr>
                <w:rFonts w:cs="Calibri"/>
                <w:sz w:val="18"/>
                <w:szCs w:val="18"/>
              </w:rPr>
              <w:t>?</w:t>
            </w:r>
          </w:p>
          <w:p w:rsidR="005F5DC3" w:rsidRPr="00075E67" w:rsidRDefault="005F5DC3" w:rsidP="005F5DC3">
            <w:pPr>
              <w:autoSpaceDE w:val="0"/>
              <w:autoSpaceDN w:val="0"/>
              <w:adjustRightInd w:val="0"/>
              <w:spacing w:after="0" w:line="240" w:lineRule="auto"/>
              <w:rPr>
                <w:rFonts w:cs="Calibri"/>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Number of volunteers recruited and trained; Number of women volunteers recruited and trained; number of equipment procured by type; adequacy of the elements; community awareness and engagement; percentage of community population coverage</w:t>
            </w:r>
          </w:p>
          <w:p w:rsidR="005F5DC3" w:rsidRPr="00075E67" w:rsidRDefault="005F5DC3" w:rsidP="005F5DC3">
            <w:pPr>
              <w:autoSpaceDE w:val="0"/>
              <w:autoSpaceDN w:val="0"/>
              <w:adjustRightInd w:val="0"/>
              <w:spacing w:after="0" w:line="240" w:lineRule="auto"/>
              <w:rPr>
                <w:rFonts w:cs="Calibri"/>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UNDP Country Office ; CDMP-II Project Office </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Secondary (Data base, reports)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N/A</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1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w:t>
            </w: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2.1.4 Compared to 2011, are vulnerable populations now more resilient against natural disasters</w:t>
            </w:r>
            <w:r w:rsidRPr="00075E67">
              <w:rPr>
                <w:rFonts w:cs="Calibri"/>
                <w:b/>
                <w:sz w:val="18"/>
                <w:szCs w:val="18"/>
              </w:rPr>
              <w:t xml:space="preserve"> as a result of cell-based early warning system component of CDMP-II</w:t>
            </w:r>
            <w:r w:rsidRPr="00075E67">
              <w:rPr>
                <w:rFonts w:cs="Calibri"/>
                <w:sz w:val="18"/>
                <w:szCs w:val="18"/>
              </w:rPr>
              <w:t>?</w:t>
            </w:r>
          </w:p>
          <w:p w:rsidR="005F5DC3" w:rsidRPr="00075E67" w:rsidRDefault="005F5DC3" w:rsidP="005F5DC3">
            <w:pPr>
              <w:autoSpaceDE w:val="0"/>
              <w:autoSpaceDN w:val="0"/>
              <w:adjustRightInd w:val="0"/>
              <w:spacing w:after="0" w:line="240" w:lineRule="auto"/>
              <w:rPr>
                <w:rFonts w:cs="Calibri"/>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Number of cell-phone users served by SMS; number of hit for weather information by cell phone users; percentage of population served; percentage of population aware about the SMS services; Lead time; degree of understandability of the message; type of hazards covered</w:t>
            </w:r>
          </w:p>
          <w:p w:rsidR="005F5DC3" w:rsidRPr="00075E67" w:rsidRDefault="005F5DC3" w:rsidP="005F5DC3">
            <w:pPr>
              <w:autoSpaceDE w:val="0"/>
              <w:autoSpaceDN w:val="0"/>
              <w:adjustRightInd w:val="0"/>
              <w:spacing w:after="0" w:line="240" w:lineRule="auto"/>
              <w:rPr>
                <w:rFonts w:cs="Calibri"/>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UNDP Country Office ; CDMP-II Project Office </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Secondary (Data base, reports)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N/A</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1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w:t>
            </w: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2.2 Compared to 2011, are vulnerable populations now more resilient against natural disasters </w:t>
            </w:r>
            <w:r w:rsidRPr="00075E67">
              <w:rPr>
                <w:rFonts w:cs="Calibri"/>
                <w:b/>
                <w:sz w:val="18"/>
                <w:szCs w:val="18"/>
              </w:rPr>
              <w:t>as a result of Early Recovery Facility (ERF) program?</w:t>
            </w:r>
          </w:p>
        </w:tc>
        <w:tc>
          <w:tcPr>
            <w:tcW w:w="252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2.2.1 Compared to 2011, are vulnerable populations now more resilient against natural </w:t>
            </w:r>
            <w:r w:rsidRPr="00075E67">
              <w:rPr>
                <w:rFonts w:cs="Calibri"/>
                <w:b/>
                <w:sz w:val="18"/>
                <w:szCs w:val="18"/>
              </w:rPr>
              <w:t xml:space="preserve">disasters as a result of Restarting Income Generating Activities of HH with cash and materials (IGA) component </w:t>
            </w:r>
            <w:r w:rsidRPr="00075E67">
              <w:rPr>
                <w:rFonts w:cs="Calibri"/>
                <w:sz w:val="18"/>
                <w:szCs w:val="18"/>
              </w:rPr>
              <w:t>of Early Recovery Facility (ERF) program?</w:t>
            </w:r>
          </w:p>
          <w:p w:rsidR="005F5DC3" w:rsidRDefault="005F5DC3" w:rsidP="005F5DC3">
            <w:pPr>
              <w:pStyle w:val="ListParagraph"/>
              <w:spacing w:after="0" w:line="240" w:lineRule="auto"/>
              <w:ind w:left="0"/>
              <w:rPr>
                <w:rFonts w:cs="Calibri"/>
                <w:sz w:val="18"/>
                <w:szCs w:val="18"/>
              </w:rPr>
            </w:pPr>
          </w:p>
          <w:p w:rsidR="005F5DC3" w:rsidRPr="00075E67" w:rsidRDefault="005F5DC3" w:rsidP="005F5DC3">
            <w:pPr>
              <w:pStyle w:val="ListParagraph"/>
              <w:spacing w:after="0" w:line="240" w:lineRule="auto"/>
              <w:ind w:left="0"/>
              <w:rPr>
                <w:rFonts w:cs="Calibri"/>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Percentage of population served; Number of beneficiaries; type of materials provided; role in livelihood reconstruction and diversification</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ERF Project office, UNDP; Field Study in Shyamnagar</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1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deficiency in baseline data</w:t>
            </w: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1.3.2 Compared to 2011, are vulnerable populations now more resilient against natural disasters as a result of </w:t>
            </w:r>
            <w:r w:rsidRPr="00075E67">
              <w:rPr>
                <w:rFonts w:cs="Calibri"/>
                <w:b/>
                <w:sz w:val="18"/>
                <w:szCs w:val="18"/>
              </w:rPr>
              <w:t xml:space="preserve">Early construction and reconstruction of Emergency Shelter (ES) component </w:t>
            </w:r>
            <w:r w:rsidRPr="00075E67">
              <w:rPr>
                <w:rFonts w:cs="Calibri"/>
                <w:sz w:val="18"/>
                <w:szCs w:val="18"/>
              </w:rPr>
              <w:t xml:space="preserve">of </w:t>
            </w:r>
            <w:r w:rsidRPr="00075E67">
              <w:rPr>
                <w:rFonts w:cs="Calibri"/>
                <w:sz w:val="18"/>
                <w:szCs w:val="18"/>
              </w:rPr>
              <w:lastRenderedPageBreak/>
              <w:t>Early Recovery Facility (ERF) program?</w:t>
            </w:r>
          </w:p>
          <w:p w:rsidR="005F5DC3" w:rsidRPr="00075E67" w:rsidRDefault="005F5DC3" w:rsidP="005F5DC3">
            <w:pPr>
              <w:pStyle w:val="ListParagraph"/>
              <w:spacing w:after="0" w:line="240" w:lineRule="auto"/>
              <w:ind w:left="0"/>
              <w:rPr>
                <w:rFonts w:cs="Calibri"/>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Number of populations used the shelter; how many times; use of ES by the percentage of vulnerable population; number of ES constructed; number of ES reconstructed</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ERF Project office, UNDP; Field Study in Shyamnagar</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1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deficiency in baseline data</w:t>
            </w: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lastRenderedPageBreak/>
              <w:t xml:space="preserve">2.3 Compared to 2011, are vulnerable populations now more resilient against natural disasters </w:t>
            </w:r>
            <w:r w:rsidRPr="00075E67">
              <w:rPr>
                <w:rFonts w:cs="Calibri"/>
                <w:b/>
                <w:sz w:val="18"/>
                <w:szCs w:val="18"/>
              </w:rPr>
              <w:t>as aresult of PECM</w:t>
            </w:r>
            <w:r w:rsidRPr="00075E67">
              <w:rPr>
                <w:rFonts w:cs="Calibri"/>
                <w:sz w:val="18"/>
                <w:szCs w:val="18"/>
              </w:rPr>
              <w:t>?</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p>
        </w:tc>
        <w:tc>
          <w:tcPr>
            <w:tcW w:w="252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2.3.1 Compared to 2011, are vulnerable populations now more benefiting towards resilience against natural disasters </w:t>
            </w:r>
            <w:r w:rsidRPr="00075E67">
              <w:rPr>
                <w:rFonts w:cs="Calibri"/>
                <w:b/>
                <w:sz w:val="18"/>
                <w:szCs w:val="18"/>
              </w:rPr>
              <w:t>as a result of PECM-CPEIR Component?</w:t>
            </w:r>
          </w:p>
          <w:p w:rsidR="005F5DC3" w:rsidRPr="00075E67" w:rsidRDefault="005F5DC3" w:rsidP="005F5DC3">
            <w:pPr>
              <w:autoSpaceDE w:val="0"/>
              <w:autoSpaceDN w:val="0"/>
              <w:adjustRightInd w:val="0"/>
              <w:spacing w:after="0" w:line="240" w:lineRule="auto"/>
              <w:rPr>
                <w:rFonts w:cs="Calibri"/>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Amount of resources budgeted by GoB for DRR/CC adaptation against sectoral policies/plans</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Baseline: 2010=$ 100m</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Target-2016=$500m 2014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UNDP Country Office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Project Office</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Purposive </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1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data limitation</w:t>
            </w:r>
          </w:p>
        </w:tc>
      </w:tr>
    </w:tbl>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Pr="004F24C4" w:rsidRDefault="005F5DC3" w:rsidP="005F5DC3">
      <w:pPr>
        <w:autoSpaceDE w:val="0"/>
        <w:autoSpaceDN w:val="0"/>
        <w:adjustRightInd w:val="0"/>
        <w:spacing w:after="0" w:line="240" w:lineRule="auto"/>
        <w:rPr>
          <w:rFonts w:cs="Calibri"/>
          <w:b/>
          <w:szCs w:val="18"/>
        </w:rPr>
      </w:pPr>
      <w:r w:rsidRPr="004F24C4">
        <w:rPr>
          <w:rFonts w:cs="Calibri"/>
          <w:b/>
          <w:szCs w:val="18"/>
        </w:rPr>
        <w:lastRenderedPageBreak/>
        <w:t>Efficiency</w:t>
      </w:r>
    </w:p>
    <w:tbl>
      <w:tblPr>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2250"/>
        <w:gridCol w:w="2340"/>
        <w:gridCol w:w="1620"/>
        <w:gridCol w:w="1170"/>
        <w:gridCol w:w="1440"/>
        <w:gridCol w:w="1260"/>
        <w:gridCol w:w="1260"/>
      </w:tblGrid>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Main Evaluation Question</w:t>
            </w:r>
          </w:p>
          <w:p w:rsidR="005F5DC3" w:rsidRPr="00075E67" w:rsidRDefault="005F5DC3" w:rsidP="005F5DC3">
            <w:pPr>
              <w:autoSpaceDE w:val="0"/>
              <w:autoSpaceDN w:val="0"/>
              <w:adjustRightInd w:val="0"/>
              <w:spacing w:after="0" w:line="240" w:lineRule="auto"/>
              <w:rPr>
                <w:rFonts w:cs="Calibri"/>
                <w:b/>
                <w:sz w:val="18"/>
                <w:szCs w:val="18"/>
              </w:rPr>
            </w:pPr>
          </w:p>
        </w:tc>
        <w:tc>
          <w:tcPr>
            <w:tcW w:w="225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Specific Evaluation Question</w:t>
            </w:r>
          </w:p>
          <w:p w:rsidR="005F5DC3" w:rsidRPr="00075E67" w:rsidRDefault="005F5DC3" w:rsidP="005F5DC3">
            <w:pPr>
              <w:autoSpaceDE w:val="0"/>
              <w:autoSpaceDN w:val="0"/>
              <w:adjustRightInd w:val="0"/>
              <w:spacing w:after="0" w:line="240" w:lineRule="auto"/>
              <w:rPr>
                <w:rFonts w:cs="Calibri"/>
                <w:b/>
                <w:sz w:val="18"/>
                <w:szCs w:val="18"/>
              </w:rPr>
            </w:pP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 xml:space="preserve">Indicator </w:t>
            </w:r>
          </w:p>
          <w:p w:rsidR="005F5DC3" w:rsidRPr="00075E67" w:rsidRDefault="005F5DC3" w:rsidP="005F5DC3">
            <w:pPr>
              <w:autoSpaceDE w:val="0"/>
              <w:autoSpaceDN w:val="0"/>
              <w:adjustRightInd w:val="0"/>
              <w:spacing w:after="0" w:line="240" w:lineRule="auto"/>
              <w:rPr>
                <w:rFonts w:cs="Calibri"/>
                <w:b/>
                <w:sz w:val="18"/>
                <w:szCs w:val="18"/>
              </w:rPr>
            </w:pP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 xml:space="preserve">Data Source </w:t>
            </w:r>
          </w:p>
          <w:p w:rsidR="005F5DC3" w:rsidRPr="00075E67" w:rsidRDefault="005F5DC3" w:rsidP="005F5DC3">
            <w:pPr>
              <w:autoSpaceDE w:val="0"/>
              <w:autoSpaceDN w:val="0"/>
              <w:adjustRightInd w:val="0"/>
              <w:spacing w:after="0" w:line="240" w:lineRule="auto"/>
              <w:rPr>
                <w:rFonts w:cs="Calibri"/>
                <w:b/>
                <w:sz w:val="18"/>
                <w:szCs w:val="18"/>
              </w:rPr>
            </w:pP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Data Collection Method</w:t>
            </w:r>
          </w:p>
          <w:p w:rsidR="005F5DC3" w:rsidRPr="00075E67" w:rsidRDefault="005F5DC3" w:rsidP="005F5DC3">
            <w:pPr>
              <w:autoSpaceDE w:val="0"/>
              <w:autoSpaceDN w:val="0"/>
              <w:adjustRightInd w:val="0"/>
              <w:spacing w:after="0" w:line="240" w:lineRule="auto"/>
              <w:rPr>
                <w:rFonts w:cs="Calibri"/>
                <w:b/>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Sampling/</w:t>
            </w:r>
          </w:p>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Selection of Respondents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Method of Data Analysis</w:t>
            </w:r>
          </w:p>
          <w:p w:rsidR="005F5DC3" w:rsidRPr="00075E67" w:rsidRDefault="005F5DC3" w:rsidP="005F5DC3">
            <w:pPr>
              <w:autoSpaceDE w:val="0"/>
              <w:autoSpaceDN w:val="0"/>
              <w:adjustRightInd w:val="0"/>
              <w:spacing w:after="0" w:line="240" w:lineRule="auto"/>
              <w:rPr>
                <w:rFonts w:cs="Calibri"/>
                <w:b/>
                <w:sz w:val="18"/>
                <w:szCs w:val="18"/>
              </w:rPr>
            </w:pP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Limitation/</w:t>
            </w:r>
          </w:p>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Ris</w:t>
            </w:r>
            <w:r>
              <w:rPr>
                <w:rFonts w:cs="Calibri"/>
                <w:b/>
                <w:sz w:val="18"/>
                <w:szCs w:val="18"/>
              </w:rPr>
              <w:t>k</w:t>
            </w:r>
          </w:p>
          <w:p w:rsidR="005F5DC3" w:rsidRPr="00075E67" w:rsidRDefault="005F5DC3" w:rsidP="005F5DC3">
            <w:pPr>
              <w:autoSpaceDE w:val="0"/>
              <w:autoSpaceDN w:val="0"/>
              <w:adjustRightInd w:val="0"/>
              <w:spacing w:after="0" w:line="240" w:lineRule="auto"/>
              <w:rPr>
                <w:rFonts w:cs="Calibri"/>
                <w:b/>
                <w:sz w:val="18"/>
                <w:szCs w:val="18"/>
              </w:rPr>
            </w:pP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rPr>
                <w:rFonts w:cs="Calibri"/>
                <w:b/>
                <w:sz w:val="18"/>
                <w:szCs w:val="18"/>
              </w:rPr>
            </w:pPr>
            <w:r w:rsidRPr="00075E67">
              <w:rPr>
                <w:rFonts w:cs="Calibri"/>
                <w:b/>
                <w:sz w:val="18"/>
                <w:szCs w:val="18"/>
              </w:rPr>
              <w:t>1. To what extent were the relevant programme/project outputs delivered in time and in good quality?</w:t>
            </w:r>
          </w:p>
          <w:p w:rsidR="005F5DC3" w:rsidRPr="00075E67" w:rsidRDefault="005F5DC3" w:rsidP="005F5DC3">
            <w:pPr>
              <w:autoSpaceDE w:val="0"/>
              <w:autoSpaceDN w:val="0"/>
              <w:adjustRightInd w:val="0"/>
              <w:spacing w:after="0" w:line="240" w:lineRule="auto"/>
              <w:rPr>
                <w:rFonts w:cs="Calibri"/>
                <w:b/>
                <w:sz w:val="18"/>
                <w:szCs w:val="18"/>
              </w:rPr>
            </w:pPr>
          </w:p>
        </w:tc>
        <w:tc>
          <w:tcPr>
            <w:tcW w:w="225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1.1 To what extents were the </w:t>
            </w:r>
            <w:r w:rsidRPr="00075E67">
              <w:rPr>
                <w:rFonts w:cs="Calibri"/>
                <w:b/>
                <w:sz w:val="18"/>
                <w:szCs w:val="18"/>
              </w:rPr>
              <w:t>CDMP-II</w:t>
            </w:r>
            <w:r w:rsidRPr="00075E67">
              <w:rPr>
                <w:rFonts w:cs="Calibri"/>
                <w:sz w:val="18"/>
                <w:szCs w:val="18"/>
              </w:rPr>
              <w:t xml:space="preserve"> programme outputs delivered in time and in good quality?</w:t>
            </w:r>
          </w:p>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1.1.1 To what extents were the </w:t>
            </w:r>
            <w:r w:rsidRPr="00075E67">
              <w:rPr>
                <w:rFonts w:cs="Calibri"/>
                <w:b/>
                <w:sz w:val="18"/>
                <w:szCs w:val="18"/>
              </w:rPr>
              <w:t xml:space="preserve">CDMP-IIresilient habitat component </w:t>
            </w:r>
            <w:r w:rsidRPr="00075E67">
              <w:rPr>
                <w:rFonts w:cs="Calibri"/>
                <w:sz w:val="18"/>
                <w:szCs w:val="18"/>
              </w:rPr>
              <w:t>outputs delivered in time and in good quality?</w:t>
            </w: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Potential loss savings (value for money);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degree of duplication and redundancy </w:t>
            </w: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 ; CDMP-II Project Office ;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lac</w:t>
            </w:r>
            <w:r>
              <w:rPr>
                <w:rFonts w:cs="Calibri"/>
                <w:sz w:val="18"/>
                <w:szCs w:val="18"/>
              </w:rPr>
              <w:t>k</w:t>
            </w:r>
            <w:r w:rsidRPr="00075E67">
              <w:rPr>
                <w:rFonts w:cs="Calibri"/>
                <w:sz w:val="18"/>
                <w:szCs w:val="18"/>
              </w:rPr>
              <w:t xml:space="preserve"> of baseline data</w:t>
            </w: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1.1.2 To what extent were  the </w:t>
            </w:r>
            <w:r w:rsidRPr="00075E67">
              <w:rPr>
                <w:rFonts w:cs="Calibri"/>
                <w:b/>
                <w:sz w:val="18"/>
                <w:szCs w:val="18"/>
              </w:rPr>
              <w:t xml:space="preserve">CDMP-IIof water purification plant and water supplycomponent </w:t>
            </w:r>
            <w:r w:rsidRPr="00075E67">
              <w:rPr>
                <w:rFonts w:cs="Calibri"/>
                <w:sz w:val="18"/>
                <w:szCs w:val="18"/>
              </w:rPr>
              <w:t>outputs delivered in time and in good quality</w:t>
            </w: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Number of beneficiaries and percentage of households to the local community;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whether water quality improved;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pre and post intervention cost (installation and maintenance cost)</w:t>
            </w:r>
          </w:p>
          <w:p w:rsidR="005F5DC3" w:rsidRPr="00075E67" w:rsidRDefault="005F5DC3" w:rsidP="005F5DC3">
            <w:pPr>
              <w:autoSpaceDE w:val="0"/>
              <w:autoSpaceDN w:val="0"/>
              <w:adjustRightInd w:val="0"/>
              <w:spacing w:after="0" w:line="240" w:lineRule="auto"/>
              <w:rPr>
                <w:rFonts w:cs="Calibri"/>
                <w:sz w:val="18"/>
                <w:szCs w:val="18"/>
              </w:rPr>
            </w:pP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 ; CDMP-II Project Office ;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lac</w:t>
            </w:r>
            <w:r>
              <w:rPr>
                <w:rFonts w:cs="Calibri"/>
                <w:sz w:val="18"/>
                <w:szCs w:val="18"/>
              </w:rPr>
              <w:t>k</w:t>
            </w:r>
            <w:r w:rsidRPr="00075E67">
              <w:rPr>
                <w:rFonts w:cs="Calibri"/>
                <w:sz w:val="18"/>
                <w:szCs w:val="18"/>
              </w:rPr>
              <w:t xml:space="preserve"> of baseline data</w:t>
            </w: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1.1.3 To what extent were  the </w:t>
            </w:r>
            <w:r w:rsidRPr="00075E67">
              <w:rPr>
                <w:rFonts w:cs="Calibri"/>
                <w:b/>
                <w:sz w:val="18"/>
                <w:szCs w:val="18"/>
              </w:rPr>
              <w:t>CDMP-IIurban ris</w:t>
            </w:r>
            <w:r>
              <w:rPr>
                <w:rFonts w:cs="Calibri"/>
                <w:b/>
                <w:sz w:val="18"/>
                <w:szCs w:val="18"/>
              </w:rPr>
              <w:t>k</w:t>
            </w:r>
            <w:r w:rsidRPr="00075E67">
              <w:rPr>
                <w:rFonts w:cs="Calibri"/>
                <w:b/>
                <w:sz w:val="18"/>
                <w:szCs w:val="18"/>
              </w:rPr>
              <w:t xml:space="preserve"> reduction and volunteer mobilizationcomponent </w:t>
            </w:r>
            <w:r w:rsidRPr="00075E67">
              <w:rPr>
                <w:rFonts w:cs="Calibri"/>
                <w:sz w:val="18"/>
                <w:szCs w:val="18"/>
              </w:rPr>
              <w:t>outputs delivered in time and in good quality</w:t>
            </w:r>
          </w:p>
          <w:p w:rsidR="005F5DC3" w:rsidRPr="00075E67" w:rsidRDefault="005F5DC3" w:rsidP="005F5DC3">
            <w:pPr>
              <w:autoSpaceDE w:val="0"/>
              <w:autoSpaceDN w:val="0"/>
              <w:adjustRightInd w:val="0"/>
              <w:spacing w:after="0" w:line="240" w:lineRule="auto"/>
              <w:rPr>
                <w:rFonts w:cs="Calibri"/>
                <w:sz w:val="18"/>
                <w:szCs w:val="18"/>
              </w:rPr>
            </w:pP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loss savings from quic</w:t>
            </w:r>
            <w:r>
              <w:rPr>
                <w:rFonts w:cs="Calibri"/>
                <w:sz w:val="18"/>
                <w:szCs w:val="18"/>
              </w:rPr>
              <w:t>k</w:t>
            </w:r>
            <w:r w:rsidRPr="00075E67">
              <w:rPr>
                <w:rFonts w:cs="Calibri"/>
                <w:sz w:val="18"/>
                <w:szCs w:val="18"/>
              </w:rPr>
              <w:t xml:space="preserve"> recovery</w:t>
            </w: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 ; CDMP-II Project Office ;</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Secondary (Data base, reports);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N/A</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Lac</w:t>
            </w:r>
            <w:r>
              <w:rPr>
                <w:rFonts w:cs="Calibri"/>
                <w:sz w:val="18"/>
                <w:szCs w:val="18"/>
              </w:rPr>
              <w:t>k</w:t>
            </w:r>
            <w:r w:rsidRPr="00075E67">
              <w:rPr>
                <w:rFonts w:cs="Calibri"/>
                <w:sz w:val="18"/>
                <w:szCs w:val="18"/>
              </w:rPr>
              <w:t xml:space="preserve"> of real time data</w:t>
            </w: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1.1.4 To what extents were the </w:t>
            </w:r>
            <w:r w:rsidRPr="00075E67">
              <w:rPr>
                <w:rFonts w:cs="Calibri"/>
                <w:b/>
                <w:sz w:val="18"/>
                <w:szCs w:val="18"/>
              </w:rPr>
              <w:t xml:space="preserve">CDMP-IIcell-based </w:t>
            </w:r>
            <w:r w:rsidRPr="00075E67">
              <w:rPr>
                <w:rFonts w:cs="Calibri"/>
                <w:b/>
                <w:sz w:val="18"/>
                <w:szCs w:val="18"/>
              </w:rPr>
              <w:lastRenderedPageBreak/>
              <w:t xml:space="preserve">early warning system component </w:t>
            </w:r>
            <w:r w:rsidRPr="00075E67">
              <w:rPr>
                <w:rFonts w:cs="Calibri"/>
                <w:sz w:val="18"/>
                <w:szCs w:val="18"/>
              </w:rPr>
              <w:t>outputs delivered in time and in good quality?</w:t>
            </w:r>
          </w:p>
          <w:p w:rsidR="005F5DC3" w:rsidRPr="00075E67" w:rsidRDefault="005F5DC3" w:rsidP="005F5DC3">
            <w:pPr>
              <w:autoSpaceDE w:val="0"/>
              <w:autoSpaceDN w:val="0"/>
              <w:adjustRightInd w:val="0"/>
              <w:spacing w:after="0" w:line="240" w:lineRule="auto"/>
              <w:rPr>
                <w:rFonts w:cs="Calibri"/>
                <w:sz w:val="18"/>
                <w:szCs w:val="18"/>
              </w:rPr>
            </w:pP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Potential loss savings</w:t>
            </w: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UNDP Country Office ; CDMP-II </w:t>
            </w:r>
            <w:r w:rsidRPr="00075E67">
              <w:rPr>
                <w:rFonts w:cs="Calibri"/>
                <w:sz w:val="18"/>
                <w:szCs w:val="18"/>
              </w:rPr>
              <w:lastRenderedPageBreak/>
              <w:t>Project Office ;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 xml:space="preserve">Secondary (Data base, </w:t>
            </w:r>
            <w:r w:rsidRPr="00075E67">
              <w:rPr>
                <w:rFonts w:cs="Calibri"/>
                <w:sz w:val="18"/>
                <w:szCs w:val="18"/>
              </w:rPr>
              <w:lastRenderedPageBreak/>
              <w:t xml:space="preserve">reports); Primary (FGDs, </w:t>
            </w:r>
            <w:r>
              <w:rPr>
                <w:rFonts w:cs="Calibri"/>
                <w:sz w:val="18"/>
                <w:szCs w:val="18"/>
              </w:rPr>
              <w:t>K</w:t>
            </w:r>
            <w:r w:rsidRPr="00075E67">
              <w:rPr>
                <w:rFonts w:cs="Calibri"/>
                <w:sz w:val="18"/>
                <w:szCs w:val="18"/>
              </w:rPr>
              <w:t>IIs, Case studies)</w:t>
            </w:r>
          </w:p>
          <w:p w:rsidR="005F5DC3" w:rsidRPr="00075E67" w:rsidRDefault="005F5DC3" w:rsidP="005F5DC3">
            <w:pPr>
              <w:autoSpaceDE w:val="0"/>
              <w:autoSpaceDN w:val="0"/>
              <w:adjustRightInd w:val="0"/>
              <w:spacing w:after="0" w:line="240" w:lineRule="auto"/>
              <w:rPr>
                <w:rFonts w:cs="Calibri"/>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Quantitative and </w:t>
            </w:r>
            <w:r w:rsidRPr="00075E67">
              <w:rPr>
                <w:rFonts w:cs="Calibri"/>
                <w:sz w:val="18"/>
                <w:szCs w:val="18"/>
              </w:rPr>
              <w:lastRenderedPageBreak/>
              <w:t>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Data limitation</w:t>
            </w: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lastRenderedPageBreak/>
              <w:t xml:space="preserve">1.2 To what extents were the </w:t>
            </w:r>
            <w:r w:rsidRPr="00C72258">
              <w:rPr>
                <w:rFonts w:cs="Calibri"/>
                <w:b/>
                <w:sz w:val="18"/>
                <w:szCs w:val="18"/>
              </w:rPr>
              <w:t>ERF programme</w:t>
            </w:r>
            <w:r w:rsidRPr="00075E67">
              <w:rPr>
                <w:rFonts w:cs="Calibri"/>
                <w:sz w:val="18"/>
                <w:szCs w:val="18"/>
              </w:rPr>
              <w:t xml:space="preserve"> outputs delivered in time and in good quality?</w:t>
            </w:r>
          </w:p>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1.2.1 To what extent were the </w:t>
            </w:r>
            <w:r w:rsidRPr="00075E67">
              <w:rPr>
                <w:rFonts w:cs="Calibri"/>
                <w:b/>
                <w:sz w:val="18"/>
                <w:szCs w:val="18"/>
              </w:rPr>
              <w:t xml:space="preserve">ERF’s restarting Income Generating Activities of HH with cash and materials (IGA) component </w:t>
            </w:r>
            <w:r w:rsidRPr="00075E67">
              <w:rPr>
                <w:rFonts w:cs="Calibri"/>
                <w:sz w:val="18"/>
                <w:szCs w:val="18"/>
              </w:rPr>
              <w:t>outputs delivered in time and in good quality?</w:t>
            </w:r>
          </w:p>
          <w:p w:rsidR="005F5DC3" w:rsidRPr="00075E67" w:rsidRDefault="005F5DC3" w:rsidP="005F5DC3">
            <w:pPr>
              <w:autoSpaceDE w:val="0"/>
              <w:autoSpaceDN w:val="0"/>
              <w:adjustRightInd w:val="0"/>
              <w:spacing w:after="0" w:line="240" w:lineRule="auto"/>
              <w:rPr>
                <w:rFonts w:cs="Calibri"/>
                <w:sz w:val="18"/>
                <w:szCs w:val="18"/>
              </w:rPr>
            </w:pP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Duration of delivery (after how many days the cash and materials were supplied after the disaster event);</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 level of satisfaction</w:t>
            </w: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Field Study in Shyamnagar;  ERF Project office, UNDP; </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Primary (FGDs, </w:t>
            </w:r>
            <w:r>
              <w:rPr>
                <w:rFonts w:cs="Calibri"/>
                <w:sz w:val="18"/>
                <w:szCs w:val="18"/>
              </w:rPr>
              <w:t>K</w:t>
            </w:r>
            <w:r w:rsidRPr="00075E67">
              <w:rPr>
                <w:rFonts w:cs="Calibri"/>
                <w:sz w:val="18"/>
                <w:szCs w:val="18"/>
              </w:rPr>
              <w:t xml:space="preserve">IIs, Case studies); Secondary (Data base, reports); </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deficiency in baseline data</w:t>
            </w: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1.2.2 To what extent were the </w:t>
            </w:r>
            <w:r w:rsidRPr="00075E67">
              <w:rPr>
                <w:rFonts w:cs="Calibri"/>
                <w:b/>
                <w:sz w:val="18"/>
                <w:szCs w:val="18"/>
              </w:rPr>
              <w:t xml:space="preserve">ERF’s construction and reconstruction of Emergency Shelter (ES) component </w:t>
            </w:r>
            <w:r w:rsidRPr="00075E67">
              <w:rPr>
                <w:rFonts w:cs="Calibri"/>
                <w:sz w:val="18"/>
                <w:szCs w:val="18"/>
              </w:rPr>
              <w:t>outputs delivered in time and in good quality?</w:t>
            </w:r>
          </w:p>
          <w:p w:rsidR="005F5DC3" w:rsidRPr="00075E67" w:rsidRDefault="005F5DC3" w:rsidP="005F5DC3">
            <w:pPr>
              <w:autoSpaceDE w:val="0"/>
              <w:autoSpaceDN w:val="0"/>
              <w:adjustRightInd w:val="0"/>
              <w:spacing w:after="0" w:line="240" w:lineRule="auto"/>
              <w:rPr>
                <w:rFonts w:cs="Calibri"/>
                <w:sz w:val="18"/>
                <w:szCs w:val="18"/>
              </w:rPr>
            </w:pP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Capacity to withstand severe cyclone and storm surges; when the ES was built-was it before a major disaster or after</w:t>
            </w: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Field Study in Shyamnagar; ERF Project office, UNDP; </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Primary (FGDs, </w:t>
            </w:r>
            <w:r>
              <w:rPr>
                <w:rFonts w:cs="Calibri"/>
                <w:sz w:val="18"/>
                <w:szCs w:val="18"/>
              </w:rPr>
              <w:t>K</w:t>
            </w:r>
            <w:r w:rsidRPr="00075E67">
              <w:rPr>
                <w:rFonts w:cs="Calibri"/>
                <w:sz w:val="18"/>
                <w:szCs w:val="18"/>
              </w:rPr>
              <w:t xml:space="preserve">IIs, Case studies); Secondary (Data base, reports); </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deficiency in baseline data</w:t>
            </w: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1.3 To what extents were the </w:t>
            </w:r>
            <w:r w:rsidRPr="00075E67">
              <w:rPr>
                <w:rFonts w:cs="Calibri"/>
                <w:b/>
                <w:sz w:val="18"/>
                <w:szCs w:val="18"/>
              </w:rPr>
              <w:t>afforestation component</w:t>
            </w:r>
            <w:r w:rsidRPr="00075E67">
              <w:rPr>
                <w:rFonts w:cs="Calibri"/>
                <w:sz w:val="18"/>
                <w:szCs w:val="18"/>
              </w:rPr>
              <w:t xml:space="preserve"> programme outputs delivered in time and in good quality?</w:t>
            </w:r>
          </w:p>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1.3.1 To what extents were the </w:t>
            </w:r>
            <w:r w:rsidRPr="00075E67">
              <w:rPr>
                <w:rFonts w:cs="Calibri"/>
                <w:b/>
                <w:sz w:val="18"/>
                <w:szCs w:val="18"/>
              </w:rPr>
              <w:t>afforestation component</w:t>
            </w:r>
            <w:r w:rsidRPr="00075E67">
              <w:rPr>
                <w:rFonts w:cs="Calibri"/>
                <w:sz w:val="18"/>
                <w:szCs w:val="18"/>
              </w:rPr>
              <w:t xml:space="preserve"> outputs delivered in time and in good quality?</w:t>
            </w:r>
          </w:p>
          <w:p w:rsidR="005F5DC3" w:rsidRPr="00075E67" w:rsidRDefault="005F5DC3" w:rsidP="005F5DC3">
            <w:pPr>
              <w:pStyle w:val="ListParagraph"/>
              <w:spacing w:after="0" w:line="240" w:lineRule="auto"/>
              <w:ind w:left="0"/>
              <w:rPr>
                <w:rFonts w:cs="Calibri"/>
                <w:sz w:val="18"/>
                <w:szCs w:val="18"/>
              </w:rPr>
            </w:pPr>
          </w:p>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1.3.2 To what extent were the </w:t>
            </w:r>
            <w:r w:rsidRPr="00075E67">
              <w:rPr>
                <w:rFonts w:cs="Calibri"/>
                <w:b/>
                <w:sz w:val="18"/>
                <w:szCs w:val="18"/>
              </w:rPr>
              <w:t>FFF</w:t>
            </w:r>
            <w:r w:rsidRPr="00075E67">
              <w:rPr>
                <w:rFonts w:cs="Calibri"/>
                <w:sz w:val="18"/>
                <w:szCs w:val="18"/>
              </w:rPr>
              <w:t xml:space="preserve"> outputs delivered in time and in good quality?</w:t>
            </w:r>
          </w:p>
          <w:p w:rsidR="005F5DC3" w:rsidRPr="00075E67" w:rsidRDefault="005F5DC3" w:rsidP="005F5DC3">
            <w:pPr>
              <w:pStyle w:val="ListParagraph"/>
              <w:spacing w:after="0" w:line="240" w:lineRule="auto"/>
              <w:ind w:left="0"/>
              <w:rPr>
                <w:rFonts w:cs="Calibri"/>
                <w:sz w:val="18"/>
                <w:szCs w:val="18"/>
              </w:rPr>
            </w:pPr>
          </w:p>
          <w:p w:rsidR="005F5DC3" w:rsidRPr="00075E67" w:rsidRDefault="005F5DC3" w:rsidP="005F5DC3">
            <w:pPr>
              <w:pStyle w:val="ListParagraph"/>
              <w:spacing w:after="0" w:line="240" w:lineRule="auto"/>
              <w:ind w:left="0"/>
              <w:rPr>
                <w:rFonts w:cs="Calibri"/>
                <w:sz w:val="18"/>
                <w:szCs w:val="18"/>
              </w:rPr>
            </w:pP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Degree of target fulfilment</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Number of beneficiaries, training and trainers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of  beneficiary households to the local community</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Pre and post intervention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HH Income</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Contribution of Project in potential income enhancement </w:t>
            </w:r>
          </w:p>
          <w:p w:rsidR="005F5DC3" w:rsidRPr="00075E67" w:rsidRDefault="005F5DC3" w:rsidP="005F5DC3">
            <w:pPr>
              <w:autoSpaceDE w:val="0"/>
              <w:autoSpaceDN w:val="0"/>
              <w:adjustRightInd w:val="0"/>
              <w:spacing w:after="0" w:line="240" w:lineRule="auto"/>
              <w:rPr>
                <w:rFonts w:cs="Calibri"/>
                <w:sz w:val="18"/>
                <w:szCs w:val="18"/>
              </w:rPr>
            </w:pP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FD</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Project Office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 Field Study </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Interviews,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FGDs,</w:t>
            </w:r>
          </w:p>
          <w:p w:rsidR="005F5DC3" w:rsidRPr="00075E67" w:rsidRDefault="005F5DC3" w:rsidP="005F5DC3">
            <w:pPr>
              <w:autoSpaceDE w:val="0"/>
              <w:autoSpaceDN w:val="0"/>
              <w:adjustRightInd w:val="0"/>
              <w:spacing w:after="0" w:line="240" w:lineRule="auto"/>
              <w:rPr>
                <w:rFonts w:cs="Calibri"/>
                <w:sz w:val="18"/>
                <w:szCs w:val="18"/>
              </w:rPr>
            </w:pPr>
            <w:r>
              <w:rPr>
                <w:rFonts w:cs="Calibri"/>
                <w:sz w:val="18"/>
                <w:szCs w:val="18"/>
              </w:rPr>
              <w:t>K</w:t>
            </w:r>
            <w:r w:rsidRPr="00075E67">
              <w:rPr>
                <w:rFonts w:cs="Calibri"/>
                <w:sz w:val="18"/>
                <w:szCs w:val="18"/>
              </w:rPr>
              <w:t>IIs,</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lac</w:t>
            </w:r>
            <w:r>
              <w:rPr>
                <w:rFonts w:cs="Calibri"/>
                <w:sz w:val="18"/>
                <w:szCs w:val="18"/>
              </w:rPr>
              <w:t>k</w:t>
            </w:r>
            <w:r w:rsidRPr="00075E67">
              <w:rPr>
                <w:rFonts w:cs="Calibri"/>
                <w:sz w:val="18"/>
                <w:szCs w:val="18"/>
              </w:rPr>
              <w:t xml:space="preserve"> of baseline data</w:t>
            </w: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jc w:val="both"/>
              <w:rPr>
                <w:rFonts w:cs="Calibri"/>
                <w:sz w:val="18"/>
                <w:szCs w:val="18"/>
              </w:rPr>
            </w:pPr>
            <w:r w:rsidRPr="00075E67">
              <w:rPr>
                <w:rFonts w:cs="Calibri"/>
                <w:sz w:val="18"/>
                <w:szCs w:val="18"/>
              </w:rPr>
              <w:t xml:space="preserve">1.4 To what extent were the </w:t>
            </w:r>
            <w:r w:rsidRPr="00075E67">
              <w:rPr>
                <w:rFonts w:cs="Calibri"/>
                <w:b/>
                <w:sz w:val="18"/>
                <w:szCs w:val="18"/>
              </w:rPr>
              <w:t>PECM Programme</w:t>
            </w:r>
            <w:r w:rsidRPr="00075E67">
              <w:rPr>
                <w:rFonts w:cs="Calibri"/>
                <w:sz w:val="18"/>
                <w:szCs w:val="18"/>
              </w:rPr>
              <w:t xml:space="preserve"> outputs delivered in time and in good quality?</w:t>
            </w:r>
          </w:p>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lastRenderedPageBreak/>
              <w:t xml:space="preserve">1.4.1 To what extent were the </w:t>
            </w:r>
            <w:r w:rsidRPr="00075E67">
              <w:rPr>
                <w:rFonts w:cs="Calibri"/>
                <w:b/>
                <w:sz w:val="18"/>
                <w:szCs w:val="18"/>
              </w:rPr>
              <w:t>CPEIR</w:t>
            </w:r>
            <w:r w:rsidRPr="00075E67">
              <w:rPr>
                <w:rFonts w:cs="Calibri"/>
                <w:sz w:val="18"/>
                <w:szCs w:val="18"/>
              </w:rPr>
              <w:t xml:space="preserve"> outputs delivered in time and in good quality?</w:t>
            </w: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Time and target of Study completed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No of policy changes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No of recommendations addressed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Degree of influence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b/>
                <w:sz w:val="18"/>
                <w:szCs w:val="18"/>
              </w:rPr>
              <w:t>[Low-</w:t>
            </w:r>
            <w:r w:rsidRPr="00075E67">
              <w:rPr>
                <w:rFonts w:cs="Calibri"/>
                <w:sz w:val="18"/>
                <w:szCs w:val="18"/>
              </w:rPr>
              <w:t xml:space="preserve"> Issues related to CPEIR little or not  ta</w:t>
            </w:r>
            <w:r>
              <w:rPr>
                <w:rFonts w:cs="Calibri"/>
                <w:sz w:val="18"/>
                <w:szCs w:val="18"/>
              </w:rPr>
              <w:t>k</w:t>
            </w:r>
            <w:r w:rsidRPr="00075E67">
              <w:rPr>
                <w:rFonts w:cs="Calibri"/>
                <w:sz w:val="18"/>
                <w:szCs w:val="18"/>
              </w:rPr>
              <w:t xml:space="preserve">en into consideration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b/>
                <w:sz w:val="18"/>
                <w:szCs w:val="18"/>
              </w:rPr>
              <w:t xml:space="preserve">Moderate </w:t>
            </w:r>
            <w:r w:rsidRPr="00075E67">
              <w:rPr>
                <w:rFonts w:cs="Calibri"/>
                <w:sz w:val="18"/>
                <w:szCs w:val="18"/>
              </w:rPr>
              <w:t xml:space="preserve"> owned by several sectors</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b/>
                <w:sz w:val="18"/>
                <w:szCs w:val="18"/>
              </w:rPr>
              <w:t>High-</w:t>
            </w:r>
            <w:r w:rsidRPr="00075E67">
              <w:rPr>
                <w:rFonts w:cs="Calibri"/>
                <w:sz w:val="18"/>
                <w:szCs w:val="18"/>
              </w:rPr>
              <w:t xml:space="preserve">follow-up recommendations implemented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b/>
                <w:sz w:val="18"/>
                <w:szCs w:val="18"/>
              </w:rPr>
              <w:t>Very high</w:t>
            </w:r>
            <w:r w:rsidRPr="00075E67">
              <w:rPr>
                <w:rFonts w:cs="Calibri"/>
                <w:sz w:val="18"/>
                <w:szCs w:val="18"/>
              </w:rPr>
              <w:t>- Investment in CC/DRR has increased]</w:t>
            </w:r>
          </w:p>
          <w:p w:rsidR="005F5DC3" w:rsidRPr="00075E67" w:rsidRDefault="005F5DC3" w:rsidP="005F5DC3">
            <w:pPr>
              <w:autoSpaceDE w:val="0"/>
              <w:autoSpaceDN w:val="0"/>
              <w:adjustRightInd w:val="0"/>
              <w:spacing w:after="0" w:line="240" w:lineRule="auto"/>
              <w:rPr>
                <w:rFonts w:cs="Calibri"/>
                <w:sz w:val="18"/>
                <w:szCs w:val="18"/>
              </w:rPr>
            </w:pP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 xml:space="preserve">UNDP Country Office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FD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Project Office Field </w:t>
            </w:r>
            <w:r w:rsidRPr="00075E67">
              <w:rPr>
                <w:rFonts w:cs="Calibri"/>
                <w:sz w:val="18"/>
                <w:szCs w:val="18"/>
              </w:rPr>
              <w:lastRenderedPageBreak/>
              <w:t>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 xml:space="preserve">Secondary (Data base, reports);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Interviews </w:t>
            </w:r>
          </w:p>
          <w:p w:rsidR="005F5DC3" w:rsidRPr="00075E67" w:rsidRDefault="005F5DC3" w:rsidP="005F5DC3">
            <w:pPr>
              <w:autoSpaceDE w:val="0"/>
              <w:autoSpaceDN w:val="0"/>
              <w:adjustRightInd w:val="0"/>
              <w:spacing w:after="0" w:line="240" w:lineRule="auto"/>
              <w:rPr>
                <w:rFonts w:cs="Calibri"/>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lac</w:t>
            </w:r>
            <w:r>
              <w:rPr>
                <w:rFonts w:cs="Calibri"/>
                <w:sz w:val="18"/>
                <w:szCs w:val="18"/>
              </w:rPr>
              <w:t>k</w:t>
            </w:r>
            <w:r w:rsidRPr="00075E67">
              <w:rPr>
                <w:rFonts w:cs="Calibri"/>
                <w:sz w:val="18"/>
                <w:szCs w:val="18"/>
              </w:rPr>
              <w:t xml:space="preserve"> of baseline data</w:t>
            </w: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rPr>
                <w:rFonts w:cs="Calibri"/>
                <w:b/>
                <w:sz w:val="18"/>
                <w:szCs w:val="18"/>
              </w:rPr>
            </w:pPr>
            <w:r w:rsidRPr="00075E67">
              <w:rPr>
                <w:rFonts w:cs="Calibri"/>
                <w:b/>
                <w:sz w:val="18"/>
                <w:szCs w:val="18"/>
              </w:rPr>
              <w:lastRenderedPageBreak/>
              <w:t>2. To what extent did UNDP ensure value for money?</w:t>
            </w:r>
          </w:p>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2.1 To what extent did </w:t>
            </w:r>
            <w:r w:rsidRPr="00075E67">
              <w:rPr>
                <w:rFonts w:cs="Calibri"/>
                <w:b/>
                <w:sz w:val="18"/>
                <w:szCs w:val="18"/>
              </w:rPr>
              <w:t>CDMP-II</w:t>
            </w:r>
            <w:r w:rsidRPr="00075E67">
              <w:rPr>
                <w:rFonts w:cs="Calibri"/>
                <w:sz w:val="18"/>
                <w:szCs w:val="18"/>
              </w:rPr>
              <w:t xml:space="preserve"> ensure value for money?</w:t>
            </w:r>
          </w:p>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2.1.1 To what extent did </w:t>
            </w:r>
            <w:r w:rsidRPr="00075E67">
              <w:rPr>
                <w:rFonts w:cs="Calibri"/>
                <w:b/>
                <w:sz w:val="18"/>
                <w:szCs w:val="18"/>
              </w:rPr>
              <w:t xml:space="preserve">CDMP-IIresilient habitat component </w:t>
            </w:r>
            <w:r w:rsidRPr="00075E67">
              <w:rPr>
                <w:rFonts w:cs="Calibri"/>
                <w:sz w:val="18"/>
                <w:szCs w:val="18"/>
              </w:rPr>
              <w:t>ensure value for money?</w:t>
            </w: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value for money</w:t>
            </w: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 ; CDMP-II Project Office ;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Data limitation</w:t>
            </w: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2.1.2 To what extent did </w:t>
            </w:r>
            <w:r w:rsidRPr="00075E67">
              <w:rPr>
                <w:rFonts w:cs="Calibri"/>
                <w:b/>
                <w:sz w:val="18"/>
                <w:szCs w:val="18"/>
              </w:rPr>
              <w:t xml:space="preserve">CDMP-IIwater purification plant and water supplycomponent </w:t>
            </w:r>
            <w:r w:rsidRPr="00075E67">
              <w:rPr>
                <w:rFonts w:cs="Calibri"/>
                <w:sz w:val="18"/>
                <w:szCs w:val="18"/>
              </w:rPr>
              <w:t>ensure value for money?</w:t>
            </w: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value for money</w:t>
            </w: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 ; CDMP-II Project Office ;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Data limitation</w:t>
            </w: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2.1. 3 To what extent did </w:t>
            </w:r>
            <w:r w:rsidRPr="00075E67">
              <w:rPr>
                <w:rFonts w:cs="Calibri"/>
                <w:b/>
                <w:sz w:val="18"/>
                <w:szCs w:val="18"/>
              </w:rPr>
              <w:t>CDMP-IIurban ris</w:t>
            </w:r>
            <w:r>
              <w:rPr>
                <w:rFonts w:cs="Calibri"/>
                <w:b/>
                <w:sz w:val="18"/>
                <w:szCs w:val="18"/>
              </w:rPr>
              <w:t>k</w:t>
            </w:r>
            <w:r w:rsidRPr="00075E67">
              <w:rPr>
                <w:rFonts w:cs="Calibri"/>
                <w:b/>
                <w:sz w:val="18"/>
                <w:szCs w:val="18"/>
              </w:rPr>
              <w:t xml:space="preserve"> reduction and volunteer mobilization</w:t>
            </w:r>
            <w:r w:rsidRPr="00075E67">
              <w:rPr>
                <w:rFonts w:cs="Calibri"/>
                <w:sz w:val="18"/>
                <w:szCs w:val="18"/>
              </w:rPr>
              <w:t xml:space="preserve"> ensure value for money?</w:t>
            </w: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value for money</w:t>
            </w: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 ; CDMP-II Project Office ;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Data limitation</w:t>
            </w: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2.1.4 To what extent did </w:t>
            </w:r>
            <w:r w:rsidRPr="00075E67">
              <w:rPr>
                <w:rFonts w:cs="Calibri"/>
                <w:b/>
                <w:sz w:val="18"/>
                <w:szCs w:val="18"/>
              </w:rPr>
              <w:t xml:space="preserve">CDMP-IIcell-based early </w:t>
            </w:r>
            <w:r w:rsidRPr="00075E67">
              <w:rPr>
                <w:rFonts w:cs="Calibri"/>
                <w:b/>
                <w:sz w:val="18"/>
                <w:szCs w:val="18"/>
              </w:rPr>
              <w:lastRenderedPageBreak/>
              <w:t xml:space="preserve">warning system component </w:t>
            </w:r>
            <w:r w:rsidRPr="00075E67">
              <w:rPr>
                <w:rFonts w:cs="Calibri"/>
                <w:sz w:val="18"/>
                <w:szCs w:val="18"/>
              </w:rPr>
              <w:t>ensure value for money?</w:t>
            </w: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value for money</w:t>
            </w: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UNDP Country Office ; CDMP-II </w:t>
            </w:r>
            <w:r w:rsidRPr="00075E67">
              <w:rPr>
                <w:rFonts w:cs="Calibri"/>
                <w:sz w:val="18"/>
                <w:szCs w:val="18"/>
              </w:rPr>
              <w:lastRenderedPageBreak/>
              <w:t>Project Office ;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 xml:space="preserve">Secondary (Data base, </w:t>
            </w:r>
            <w:r w:rsidRPr="00075E67">
              <w:rPr>
                <w:rFonts w:cs="Calibri"/>
                <w:sz w:val="18"/>
                <w:szCs w:val="18"/>
              </w:rPr>
              <w:lastRenderedPageBreak/>
              <w:t xml:space="preserve">reports); Primary (FGDs, </w:t>
            </w:r>
            <w:r>
              <w:rPr>
                <w:rFonts w:cs="Calibri"/>
                <w:sz w:val="18"/>
                <w:szCs w:val="18"/>
              </w:rPr>
              <w:t>K</w:t>
            </w:r>
            <w:r w:rsidRPr="00075E67">
              <w:rPr>
                <w:rFonts w:cs="Calibri"/>
                <w:sz w:val="18"/>
                <w:szCs w:val="18"/>
              </w:rPr>
              <w:t>IIs, 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Quantitative and </w:t>
            </w:r>
            <w:r w:rsidRPr="00075E67">
              <w:rPr>
                <w:rFonts w:cs="Calibri"/>
                <w:sz w:val="18"/>
                <w:szCs w:val="18"/>
              </w:rPr>
              <w:lastRenderedPageBreak/>
              <w:t>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Data limitation</w:t>
            </w: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lastRenderedPageBreak/>
              <w:t xml:space="preserve">2.2 To what extent did </w:t>
            </w:r>
            <w:r w:rsidRPr="00075E67">
              <w:rPr>
                <w:rFonts w:cs="Calibri"/>
                <w:b/>
                <w:sz w:val="18"/>
                <w:szCs w:val="18"/>
              </w:rPr>
              <w:t>ERF</w:t>
            </w:r>
            <w:r w:rsidRPr="00075E67">
              <w:rPr>
                <w:rFonts w:cs="Calibri"/>
                <w:sz w:val="18"/>
                <w:szCs w:val="18"/>
              </w:rPr>
              <w:t xml:space="preserve"> program ensure value for money?</w:t>
            </w:r>
          </w:p>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2.2.1 To what extent did ERF’s</w:t>
            </w:r>
            <w:r w:rsidRPr="00075E67">
              <w:rPr>
                <w:rFonts w:cs="Calibri"/>
                <w:b/>
                <w:sz w:val="18"/>
                <w:szCs w:val="18"/>
              </w:rPr>
              <w:t xml:space="preserve"> restarting Income Generating Activities of HH with cash and materials (IGA) </w:t>
            </w:r>
            <w:r w:rsidRPr="00075E67">
              <w:rPr>
                <w:rFonts w:cs="Calibri"/>
                <w:sz w:val="18"/>
                <w:szCs w:val="18"/>
              </w:rPr>
              <w:t>componentensure value for money?</w:t>
            </w:r>
          </w:p>
          <w:p w:rsidR="005F5DC3" w:rsidRPr="00075E67" w:rsidRDefault="005F5DC3" w:rsidP="005F5DC3">
            <w:pPr>
              <w:autoSpaceDE w:val="0"/>
              <w:autoSpaceDN w:val="0"/>
              <w:adjustRightInd w:val="0"/>
              <w:spacing w:after="0" w:line="240" w:lineRule="auto"/>
              <w:rPr>
                <w:rFonts w:cs="Calibri"/>
                <w:sz w:val="18"/>
                <w:szCs w:val="18"/>
              </w:rPr>
            </w:pP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lives and assets saved</w:t>
            </w: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ERF Project office, UNDP; Field Study in Shyamnagar</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deficiency in baseline data</w:t>
            </w: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2.2.2 To what extent did ERF’s</w:t>
            </w:r>
            <w:r w:rsidRPr="00075E67">
              <w:rPr>
                <w:rFonts w:cs="Calibri"/>
                <w:b/>
                <w:sz w:val="18"/>
                <w:szCs w:val="18"/>
              </w:rPr>
              <w:t xml:space="preserve"> construction and reconstruction of Emergency Shelter (ES) </w:t>
            </w:r>
            <w:r w:rsidRPr="00075E67">
              <w:rPr>
                <w:rFonts w:cs="Calibri"/>
                <w:sz w:val="18"/>
                <w:szCs w:val="18"/>
              </w:rPr>
              <w:t>componentensure value for money?</w:t>
            </w: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lives and assets saved</w:t>
            </w: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ERF Project office, UNDP; Field Study in Shyamnagar</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deficiency in baseline data</w:t>
            </w: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2.3 To what extent did </w:t>
            </w:r>
            <w:r w:rsidRPr="00075E67">
              <w:rPr>
                <w:rFonts w:cs="Calibri"/>
                <w:b/>
                <w:sz w:val="18"/>
                <w:szCs w:val="18"/>
              </w:rPr>
              <w:t>coastal afforestationproject</w:t>
            </w:r>
            <w:r w:rsidRPr="00075E67">
              <w:rPr>
                <w:rFonts w:cs="Calibri"/>
                <w:sz w:val="18"/>
                <w:szCs w:val="18"/>
              </w:rPr>
              <w:t xml:space="preserve"> ensure value for money?</w:t>
            </w:r>
          </w:p>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2.3.1 To what extent were the </w:t>
            </w:r>
            <w:r w:rsidRPr="00075E67">
              <w:rPr>
                <w:rFonts w:cs="Calibri"/>
                <w:b/>
                <w:sz w:val="18"/>
                <w:szCs w:val="18"/>
              </w:rPr>
              <w:t>coastal afforestation component</w:t>
            </w:r>
            <w:r w:rsidRPr="00075E67">
              <w:rPr>
                <w:rFonts w:cs="Calibri"/>
                <w:sz w:val="18"/>
                <w:szCs w:val="18"/>
              </w:rPr>
              <w:t xml:space="preserve"> outputs ensured value for money?</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2.3.2 To what extent were the </w:t>
            </w:r>
            <w:r w:rsidRPr="00075E67">
              <w:rPr>
                <w:rFonts w:cs="Calibri"/>
                <w:b/>
                <w:sz w:val="18"/>
                <w:szCs w:val="18"/>
              </w:rPr>
              <w:t>FFF</w:t>
            </w:r>
            <w:r w:rsidRPr="00075E67">
              <w:rPr>
                <w:rFonts w:cs="Calibri"/>
                <w:sz w:val="18"/>
                <w:szCs w:val="18"/>
              </w:rPr>
              <w:t xml:space="preserve"> outputs ensured value for money?</w:t>
            </w:r>
          </w:p>
          <w:p w:rsidR="005F5DC3" w:rsidRPr="00075E67" w:rsidRDefault="005F5DC3" w:rsidP="005F5DC3">
            <w:pPr>
              <w:autoSpaceDE w:val="0"/>
              <w:autoSpaceDN w:val="0"/>
              <w:adjustRightInd w:val="0"/>
              <w:spacing w:after="0" w:line="240" w:lineRule="auto"/>
              <w:rPr>
                <w:rFonts w:cs="Calibri"/>
                <w:sz w:val="18"/>
                <w:szCs w:val="18"/>
              </w:rPr>
            </w:pP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Value for money-Value of produce &amp; cost of activity</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 (Cost benefit)</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Attribution of the Project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Value for money-Value of produce &amp; cost of activity</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 (Cost benefit)</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Attribution of the Project </w:t>
            </w:r>
          </w:p>
          <w:p w:rsidR="005F5DC3" w:rsidRPr="00075E67" w:rsidRDefault="005F5DC3" w:rsidP="005F5DC3">
            <w:pPr>
              <w:autoSpaceDE w:val="0"/>
              <w:autoSpaceDN w:val="0"/>
              <w:adjustRightInd w:val="0"/>
              <w:spacing w:after="0" w:line="240" w:lineRule="auto"/>
              <w:rPr>
                <w:rFonts w:cs="Calibri"/>
                <w:sz w:val="18"/>
                <w:szCs w:val="18"/>
              </w:rPr>
            </w:pP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FD</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Project Office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Interviews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FGDs</w:t>
            </w:r>
          </w:p>
          <w:p w:rsidR="005F5DC3" w:rsidRPr="00075E67" w:rsidRDefault="005F5DC3" w:rsidP="005F5DC3">
            <w:pPr>
              <w:autoSpaceDE w:val="0"/>
              <w:autoSpaceDN w:val="0"/>
              <w:adjustRightInd w:val="0"/>
              <w:spacing w:after="0" w:line="240" w:lineRule="auto"/>
              <w:rPr>
                <w:rFonts w:cs="Calibri"/>
                <w:sz w:val="18"/>
                <w:szCs w:val="18"/>
              </w:rPr>
            </w:pPr>
            <w:r>
              <w:rPr>
                <w:rFonts w:cs="Calibri"/>
                <w:sz w:val="18"/>
                <w:szCs w:val="18"/>
              </w:rPr>
              <w:t>K</w:t>
            </w:r>
            <w:r w:rsidRPr="00075E67">
              <w:rPr>
                <w:rFonts w:cs="Calibri"/>
                <w:sz w:val="18"/>
                <w:szCs w:val="18"/>
              </w:rPr>
              <w:t>IIs</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data limitation</w:t>
            </w: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2.4 To what extent did </w:t>
            </w:r>
            <w:r w:rsidRPr="00075E67">
              <w:rPr>
                <w:rFonts w:cs="Calibri"/>
                <w:b/>
                <w:sz w:val="18"/>
                <w:szCs w:val="18"/>
              </w:rPr>
              <w:t>PECM</w:t>
            </w:r>
            <w:r w:rsidRPr="00075E67">
              <w:rPr>
                <w:rFonts w:cs="Calibri"/>
                <w:sz w:val="18"/>
                <w:szCs w:val="18"/>
              </w:rPr>
              <w:t xml:space="preserve"> ensure value for money?</w:t>
            </w:r>
          </w:p>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2.1 To what extent did </w:t>
            </w:r>
            <w:r w:rsidRPr="00075E67">
              <w:rPr>
                <w:rFonts w:cs="Calibri"/>
                <w:b/>
                <w:sz w:val="18"/>
                <w:szCs w:val="18"/>
              </w:rPr>
              <w:t xml:space="preserve">CPEIR component </w:t>
            </w:r>
            <w:r w:rsidRPr="00075E67">
              <w:rPr>
                <w:rFonts w:cs="Calibri"/>
                <w:sz w:val="18"/>
                <w:szCs w:val="18"/>
              </w:rPr>
              <w:t>ensure value for money?</w:t>
            </w: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[value for money-Proxy]</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No. of plans s/strategies policies drafted in favour of low emissions green growth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Baseline 2010: TBD Target  TBD</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No of policy changes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 xml:space="preserve">No of government investment projects incorporating PECM indicators in project design and implementation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Baseline 2010: 5 Target 30</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No of policies/strategies / plans approved in addressing CC or sustainable management of  natural resources (Baseline</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2010: 2 (Land zoning law; Village improvement Act)</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Target: 4</w:t>
            </w:r>
          </w:p>
          <w:p w:rsidR="005F5DC3" w:rsidRPr="00075E67" w:rsidRDefault="005F5DC3" w:rsidP="005F5DC3">
            <w:pPr>
              <w:autoSpaceDE w:val="0"/>
              <w:autoSpaceDN w:val="0"/>
              <w:adjustRightInd w:val="0"/>
              <w:spacing w:after="0" w:line="240" w:lineRule="auto"/>
              <w:rPr>
                <w:rFonts w:cs="Calibri"/>
                <w:sz w:val="18"/>
                <w:szCs w:val="18"/>
              </w:rPr>
            </w:pP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 xml:space="preserve">UNDP Country Office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FD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Project Office</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Interviews </w:t>
            </w:r>
          </w:p>
          <w:p w:rsidR="005F5DC3" w:rsidRPr="00075E67" w:rsidRDefault="005F5DC3" w:rsidP="005F5DC3">
            <w:pPr>
              <w:autoSpaceDE w:val="0"/>
              <w:autoSpaceDN w:val="0"/>
              <w:adjustRightInd w:val="0"/>
              <w:spacing w:after="0" w:line="240" w:lineRule="auto"/>
              <w:rPr>
                <w:rFonts w:cs="Calibri"/>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data limitation</w:t>
            </w: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rPr>
                <w:rFonts w:cs="Calibri"/>
                <w:b/>
                <w:sz w:val="18"/>
                <w:szCs w:val="18"/>
              </w:rPr>
            </w:pPr>
            <w:r w:rsidRPr="00075E67">
              <w:rPr>
                <w:rFonts w:cs="Calibri"/>
                <w:b/>
                <w:sz w:val="18"/>
                <w:szCs w:val="18"/>
              </w:rPr>
              <w:lastRenderedPageBreak/>
              <w:t>3. Has there been any duplication of efforts among UNDPs own interventions and interventions delivered by other organizations or entities in contributing to the outcome?</w:t>
            </w:r>
          </w:p>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3. 1 Has there been any duplication of efforts among </w:t>
            </w:r>
            <w:r w:rsidRPr="00075E67">
              <w:rPr>
                <w:rFonts w:cs="Calibri"/>
                <w:b/>
                <w:sz w:val="18"/>
                <w:szCs w:val="18"/>
              </w:rPr>
              <w:t>CDMP-II’s</w:t>
            </w:r>
            <w:r w:rsidRPr="00075E67">
              <w:rPr>
                <w:rFonts w:cs="Calibri"/>
                <w:sz w:val="18"/>
                <w:szCs w:val="18"/>
              </w:rPr>
              <w:t xml:space="preserve"> own interventions and interventions delivered by other organizations or entities in contributing to the outcome?</w:t>
            </w:r>
          </w:p>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Extent of duplication and redundancy</w:t>
            </w: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UNDP Country Office ; CDMP-II Project Office </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N/A</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Data limitation</w:t>
            </w: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3.2 Has there been any duplication of efforts among </w:t>
            </w:r>
            <w:r w:rsidRPr="00075E67">
              <w:rPr>
                <w:rFonts w:cs="Calibri"/>
                <w:b/>
                <w:sz w:val="18"/>
                <w:szCs w:val="18"/>
              </w:rPr>
              <w:t>ERF’s</w:t>
            </w:r>
            <w:r w:rsidRPr="00075E67">
              <w:rPr>
                <w:rFonts w:cs="Calibri"/>
                <w:sz w:val="18"/>
                <w:szCs w:val="18"/>
              </w:rPr>
              <w:t xml:space="preserve"> own interventions and interventions delivered by other organizations or entities in contributing to the outcome?</w:t>
            </w:r>
          </w:p>
        </w:tc>
        <w:tc>
          <w:tcPr>
            <w:tcW w:w="22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Percentage of ES in relation to total ES built by all agencies</w:t>
            </w: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ERF Project office, UNDP; Field Study in Shyamnagar</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Possibility of data unavailability</w:t>
            </w: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rPr>
                <w:rFonts w:cs="Calibri"/>
                <w:sz w:val="18"/>
                <w:szCs w:val="18"/>
              </w:rPr>
            </w:pPr>
          </w:p>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t xml:space="preserve">3.3 Has there been any duplication of efforts among </w:t>
            </w:r>
            <w:r w:rsidRPr="00075E67">
              <w:rPr>
                <w:rFonts w:cs="Calibri"/>
                <w:b/>
                <w:sz w:val="18"/>
                <w:szCs w:val="18"/>
              </w:rPr>
              <w:lastRenderedPageBreak/>
              <w:t>coastal afforestation’s</w:t>
            </w:r>
            <w:r w:rsidRPr="00075E67">
              <w:rPr>
                <w:rFonts w:cs="Calibri"/>
                <w:sz w:val="18"/>
                <w:szCs w:val="18"/>
              </w:rPr>
              <w:t xml:space="preserve"> own interventions and interventions delivered by other organizations or entities in contributing to the outcome?</w:t>
            </w:r>
          </w:p>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pStyle w:val="ListParagraph"/>
              <w:spacing w:after="0" w:line="240" w:lineRule="auto"/>
              <w:ind w:left="0"/>
              <w:rPr>
                <w:rFonts w:cs="Calibri"/>
                <w:sz w:val="18"/>
                <w:szCs w:val="18"/>
              </w:rPr>
            </w:pP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Number of other agencies involved in the similar type </w:t>
            </w:r>
            <w:r w:rsidRPr="00075E67">
              <w:rPr>
                <w:rFonts w:cs="Calibri"/>
                <w:sz w:val="18"/>
                <w:szCs w:val="18"/>
              </w:rPr>
              <w:lastRenderedPageBreak/>
              <w:t>of wor</w:t>
            </w:r>
            <w:r>
              <w:rPr>
                <w:rFonts w:cs="Calibri"/>
                <w:sz w:val="18"/>
                <w:szCs w:val="18"/>
              </w:rPr>
              <w:t>k</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Degree of duplication/redundancy</w:t>
            </w: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FD</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Project Office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w:t>
            </w:r>
            <w:r w:rsidRPr="00075E67">
              <w:rPr>
                <w:rFonts w:cs="Calibri"/>
                <w:sz w:val="18"/>
                <w:szCs w:val="18"/>
              </w:rPr>
              <w:lastRenderedPageBreak/>
              <w:t xml:space="preserve">reports);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Interviews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FGDs</w:t>
            </w:r>
          </w:p>
          <w:p w:rsidR="005F5DC3" w:rsidRPr="00075E67" w:rsidRDefault="005F5DC3" w:rsidP="005F5DC3">
            <w:pPr>
              <w:autoSpaceDE w:val="0"/>
              <w:autoSpaceDN w:val="0"/>
              <w:adjustRightInd w:val="0"/>
              <w:spacing w:after="0" w:line="240" w:lineRule="auto"/>
              <w:rPr>
                <w:rFonts w:cs="Calibri"/>
                <w:sz w:val="18"/>
                <w:szCs w:val="18"/>
              </w:rPr>
            </w:pPr>
            <w:r>
              <w:rPr>
                <w:rFonts w:cs="Calibri"/>
                <w:sz w:val="18"/>
                <w:szCs w:val="18"/>
              </w:rPr>
              <w:t>K</w:t>
            </w:r>
            <w:r w:rsidRPr="00075E67">
              <w:rPr>
                <w:rFonts w:cs="Calibri"/>
                <w:sz w:val="18"/>
                <w:szCs w:val="18"/>
              </w:rPr>
              <w:t>IIs</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Quantitative and Qualitative </w:t>
            </w:r>
            <w:r w:rsidRPr="00075E67">
              <w:rPr>
                <w:rFonts w:cs="Calibri"/>
                <w:sz w:val="18"/>
                <w:szCs w:val="18"/>
              </w:rPr>
              <w:lastRenderedPageBreak/>
              <w:t>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Potential data limitation</w:t>
            </w:r>
          </w:p>
        </w:tc>
      </w:tr>
      <w:tr w:rsidR="005F5DC3" w:rsidRPr="00075E67" w:rsidTr="005F5DC3">
        <w:tc>
          <w:tcPr>
            <w:tcW w:w="2448" w:type="dxa"/>
            <w:shd w:val="clear" w:color="auto" w:fill="auto"/>
          </w:tcPr>
          <w:p w:rsidR="005F5DC3" w:rsidRPr="00075E67" w:rsidRDefault="005F5DC3" w:rsidP="005F5DC3">
            <w:pPr>
              <w:pStyle w:val="ListParagraph"/>
              <w:spacing w:after="0" w:line="240" w:lineRule="auto"/>
              <w:ind w:left="0"/>
              <w:rPr>
                <w:rFonts w:cs="Calibri"/>
                <w:sz w:val="18"/>
                <w:szCs w:val="18"/>
              </w:rPr>
            </w:pPr>
            <w:r w:rsidRPr="00075E67">
              <w:rPr>
                <w:rFonts w:cs="Calibri"/>
                <w:sz w:val="18"/>
                <w:szCs w:val="18"/>
              </w:rPr>
              <w:lastRenderedPageBreak/>
              <w:t xml:space="preserve">3. 4 Has there been any duplication of efforts among </w:t>
            </w:r>
            <w:r w:rsidRPr="00075E67">
              <w:rPr>
                <w:rFonts w:cs="Calibri"/>
                <w:b/>
                <w:sz w:val="18"/>
                <w:szCs w:val="18"/>
              </w:rPr>
              <w:t>PECM’s</w:t>
            </w:r>
            <w:r w:rsidRPr="00075E67">
              <w:rPr>
                <w:rFonts w:cs="Calibri"/>
                <w:sz w:val="18"/>
                <w:szCs w:val="18"/>
              </w:rPr>
              <w:t xml:space="preserve"> own interventions and interventions delivered by other organizations or entities in contributing to the outcome?</w:t>
            </w:r>
          </w:p>
          <w:p w:rsidR="005F5DC3" w:rsidRPr="00075E67" w:rsidRDefault="005F5DC3" w:rsidP="005F5DC3">
            <w:pPr>
              <w:autoSpaceDE w:val="0"/>
              <w:autoSpaceDN w:val="0"/>
              <w:adjustRightInd w:val="0"/>
              <w:spacing w:after="0" w:line="240" w:lineRule="auto"/>
              <w:rPr>
                <w:rFonts w:cs="Calibri"/>
                <w:sz w:val="18"/>
                <w:szCs w:val="18"/>
              </w:rPr>
            </w:pPr>
          </w:p>
        </w:tc>
        <w:tc>
          <w:tcPr>
            <w:tcW w:w="225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3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Extent of duplication and redundancy</w:t>
            </w:r>
          </w:p>
        </w:tc>
        <w:tc>
          <w:tcPr>
            <w:tcW w:w="162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UNDP Country Office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FD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Project Office)</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Interviews </w:t>
            </w:r>
          </w:p>
          <w:p w:rsidR="005F5DC3" w:rsidRPr="00075E67" w:rsidRDefault="005F5DC3" w:rsidP="005F5DC3">
            <w:pPr>
              <w:autoSpaceDE w:val="0"/>
              <w:autoSpaceDN w:val="0"/>
              <w:adjustRightInd w:val="0"/>
              <w:spacing w:after="0" w:line="240" w:lineRule="auto"/>
              <w:rPr>
                <w:rFonts w:cs="Calibri"/>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N/A</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data limitation</w:t>
            </w:r>
          </w:p>
        </w:tc>
      </w:tr>
    </w:tbl>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Default="005F5DC3" w:rsidP="005F5DC3">
      <w:pPr>
        <w:tabs>
          <w:tab w:val="left" w:pos="2595"/>
        </w:tabs>
        <w:rPr>
          <w:rFonts w:asciiTheme="minorHAnsi" w:hAnsiTheme="minorHAnsi"/>
        </w:rPr>
      </w:pPr>
    </w:p>
    <w:p w:rsidR="005F5DC3" w:rsidRPr="00075E67" w:rsidRDefault="005F5DC3" w:rsidP="005F5DC3">
      <w:pPr>
        <w:autoSpaceDE w:val="0"/>
        <w:autoSpaceDN w:val="0"/>
        <w:adjustRightInd w:val="0"/>
        <w:spacing w:after="0" w:line="240" w:lineRule="auto"/>
        <w:rPr>
          <w:rFonts w:cs="Calibri"/>
          <w:b/>
          <w:sz w:val="18"/>
          <w:szCs w:val="18"/>
        </w:rPr>
      </w:pPr>
      <w:r w:rsidRPr="004F24C4">
        <w:rPr>
          <w:rFonts w:cs="Calibri"/>
          <w:b/>
          <w:szCs w:val="18"/>
        </w:rPr>
        <w:lastRenderedPageBreak/>
        <w:t>Sustainability</w:t>
      </w:r>
    </w:p>
    <w:tbl>
      <w:tblP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2610"/>
        <w:gridCol w:w="2430"/>
        <w:gridCol w:w="1440"/>
        <w:gridCol w:w="1170"/>
        <w:gridCol w:w="1440"/>
        <w:gridCol w:w="1080"/>
        <w:gridCol w:w="1260"/>
      </w:tblGrid>
      <w:tr w:rsidR="005F5DC3" w:rsidRPr="00075E67" w:rsidTr="005F5DC3">
        <w:trPr>
          <w:trHeight w:val="710"/>
        </w:trPr>
        <w:tc>
          <w:tcPr>
            <w:tcW w:w="2448"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Main Evaluation Question</w:t>
            </w:r>
          </w:p>
          <w:p w:rsidR="005F5DC3" w:rsidRPr="00075E67" w:rsidRDefault="005F5DC3" w:rsidP="005F5DC3">
            <w:pPr>
              <w:autoSpaceDE w:val="0"/>
              <w:autoSpaceDN w:val="0"/>
              <w:adjustRightInd w:val="0"/>
              <w:spacing w:after="0" w:line="240" w:lineRule="auto"/>
              <w:rPr>
                <w:rFonts w:cs="Calibri"/>
                <w:b/>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Specific Evaluation Question</w:t>
            </w:r>
          </w:p>
          <w:p w:rsidR="005F5DC3" w:rsidRPr="00075E67" w:rsidRDefault="005F5DC3" w:rsidP="005F5DC3">
            <w:pPr>
              <w:autoSpaceDE w:val="0"/>
              <w:autoSpaceDN w:val="0"/>
              <w:adjustRightInd w:val="0"/>
              <w:spacing w:after="0" w:line="240" w:lineRule="auto"/>
              <w:rPr>
                <w:rFonts w:cs="Calibri"/>
                <w:b/>
                <w:sz w:val="18"/>
                <w:szCs w:val="18"/>
              </w:rPr>
            </w:pPr>
          </w:p>
        </w:tc>
        <w:tc>
          <w:tcPr>
            <w:tcW w:w="243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 xml:space="preserve">Indicator </w:t>
            </w:r>
          </w:p>
          <w:p w:rsidR="005F5DC3" w:rsidRPr="00075E67" w:rsidRDefault="005F5DC3" w:rsidP="005F5DC3">
            <w:pPr>
              <w:autoSpaceDE w:val="0"/>
              <w:autoSpaceDN w:val="0"/>
              <w:adjustRightInd w:val="0"/>
              <w:spacing w:after="0" w:line="240" w:lineRule="auto"/>
              <w:rPr>
                <w:rFonts w:cs="Calibri"/>
                <w:b/>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 xml:space="preserve">Data Source </w:t>
            </w:r>
          </w:p>
          <w:p w:rsidR="005F5DC3" w:rsidRPr="00075E67" w:rsidRDefault="005F5DC3" w:rsidP="005F5DC3">
            <w:pPr>
              <w:autoSpaceDE w:val="0"/>
              <w:autoSpaceDN w:val="0"/>
              <w:adjustRightInd w:val="0"/>
              <w:spacing w:after="0" w:line="240" w:lineRule="auto"/>
              <w:rPr>
                <w:rFonts w:cs="Calibri"/>
                <w:b/>
                <w:sz w:val="18"/>
                <w:szCs w:val="18"/>
              </w:rPr>
            </w:pP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Data Collection Method</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Sampling/</w:t>
            </w:r>
          </w:p>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Selection of Respondents</w:t>
            </w:r>
          </w:p>
        </w:tc>
        <w:tc>
          <w:tcPr>
            <w:tcW w:w="108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Method of Data Analysis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r w:rsidRPr="00075E67">
              <w:rPr>
                <w:rFonts w:cs="Calibri"/>
                <w:b/>
                <w:sz w:val="18"/>
                <w:szCs w:val="18"/>
              </w:rPr>
              <w:t>Limitation/Ris</w:t>
            </w:r>
            <w:r>
              <w:rPr>
                <w:rFonts w:cs="Calibri"/>
                <w:b/>
                <w:sz w:val="18"/>
                <w:szCs w:val="18"/>
              </w:rPr>
              <w:t>k</w:t>
            </w:r>
          </w:p>
          <w:p w:rsidR="005F5DC3" w:rsidRPr="00075E67" w:rsidRDefault="005F5DC3" w:rsidP="005F5DC3">
            <w:pPr>
              <w:autoSpaceDE w:val="0"/>
              <w:autoSpaceDN w:val="0"/>
              <w:adjustRightInd w:val="0"/>
              <w:spacing w:after="0" w:line="240" w:lineRule="auto"/>
              <w:rPr>
                <w:rFonts w:cs="Calibri"/>
                <w:b/>
                <w:sz w:val="18"/>
                <w:szCs w:val="18"/>
              </w:rPr>
            </w:pPr>
          </w:p>
        </w:tc>
      </w:tr>
      <w:tr w:rsidR="005F5DC3" w:rsidRPr="00075E67" w:rsidTr="005F5DC3">
        <w:tc>
          <w:tcPr>
            <w:tcW w:w="2448" w:type="dxa"/>
            <w:shd w:val="clear" w:color="auto" w:fill="auto"/>
          </w:tcPr>
          <w:p w:rsidR="005F5DC3" w:rsidRPr="00075E67" w:rsidRDefault="005F5DC3" w:rsidP="005F5DC3">
            <w:pPr>
              <w:spacing w:after="0" w:line="240" w:lineRule="auto"/>
              <w:rPr>
                <w:rFonts w:cs="Calibri"/>
                <w:b/>
                <w:sz w:val="18"/>
                <w:szCs w:val="18"/>
              </w:rPr>
            </w:pPr>
            <w:r w:rsidRPr="00075E67">
              <w:rPr>
                <w:rFonts w:cs="Calibri"/>
                <w:b/>
                <w:sz w:val="18"/>
                <w:szCs w:val="18"/>
              </w:rPr>
              <w:t>1. What indicators are there that the CDMP-II components are being replicated?</w:t>
            </w:r>
          </w:p>
          <w:p w:rsidR="005F5DC3" w:rsidRPr="00075E67" w:rsidRDefault="005F5DC3" w:rsidP="005F5DC3">
            <w:pPr>
              <w:spacing w:after="0" w:line="240" w:lineRule="auto"/>
              <w:rPr>
                <w:rFonts w:cs="Calibri"/>
                <w:b/>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p>
        </w:tc>
        <w:tc>
          <w:tcPr>
            <w:tcW w:w="243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p>
        </w:tc>
        <w:tc>
          <w:tcPr>
            <w:tcW w:w="108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b/>
                <w:sz w:val="18"/>
                <w:szCs w:val="18"/>
              </w:rPr>
            </w:pPr>
          </w:p>
        </w:tc>
      </w:tr>
      <w:tr w:rsidR="005F5DC3" w:rsidRPr="00075E67" w:rsidTr="005F5DC3">
        <w:trPr>
          <w:trHeight w:val="755"/>
        </w:trPr>
        <w:tc>
          <w:tcPr>
            <w:tcW w:w="2448"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 xml:space="preserve">1.1 What indicators are there that the </w:t>
            </w:r>
            <w:r w:rsidRPr="00075E67">
              <w:rPr>
                <w:rFonts w:cs="Calibri"/>
                <w:b/>
                <w:sz w:val="18"/>
                <w:szCs w:val="18"/>
              </w:rPr>
              <w:t>CDMP-II</w:t>
            </w:r>
            <w:r w:rsidRPr="00075E67">
              <w:rPr>
                <w:rFonts w:cs="Calibri"/>
                <w:sz w:val="18"/>
                <w:szCs w:val="18"/>
              </w:rPr>
              <w:t xml:space="preserve"> components are being replicated?</w:t>
            </w:r>
          </w:p>
          <w:p w:rsidR="005F5DC3" w:rsidRPr="00075E67" w:rsidRDefault="005F5DC3" w:rsidP="005F5DC3">
            <w:pPr>
              <w:spacing w:after="0" w:line="240" w:lineRule="auto"/>
              <w:rPr>
                <w:rFonts w:cs="Calibri"/>
                <w:sz w:val="18"/>
                <w:szCs w:val="18"/>
              </w:rPr>
            </w:pPr>
          </w:p>
        </w:tc>
        <w:tc>
          <w:tcPr>
            <w:tcW w:w="2610"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 xml:space="preserve">1.1 What indicators are there that the CDMP-II </w:t>
            </w:r>
            <w:r w:rsidRPr="00075E67">
              <w:rPr>
                <w:rFonts w:cs="Calibri"/>
                <w:b/>
                <w:sz w:val="18"/>
                <w:szCs w:val="18"/>
              </w:rPr>
              <w:t xml:space="preserve">resilient habitat </w:t>
            </w:r>
            <w:r w:rsidRPr="00075E67">
              <w:rPr>
                <w:rFonts w:cs="Calibri"/>
                <w:sz w:val="18"/>
                <w:szCs w:val="18"/>
              </w:rPr>
              <w:t>component is being replicated?</w:t>
            </w:r>
          </w:p>
        </w:tc>
        <w:tc>
          <w:tcPr>
            <w:tcW w:w="243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Number of other agencies involved in the similar type of wor</w:t>
            </w:r>
            <w:r>
              <w:rPr>
                <w:rFonts w:cs="Calibri"/>
                <w:sz w:val="18"/>
                <w:szCs w:val="18"/>
              </w:rPr>
              <w:t>k</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 ; CDMP-II Project Office ;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08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Data limitation</w:t>
            </w:r>
          </w:p>
        </w:tc>
      </w:tr>
      <w:tr w:rsidR="005F5DC3" w:rsidRPr="00075E67" w:rsidTr="005F5DC3">
        <w:tc>
          <w:tcPr>
            <w:tcW w:w="2448" w:type="dxa"/>
            <w:shd w:val="clear" w:color="auto" w:fill="auto"/>
          </w:tcPr>
          <w:p w:rsidR="005F5DC3" w:rsidRPr="00075E67" w:rsidRDefault="005F5DC3" w:rsidP="005F5DC3">
            <w:pPr>
              <w:spacing w:after="0" w:line="240" w:lineRule="auto"/>
              <w:rPr>
                <w:rFonts w:cs="Calibri"/>
                <w:sz w:val="18"/>
                <w:szCs w:val="18"/>
              </w:rPr>
            </w:pPr>
          </w:p>
        </w:tc>
        <w:tc>
          <w:tcPr>
            <w:tcW w:w="2610"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 xml:space="preserve">1.2 What indicators are there that the CDMP-II </w:t>
            </w:r>
            <w:r w:rsidRPr="00075E67">
              <w:rPr>
                <w:rFonts w:cs="Calibri"/>
                <w:b/>
                <w:sz w:val="18"/>
                <w:szCs w:val="18"/>
              </w:rPr>
              <w:t>water purification plant and water supply</w:t>
            </w:r>
            <w:r w:rsidRPr="00075E67">
              <w:rPr>
                <w:rFonts w:cs="Calibri"/>
                <w:sz w:val="18"/>
                <w:szCs w:val="18"/>
              </w:rPr>
              <w:t xml:space="preserve"> component is being replicated?</w:t>
            </w:r>
          </w:p>
          <w:p w:rsidR="005F5DC3" w:rsidRPr="00075E67" w:rsidRDefault="005F5DC3" w:rsidP="005F5DC3">
            <w:pPr>
              <w:autoSpaceDE w:val="0"/>
              <w:autoSpaceDN w:val="0"/>
              <w:adjustRightInd w:val="0"/>
              <w:spacing w:after="0" w:line="240" w:lineRule="auto"/>
              <w:rPr>
                <w:rFonts w:cs="Calibri"/>
                <w:sz w:val="18"/>
                <w:szCs w:val="18"/>
              </w:rPr>
            </w:pPr>
          </w:p>
        </w:tc>
        <w:tc>
          <w:tcPr>
            <w:tcW w:w="243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Number of other agencies involved in the similar type of wor</w:t>
            </w:r>
            <w:r>
              <w:rPr>
                <w:rFonts w:cs="Calibri"/>
                <w:sz w:val="18"/>
                <w:szCs w:val="18"/>
              </w:rPr>
              <w:t>k</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 ; CDMP-II Project Office ;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08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Data limitation</w:t>
            </w: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610"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 xml:space="preserve">1.3 What indicators are there that the CDMP-II </w:t>
            </w:r>
            <w:r w:rsidRPr="00075E67">
              <w:rPr>
                <w:rFonts w:cs="Calibri"/>
                <w:b/>
                <w:sz w:val="18"/>
                <w:szCs w:val="18"/>
              </w:rPr>
              <w:t>urban ris</w:t>
            </w:r>
            <w:r>
              <w:rPr>
                <w:rFonts w:cs="Calibri"/>
                <w:b/>
                <w:sz w:val="18"/>
                <w:szCs w:val="18"/>
              </w:rPr>
              <w:t>k</w:t>
            </w:r>
            <w:r w:rsidRPr="00075E67">
              <w:rPr>
                <w:rFonts w:cs="Calibri"/>
                <w:b/>
                <w:sz w:val="18"/>
                <w:szCs w:val="18"/>
              </w:rPr>
              <w:t xml:space="preserve"> reduction and volunteer mobilization</w:t>
            </w:r>
            <w:r w:rsidRPr="00075E67">
              <w:rPr>
                <w:rFonts w:cs="Calibri"/>
                <w:sz w:val="18"/>
                <w:szCs w:val="18"/>
              </w:rPr>
              <w:t xml:space="preserve"> component is being replicated?</w:t>
            </w:r>
          </w:p>
          <w:p w:rsidR="005F5DC3" w:rsidRPr="00075E67" w:rsidRDefault="005F5DC3" w:rsidP="005F5DC3">
            <w:pPr>
              <w:autoSpaceDE w:val="0"/>
              <w:autoSpaceDN w:val="0"/>
              <w:adjustRightInd w:val="0"/>
              <w:spacing w:after="0" w:line="240" w:lineRule="auto"/>
              <w:rPr>
                <w:rFonts w:cs="Calibri"/>
                <w:sz w:val="18"/>
                <w:szCs w:val="18"/>
              </w:rPr>
            </w:pPr>
          </w:p>
        </w:tc>
        <w:tc>
          <w:tcPr>
            <w:tcW w:w="243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Number of other agencies involved in the similar type of wor</w:t>
            </w:r>
            <w:r>
              <w:rPr>
                <w:rFonts w:cs="Calibri"/>
                <w:sz w:val="18"/>
                <w:szCs w:val="18"/>
              </w:rPr>
              <w:t>k</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 ; CDMP-II Project Office ;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08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Data limitation</w:t>
            </w:r>
          </w:p>
        </w:tc>
      </w:tr>
      <w:tr w:rsidR="005F5DC3" w:rsidRPr="00075E67" w:rsidTr="005F5DC3">
        <w:tc>
          <w:tcPr>
            <w:tcW w:w="2448"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610"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1.4 What indicators are there that the CDMP-II cell</w:t>
            </w:r>
            <w:r w:rsidRPr="00075E67">
              <w:rPr>
                <w:rFonts w:cs="Calibri"/>
                <w:b/>
                <w:sz w:val="18"/>
                <w:szCs w:val="18"/>
              </w:rPr>
              <w:t xml:space="preserve">-based early warning system component </w:t>
            </w:r>
            <w:r w:rsidRPr="00075E67">
              <w:rPr>
                <w:rFonts w:cs="Calibri"/>
                <w:sz w:val="18"/>
                <w:szCs w:val="18"/>
              </w:rPr>
              <w:t>is being replicated?</w:t>
            </w:r>
          </w:p>
          <w:p w:rsidR="005F5DC3" w:rsidRPr="00075E67" w:rsidRDefault="005F5DC3" w:rsidP="005F5DC3">
            <w:pPr>
              <w:autoSpaceDE w:val="0"/>
              <w:autoSpaceDN w:val="0"/>
              <w:adjustRightInd w:val="0"/>
              <w:spacing w:after="0" w:line="240" w:lineRule="auto"/>
              <w:rPr>
                <w:rFonts w:cs="Calibri"/>
                <w:sz w:val="18"/>
                <w:szCs w:val="18"/>
              </w:rPr>
            </w:pPr>
          </w:p>
        </w:tc>
        <w:tc>
          <w:tcPr>
            <w:tcW w:w="243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Number of other agencies involved in the similar type of wor</w:t>
            </w:r>
            <w:r>
              <w:rPr>
                <w:rFonts w:cs="Calibri"/>
                <w:sz w:val="18"/>
                <w:szCs w:val="18"/>
              </w:rPr>
              <w:t>k</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 ; CDMP-II Project Office ;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08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Data limitation</w:t>
            </w:r>
          </w:p>
        </w:tc>
      </w:tr>
      <w:tr w:rsidR="005F5DC3" w:rsidRPr="00075E67" w:rsidTr="005F5DC3">
        <w:tc>
          <w:tcPr>
            <w:tcW w:w="2448"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 xml:space="preserve">1.2 What indicators are there that the </w:t>
            </w:r>
            <w:r w:rsidRPr="00075E67">
              <w:rPr>
                <w:rFonts w:cs="Calibri"/>
                <w:b/>
                <w:sz w:val="18"/>
                <w:szCs w:val="18"/>
              </w:rPr>
              <w:t>ERF components</w:t>
            </w:r>
            <w:r w:rsidRPr="00075E67">
              <w:rPr>
                <w:rFonts w:cs="Calibri"/>
                <w:sz w:val="18"/>
                <w:szCs w:val="18"/>
              </w:rPr>
              <w:t xml:space="preserve"> are being replicated?</w:t>
            </w:r>
          </w:p>
          <w:p w:rsidR="005F5DC3" w:rsidRPr="00075E67" w:rsidRDefault="005F5DC3" w:rsidP="005F5DC3">
            <w:pPr>
              <w:autoSpaceDE w:val="0"/>
              <w:autoSpaceDN w:val="0"/>
              <w:adjustRightInd w:val="0"/>
              <w:spacing w:after="0" w:line="240" w:lineRule="auto"/>
              <w:rPr>
                <w:rFonts w:cs="Calibri"/>
                <w:sz w:val="18"/>
                <w:szCs w:val="18"/>
              </w:rPr>
            </w:pPr>
          </w:p>
        </w:tc>
        <w:tc>
          <w:tcPr>
            <w:tcW w:w="2610"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 xml:space="preserve">1.2.1 what indicators are there that the ERF’s </w:t>
            </w:r>
            <w:r w:rsidRPr="00075E67">
              <w:rPr>
                <w:rFonts w:cs="Calibri"/>
                <w:b/>
                <w:sz w:val="18"/>
                <w:szCs w:val="18"/>
              </w:rPr>
              <w:t xml:space="preserve">restarting Income Generation Activities of HH with cash and materials (IGA) </w:t>
            </w:r>
            <w:r w:rsidRPr="00075E67">
              <w:rPr>
                <w:rFonts w:cs="Calibri"/>
                <w:sz w:val="18"/>
                <w:szCs w:val="18"/>
              </w:rPr>
              <w:t>component are being replicated</w:t>
            </w:r>
          </w:p>
        </w:tc>
        <w:tc>
          <w:tcPr>
            <w:tcW w:w="243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Availability of emergency fund (if any)</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ERF Project office, UNDP; </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Secondary (Data base, reports)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08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deficiency in baseline data</w:t>
            </w:r>
          </w:p>
        </w:tc>
      </w:tr>
      <w:tr w:rsidR="005F5DC3" w:rsidRPr="00075E67" w:rsidTr="005F5DC3">
        <w:tc>
          <w:tcPr>
            <w:tcW w:w="2448" w:type="dxa"/>
            <w:shd w:val="clear" w:color="auto" w:fill="auto"/>
          </w:tcPr>
          <w:p w:rsidR="005F5DC3" w:rsidRPr="00075E67" w:rsidRDefault="005F5DC3" w:rsidP="005F5DC3">
            <w:pPr>
              <w:spacing w:after="0" w:line="240" w:lineRule="auto"/>
              <w:rPr>
                <w:rFonts w:cs="Calibri"/>
                <w:sz w:val="18"/>
                <w:szCs w:val="18"/>
              </w:rPr>
            </w:pPr>
          </w:p>
        </w:tc>
        <w:tc>
          <w:tcPr>
            <w:tcW w:w="2610"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 xml:space="preserve">1.2.2 what indicators are there that the ERF’s </w:t>
            </w:r>
            <w:r w:rsidRPr="00075E67">
              <w:rPr>
                <w:rFonts w:cs="Calibri"/>
                <w:b/>
                <w:sz w:val="18"/>
                <w:szCs w:val="18"/>
              </w:rPr>
              <w:t xml:space="preserve">construction and reconstruction of Emergency Shelter (ES) </w:t>
            </w:r>
            <w:r w:rsidRPr="00075E67">
              <w:rPr>
                <w:rFonts w:cs="Calibri"/>
                <w:sz w:val="18"/>
                <w:szCs w:val="18"/>
              </w:rPr>
              <w:t>component are being replicated</w:t>
            </w:r>
          </w:p>
        </w:tc>
        <w:tc>
          <w:tcPr>
            <w:tcW w:w="243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Any community initiative to build new ES; any NGO initiative to build new 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ERF Project office, UNDP; </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Secondary (Data base, reports)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08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deficiency in baseline data</w:t>
            </w:r>
          </w:p>
        </w:tc>
      </w:tr>
      <w:tr w:rsidR="005F5DC3" w:rsidRPr="00075E67" w:rsidTr="005F5DC3">
        <w:tc>
          <w:tcPr>
            <w:tcW w:w="2448"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 xml:space="preserve">1. 3 What indicators are there that the </w:t>
            </w:r>
            <w:r w:rsidRPr="00075E67">
              <w:rPr>
                <w:rFonts w:cs="Calibri"/>
                <w:b/>
                <w:sz w:val="18"/>
                <w:szCs w:val="18"/>
              </w:rPr>
              <w:t>coastal afforestation</w:t>
            </w:r>
            <w:r w:rsidRPr="00075E67">
              <w:rPr>
                <w:rFonts w:cs="Calibri"/>
                <w:sz w:val="18"/>
                <w:szCs w:val="18"/>
              </w:rPr>
              <w:t xml:space="preserve"> COMPONENT are being replicated?</w:t>
            </w:r>
          </w:p>
          <w:p w:rsidR="005F5DC3" w:rsidRPr="00075E67" w:rsidRDefault="005F5DC3" w:rsidP="005F5DC3">
            <w:pPr>
              <w:spacing w:after="0" w:line="240" w:lineRule="auto"/>
              <w:rPr>
                <w:rFonts w:cs="Calibri"/>
                <w:sz w:val="18"/>
                <w:szCs w:val="18"/>
              </w:rPr>
            </w:pPr>
          </w:p>
        </w:tc>
        <w:tc>
          <w:tcPr>
            <w:tcW w:w="2610"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 xml:space="preserve">1.3.1 What indicators are there that the </w:t>
            </w:r>
            <w:r w:rsidRPr="00075E67">
              <w:rPr>
                <w:rFonts w:cs="Calibri"/>
                <w:b/>
                <w:sz w:val="18"/>
                <w:szCs w:val="18"/>
              </w:rPr>
              <w:t>afforestation component</w:t>
            </w:r>
            <w:r w:rsidRPr="00075E67">
              <w:rPr>
                <w:rFonts w:cs="Calibri"/>
                <w:sz w:val="18"/>
                <w:szCs w:val="18"/>
              </w:rPr>
              <w:t xml:space="preserve"> is being replicated?</w:t>
            </w:r>
          </w:p>
          <w:p w:rsidR="005F5DC3" w:rsidRPr="00075E67" w:rsidRDefault="005F5DC3" w:rsidP="005F5DC3">
            <w:pPr>
              <w:spacing w:after="0" w:line="240" w:lineRule="auto"/>
              <w:rPr>
                <w:rFonts w:cs="Calibri"/>
                <w:sz w:val="18"/>
                <w:szCs w:val="18"/>
              </w:rPr>
            </w:pPr>
          </w:p>
          <w:p w:rsidR="005F5DC3" w:rsidRPr="00075E67" w:rsidRDefault="005F5DC3" w:rsidP="005F5DC3">
            <w:pPr>
              <w:spacing w:after="0" w:line="240" w:lineRule="auto"/>
              <w:rPr>
                <w:rFonts w:cs="Calibri"/>
                <w:sz w:val="18"/>
                <w:szCs w:val="18"/>
              </w:rPr>
            </w:pPr>
          </w:p>
          <w:p w:rsidR="005F5DC3" w:rsidRPr="00075E67" w:rsidRDefault="005F5DC3" w:rsidP="005F5DC3">
            <w:pPr>
              <w:spacing w:after="0" w:line="240" w:lineRule="auto"/>
              <w:rPr>
                <w:rFonts w:cs="Calibri"/>
                <w:sz w:val="18"/>
                <w:szCs w:val="18"/>
              </w:rPr>
            </w:pPr>
            <w:r w:rsidRPr="00075E67">
              <w:rPr>
                <w:rFonts w:cs="Calibri"/>
                <w:sz w:val="18"/>
                <w:szCs w:val="18"/>
              </w:rPr>
              <w:t xml:space="preserve">1.3.2 What indicators are there that the </w:t>
            </w:r>
            <w:r w:rsidRPr="00075E67">
              <w:rPr>
                <w:rFonts w:cs="Calibri"/>
                <w:b/>
                <w:sz w:val="18"/>
                <w:szCs w:val="18"/>
              </w:rPr>
              <w:t>FFFcomponent</w:t>
            </w:r>
            <w:r w:rsidRPr="00075E67">
              <w:rPr>
                <w:rFonts w:cs="Calibri"/>
                <w:sz w:val="18"/>
                <w:szCs w:val="18"/>
              </w:rPr>
              <w:t xml:space="preserve"> is being replicated?</w:t>
            </w:r>
          </w:p>
        </w:tc>
        <w:tc>
          <w:tcPr>
            <w:tcW w:w="243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Number of other agencies involved in the similar type of wor</w:t>
            </w:r>
            <w:r>
              <w:rPr>
                <w:rFonts w:cs="Calibri"/>
                <w:sz w:val="18"/>
                <w:szCs w:val="18"/>
              </w:rPr>
              <w:t>k</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Attribution of the Project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Magnitude of maintenance cost;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provision of maintenance cost;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community engagement;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Investme</w:t>
            </w:r>
            <w:r>
              <w:rPr>
                <w:rFonts w:cs="Calibri"/>
                <w:sz w:val="18"/>
                <w:szCs w:val="18"/>
              </w:rPr>
              <w:t xml:space="preserve">nt Recovery system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Greater access and control over resources by men and women and by disadvantaged group;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sex disaggregated impact; </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Participation and leadership in decision ma</w:t>
            </w:r>
            <w:r>
              <w:rPr>
                <w:rFonts w:cs="Calibri"/>
                <w:sz w:val="18"/>
                <w:szCs w:val="18"/>
              </w:rPr>
              <w:t>k</w:t>
            </w:r>
            <w:r w:rsidRPr="00075E67">
              <w:rPr>
                <w:rFonts w:cs="Calibri"/>
                <w:sz w:val="18"/>
                <w:szCs w:val="18"/>
              </w:rPr>
              <w:t>ing process as well as other cycles of the project;</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Degree of  empowerment</w:t>
            </w:r>
          </w:p>
          <w:p w:rsidR="005F5DC3" w:rsidRPr="00075E67" w:rsidRDefault="005F5DC3" w:rsidP="005F5DC3">
            <w:pPr>
              <w:autoSpaceDE w:val="0"/>
              <w:autoSpaceDN w:val="0"/>
              <w:adjustRightInd w:val="0"/>
              <w:spacing w:after="0" w:line="240" w:lineRule="auto"/>
              <w:rPr>
                <w:rFonts w:cs="Calibri"/>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FD</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Project Office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Interviews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FGDs</w:t>
            </w:r>
          </w:p>
          <w:p w:rsidR="005F5DC3" w:rsidRPr="00075E67" w:rsidRDefault="005F5DC3" w:rsidP="005F5DC3">
            <w:pPr>
              <w:autoSpaceDE w:val="0"/>
              <w:autoSpaceDN w:val="0"/>
              <w:adjustRightInd w:val="0"/>
              <w:spacing w:after="0" w:line="240" w:lineRule="auto"/>
              <w:rPr>
                <w:rFonts w:cs="Calibri"/>
                <w:sz w:val="18"/>
                <w:szCs w:val="18"/>
              </w:rPr>
            </w:pPr>
            <w:r>
              <w:rPr>
                <w:rFonts w:cs="Calibri"/>
                <w:sz w:val="18"/>
                <w:szCs w:val="18"/>
              </w:rPr>
              <w:t>K</w:t>
            </w:r>
            <w:r w:rsidRPr="00075E67">
              <w:rPr>
                <w:rFonts w:cs="Calibri"/>
                <w:sz w:val="18"/>
                <w:szCs w:val="18"/>
              </w:rPr>
              <w:t>IIs</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08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data limitation</w:t>
            </w:r>
          </w:p>
        </w:tc>
      </w:tr>
      <w:tr w:rsidR="005F5DC3" w:rsidRPr="00075E67" w:rsidTr="005F5DC3">
        <w:tc>
          <w:tcPr>
            <w:tcW w:w="2448"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 xml:space="preserve">1.4 What indicators are there that the </w:t>
            </w:r>
            <w:r w:rsidRPr="00075E67">
              <w:rPr>
                <w:rFonts w:cs="Calibri"/>
                <w:b/>
                <w:sz w:val="18"/>
                <w:szCs w:val="18"/>
              </w:rPr>
              <w:t>PECM</w:t>
            </w:r>
            <w:r w:rsidRPr="00075E67">
              <w:rPr>
                <w:rFonts w:cs="Calibri"/>
                <w:sz w:val="18"/>
                <w:szCs w:val="18"/>
              </w:rPr>
              <w:t xml:space="preserve"> components are being replicated?</w:t>
            </w:r>
          </w:p>
          <w:p w:rsidR="005F5DC3" w:rsidRPr="00075E67" w:rsidRDefault="005F5DC3" w:rsidP="005F5DC3">
            <w:pPr>
              <w:spacing w:after="0" w:line="240" w:lineRule="auto"/>
              <w:rPr>
                <w:rFonts w:cs="Calibri"/>
                <w:sz w:val="18"/>
                <w:szCs w:val="18"/>
              </w:rPr>
            </w:pPr>
          </w:p>
        </w:tc>
        <w:tc>
          <w:tcPr>
            <w:tcW w:w="2610"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 xml:space="preserve">1.1 What indicators are there that the </w:t>
            </w:r>
            <w:r w:rsidRPr="00075E67">
              <w:rPr>
                <w:rFonts w:cs="Calibri"/>
                <w:b/>
                <w:sz w:val="18"/>
                <w:szCs w:val="18"/>
              </w:rPr>
              <w:t>CPEIR component</w:t>
            </w:r>
            <w:r w:rsidRPr="00075E67">
              <w:rPr>
                <w:rFonts w:cs="Calibri"/>
                <w:sz w:val="18"/>
                <w:szCs w:val="18"/>
              </w:rPr>
              <w:t xml:space="preserve"> is being replicated?</w:t>
            </w:r>
          </w:p>
        </w:tc>
        <w:tc>
          <w:tcPr>
            <w:tcW w:w="243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Number of other agencies involved in the similar type of wor</w:t>
            </w:r>
            <w:r>
              <w:rPr>
                <w:rFonts w:cs="Calibri"/>
                <w:sz w:val="18"/>
                <w:szCs w:val="18"/>
              </w:rPr>
              <w:t>k</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Degree of duplication/redundancy </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UNDP Country Office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FD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Project Office</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Interviews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FGDs</w:t>
            </w:r>
          </w:p>
          <w:p w:rsidR="005F5DC3" w:rsidRPr="00075E67" w:rsidRDefault="005F5DC3" w:rsidP="005F5DC3">
            <w:pPr>
              <w:autoSpaceDE w:val="0"/>
              <w:autoSpaceDN w:val="0"/>
              <w:adjustRightInd w:val="0"/>
              <w:spacing w:after="0" w:line="240" w:lineRule="auto"/>
              <w:rPr>
                <w:rFonts w:cs="Calibri"/>
                <w:sz w:val="18"/>
                <w:szCs w:val="18"/>
              </w:rPr>
            </w:pPr>
            <w:r>
              <w:rPr>
                <w:rFonts w:cs="Calibri"/>
                <w:sz w:val="18"/>
                <w:szCs w:val="18"/>
              </w:rPr>
              <w:t>K</w:t>
            </w:r>
            <w:r w:rsidRPr="00075E67">
              <w:rPr>
                <w:rFonts w:cs="Calibri"/>
                <w:sz w:val="18"/>
                <w:szCs w:val="18"/>
              </w:rPr>
              <w:t>IIs</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08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data limitation</w:t>
            </w:r>
          </w:p>
        </w:tc>
      </w:tr>
      <w:tr w:rsidR="005F5DC3" w:rsidRPr="00075E67" w:rsidTr="005F5DC3">
        <w:trPr>
          <w:trHeight w:val="278"/>
        </w:trPr>
        <w:tc>
          <w:tcPr>
            <w:tcW w:w="2448" w:type="dxa"/>
            <w:shd w:val="clear" w:color="auto" w:fill="auto"/>
          </w:tcPr>
          <w:p w:rsidR="005F5DC3" w:rsidRPr="00075E67" w:rsidRDefault="005F5DC3" w:rsidP="005F5DC3">
            <w:pPr>
              <w:spacing w:after="0" w:line="240" w:lineRule="auto"/>
              <w:rPr>
                <w:rFonts w:cs="Calibri"/>
                <w:b/>
                <w:sz w:val="18"/>
                <w:szCs w:val="18"/>
              </w:rPr>
            </w:pPr>
            <w:r w:rsidRPr="00075E67">
              <w:rPr>
                <w:rFonts w:cs="Calibri"/>
                <w:b/>
                <w:sz w:val="18"/>
                <w:szCs w:val="18"/>
              </w:rPr>
              <w:t xml:space="preserve">2. What indicators are there that the outcome will be </w:t>
            </w:r>
            <w:r w:rsidRPr="00075E67">
              <w:rPr>
                <w:rFonts w:cs="Calibri"/>
                <w:b/>
                <w:sz w:val="18"/>
                <w:szCs w:val="18"/>
              </w:rPr>
              <w:lastRenderedPageBreak/>
              <w:t>sustained after external funding ends?</w:t>
            </w:r>
          </w:p>
          <w:p w:rsidR="005F5DC3" w:rsidRPr="00075E67" w:rsidRDefault="005F5DC3" w:rsidP="005F5DC3">
            <w:pPr>
              <w:autoSpaceDE w:val="0"/>
              <w:autoSpaceDN w:val="0"/>
              <w:adjustRightInd w:val="0"/>
              <w:spacing w:after="0" w:line="240" w:lineRule="auto"/>
              <w:rPr>
                <w:rFonts w:cs="Calibri"/>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43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08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r>
      <w:tr w:rsidR="005F5DC3" w:rsidRPr="00075E67" w:rsidTr="005F5DC3">
        <w:tc>
          <w:tcPr>
            <w:tcW w:w="2448"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lastRenderedPageBreak/>
              <w:t xml:space="preserve">2.1 What indicators are there that the </w:t>
            </w:r>
            <w:r w:rsidRPr="00075E67">
              <w:rPr>
                <w:rFonts w:cs="Calibri"/>
                <w:b/>
                <w:sz w:val="18"/>
                <w:szCs w:val="18"/>
              </w:rPr>
              <w:t>CDMP-II</w:t>
            </w:r>
            <w:r w:rsidRPr="00075E67">
              <w:rPr>
                <w:rFonts w:cs="Calibri"/>
                <w:sz w:val="18"/>
                <w:szCs w:val="18"/>
              </w:rPr>
              <w:t xml:space="preserve"> outcome will be sustained after external funding ends?</w:t>
            </w:r>
          </w:p>
          <w:p w:rsidR="005F5DC3" w:rsidRPr="00075E67" w:rsidRDefault="005F5DC3" w:rsidP="005F5DC3">
            <w:pPr>
              <w:autoSpaceDE w:val="0"/>
              <w:autoSpaceDN w:val="0"/>
              <w:adjustRightInd w:val="0"/>
              <w:spacing w:after="0" w:line="240" w:lineRule="auto"/>
              <w:rPr>
                <w:rFonts w:cs="Calibri"/>
                <w:sz w:val="18"/>
                <w:szCs w:val="18"/>
              </w:rPr>
            </w:pPr>
          </w:p>
        </w:tc>
        <w:tc>
          <w:tcPr>
            <w:tcW w:w="2610"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 xml:space="preserve">1.1 What indicators are there that the CDMP-II </w:t>
            </w:r>
            <w:r w:rsidRPr="00075E67">
              <w:rPr>
                <w:rFonts w:cs="Calibri"/>
                <w:b/>
                <w:sz w:val="18"/>
                <w:szCs w:val="18"/>
              </w:rPr>
              <w:t xml:space="preserve">resilient habitat </w:t>
            </w:r>
            <w:r w:rsidRPr="00075E67">
              <w:rPr>
                <w:rFonts w:cs="Calibri"/>
                <w:sz w:val="18"/>
                <w:szCs w:val="18"/>
              </w:rPr>
              <w:t>component will be sustained after external funding ends?</w:t>
            </w:r>
          </w:p>
          <w:p w:rsidR="005F5DC3" w:rsidRPr="00075E67" w:rsidRDefault="005F5DC3" w:rsidP="005F5DC3">
            <w:pPr>
              <w:spacing w:after="0" w:line="240" w:lineRule="auto"/>
              <w:rPr>
                <w:rFonts w:cs="Calibri"/>
                <w:sz w:val="18"/>
                <w:szCs w:val="18"/>
              </w:rPr>
            </w:pPr>
          </w:p>
        </w:tc>
        <w:tc>
          <w:tcPr>
            <w:tcW w:w="243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Magnitude of maintenance cost; provision of maintenance cost; community engagement; greater access and control over resources by men and women as  well as by disadvantaged groups; sex disaggregated data; stronger participation and leadership in decision ma</w:t>
            </w:r>
            <w:r>
              <w:rPr>
                <w:rFonts w:cs="Calibri"/>
                <w:sz w:val="18"/>
                <w:szCs w:val="18"/>
              </w:rPr>
              <w:t>k</w:t>
            </w:r>
            <w:r w:rsidRPr="00075E67">
              <w:rPr>
                <w:rFonts w:cs="Calibri"/>
                <w:sz w:val="18"/>
                <w:szCs w:val="18"/>
              </w:rPr>
              <w:t>ing process as well as other cycles of the project; increasing sense of empowerment</w:t>
            </w:r>
          </w:p>
          <w:p w:rsidR="005F5DC3" w:rsidRPr="006E4450" w:rsidRDefault="005F5DC3" w:rsidP="005F5DC3">
            <w:pPr>
              <w:autoSpaceDE w:val="0"/>
              <w:autoSpaceDN w:val="0"/>
              <w:adjustRightInd w:val="0"/>
              <w:spacing w:after="0" w:line="240" w:lineRule="auto"/>
              <w:rPr>
                <w:rFonts w:cs="Calibri"/>
                <w:sz w:val="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 ; CDMP-II Project Office ;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08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Data limitation</w:t>
            </w:r>
          </w:p>
        </w:tc>
      </w:tr>
      <w:tr w:rsidR="005F5DC3" w:rsidRPr="00075E67" w:rsidTr="005F5DC3">
        <w:tc>
          <w:tcPr>
            <w:tcW w:w="2448" w:type="dxa"/>
            <w:shd w:val="clear" w:color="auto" w:fill="auto"/>
          </w:tcPr>
          <w:p w:rsidR="005F5DC3" w:rsidRPr="00075E67" w:rsidRDefault="005F5DC3" w:rsidP="005F5DC3">
            <w:pPr>
              <w:spacing w:after="0" w:line="240" w:lineRule="auto"/>
              <w:rPr>
                <w:rFonts w:cs="Calibri"/>
                <w:sz w:val="18"/>
                <w:szCs w:val="18"/>
              </w:rPr>
            </w:pPr>
          </w:p>
        </w:tc>
        <w:tc>
          <w:tcPr>
            <w:tcW w:w="2610"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 xml:space="preserve">1.2 What indicators are there that the CDMP-II </w:t>
            </w:r>
            <w:r w:rsidRPr="00075E67">
              <w:rPr>
                <w:rFonts w:cs="Calibri"/>
                <w:b/>
                <w:sz w:val="18"/>
                <w:szCs w:val="18"/>
              </w:rPr>
              <w:t>water purification plant and water supply</w:t>
            </w:r>
            <w:r w:rsidRPr="00075E67">
              <w:rPr>
                <w:rFonts w:cs="Calibri"/>
                <w:sz w:val="18"/>
                <w:szCs w:val="18"/>
              </w:rPr>
              <w:t xml:space="preserve"> component will be sustained after external funding ends?</w:t>
            </w:r>
          </w:p>
          <w:p w:rsidR="005F5DC3" w:rsidRPr="00075E67" w:rsidRDefault="005F5DC3" w:rsidP="005F5DC3">
            <w:pPr>
              <w:autoSpaceDE w:val="0"/>
              <w:autoSpaceDN w:val="0"/>
              <w:adjustRightInd w:val="0"/>
              <w:spacing w:after="0" w:line="240" w:lineRule="auto"/>
              <w:rPr>
                <w:rFonts w:cs="Calibri"/>
                <w:sz w:val="18"/>
                <w:szCs w:val="18"/>
              </w:rPr>
            </w:pPr>
          </w:p>
        </w:tc>
        <w:tc>
          <w:tcPr>
            <w:tcW w:w="243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Extent of community contribution and engagement; greater access and control over resources by men and women and  well as by disadvantaged group</w:t>
            </w:r>
          </w:p>
          <w:p w:rsidR="005F5DC3" w:rsidRPr="006E4450" w:rsidRDefault="005F5DC3" w:rsidP="005F5DC3">
            <w:pPr>
              <w:autoSpaceDE w:val="0"/>
              <w:autoSpaceDN w:val="0"/>
              <w:adjustRightInd w:val="0"/>
              <w:spacing w:after="0" w:line="240" w:lineRule="auto"/>
              <w:rPr>
                <w:rFonts w:cs="Calibri"/>
                <w:sz w:val="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 ; CDMP-II Project Office ;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08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Data limitation</w:t>
            </w:r>
          </w:p>
        </w:tc>
      </w:tr>
      <w:tr w:rsidR="005F5DC3" w:rsidRPr="00075E67" w:rsidTr="005F5DC3">
        <w:tc>
          <w:tcPr>
            <w:tcW w:w="2448" w:type="dxa"/>
            <w:shd w:val="clear" w:color="auto" w:fill="auto"/>
          </w:tcPr>
          <w:p w:rsidR="005F5DC3" w:rsidRPr="00075E67" w:rsidRDefault="005F5DC3" w:rsidP="005F5DC3">
            <w:pPr>
              <w:spacing w:after="0" w:line="240" w:lineRule="auto"/>
              <w:rPr>
                <w:rFonts w:cs="Calibri"/>
                <w:sz w:val="18"/>
                <w:szCs w:val="18"/>
              </w:rPr>
            </w:pPr>
          </w:p>
        </w:tc>
        <w:tc>
          <w:tcPr>
            <w:tcW w:w="2610"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 xml:space="preserve">1.3 What indicators are there that the CDMP-II </w:t>
            </w:r>
            <w:r w:rsidRPr="00075E67">
              <w:rPr>
                <w:rFonts w:cs="Calibri"/>
                <w:b/>
                <w:sz w:val="18"/>
                <w:szCs w:val="18"/>
              </w:rPr>
              <w:t>urban ris</w:t>
            </w:r>
            <w:r>
              <w:rPr>
                <w:rFonts w:cs="Calibri"/>
                <w:b/>
                <w:sz w:val="18"/>
                <w:szCs w:val="18"/>
              </w:rPr>
              <w:t>k</w:t>
            </w:r>
            <w:r w:rsidRPr="00075E67">
              <w:rPr>
                <w:rFonts w:cs="Calibri"/>
                <w:b/>
                <w:sz w:val="18"/>
                <w:szCs w:val="18"/>
              </w:rPr>
              <w:t xml:space="preserve"> reduction and volunteer mobilization</w:t>
            </w:r>
            <w:r w:rsidRPr="00075E67">
              <w:rPr>
                <w:rFonts w:cs="Calibri"/>
                <w:sz w:val="18"/>
                <w:szCs w:val="18"/>
              </w:rPr>
              <w:t xml:space="preserve"> component will be sustained after external funding ends?</w:t>
            </w:r>
          </w:p>
          <w:p w:rsidR="005F5DC3" w:rsidRPr="00075E67" w:rsidRDefault="005F5DC3" w:rsidP="005F5DC3">
            <w:pPr>
              <w:autoSpaceDE w:val="0"/>
              <w:autoSpaceDN w:val="0"/>
              <w:adjustRightInd w:val="0"/>
              <w:spacing w:after="0" w:line="240" w:lineRule="auto"/>
              <w:rPr>
                <w:rFonts w:cs="Calibri"/>
                <w:sz w:val="18"/>
                <w:szCs w:val="18"/>
              </w:rPr>
            </w:pPr>
          </w:p>
        </w:tc>
        <w:tc>
          <w:tcPr>
            <w:tcW w:w="243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Extent of community contribution and engagement; involvement of advocacy group and media; up-scaling by government agencies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 ; CDMP-II Project Office ;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08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Data limitation</w:t>
            </w:r>
          </w:p>
        </w:tc>
      </w:tr>
      <w:tr w:rsidR="005F5DC3" w:rsidRPr="00075E67" w:rsidTr="005F5DC3">
        <w:tc>
          <w:tcPr>
            <w:tcW w:w="2448" w:type="dxa"/>
            <w:shd w:val="clear" w:color="auto" w:fill="auto"/>
          </w:tcPr>
          <w:p w:rsidR="005F5DC3" w:rsidRPr="00075E67" w:rsidRDefault="005F5DC3" w:rsidP="005F5DC3">
            <w:pPr>
              <w:spacing w:after="0" w:line="240" w:lineRule="auto"/>
              <w:rPr>
                <w:rFonts w:cs="Calibri"/>
                <w:sz w:val="18"/>
                <w:szCs w:val="18"/>
              </w:rPr>
            </w:pPr>
          </w:p>
        </w:tc>
        <w:tc>
          <w:tcPr>
            <w:tcW w:w="2610"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 xml:space="preserve">1.4 What indicators are there that the CDMP-II </w:t>
            </w:r>
            <w:r w:rsidRPr="00075E67">
              <w:rPr>
                <w:rFonts w:cs="Calibri"/>
                <w:b/>
                <w:sz w:val="18"/>
                <w:szCs w:val="18"/>
              </w:rPr>
              <w:t xml:space="preserve">cell-based early warning system component </w:t>
            </w:r>
            <w:r w:rsidRPr="00075E67">
              <w:rPr>
                <w:rFonts w:cs="Calibri"/>
                <w:sz w:val="18"/>
                <w:szCs w:val="18"/>
              </w:rPr>
              <w:t>will be sustained after external funding ends?</w:t>
            </w:r>
          </w:p>
          <w:p w:rsidR="005F5DC3" w:rsidRPr="00075E67" w:rsidRDefault="005F5DC3" w:rsidP="005F5DC3">
            <w:pPr>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p>
        </w:tc>
        <w:tc>
          <w:tcPr>
            <w:tcW w:w="243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Upscaling provision by government; level of partnership between public and private sector;</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UNDP Country Office ; CDMP-II Project Office ; Field study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Primary (FGDs, </w:t>
            </w:r>
            <w:r>
              <w:rPr>
                <w:rFonts w:cs="Calibri"/>
                <w:sz w:val="18"/>
                <w:szCs w:val="18"/>
              </w:rPr>
              <w:t>K</w:t>
            </w:r>
            <w:r w:rsidRPr="00075E67">
              <w:rPr>
                <w:rFonts w:cs="Calibri"/>
                <w:sz w:val="18"/>
                <w:szCs w:val="18"/>
              </w:rPr>
              <w:t>IIs, 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08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Data limitation</w:t>
            </w:r>
          </w:p>
        </w:tc>
      </w:tr>
      <w:tr w:rsidR="005F5DC3" w:rsidRPr="00075E67" w:rsidTr="005F5DC3">
        <w:tc>
          <w:tcPr>
            <w:tcW w:w="2448"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 xml:space="preserve">2.2 What indicators are there that the </w:t>
            </w:r>
            <w:r w:rsidRPr="00075E67">
              <w:rPr>
                <w:rFonts w:cs="Calibri"/>
                <w:b/>
                <w:sz w:val="18"/>
                <w:szCs w:val="18"/>
              </w:rPr>
              <w:t>ERFoutcomes</w:t>
            </w:r>
            <w:r w:rsidRPr="00075E67">
              <w:rPr>
                <w:rFonts w:cs="Calibri"/>
                <w:sz w:val="18"/>
                <w:szCs w:val="18"/>
              </w:rPr>
              <w:t xml:space="preserve"> will be sustained after external </w:t>
            </w:r>
            <w:r w:rsidRPr="00075E67">
              <w:rPr>
                <w:rFonts w:cs="Calibri"/>
                <w:sz w:val="18"/>
                <w:szCs w:val="18"/>
              </w:rPr>
              <w:lastRenderedPageBreak/>
              <w:t>funding ends?</w:t>
            </w:r>
          </w:p>
          <w:p w:rsidR="005F5DC3" w:rsidRPr="00075E67" w:rsidRDefault="005F5DC3" w:rsidP="005F5DC3">
            <w:pPr>
              <w:spacing w:after="0" w:line="240" w:lineRule="auto"/>
              <w:rPr>
                <w:rFonts w:cs="Calibri"/>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 xml:space="preserve">2.2.1 What indicators are there that the ERF’s </w:t>
            </w:r>
            <w:r w:rsidRPr="00075E67">
              <w:rPr>
                <w:rFonts w:cs="Calibri"/>
                <w:b/>
                <w:sz w:val="18"/>
                <w:szCs w:val="18"/>
              </w:rPr>
              <w:t xml:space="preserve">restarting Income Generation Activities of HH </w:t>
            </w:r>
            <w:r w:rsidRPr="00075E67">
              <w:rPr>
                <w:rFonts w:cs="Calibri"/>
                <w:b/>
                <w:sz w:val="18"/>
                <w:szCs w:val="18"/>
              </w:rPr>
              <w:lastRenderedPageBreak/>
              <w:t xml:space="preserve">with cash and materials (IGA) </w:t>
            </w:r>
            <w:r w:rsidRPr="00075E67">
              <w:rPr>
                <w:rFonts w:cs="Calibri"/>
                <w:sz w:val="18"/>
                <w:szCs w:val="18"/>
              </w:rPr>
              <w:t>component will be sustained after external funding ends?</w:t>
            </w:r>
          </w:p>
          <w:p w:rsidR="005F5DC3" w:rsidRPr="00075E67" w:rsidRDefault="005F5DC3" w:rsidP="005F5DC3">
            <w:pPr>
              <w:autoSpaceDE w:val="0"/>
              <w:autoSpaceDN w:val="0"/>
              <w:adjustRightInd w:val="0"/>
              <w:spacing w:after="0" w:line="240" w:lineRule="auto"/>
              <w:rPr>
                <w:rFonts w:cs="Calibri"/>
                <w:sz w:val="18"/>
                <w:szCs w:val="18"/>
              </w:rPr>
            </w:pPr>
          </w:p>
        </w:tc>
        <w:tc>
          <w:tcPr>
            <w:tcW w:w="243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Availability of national emergency fund (if any)</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ERF Project office, UNDP; </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Secondary (Data base, reports)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08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Quantitative and Qualitative </w:t>
            </w:r>
            <w:r w:rsidRPr="00075E67">
              <w:rPr>
                <w:rFonts w:cs="Calibri"/>
                <w:sz w:val="18"/>
                <w:szCs w:val="18"/>
              </w:rPr>
              <w:lastRenderedPageBreak/>
              <w:t>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lastRenderedPageBreak/>
              <w:t>Potential deficiency in baseline data</w:t>
            </w:r>
          </w:p>
        </w:tc>
      </w:tr>
      <w:tr w:rsidR="005F5DC3" w:rsidRPr="00075E67" w:rsidTr="005F5DC3">
        <w:tc>
          <w:tcPr>
            <w:tcW w:w="2448" w:type="dxa"/>
            <w:shd w:val="clear" w:color="auto" w:fill="auto"/>
          </w:tcPr>
          <w:p w:rsidR="005F5DC3" w:rsidRPr="00075E67" w:rsidRDefault="005F5DC3" w:rsidP="005F5DC3">
            <w:pPr>
              <w:spacing w:after="0" w:line="240" w:lineRule="auto"/>
              <w:rPr>
                <w:rFonts w:cs="Calibri"/>
                <w:sz w:val="18"/>
                <w:szCs w:val="18"/>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2.2.2 What indicators are there that the ERF’s </w:t>
            </w:r>
            <w:r w:rsidRPr="00075E67">
              <w:rPr>
                <w:rFonts w:cs="Calibri"/>
                <w:b/>
                <w:sz w:val="18"/>
                <w:szCs w:val="18"/>
              </w:rPr>
              <w:t xml:space="preserve">restarting construction and reconstruction of Emergency Shelter (ES) </w:t>
            </w:r>
            <w:r w:rsidRPr="00075E67">
              <w:rPr>
                <w:rFonts w:cs="Calibri"/>
                <w:sz w:val="18"/>
                <w:szCs w:val="18"/>
              </w:rPr>
              <w:t>component will be sustained after external funding ends?</w:t>
            </w:r>
          </w:p>
          <w:p w:rsidR="005F5DC3" w:rsidRPr="00075E67" w:rsidRDefault="005F5DC3" w:rsidP="005F5DC3">
            <w:pPr>
              <w:autoSpaceDE w:val="0"/>
              <w:autoSpaceDN w:val="0"/>
              <w:adjustRightInd w:val="0"/>
              <w:spacing w:after="0" w:line="240" w:lineRule="auto"/>
              <w:rPr>
                <w:rFonts w:cs="Calibri"/>
                <w:sz w:val="18"/>
                <w:szCs w:val="18"/>
              </w:rPr>
            </w:pPr>
          </w:p>
        </w:tc>
        <w:tc>
          <w:tcPr>
            <w:tcW w:w="243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Provision of funding ES in national development plan </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Availability of emergency fund (if any)</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ERF Project office, UNDP; </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Secondary (Data base, reports)</w:t>
            </w:r>
          </w:p>
        </w:tc>
        <w:tc>
          <w:tcPr>
            <w:tcW w:w="108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r>
      <w:tr w:rsidR="005F5DC3" w:rsidRPr="00075E67" w:rsidTr="005F5DC3">
        <w:tc>
          <w:tcPr>
            <w:tcW w:w="2448"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 xml:space="preserve">2.3 What indicators are there that the </w:t>
            </w:r>
            <w:r w:rsidRPr="00075E67">
              <w:rPr>
                <w:rFonts w:cs="Calibri"/>
                <w:b/>
                <w:sz w:val="18"/>
                <w:szCs w:val="18"/>
              </w:rPr>
              <w:t>coastal afforestation</w:t>
            </w:r>
            <w:r w:rsidRPr="00075E67">
              <w:rPr>
                <w:rFonts w:cs="Calibri"/>
                <w:sz w:val="18"/>
                <w:szCs w:val="18"/>
              </w:rPr>
              <w:t xml:space="preserve"> outcomes will be sustained after external funding ends?</w:t>
            </w:r>
          </w:p>
          <w:p w:rsidR="005F5DC3" w:rsidRPr="00075E67" w:rsidRDefault="005F5DC3" w:rsidP="005F5DC3">
            <w:pPr>
              <w:spacing w:after="0" w:line="240" w:lineRule="auto"/>
              <w:rPr>
                <w:rFonts w:cs="Calibri"/>
                <w:sz w:val="18"/>
                <w:szCs w:val="18"/>
                <w:highlight w:val="yellow"/>
              </w:rPr>
            </w:pPr>
          </w:p>
        </w:tc>
        <w:tc>
          <w:tcPr>
            <w:tcW w:w="261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c>
          <w:tcPr>
            <w:tcW w:w="243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Magnitude of maintenance cost; provision of maintenance cost; community engagement; greater access and control over forest  resources by men and women as  well as by disadvantaged groups; sex disaggregated data; stronger participation and leadership in decision ma</w:t>
            </w:r>
            <w:r>
              <w:rPr>
                <w:rFonts w:cs="Calibri"/>
                <w:sz w:val="18"/>
                <w:szCs w:val="18"/>
              </w:rPr>
              <w:t>k</w:t>
            </w:r>
            <w:r w:rsidRPr="00075E67">
              <w:rPr>
                <w:rFonts w:cs="Calibri"/>
                <w:sz w:val="18"/>
                <w:szCs w:val="18"/>
              </w:rPr>
              <w:t>ing process as well as other cycles of the project; increasing sense of empowerment</w:t>
            </w:r>
          </w:p>
          <w:p w:rsidR="005F5DC3" w:rsidRPr="00075E67" w:rsidRDefault="005F5DC3" w:rsidP="005F5DC3">
            <w:pPr>
              <w:autoSpaceDE w:val="0"/>
              <w:autoSpaceDN w:val="0"/>
              <w:adjustRightInd w:val="0"/>
              <w:spacing w:after="0" w:line="240" w:lineRule="auto"/>
              <w:rPr>
                <w:rFonts w:cs="Calibri"/>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Forest Department project office; Field study in Naltona</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Secondary and primary</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08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Qualitative</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p>
        </w:tc>
      </w:tr>
      <w:tr w:rsidR="005F5DC3" w:rsidRPr="00075E67" w:rsidTr="005F5DC3">
        <w:tc>
          <w:tcPr>
            <w:tcW w:w="2448"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 xml:space="preserve">2.4 What indicators are there that the </w:t>
            </w:r>
            <w:r w:rsidRPr="00075E67">
              <w:rPr>
                <w:rFonts w:cs="Calibri"/>
                <w:b/>
                <w:sz w:val="18"/>
                <w:szCs w:val="18"/>
              </w:rPr>
              <w:t>PECM outcome</w:t>
            </w:r>
            <w:r w:rsidRPr="00075E67">
              <w:rPr>
                <w:rFonts w:cs="Calibri"/>
                <w:sz w:val="18"/>
                <w:szCs w:val="18"/>
              </w:rPr>
              <w:t xml:space="preserve"> will be sustained after external funding ends?</w:t>
            </w:r>
          </w:p>
          <w:p w:rsidR="005F5DC3" w:rsidRPr="00075E67" w:rsidRDefault="005F5DC3" w:rsidP="005F5DC3">
            <w:pPr>
              <w:autoSpaceDE w:val="0"/>
              <w:autoSpaceDN w:val="0"/>
              <w:adjustRightInd w:val="0"/>
              <w:spacing w:after="0" w:line="240" w:lineRule="auto"/>
              <w:rPr>
                <w:rFonts w:cs="Calibri"/>
                <w:sz w:val="18"/>
                <w:szCs w:val="18"/>
              </w:rPr>
            </w:pPr>
          </w:p>
        </w:tc>
        <w:tc>
          <w:tcPr>
            <w:tcW w:w="2610" w:type="dxa"/>
            <w:shd w:val="clear" w:color="auto" w:fill="auto"/>
          </w:tcPr>
          <w:p w:rsidR="005F5DC3" w:rsidRPr="00075E67" w:rsidRDefault="005F5DC3" w:rsidP="005F5DC3">
            <w:pPr>
              <w:spacing w:after="0" w:line="240" w:lineRule="auto"/>
              <w:rPr>
                <w:rFonts w:cs="Calibri"/>
                <w:sz w:val="18"/>
                <w:szCs w:val="18"/>
              </w:rPr>
            </w:pPr>
            <w:r w:rsidRPr="00075E67">
              <w:rPr>
                <w:rFonts w:cs="Calibri"/>
                <w:sz w:val="18"/>
                <w:szCs w:val="18"/>
              </w:rPr>
              <w:t xml:space="preserve">1.1 What indicators are there that the </w:t>
            </w:r>
            <w:r w:rsidRPr="00075E67">
              <w:rPr>
                <w:rFonts w:cs="Calibri"/>
                <w:b/>
                <w:sz w:val="18"/>
                <w:szCs w:val="18"/>
              </w:rPr>
              <w:t>PECM-CPEIRcomponent</w:t>
            </w:r>
            <w:r w:rsidRPr="00075E67">
              <w:rPr>
                <w:rFonts w:cs="Calibri"/>
                <w:sz w:val="18"/>
                <w:szCs w:val="18"/>
              </w:rPr>
              <w:t xml:space="preserve"> will be sustained after external funding ends?</w:t>
            </w:r>
          </w:p>
          <w:p w:rsidR="005F5DC3" w:rsidRPr="00075E67" w:rsidRDefault="005F5DC3" w:rsidP="005F5DC3">
            <w:pPr>
              <w:spacing w:after="0" w:line="240" w:lineRule="auto"/>
              <w:rPr>
                <w:rFonts w:cs="Calibri"/>
                <w:sz w:val="18"/>
                <w:szCs w:val="18"/>
              </w:rPr>
            </w:pPr>
          </w:p>
        </w:tc>
        <w:tc>
          <w:tcPr>
            <w:tcW w:w="243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No of trainers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No of cases/sectors mainstreamed</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No of analyses</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(LGI Analysis, Institutional Analyses, Expenditure review)</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No of follow-ups</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Support for follow-ups</w:t>
            </w:r>
          </w:p>
          <w:p w:rsidR="005F5DC3" w:rsidRPr="00075E67" w:rsidRDefault="005F5DC3" w:rsidP="005F5DC3">
            <w:pPr>
              <w:autoSpaceDE w:val="0"/>
              <w:autoSpaceDN w:val="0"/>
              <w:adjustRightInd w:val="0"/>
              <w:spacing w:after="0" w:line="240" w:lineRule="auto"/>
              <w:rPr>
                <w:rFonts w:cs="Calibri"/>
                <w:sz w:val="18"/>
                <w:szCs w:val="18"/>
              </w:rPr>
            </w:pPr>
          </w:p>
          <w:p w:rsidR="005F5DC3" w:rsidRPr="00075E67" w:rsidRDefault="005F5DC3" w:rsidP="005F5DC3">
            <w:pPr>
              <w:autoSpaceDE w:val="0"/>
              <w:autoSpaceDN w:val="0"/>
              <w:adjustRightInd w:val="0"/>
              <w:spacing w:after="0" w:line="240" w:lineRule="auto"/>
              <w:rPr>
                <w:rFonts w:cs="Calibri"/>
                <w:sz w:val="18"/>
                <w:szCs w:val="18"/>
              </w:rPr>
            </w:pP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UNDP Country Office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FD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Project Office</w:t>
            </w:r>
          </w:p>
        </w:tc>
        <w:tc>
          <w:tcPr>
            <w:tcW w:w="117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 xml:space="preserve">Interviews </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FGDs</w:t>
            </w:r>
          </w:p>
          <w:p w:rsidR="005F5DC3" w:rsidRPr="00075E67" w:rsidRDefault="005F5DC3" w:rsidP="005F5DC3">
            <w:pPr>
              <w:autoSpaceDE w:val="0"/>
              <w:autoSpaceDN w:val="0"/>
              <w:adjustRightInd w:val="0"/>
              <w:spacing w:after="0" w:line="240" w:lineRule="auto"/>
              <w:rPr>
                <w:rFonts w:cs="Calibri"/>
                <w:sz w:val="18"/>
                <w:szCs w:val="18"/>
              </w:rPr>
            </w:pPr>
            <w:r>
              <w:rPr>
                <w:rFonts w:cs="Calibri"/>
                <w:sz w:val="18"/>
                <w:szCs w:val="18"/>
              </w:rPr>
              <w:t>K</w:t>
            </w:r>
            <w:r w:rsidRPr="00075E67">
              <w:rPr>
                <w:rFonts w:cs="Calibri"/>
                <w:sz w:val="18"/>
                <w:szCs w:val="18"/>
              </w:rPr>
              <w:t>IIs</w:t>
            </w:r>
          </w:p>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Case Studies</w:t>
            </w:r>
          </w:p>
        </w:tc>
        <w:tc>
          <w:tcPr>
            <w:tcW w:w="144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Purposive</w:t>
            </w:r>
          </w:p>
        </w:tc>
        <w:tc>
          <w:tcPr>
            <w:tcW w:w="108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Quantitative and Qualitative Analyses</w:t>
            </w:r>
          </w:p>
        </w:tc>
        <w:tc>
          <w:tcPr>
            <w:tcW w:w="1260" w:type="dxa"/>
            <w:shd w:val="clear" w:color="auto" w:fill="auto"/>
          </w:tcPr>
          <w:p w:rsidR="005F5DC3" w:rsidRPr="00075E67" w:rsidRDefault="005F5DC3" w:rsidP="005F5DC3">
            <w:pPr>
              <w:autoSpaceDE w:val="0"/>
              <w:autoSpaceDN w:val="0"/>
              <w:adjustRightInd w:val="0"/>
              <w:spacing w:after="0" w:line="240" w:lineRule="auto"/>
              <w:rPr>
                <w:rFonts w:cs="Calibri"/>
                <w:sz w:val="18"/>
                <w:szCs w:val="18"/>
              </w:rPr>
            </w:pPr>
            <w:r w:rsidRPr="00075E67">
              <w:rPr>
                <w:rFonts w:cs="Calibri"/>
                <w:sz w:val="18"/>
                <w:szCs w:val="18"/>
              </w:rPr>
              <w:t>Potential data limitation</w:t>
            </w:r>
          </w:p>
        </w:tc>
      </w:tr>
    </w:tbl>
    <w:p w:rsidR="005F5DC3" w:rsidRDefault="005F5DC3" w:rsidP="005F5DC3">
      <w:pPr>
        <w:tabs>
          <w:tab w:val="left" w:pos="2595"/>
        </w:tabs>
        <w:rPr>
          <w:rFonts w:asciiTheme="minorHAnsi" w:hAnsiTheme="minorHAnsi"/>
        </w:rPr>
      </w:pPr>
    </w:p>
    <w:p w:rsidR="00455E34" w:rsidRDefault="00455E34" w:rsidP="005F5DC3">
      <w:pPr>
        <w:tabs>
          <w:tab w:val="left" w:pos="2595"/>
        </w:tabs>
        <w:rPr>
          <w:rFonts w:asciiTheme="minorHAnsi" w:hAnsiTheme="minorHAnsi"/>
        </w:rPr>
      </w:pPr>
    </w:p>
    <w:p w:rsidR="00455E34" w:rsidRPr="004F24C4" w:rsidRDefault="00455E34" w:rsidP="00455E34">
      <w:pPr>
        <w:autoSpaceDE w:val="0"/>
        <w:autoSpaceDN w:val="0"/>
        <w:adjustRightInd w:val="0"/>
        <w:spacing w:after="0" w:line="240" w:lineRule="auto"/>
        <w:jc w:val="center"/>
        <w:rPr>
          <w:rFonts w:cs="Calibri"/>
          <w:b/>
          <w:szCs w:val="18"/>
        </w:rPr>
      </w:pPr>
      <w:r w:rsidRPr="004F24C4">
        <w:rPr>
          <w:rFonts w:cs="Calibri"/>
          <w:b/>
          <w:szCs w:val="18"/>
        </w:rPr>
        <w:lastRenderedPageBreak/>
        <w:t>UNDP Country Outcome 3.2/UNDAF Outcome 5.2</w:t>
      </w:r>
    </w:p>
    <w:p w:rsidR="00455E34" w:rsidRDefault="00455E34" w:rsidP="005F5DC3">
      <w:pPr>
        <w:tabs>
          <w:tab w:val="left" w:pos="2595"/>
        </w:tabs>
        <w:rPr>
          <w:rFonts w:asciiTheme="minorHAnsi" w:hAnsiTheme="minorHAnsi"/>
        </w:rPr>
      </w:pPr>
    </w:p>
    <w:p w:rsidR="00455E34" w:rsidRPr="004F24C4" w:rsidRDefault="00455E34" w:rsidP="00455E34">
      <w:pPr>
        <w:autoSpaceDE w:val="0"/>
        <w:autoSpaceDN w:val="0"/>
        <w:adjustRightInd w:val="0"/>
        <w:spacing w:after="0" w:line="240" w:lineRule="auto"/>
        <w:rPr>
          <w:rFonts w:cs="Calibri"/>
          <w:b/>
          <w:szCs w:val="18"/>
        </w:rPr>
      </w:pPr>
      <w:r w:rsidRPr="004F24C4">
        <w:rPr>
          <w:rFonts w:cs="Calibri"/>
          <w:b/>
          <w:szCs w:val="18"/>
        </w:rPr>
        <w:t>Relevance</w:t>
      </w:r>
    </w:p>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70"/>
        <w:gridCol w:w="2430"/>
        <w:gridCol w:w="1170"/>
        <w:gridCol w:w="1170"/>
        <w:gridCol w:w="1260"/>
        <w:gridCol w:w="1260"/>
        <w:gridCol w:w="1260"/>
      </w:tblGrid>
      <w:tr w:rsidR="00455E34" w:rsidRPr="00075E67" w:rsidTr="009511DC">
        <w:trPr>
          <w:trHeight w:val="692"/>
        </w:trPr>
        <w:tc>
          <w:tcPr>
            <w:tcW w:w="2178"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Main Evaluation Question</w:t>
            </w:r>
          </w:p>
          <w:p w:rsidR="00455E34" w:rsidRPr="00075E67" w:rsidRDefault="00455E34" w:rsidP="009511DC">
            <w:pPr>
              <w:autoSpaceDE w:val="0"/>
              <w:autoSpaceDN w:val="0"/>
              <w:adjustRightInd w:val="0"/>
              <w:spacing w:after="0" w:line="240" w:lineRule="auto"/>
              <w:rPr>
                <w:rFonts w:cs="Calibri"/>
                <w:b/>
                <w:sz w:val="18"/>
                <w:szCs w:val="18"/>
              </w:rPr>
            </w:pPr>
          </w:p>
        </w:tc>
        <w:tc>
          <w:tcPr>
            <w:tcW w:w="297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Specific Evaluation Question</w:t>
            </w:r>
          </w:p>
          <w:p w:rsidR="00455E34" w:rsidRPr="00075E67" w:rsidRDefault="00455E34" w:rsidP="009511DC">
            <w:pPr>
              <w:autoSpaceDE w:val="0"/>
              <w:autoSpaceDN w:val="0"/>
              <w:adjustRightInd w:val="0"/>
              <w:spacing w:after="0" w:line="240" w:lineRule="auto"/>
              <w:rPr>
                <w:rFonts w:cs="Calibri"/>
                <w:b/>
                <w:sz w:val="18"/>
                <w:szCs w:val="18"/>
              </w:rPr>
            </w:pPr>
          </w:p>
        </w:tc>
        <w:tc>
          <w:tcPr>
            <w:tcW w:w="243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 xml:space="preserve">Indicator </w:t>
            </w:r>
          </w:p>
          <w:p w:rsidR="00455E34" w:rsidRPr="00075E67" w:rsidRDefault="00455E34" w:rsidP="009511DC">
            <w:pPr>
              <w:autoSpaceDE w:val="0"/>
              <w:autoSpaceDN w:val="0"/>
              <w:adjustRightInd w:val="0"/>
              <w:spacing w:after="0" w:line="240" w:lineRule="auto"/>
              <w:rPr>
                <w:rFonts w:cs="Calibri"/>
                <w:b/>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 xml:space="preserve">Data Source </w:t>
            </w:r>
          </w:p>
          <w:p w:rsidR="00455E34" w:rsidRPr="00075E67" w:rsidRDefault="00455E34" w:rsidP="009511DC">
            <w:pPr>
              <w:autoSpaceDE w:val="0"/>
              <w:autoSpaceDN w:val="0"/>
              <w:adjustRightInd w:val="0"/>
              <w:spacing w:after="0" w:line="240" w:lineRule="auto"/>
              <w:rPr>
                <w:rFonts w:cs="Calibri"/>
                <w:b/>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Data Collection Method</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Selection of Respondent</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Method of Data Analysis</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Limitation/</w:t>
            </w:r>
          </w:p>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Ris</w:t>
            </w:r>
            <w:r>
              <w:rPr>
                <w:rFonts w:cs="Calibri"/>
                <w:b/>
                <w:sz w:val="18"/>
                <w:szCs w:val="18"/>
              </w:rPr>
              <w:t>k</w:t>
            </w:r>
          </w:p>
        </w:tc>
      </w:tr>
      <w:tr w:rsidR="00455E34" w:rsidRPr="00075E67" w:rsidTr="009511DC">
        <w:tc>
          <w:tcPr>
            <w:tcW w:w="2178" w:type="dxa"/>
            <w:shd w:val="clear" w:color="auto" w:fill="auto"/>
          </w:tcPr>
          <w:p w:rsidR="00455E34" w:rsidRPr="00075E67" w:rsidRDefault="00455E34" w:rsidP="009511DC">
            <w:pPr>
              <w:pStyle w:val="ListParagraph"/>
              <w:spacing w:after="0" w:line="240" w:lineRule="auto"/>
              <w:ind w:left="0"/>
              <w:rPr>
                <w:rFonts w:cs="Calibri"/>
                <w:b/>
                <w:sz w:val="18"/>
                <w:szCs w:val="18"/>
              </w:rPr>
            </w:pPr>
            <w:r w:rsidRPr="00075E67">
              <w:rPr>
                <w:rFonts w:cs="Calibri"/>
                <w:b/>
                <w:sz w:val="18"/>
                <w:szCs w:val="18"/>
              </w:rPr>
              <w:t>Country Program Outcome 3.2/ UNDAF Outcome 5.2</w:t>
            </w:r>
          </w:p>
          <w:p w:rsidR="00455E34" w:rsidRPr="00075E67" w:rsidRDefault="00455E34" w:rsidP="009511DC">
            <w:pPr>
              <w:pStyle w:val="ListParagraph"/>
              <w:spacing w:after="0" w:line="240" w:lineRule="auto"/>
              <w:ind w:left="0"/>
              <w:jc w:val="both"/>
              <w:rPr>
                <w:rFonts w:cs="Calibri"/>
                <w:b/>
                <w:sz w:val="18"/>
                <w:szCs w:val="18"/>
              </w:rPr>
            </w:pPr>
          </w:p>
          <w:p w:rsidR="00455E34" w:rsidRPr="00075E67" w:rsidRDefault="00455E34" w:rsidP="009511DC">
            <w:pPr>
              <w:pStyle w:val="ListParagraph"/>
              <w:spacing w:after="0" w:line="240" w:lineRule="auto"/>
              <w:ind w:left="0"/>
              <w:rPr>
                <w:rFonts w:cs="Calibri"/>
                <w:sz w:val="18"/>
                <w:szCs w:val="18"/>
              </w:rPr>
            </w:pPr>
            <w:r w:rsidRPr="00075E67">
              <w:rPr>
                <w:rFonts w:cs="Calibri"/>
                <w:sz w:val="18"/>
                <w:szCs w:val="18"/>
              </w:rPr>
              <w:t xml:space="preserve">1. To what extent are </w:t>
            </w:r>
            <w:r w:rsidRPr="00075E67">
              <w:rPr>
                <w:rFonts w:cs="Calibri"/>
                <w:b/>
                <w:sz w:val="18"/>
                <w:szCs w:val="18"/>
              </w:rPr>
              <w:t xml:space="preserve">UNDP’s </w:t>
            </w:r>
            <w:r>
              <w:rPr>
                <w:rFonts w:cs="Calibri"/>
                <w:b/>
                <w:sz w:val="18"/>
                <w:szCs w:val="18"/>
              </w:rPr>
              <w:t>k</w:t>
            </w:r>
            <w:r w:rsidRPr="00075E67">
              <w:rPr>
                <w:rFonts w:cs="Calibri"/>
                <w:b/>
                <w:sz w:val="18"/>
                <w:szCs w:val="18"/>
              </w:rPr>
              <w:t>ey programmes/ projects</w:t>
            </w:r>
            <w:r w:rsidRPr="00075E67">
              <w:rPr>
                <w:rFonts w:cs="Calibri"/>
                <w:sz w:val="18"/>
                <w:szCs w:val="18"/>
              </w:rPr>
              <w:t xml:space="preserve"> relevant to increase benefits from better natural resource management and access to low carbon energy?</w:t>
            </w:r>
          </w:p>
        </w:tc>
        <w:tc>
          <w:tcPr>
            <w:tcW w:w="29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What are the activities ta</w:t>
            </w:r>
            <w:r>
              <w:rPr>
                <w:rFonts w:cs="Calibri"/>
                <w:sz w:val="18"/>
                <w:szCs w:val="18"/>
              </w:rPr>
              <w:t>k</w:t>
            </w:r>
            <w:r w:rsidRPr="00075E67">
              <w:rPr>
                <w:rFonts w:cs="Calibri"/>
                <w:sz w:val="18"/>
                <w:szCs w:val="18"/>
              </w:rPr>
              <w:t>en to achieve the target</w:t>
            </w:r>
          </w:p>
          <w:p w:rsidR="00455E34" w:rsidRPr="00075E67" w:rsidRDefault="00455E34" w:rsidP="009511DC">
            <w:pPr>
              <w:autoSpaceDE w:val="0"/>
              <w:autoSpaceDN w:val="0"/>
              <w:adjustRightInd w:val="0"/>
              <w:spacing w:after="0" w:line="240" w:lineRule="auto"/>
              <w:rPr>
                <w:rFonts w:cs="Calibri"/>
                <w:sz w:val="18"/>
                <w:szCs w:val="18"/>
              </w:rPr>
            </w:pPr>
          </w:p>
        </w:tc>
        <w:tc>
          <w:tcPr>
            <w:tcW w:w="2430" w:type="dxa"/>
            <w:shd w:val="clear" w:color="auto" w:fill="auto"/>
          </w:tcPr>
          <w:p w:rsidR="00455E34" w:rsidRPr="00075E67" w:rsidRDefault="00455E34" w:rsidP="009511DC">
            <w:pPr>
              <w:spacing w:after="0" w:line="240" w:lineRule="auto"/>
              <w:rPr>
                <w:rFonts w:cs="Calibri"/>
                <w:sz w:val="18"/>
                <w:szCs w:val="18"/>
              </w:rPr>
            </w:pPr>
            <w:r w:rsidRPr="00075E67">
              <w:rPr>
                <w:rFonts w:cs="Calibri"/>
                <w:sz w:val="18"/>
                <w:szCs w:val="18"/>
              </w:rPr>
              <w:t xml:space="preserve"># of Government policies, strategies or plans approved in support of sustainable management of natural resources </w:t>
            </w:r>
          </w:p>
          <w:p w:rsidR="00455E34" w:rsidRPr="00075E67" w:rsidRDefault="00455E34" w:rsidP="009511DC">
            <w:pPr>
              <w:spacing w:after="0" w:line="240" w:lineRule="auto"/>
              <w:rPr>
                <w:rFonts w:cs="Calibri"/>
                <w:sz w:val="18"/>
                <w:szCs w:val="18"/>
              </w:rPr>
            </w:pPr>
            <w:r w:rsidRPr="00075E67">
              <w:rPr>
                <w:rFonts w:cs="Calibri"/>
                <w:sz w:val="18"/>
                <w:szCs w:val="18"/>
                <w:u w:val="single"/>
              </w:rPr>
              <w:t>Baseline</w:t>
            </w:r>
            <w:r w:rsidRPr="00075E67">
              <w:rPr>
                <w:rFonts w:cs="Calibri"/>
                <w:sz w:val="18"/>
                <w:szCs w:val="18"/>
              </w:rPr>
              <w:t xml:space="preserve"> 2012: 18</w:t>
            </w:r>
          </w:p>
          <w:p w:rsidR="00455E34" w:rsidRPr="00075E67" w:rsidRDefault="00455E34" w:rsidP="009511DC">
            <w:pPr>
              <w:spacing w:after="0" w:line="240" w:lineRule="auto"/>
              <w:rPr>
                <w:rFonts w:cs="Calibri"/>
                <w:sz w:val="18"/>
                <w:szCs w:val="18"/>
              </w:rPr>
            </w:pPr>
            <w:r w:rsidRPr="00075E67">
              <w:rPr>
                <w:rFonts w:cs="Calibri"/>
                <w:sz w:val="18"/>
                <w:szCs w:val="18"/>
                <w:u w:val="single"/>
              </w:rPr>
              <w:t xml:space="preserve">Target </w:t>
            </w:r>
            <w:r w:rsidRPr="00075E67">
              <w:rPr>
                <w:rFonts w:cs="Calibri"/>
                <w:sz w:val="18"/>
                <w:szCs w:val="18"/>
              </w:rPr>
              <w:t>2016: 22</w:t>
            </w:r>
          </w:p>
          <w:p w:rsidR="00455E34" w:rsidRPr="00075E67" w:rsidRDefault="00455E34" w:rsidP="009511DC">
            <w:pPr>
              <w:autoSpaceDE w:val="0"/>
              <w:autoSpaceDN w:val="0"/>
              <w:adjustRightInd w:val="0"/>
              <w:spacing w:after="0" w:line="240" w:lineRule="auto"/>
              <w:rPr>
                <w:rFonts w:eastAsia="Calibri" w:cs="Calibri"/>
                <w:sz w:val="18"/>
                <w:szCs w:val="18"/>
              </w:rPr>
            </w:pPr>
          </w:p>
          <w:p w:rsidR="00455E34" w:rsidRPr="00075E67" w:rsidRDefault="00455E34" w:rsidP="009511DC">
            <w:pPr>
              <w:autoSpaceDE w:val="0"/>
              <w:autoSpaceDN w:val="0"/>
              <w:adjustRightInd w:val="0"/>
              <w:spacing w:after="0" w:line="240" w:lineRule="auto"/>
              <w:rPr>
                <w:rFonts w:eastAsia="Calibri" w:cs="Calibri"/>
                <w:sz w:val="18"/>
                <w:szCs w:val="18"/>
              </w:rPr>
            </w:pPr>
            <w:r w:rsidRPr="00075E67">
              <w:rPr>
                <w:rFonts w:eastAsia="Calibri" w:cs="Calibri"/>
                <w:sz w:val="18"/>
                <w:szCs w:val="18"/>
              </w:rPr>
              <w:t># of additional union/community and population served by the new policies/strategies or plans in support of sustainable management of natural resources</w:t>
            </w:r>
          </w:p>
          <w:p w:rsidR="00455E34" w:rsidRPr="00075E67" w:rsidRDefault="00455E34" w:rsidP="009511DC">
            <w:pPr>
              <w:autoSpaceDE w:val="0"/>
              <w:autoSpaceDN w:val="0"/>
              <w:adjustRightInd w:val="0"/>
              <w:spacing w:after="0" w:line="240" w:lineRule="auto"/>
              <w:rPr>
                <w:rFonts w:eastAsia="Calibri" w:cs="Calibri"/>
                <w:sz w:val="18"/>
                <w:szCs w:val="18"/>
              </w:rPr>
            </w:pPr>
          </w:p>
          <w:p w:rsidR="00455E34" w:rsidRPr="00075E67" w:rsidRDefault="00455E34" w:rsidP="009511DC">
            <w:pPr>
              <w:spacing w:after="0" w:line="240" w:lineRule="auto"/>
              <w:rPr>
                <w:rFonts w:cs="Calibri"/>
                <w:sz w:val="18"/>
                <w:szCs w:val="18"/>
              </w:rPr>
            </w:pPr>
            <w:r w:rsidRPr="00075E67">
              <w:rPr>
                <w:rFonts w:cs="Calibri"/>
                <w:sz w:val="18"/>
                <w:szCs w:val="18"/>
              </w:rPr>
              <w:t xml:space="preserve"># of MW generated from renewable sources </w:t>
            </w:r>
          </w:p>
          <w:p w:rsidR="00455E34" w:rsidRPr="00075E67" w:rsidRDefault="00455E34" w:rsidP="009511DC">
            <w:pPr>
              <w:spacing w:after="0" w:line="240" w:lineRule="auto"/>
              <w:rPr>
                <w:rFonts w:cs="Calibri"/>
                <w:sz w:val="18"/>
                <w:szCs w:val="18"/>
              </w:rPr>
            </w:pPr>
            <w:r w:rsidRPr="00075E67">
              <w:rPr>
                <w:rFonts w:cs="Calibri"/>
                <w:sz w:val="18"/>
                <w:szCs w:val="18"/>
                <w:u w:val="single"/>
              </w:rPr>
              <w:t>Baseline</w:t>
            </w:r>
            <w:r w:rsidRPr="00075E67">
              <w:rPr>
                <w:rFonts w:cs="Calibri"/>
                <w:sz w:val="18"/>
                <w:szCs w:val="18"/>
              </w:rPr>
              <w:t xml:space="preserve"> 2011: 72 MW</w:t>
            </w:r>
          </w:p>
          <w:p w:rsidR="00455E34" w:rsidRPr="00075E67" w:rsidRDefault="00455E34" w:rsidP="009511DC">
            <w:pPr>
              <w:spacing w:after="0" w:line="240" w:lineRule="auto"/>
              <w:rPr>
                <w:rFonts w:cs="Calibri"/>
                <w:sz w:val="18"/>
                <w:szCs w:val="18"/>
              </w:rPr>
            </w:pPr>
            <w:r w:rsidRPr="00075E67">
              <w:rPr>
                <w:rFonts w:cs="Calibri"/>
                <w:sz w:val="18"/>
                <w:szCs w:val="18"/>
                <w:u w:val="single"/>
              </w:rPr>
              <w:t>Target</w:t>
            </w:r>
            <w:r w:rsidRPr="00075E67">
              <w:rPr>
                <w:rFonts w:cs="Calibri"/>
                <w:sz w:val="18"/>
                <w:szCs w:val="18"/>
              </w:rPr>
              <w:t xml:space="preserve"> 2016: 800 MW</w:t>
            </w:r>
          </w:p>
          <w:p w:rsidR="00455E34" w:rsidRPr="00075E67" w:rsidRDefault="00455E34" w:rsidP="009511DC">
            <w:pPr>
              <w:spacing w:after="0" w:line="240" w:lineRule="auto"/>
              <w:rPr>
                <w:rFonts w:cs="Calibri"/>
                <w:sz w:val="18"/>
                <w:szCs w:val="18"/>
              </w:rPr>
            </w:pPr>
          </w:p>
          <w:p w:rsidR="00455E34" w:rsidRPr="00075E67" w:rsidRDefault="00455E34" w:rsidP="009511DC">
            <w:pPr>
              <w:spacing w:after="0" w:line="240" w:lineRule="auto"/>
              <w:rPr>
                <w:rFonts w:cs="Calibri"/>
                <w:sz w:val="18"/>
                <w:szCs w:val="18"/>
              </w:rPr>
            </w:pPr>
            <w:r w:rsidRPr="00075E67">
              <w:rPr>
                <w:rFonts w:cs="Calibri"/>
                <w:sz w:val="18"/>
                <w:szCs w:val="18"/>
              </w:rPr>
              <w:t>change in % share of power (MW) generated from renewable energy to total energy generation from all sources</w:t>
            </w:r>
          </w:p>
          <w:p w:rsidR="00455E34" w:rsidRPr="00075E67" w:rsidRDefault="00455E34" w:rsidP="009511DC">
            <w:pPr>
              <w:autoSpaceDE w:val="0"/>
              <w:autoSpaceDN w:val="0"/>
              <w:adjustRightInd w:val="0"/>
              <w:spacing w:after="0" w:line="240" w:lineRule="auto"/>
              <w:rPr>
                <w:rFonts w:eastAsia="Calibri" w:cs="Calibri"/>
                <w:sz w:val="18"/>
                <w:szCs w:val="18"/>
              </w:rPr>
            </w:pPr>
          </w:p>
          <w:p w:rsidR="00455E34" w:rsidRPr="00075E67" w:rsidRDefault="00455E34" w:rsidP="009511DC">
            <w:pPr>
              <w:autoSpaceDE w:val="0"/>
              <w:autoSpaceDN w:val="0"/>
              <w:adjustRightInd w:val="0"/>
              <w:spacing w:after="0" w:line="240" w:lineRule="auto"/>
              <w:rPr>
                <w:rFonts w:eastAsia="Calibri" w:cs="Calibri"/>
                <w:sz w:val="18"/>
                <w:szCs w:val="18"/>
              </w:rPr>
            </w:pPr>
            <w:r w:rsidRPr="00075E67">
              <w:rPr>
                <w:rFonts w:eastAsia="Calibri" w:cs="Calibri"/>
                <w:sz w:val="18"/>
                <w:szCs w:val="18"/>
              </w:rPr>
              <w:t xml:space="preserve">gender distribution and  equality dimension  </w:t>
            </w:r>
          </w:p>
          <w:p w:rsidR="00455E34" w:rsidRPr="00075E67" w:rsidRDefault="00455E34" w:rsidP="009511DC">
            <w:pPr>
              <w:autoSpaceDE w:val="0"/>
              <w:autoSpaceDN w:val="0"/>
              <w:adjustRightInd w:val="0"/>
              <w:spacing w:after="0" w:line="240" w:lineRule="auto"/>
              <w:rPr>
                <w:rFonts w:cs="Calibri"/>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Government Gazettes and Review of Ministerial Reports</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spacing w:after="0" w:line="240" w:lineRule="auto"/>
              <w:rPr>
                <w:rFonts w:cs="Calibri"/>
                <w:sz w:val="18"/>
                <w:szCs w:val="18"/>
              </w:rPr>
            </w:pPr>
            <w:r w:rsidRPr="00075E67">
              <w:rPr>
                <w:rFonts w:cs="Calibri"/>
                <w:sz w:val="18"/>
                <w:szCs w:val="18"/>
              </w:rPr>
              <w:t>Statistics from Power Division, Ministry of Power, Energy and Mineral Resources</w:t>
            </w:r>
          </w:p>
          <w:p w:rsidR="00455E34" w:rsidRPr="00075E67" w:rsidRDefault="00455E34" w:rsidP="009511DC">
            <w:pPr>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Secondary</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N/A</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Quantitative and qualitative</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Data unavailability</w:t>
            </w:r>
          </w:p>
        </w:tc>
      </w:tr>
      <w:tr w:rsidR="00455E34" w:rsidRPr="00075E67" w:rsidTr="009511DC">
        <w:trPr>
          <w:trHeight w:val="170"/>
        </w:trPr>
        <w:tc>
          <w:tcPr>
            <w:tcW w:w="2178" w:type="dxa"/>
            <w:vMerge w:val="restart"/>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1.1 To what extent UNDP’s </w:t>
            </w:r>
            <w:r w:rsidRPr="00075E67">
              <w:rPr>
                <w:rFonts w:cs="Calibri"/>
                <w:b/>
                <w:sz w:val="18"/>
                <w:szCs w:val="18"/>
              </w:rPr>
              <w:t>Green Bric</w:t>
            </w:r>
            <w:r>
              <w:rPr>
                <w:rFonts w:cs="Calibri"/>
                <w:b/>
                <w:sz w:val="18"/>
                <w:szCs w:val="18"/>
              </w:rPr>
              <w:t>k</w:t>
            </w:r>
            <w:r w:rsidRPr="00075E67">
              <w:rPr>
                <w:rFonts w:cs="Calibri"/>
                <w:b/>
                <w:sz w:val="18"/>
                <w:szCs w:val="18"/>
              </w:rPr>
              <w:t xml:space="preserve"> project</w:t>
            </w:r>
            <w:r w:rsidRPr="00075E67">
              <w:rPr>
                <w:rFonts w:cs="Calibri"/>
                <w:sz w:val="18"/>
                <w:szCs w:val="18"/>
              </w:rPr>
              <w:t xml:space="preserve"> is relevant to increase benefits from </w:t>
            </w:r>
            <w:r w:rsidRPr="00075E67">
              <w:rPr>
                <w:rFonts w:cs="Calibri"/>
                <w:sz w:val="18"/>
                <w:szCs w:val="18"/>
              </w:rPr>
              <w:lastRenderedPageBreak/>
              <w:t>better natural resource management and access to low carbon energy?</w:t>
            </w:r>
          </w:p>
        </w:tc>
        <w:tc>
          <w:tcPr>
            <w:tcW w:w="29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lastRenderedPageBreak/>
              <w:t xml:space="preserve">1.1.1 To what extent UNDP’s </w:t>
            </w:r>
            <w:r w:rsidRPr="00075E67">
              <w:rPr>
                <w:rFonts w:cs="Calibri"/>
                <w:b/>
                <w:sz w:val="18"/>
                <w:szCs w:val="18"/>
              </w:rPr>
              <w:t>Green Bric</w:t>
            </w:r>
            <w:r>
              <w:rPr>
                <w:rFonts w:cs="Calibri"/>
                <w:b/>
                <w:sz w:val="18"/>
                <w:szCs w:val="18"/>
              </w:rPr>
              <w:t>k</w:t>
            </w:r>
            <w:r w:rsidRPr="00075E67">
              <w:rPr>
                <w:rFonts w:cs="Calibri"/>
                <w:b/>
                <w:sz w:val="18"/>
                <w:szCs w:val="18"/>
              </w:rPr>
              <w:t xml:space="preserve"> project’s establishment of demonstration project</w:t>
            </w:r>
            <w:r w:rsidRPr="00075E67">
              <w:rPr>
                <w:rFonts w:cs="Calibri"/>
                <w:sz w:val="18"/>
                <w:szCs w:val="18"/>
              </w:rPr>
              <w:t xml:space="preserve"> is relevant to increase benefits from better natural </w:t>
            </w:r>
            <w:r w:rsidRPr="00075E67">
              <w:rPr>
                <w:rFonts w:cs="Calibri"/>
                <w:sz w:val="18"/>
                <w:szCs w:val="18"/>
              </w:rPr>
              <w:lastRenderedPageBreak/>
              <w:t>resource management and access to low carbon energy?</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1.1.2 Activities ta</w:t>
            </w:r>
            <w:r>
              <w:rPr>
                <w:rFonts w:cs="Calibri"/>
                <w:sz w:val="18"/>
                <w:szCs w:val="18"/>
              </w:rPr>
              <w:t>k</w:t>
            </w:r>
            <w:r w:rsidRPr="00075E67">
              <w:rPr>
                <w:rFonts w:cs="Calibri"/>
                <w:sz w:val="18"/>
                <w:szCs w:val="18"/>
              </w:rPr>
              <w:t>en under this activity?</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How it is different from other bric</w:t>
            </w:r>
            <w:r>
              <w:rPr>
                <w:rFonts w:cs="Calibri"/>
                <w:sz w:val="18"/>
                <w:szCs w:val="18"/>
              </w:rPr>
              <w:t>k</w:t>
            </w:r>
            <w:r w:rsidRPr="00075E67">
              <w:rPr>
                <w:rFonts w:cs="Calibri"/>
                <w:sz w:val="18"/>
                <w:szCs w:val="18"/>
              </w:rPr>
              <w:t xml:space="preserve"> project?</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tc>
        <w:tc>
          <w:tcPr>
            <w:tcW w:w="243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lastRenderedPageBreak/>
              <w:t>National level Emission data and target for potential mitigation.</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lastRenderedPageBreak/>
              <w:t>Achievement in terms of mitigation.</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Energy intensity needed as compared to traditional bric</w:t>
            </w:r>
            <w:r>
              <w:rPr>
                <w:rFonts w:cs="Calibri"/>
                <w:sz w:val="18"/>
                <w:szCs w:val="18"/>
              </w:rPr>
              <w:t>k</w:t>
            </w:r>
            <w:r w:rsidRPr="00075E67">
              <w:rPr>
                <w:rFonts w:cs="Calibri"/>
                <w:sz w:val="18"/>
                <w:szCs w:val="18"/>
              </w:rPr>
              <w:t xml:space="preserve"> ma</w:t>
            </w:r>
            <w:r>
              <w:rPr>
                <w:rFonts w:cs="Calibri"/>
                <w:sz w:val="18"/>
                <w:szCs w:val="18"/>
              </w:rPr>
              <w:t>k</w:t>
            </w:r>
            <w:r w:rsidRPr="00075E67">
              <w:rPr>
                <w:rFonts w:cs="Calibri"/>
                <w:sz w:val="18"/>
                <w:szCs w:val="18"/>
              </w:rPr>
              <w:t>ing unit.</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Extension in time frame in carrying out bric</w:t>
            </w:r>
            <w:r>
              <w:rPr>
                <w:rFonts w:cs="Calibri"/>
                <w:sz w:val="18"/>
                <w:szCs w:val="18"/>
              </w:rPr>
              <w:t>k</w:t>
            </w:r>
            <w:r w:rsidRPr="00075E67">
              <w:rPr>
                <w:rFonts w:cs="Calibri"/>
                <w:sz w:val="18"/>
                <w:szCs w:val="18"/>
              </w:rPr>
              <w:t xml:space="preserve"> ma</w:t>
            </w:r>
            <w:r>
              <w:rPr>
                <w:rFonts w:cs="Calibri"/>
                <w:sz w:val="18"/>
                <w:szCs w:val="18"/>
              </w:rPr>
              <w:t>k</w:t>
            </w:r>
            <w:r w:rsidRPr="00075E67">
              <w:rPr>
                <w:rFonts w:cs="Calibri"/>
                <w:sz w:val="18"/>
                <w:szCs w:val="18"/>
              </w:rPr>
              <w:t xml:space="preserve">ing activity. </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Ratio of wor</w:t>
            </w:r>
            <w:r>
              <w:rPr>
                <w:rFonts w:cs="Calibri"/>
                <w:sz w:val="18"/>
                <w:szCs w:val="18"/>
              </w:rPr>
              <w:t>k</w:t>
            </w:r>
            <w:r w:rsidRPr="00075E67">
              <w:rPr>
                <w:rFonts w:cs="Calibri"/>
                <w:sz w:val="18"/>
                <w:szCs w:val="18"/>
              </w:rPr>
              <w:t>er needed to produce per”000” bric</w:t>
            </w:r>
            <w:r>
              <w:rPr>
                <w:rFonts w:cs="Calibri"/>
                <w:sz w:val="18"/>
                <w:szCs w:val="18"/>
              </w:rPr>
              <w:t>k</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Wor</w:t>
            </w:r>
            <w:r>
              <w:rPr>
                <w:rFonts w:cs="Calibri"/>
                <w:sz w:val="18"/>
                <w:szCs w:val="18"/>
              </w:rPr>
              <w:t>k</w:t>
            </w:r>
            <w:r w:rsidRPr="00075E67">
              <w:rPr>
                <w:rFonts w:cs="Calibri"/>
                <w:sz w:val="18"/>
                <w:szCs w:val="18"/>
              </w:rPr>
              <w:t>ers’ salaries and benefits as compared to traditional bric</w:t>
            </w:r>
            <w:r>
              <w:rPr>
                <w:rFonts w:cs="Calibri"/>
                <w:sz w:val="18"/>
                <w:szCs w:val="18"/>
              </w:rPr>
              <w:t>k</w:t>
            </w:r>
            <w:r w:rsidRPr="00075E67">
              <w:rPr>
                <w:rFonts w:cs="Calibri"/>
                <w:sz w:val="18"/>
                <w:szCs w:val="18"/>
              </w:rPr>
              <w:t xml:space="preserve"> units. </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Any social aspect to address. </w:t>
            </w:r>
          </w:p>
          <w:p w:rsidR="00455E34" w:rsidRDefault="00455E34" w:rsidP="009511DC">
            <w:pPr>
              <w:autoSpaceDE w:val="0"/>
              <w:autoSpaceDN w:val="0"/>
              <w:adjustRightInd w:val="0"/>
              <w:spacing w:after="0" w:line="240" w:lineRule="auto"/>
              <w:rPr>
                <w:rFonts w:cs="Calibri"/>
                <w:sz w:val="18"/>
                <w:szCs w:val="18"/>
              </w:rPr>
            </w:pPr>
            <w:r w:rsidRPr="00075E67">
              <w:rPr>
                <w:rFonts w:cs="Calibri"/>
                <w:sz w:val="18"/>
                <w:szCs w:val="18"/>
              </w:rPr>
              <w:t>Change in energy sources.</w:t>
            </w:r>
          </w:p>
          <w:p w:rsidR="00455E34" w:rsidRPr="00075E67" w:rsidRDefault="00455E34" w:rsidP="009511DC">
            <w:pPr>
              <w:autoSpaceDE w:val="0"/>
              <w:autoSpaceDN w:val="0"/>
              <w:adjustRightInd w:val="0"/>
              <w:spacing w:after="0" w:line="240" w:lineRule="auto"/>
              <w:rPr>
                <w:rFonts w:cs="Calibri"/>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lastRenderedPageBreak/>
              <w:t xml:space="preserve">Project office at UNDP and Pilot. </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Field visit to Dhamrai</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lastRenderedPageBreak/>
              <w:t xml:space="preserve">Secondary (review documents) and </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lastRenderedPageBreak/>
              <w:t>Primary ((</w:t>
            </w:r>
            <w:r>
              <w:rPr>
                <w:rFonts w:cs="Calibri"/>
                <w:sz w:val="18"/>
                <w:szCs w:val="18"/>
              </w:rPr>
              <w:t>K</w:t>
            </w:r>
            <w:r w:rsidRPr="00075E67">
              <w:rPr>
                <w:rFonts w:cs="Calibri"/>
                <w:sz w:val="18"/>
                <w:szCs w:val="18"/>
              </w:rPr>
              <w:t>IIs,  FGDs)</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lastRenderedPageBreak/>
              <w:t>Purposive</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Quantitative and qualitative</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r>
      <w:tr w:rsidR="00455E34" w:rsidRPr="00075E67" w:rsidTr="009511DC">
        <w:tc>
          <w:tcPr>
            <w:tcW w:w="2178" w:type="dxa"/>
            <w:vMerge/>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29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1.1.3 Gender related activities </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How does the project address gender?</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What type of activities carried out?</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Any Gender analysis Done?</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Types of indicators the project consider for its flagship</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tc>
        <w:tc>
          <w:tcPr>
            <w:tcW w:w="243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Number of men and women employed in demonstration project </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Changing ratio for men and women wor</w:t>
            </w:r>
            <w:r>
              <w:rPr>
                <w:rFonts w:cs="Calibri"/>
                <w:sz w:val="18"/>
                <w:szCs w:val="18"/>
              </w:rPr>
              <w:t>k</w:t>
            </w:r>
            <w:r w:rsidRPr="00075E67">
              <w:rPr>
                <w:rFonts w:cs="Calibri"/>
                <w:sz w:val="18"/>
                <w:szCs w:val="18"/>
              </w:rPr>
              <w:t>ers in the demo project as compared to traditional bric</w:t>
            </w:r>
            <w:r>
              <w:rPr>
                <w:rFonts w:cs="Calibri"/>
                <w:sz w:val="18"/>
                <w:szCs w:val="18"/>
              </w:rPr>
              <w:t>k</w:t>
            </w:r>
            <w:r w:rsidRPr="00075E67">
              <w:rPr>
                <w:rFonts w:cs="Calibri"/>
                <w:sz w:val="18"/>
                <w:szCs w:val="18"/>
              </w:rPr>
              <w:t xml:space="preserve"> unit.</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Salaries and benefits for men and women in demo field as compared to traditional units. Heath benefits for men and women?</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Any social aspect to address?</w:t>
            </w:r>
          </w:p>
          <w:p w:rsidR="00455E34" w:rsidRPr="00075E67" w:rsidRDefault="00455E34" w:rsidP="009511DC">
            <w:pPr>
              <w:autoSpaceDE w:val="0"/>
              <w:autoSpaceDN w:val="0"/>
              <w:adjustRightInd w:val="0"/>
              <w:spacing w:after="0" w:line="240" w:lineRule="auto"/>
              <w:rPr>
                <w:rFonts w:cs="Calibri"/>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Project office at UNDP and Pilot.</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Field study, </w:t>
            </w:r>
            <w:r>
              <w:rPr>
                <w:rFonts w:cs="Calibri"/>
                <w:sz w:val="18"/>
                <w:szCs w:val="18"/>
              </w:rPr>
              <w:t>K</w:t>
            </w:r>
            <w:r w:rsidRPr="00075E67">
              <w:rPr>
                <w:rFonts w:cs="Calibri"/>
                <w:sz w:val="18"/>
                <w:szCs w:val="18"/>
              </w:rPr>
              <w:t>II, FGD, secondary documents</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Quantitative and qualitative</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r>
      <w:tr w:rsidR="00455E34" w:rsidRPr="00075E67" w:rsidTr="009511DC">
        <w:tc>
          <w:tcPr>
            <w:tcW w:w="2178" w:type="dxa"/>
            <w:vMerge/>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2970" w:type="dxa"/>
            <w:shd w:val="clear" w:color="auto" w:fill="auto"/>
          </w:tcPr>
          <w:p w:rsidR="00455E34" w:rsidRPr="00075E67" w:rsidRDefault="00455E34" w:rsidP="009511DC">
            <w:pPr>
              <w:pStyle w:val="ListParagraph"/>
              <w:spacing w:after="0" w:line="240" w:lineRule="auto"/>
              <w:ind w:left="0"/>
              <w:rPr>
                <w:rFonts w:cs="Calibri"/>
                <w:sz w:val="18"/>
                <w:szCs w:val="18"/>
              </w:rPr>
            </w:pPr>
            <w:r w:rsidRPr="00075E67">
              <w:rPr>
                <w:rFonts w:cs="Calibri"/>
                <w:sz w:val="18"/>
                <w:szCs w:val="18"/>
              </w:rPr>
              <w:t>1.1.4 Policy related activities</w:t>
            </w:r>
          </w:p>
          <w:p w:rsidR="00455E34" w:rsidRPr="00075E67" w:rsidRDefault="00455E34" w:rsidP="009511DC">
            <w:pPr>
              <w:pStyle w:val="ListParagraph"/>
              <w:spacing w:after="0" w:line="240" w:lineRule="auto"/>
              <w:ind w:left="0"/>
              <w:rPr>
                <w:rFonts w:cs="Calibri"/>
                <w:sz w:val="18"/>
                <w:szCs w:val="18"/>
              </w:rPr>
            </w:pPr>
            <w:r w:rsidRPr="00075E67">
              <w:rPr>
                <w:rFonts w:cs="Calibri"/>
                <w:sz w:val="18"/>
                <w:szCs w:val="18"/>
              </w:rPr>
              <w:t>Activities ta</w:t>
            </w:r>
            <w:r>
              <w:rPr>
                <w:rFonts w:cs="Calibri"/>
                <w:sz w:val="18"/>
                <w:szCs w:val="18"/>
              </w:rPr>
              <w:t>k</w:t>
            </w:r>
            <w:r w:rsidRPr="00075E67">
              <w:rPr>
                <w:rFonts w:cs="Calibri"/>
                <w:sz w:val="18"/>
                <w:szCs w:val="18"/>
              </w:rPr>
              <w:t>en</w:t>
            </w:r>
          </w:p>
        </w:tc>
        <w:tc>
          <w:tcPr>
            <w:tcW w:w="243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Any ta</w:t>
            </w:r>
            <w:r>
              <w:rPr>
                <w:rFonts w:cs="Calibri"/>
                <w:sz w:val="18"/>
                <w:szCs w:val="18"/>
              </w:rPr>
              <w:t>k</w:t>
            </w:r>
            <w:r w:rsidRPr="00075E67">
              <w:rPr>
                <w:rFonts w:cs="Calibri"/>
                <w:sz w:val="18"/>
                <w:szCs w:val="18"/>
              </w:rPr>
              <w:t>e up from the project in policy?</w:t>
            </w:r>
          </w:p>
          <w:p w:rsidR="00455E34" w:rsidRDefault="00455E34" w:rsidP="009511DC">
            <w:pPr>
              <w:autoSpaceDE w:val="0"/>
              <w:autoSpaceDN w:val="0"/>
              <w:adjustRightInd w:val="0"/>
              <w:spacing w:after="0" w:line="240" w:lineRule="auto"/>
              <w:rPr>
                <w:rFonts w:cs="Calibri"/>
                <w:sz w:val="18"/>
                <w:szCs w:val="18"/>
              </w:rPr>
            </w:pPr>
            <w:r w:rsidRPr="00075E67">
              <w:rPr>
                <w:rFonts w:cs="Calibri"/>
                <w:sz w:val="18"/>
                <w:szCs w:val="18"/>
              </w:rPr>
              <w:t>Greater awareness regarding energy efficient bric</w:t>
            </w:r>
            <w:r>
              <w:rPr>
                <w:rFonts w:cs="Calibri"/>
                <w:sz w:val="18"/>
                <w:szCs w:val="18"/>
              </w:rPr>
              <w:t>k</w:t>
            </w:r>
            <w:r w:rsidRPr="00075E67">
              <w:rPr>
                <w:rFonts w:cs="Calibri"/>
                <w:sz w:val="18"/>
                <w:szCs w:val="18"/>
              </w:rPr>
              <w:t xml:space="preserve"> ma</w:t>
            </w:r>
            <w:r>
              <w:rPr>
                <w:rFonts w:cs="Calibri"/>
                <w:sz w:val="18"/>
                <w:szCs w:val="18"/>
              </w:rPr>
              <w:t>k</w:t>
            </w:r>
            <w:r w:rsidRPr="00075E67">
              <w:rPr>
                <w:rFonts w:cs="Calibri"/>
                <w:sz w:val="18"/>
                <w:szCs w:val="18"/>
              </w:rPr>
              <w:t>ing among policy ma</w:t>
            </w:r>
            <w:r>
              <w:rPr>
                <w:rFonts w:cs="Calibri"/>
                <w:sz w:val="18"/>
                <w:szCs w:val="18"/>
              </w:rPr>
              <w:t>k</w:t>
            </w:r>
            <w:r w:rsidRPr="00075E67">
              <w:rPr>
                <w:rFonts w:cs="Calibri"/>
                <w:sz w:val="18"/>
                <w:szCs w:val="18"/>
              </w:rPr>
              <w:t xml:space="preserve">ers, </w:t>
            </w:r>
            <w:r w:rsidRPr="00075E67">
              <w:rPr>
                <w:rFonts w:cs="Calibri"/>
                <w:sz w:val="18"/>
                <w:szCs w:val="18"/>
              </w:rPr>
              <w:lastRenderedPageBreak/>
              <w:t>sta</w:t>
            </w:r>
            <w:r>
              <w:rPr>
                <w:rFonts w:cs="Calibri"/>
                <w:sz w:val="18"/>
                <w:szCs w:val="18"/>
              </w:rPr>
              <w:t>k</w:t>
            </w:r>
            <w:r w:rsidRPr="00075E67">
              <w:rPr>
                <w:rFonts w:cs="Calibri"/>
                <w:sz w:val="18"/>
                <w:szCs w:val="18"/>
              </w:rPr>
              <w:t>eholders.</w:t>
            </w:r>
          </w:p>
          <w:p w:rsidR="00455E34" w:rsidRPr="00075E67" w:rsidRDefault="00455E34" w:rsidP="009511DC">
            <w:pPr>
              <w:autoSpaceDE w:val="0"/>
              <w:autoSpaceDN w:val="0"/>
              <w:adjustRightInd w:val="0"/>
              <w:spacing w:after="0" w:line="240" w:lineRule="auto"/>
              <w:rPr>
                <w:rFonts w:cs="Calibri"/>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lastRenderedPageBreak/>
              <w:t>Project office at UNDP and Pilot.</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lastRenderedPageBreak/>
              <w:t xml:space="preserve">Visit, </w:t>
            </w:r>
            <w:r>
              <w:rPr>
                <w:rFonts w:cs="Calibri"/>
                <w:sz w:val="18"/>
                <w:szCs w:val="18"/>
              </w:rPr>
              <w:t>K</w:t>
            </w:r>
            <w:r w:rsidRPr="00075E67">
              <w:rPr>
                <w:rFonts w:cs="Calibri"/>
                <w:sz w:val="18"/>
                <w:szCs w:val="18"/>
              </w:rPr>
              <w:t>II, FGD, review documents</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Quantitative and qualitative</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r>
      <w:tr w:rsidR="00455E34" w:rsidRPr="00075E67" w:rsidTr="009511DC">
        <w:tc>
          <w:tcPr>
            <w:tcW w:w="2178"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lastRenderedPageBreak/>
              <w:t xml:space="preserve">1.2 To what extent UNDP’s </w:t>
            </w:r>
            <w:r w:rsidRPr="00075E67">
              <w:rPr>
                <w:rFonts w:cs="Calibri"/>
                <w:b/>
                <w:sz w:val="18"/>
                <w:szCs w:val="18"/>
              </w:rPr>
              <w:t>PECM project</w:t>
            </w:r>
            <w:r w:rsidRPr="00075E67">
              <w:rPr>
                <w:rFonts w:cs="Calibri"/>
                <w:sz w:val="18"/>
                <w:szCs w:val="18"/>
              </w:rPr>
              <w:t xml:space="preserve"> is relevant to increase benefits from better natural resource management and access to low carbon energy?</w:t>
            </w:r>
          </w:p>
          <w:p w:rsidR="00455E34" w:rsidRPr="00075E67" w:rsidRDefault="00455E34" w:rsidP="009511DC">
            <w:pPr>
              <w:autoSpaceDE w:val="0"/>
              <w:autoSpaceDN w:val="0"/>
              <w:adjustRightInd w:val="0"/>
              <w:spacing w:after="0" w:line="240" w:lineRule="auto"/>
              <w:rPr>
                <w:rFonts w:cs="Calibri"/>
                <w:sz w:val="18"/>
                <w:szCs w:val="18"/>
              </w:rPr>
            </w:pPr>
          </w:p>
        </w:tc>
        <w:tc>
          <w:tcPr>
            <w:tcW w:w="29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1.2.1 To what extent UNDP’s </w:t>
            </w:r>
            <w:r w:rsidRPr="00075E67">
              <w:rPr>
                <w:rFonts w:cs="Calibri"/>
                <w:b/>
                <w:sz w:val="18"/>
                <w:szCs w:val="18"/>
              </w:rPr>
              <w:t>PECM-CPEIR project</w:t>
            </w:r>
            <w:r w:rsidRPr="00075E67">
              <w:rPr>
                <w:rFonts w:cs="Calibri"/>
                <w:sz w:val="18"/>
                <w:szCs w:val="18"/>
              </w:rPr>
              <w:t xml:space="preserve"> is relevant to increase benefits from better natural resource management and access to low carbon energy?</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tc>
        <w:tc>
          <w:tcPr>
            <w:tcW w:w="243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Degree of alignment with energy policies; degree of alignment with coastal zone management.</w:t>
            </w: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UNDP country office; FD project office; </w:t>
            </w:r>
            <w:r>
              <w:rPr>
                <w:rFonts w:cs="Calibri"/>
                <w:sz w:val="18"/>
                <w:szCs w:val="18"/>
              </w:rPr>
              <w:t>K</w:t>
            </w:r>
            <w:r w:rsidRPr="00075E67">
              <w:rPr>
                <w:rFonts w:cs="Calibri"/>
                <w:sz w:val="18"/>
                <w:szCs w:val="18"/>
              </w:rPr>
              <w:t>IIs and case study</w:t>
            </w: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Secondary sources and primary sources (</w:t>
            </w:r>
            <w:r>
              <w:rPr>
                <w:rFonts w:cs="Calibri"/>
                <w:sz w:val="18"/>
                <w:szCs w:val="18"/>
              </w:rPr>
              <w:t>K</w:t>
            </w:r>
            <w:r w:rsidRPr="00075E67">
              <w:rPr>
                <w:rFonts w:cs="Calibri"/>
                <w:sz w:val="18"/>
                <w:szCs w:val="18"/>
              </w:rPr>
              <w:t>IIs and case study)</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Quantitative and qualitative</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Data availability</w:t>
            </w:r>
          </w:p>
        </w:tc>
      </w:tr>
      <w:tr w:rsidR="00455E34" w:rsidRPr="00075E67" w:rsidTr="009511DC">
        <w:tc>
          <w:tcPr>
            <w:tcW w:w="2178"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1.3 To what extent UNDP’s </w:t>
            </w:r>
            <w:r w:rsidRPr="00075E67">
              <w:rPr>
                <w:rFonts w:cs="Calibri"/>
                <w:b/>
                <w:sz w:val="18"/>
                <w:szCs w:val="18"/>
              </w:rPr>
              <w:t>BRESL project</w:t>
            </w:r>
            <w:r w:rsidRPr="00075E67">
              <w:rPr>
                <w:rFonts w:cs="Calibri"/>
                <w:sz w:val="18"/>
                <w:szCs w:val="18"/>
              </w:rPr>
              <w:t xml:space="preserve"> is relevant to increase benefits from better natural resource management and access to low carbon energy?</w:t>
            </w:r>
          </w:p>
          <w:p w:rsidR="00455E34" w:rsidRPr="00075E67" w:rsidRDefault="00455E34" w:rsidP="009511DC">
            <w:pPr>
              <w:autoSpaceDE w:val="0"/>
              <w:autoSpaceDN w:val="0"/>
              <w:adjustRightInd w:val="0"/>
              <w:spacing w:after="0" w:line="240" w:lineRule="auto"/>
              <w:rPr>
                <w:rFonts w:cs="Calibri"/>
                <w:sz w:val="18"/>
                <w:szCs w:val="18"/>
              </w:rPr>
            </w:pPr>
          </w:p>
        </w:tc>
        <w:tc>
          <w:tcPr>
            <w:tcW w:w="29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1.3.1 What are the activities ta</w:t>
            </w:r>
            <w:r>
              <w:rPr>
                <w:rFonts w:cs="Calibri"/>
                <w:sz w:val="18"/>
                <w:szCs w:val="18"/>
              </w:rPr>
              <w:t>k</w:t>
            </w:r>
            <w:r w:rsidRPr="00075E67">
              <w:rPr>
                <w:rFonts w:cs="Calibri"/>
                <w:sz w:val="18"/>
                <w:szCs w:val="18"/>
              </w:rPr>
              <w:t>en?</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Where the activity stands in terms of national LCD pathway.</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Pathway towards sustainable energy development till 2030.</w:t>
            </w:r>
          </w:p>
          <w:p w:rsidR="00455E34" w:rsidRPr="00075E67" w:rsidRDefault="00455E34" w:rsidP="009511DC">
            <w:pPr>
              <w:autoSpaceDE w:val="0"/>
              <w:autoSpaceDN w:val="0"/>
              <w:adjustRightInd w:val="0"/>
              <w:spacing w:after="0" w:line="240" w:lineRule="auto"/>
              <w:rPr>
                <w:rFonts w:cs="Calibri"/>
                <w:sz w:val="18"/>
                <w:szCs w:val="18"/>
              </w:rPr>
            </w:pPr>
          </w:p>
        </w:tc>
        <w:tc>
          <w:tcPr>
            <w:tcW w:w="243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Organizations and sta</w:t>
            </w:r>
            <w:r>
              <w:rPr>
                <w:rFonts w:cs="Calibri"/>
                <w:sz w:val="18"/>
                <w:szCs w:val="18"/>
              </w:rPr>
              <w:t>k</w:t>
            </w:r>
            <w:r w:rsidRPr="00075E67">
              <w:rPr>
                <w:rFonts w:cs="Calibri"/>
                <w:sz w:val="18"/>
                <w:szCs w:val="18"/>
              </w:rPr>
              <w:t>e holders involved. Appliances considered.</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Target and achievements.</w:t>
            </w:r>
          </w:p>
          <w:p w:rsidR="00455E34" w:rsidRPr="00075E67" w:rsidRDefault="00455E34" w:rsidP="009511DC">
            <w:pPr>
              <w:autoSpaceDE w:val="0"/>
              <w:autoSpaceDN w:val="0"/>
              <w:adjustRightInd w:val="0"/>
              <w:spacing w:after="0" w:line="240" w:lineRule="auto"/>
              <w:rPr>
                <w:rFonts w:cs="Calibri"/>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Project office at UNDP</w:t>
            </w: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Visit, </w:t>
            </w:r>
            <w:r>
              <w:rPr>
                <w:rFonts w:cs="Calibri"/>
                <w:sz w:val="18"/>
                <w:szCs w:val="18"/>
              </w:rPr>
              <w:t>K</w:t>
            </w:r>
            <w:r w:rsidRPr="00075E67">
              <w:rPr>
                <w:rFonts w:cs="Calibri"/>
                <w:sz w:val="18"/>
                <w:szCs w:val="18"/>
              </w:rPr>
              <w:t>II, FGD, review documents</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Quantitative and qualitative</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r>
    </w:tbl>
    <w:p w:rsidR="00455E34" w:rsidRDefault="00455E34"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455E34" w:rsidRPr="004F24C4" w:rsidRDefault="00455E34" w:rsidP="00455E34">
      <w:pPr>
        <w:autoSpaceDE w:val="0"/>
        <w:autoSpaceDN w:val="0"/>
        <w:adjustRightInd w:val="0"/>
        <w:spacing w:after="0" w:line="240" w:lineRule="auto"/>
        <w:rPr>
          <w:rFonts w:cs="Calibri"/>
          <w:b/>
          <w:szCs w:val="18"/>
        </w:rPr>
      </w:pPr>
      <w:r w:rsidRPr="004F24C4">
        <w:rPr>
          <w:rFonts w:cs="Calibri"/>
          <w:b/>
          <w:szCs w:val="18"/>
        </w:rPr>
        <w:lastRenderedPageBreak/>
        <w:t>Effectiveness</w:t>
      </w:r>
    </w:p>
    <w:tbl>
      <w:tblP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2250"/>
        <w:gridCol w:w="2880"/>
        <w:gridCol w:w="1350"/>
        <w:gridCol w:w="1170"/>
        <w:gridCol w:w="1260"/>
        <w:gridCol w:w="1260"/>
        <w:gridCol w:w="1080"/>
      </w:tblGrid>
      <w:tr w:rsidR="00455E34" w:rsidRPr="00075E67" w:rsidTr="009511DC">
        <w:trPr>
          <w:trHeight w:val="710"/>
        </w:trPr>
        <w:tc>
          <w:tcPr>
            <w:tcW w:w="2628"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Main Evaluation Question</w:t>
            </w:r>
          </w:p>
          <w:p w:rsidR="00455E34" w:rsidRPr="00075E67" w:rsidRDefault="00455E34" w:rsidP="009511DC">
            <w:pPr>
              <w:autoSpaceDE w:val="0"/>
              <w:autoSpaceDN w:val="0"/>
              <w:adjustRightInd w:val="0"/>
              <w:spacing w:after="0" w:line="240" w:lineRule="auto"/>
              <w:rPr>
                <w:rFonts w:cs="Calibri"/>
                <w:b/>
                <w:sz w:val="18"/>
                <w:szCs w:val="18"/>
              </w:rPr>
            </w:pPr>
          </w:p>
        </w:tc>
        <w:tc>
          <w:tcPr>
            <w:tcW w:w="225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Specific Evaluation Question</w:t>
            </w:r>
          </w:p>
          <w:p w:rsidR="00455E34" w:rsidRPr="00075E67" w:rsidRDefault="00455E34" w:rsidP="009511DC">
            <w:pPr>
              <w:autoSpaceDE w:val="0"/>
              <w:autoSpaceDN w:val="0"/>
              <w:adjustRightInd w:val="0"/>
              <w:spacing w:after="0" w:line="240" w:lineRule="auto"/>
              <w:rPr>
                <w:rFonts w:cs="Calibri"/>
                <w:b/>
                <w:sz w:val="18"/>
                <w:szCs w:val="18"/>
              </w:rPr>
            </w:pPr>
          </w:p>
        </w:tc>
        <w:tc>
          <w:tcPr>
            <w:tcW w:w="288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 xml:space="preserve">Indicator </w:t>
            </w:r>
          </w:p>
          <w:p w:rsidR="00455E34" w:rsidRPr="00075E67" w:rsidRDefault="00455E34" w:rsidP="009511DC">
            <w:pPr>
              <w:autoSpaceDE w:val="0"/>
              <w:autoSpaceDN w:val="0"/>
              <w:adjustRightInd w:val="0"/>
              <w:spacing w:after="0" w:line="240" w:lineRule="auto"/>
              <w:rPr>
                <w:rFonts w:cs="Calibri"/>
                <w:b/>
                <w:sz w:val="18"/>
                <w:szCs w:val="18"/>
              </w:rPr>
            </w:pP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 xml:space="preserve">Data Source </w:t>
            </w:r>
          </w:p>
          <w:p w:rsidR="00455E34" w:rsidRPr="00075E67" w:rsidRDefault="00455E34" w:rsidP="009511DC">
            <w:pPr>
              <w:autoSpaceDE w:val="0"/>
              <w:autoSpaceDN w:val="0"/>
              <w:adjustRightInd w:val="0"/>
              <w:spacing w:after="0" w:line="240" w:lineRule="auto"/>
              <w:rPr>
                <w:rFonts w:cs="Calibri"/>
                <w:b/>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Data Collection Method</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Selection of Respondent</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Method of Data Analysis</w:t>
            </w: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Limitation/</w:t>
            </w:r>
          </w:p>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Ris</w:t>
            </w:r>
            <w:r>
              <w:rPr>
                <w:rFonts w:cs="Calibri"/>
                <w:b/>
                <w:sz w:val="18"/>
                <w:szCs w:val="18"/>
              </w:rPr>
              <w:t>k</w:t>
            </w:r>
          </w:p>
        </w:tc>
      </w:tr>
      <w:tr w:rsidR="00455E34" w:rsidRPr="00075E67" w:rsidTr="009511DC">
        <w:trPr>
          <w:trHeight w:val="1763"/>
        </w:trPr>
        <w:tc>
          <w:tcPr>
            <w:tcW w:w="2628" w:type="dxa"/>
            <w:shd w:val="clear" w:color="auto" w:fill="auto"/>
          </w:tcPr>
          <w:p w:rsidR="00455E34" w:rsidRPr="00075E67" w:rsidRDefault="00455E34" w:rsidP="009511DC">
            <w:pPr>
              <w:pStyle w:val="ListParagraph"/>
              <w:spacing w:after="0" w:line="240" w:lineRule="auto"/>
              <w:ind w:left="0"/>
              <w:rPr>
                <w:rFonts w:cs="Calibri"/>
                <w:b/>
                <w:sz w:val="18"/>
                <w:szCs w:val="18"/>
              </w:rPr>
            </w:pPr>
            <w:r w:rsidRPr="00075E67">
              <w:rPr>
                <w:rFonts w:cs="Calibri"/>
                <w:b/>
                <w:sz w:val="18"/>
                <w:szCs w:val="18"/>
              </w:rPr>
              <w:t>Country Program Outcome 3.2/ UNDAF Outcome 5.2</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pStyle w:val="ListParagraph"/>
              <w:spacing w:after="0" w:line="240" w:lineRule="auto"/>
              <w:ind w:left="0"/>
              <w:rPr>
                <w:rFonts w:cs="Calibri"/>
                <w:color w:val="FF0000"/>
                <w:sz w:val="18"/>
                <w:szCs w:val="18"/>
              </w:rPr>
            </w:pPr>
            <w:r w:rsidRPr="00075E67">
              <w:rPr>
                <w:rFonts w:cs="Calibri"/>
                <w:sz w:val="18"/>
                <w:szCs w:val="18"/>
              </w:rPr>
              <w:t>1.  Compare to 2011, to what extent do vulnerable populations now benefit more from better natural resource management?</w:t>
            </w:r>
          </w:p>
        </w:tc>
        <w:tc>
          <w:tcPr>
            <w:tcW w:w="22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28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r>
      <w:tr w:rsidR="00455E34" w:rsidRPr="00075E67" w:rsidTr="009511DC">
        <w:tc>
          <w:tcPr>
            <w:tcW w:w="2628" w:type="dxa"/>
            <w:shd w:val="clear" w:color="auto" w:fill="auto"/>
          </w:tcPr>
          <w:p w:rsidR="00455E34" w:rsidRPr="00075E67" w:rsidRDefault="00455E34" w:rsidP="009511DC">
            <w:pPr>
              <w:pStyle w:val="ListParagraph"/>
              <w:spacing w:after="0" w:line="240" w:lineRule="auto"/>
              <w:ind w:left="0"/>
              <w:rPr>
                <w:rFonts w:cs="Calibri"/>
                <w:sz w:val="18"/>
                <w:szCs w:val="18"/>
              </w:rPr>
            </w:pPr>
            <w:r w:rsidRPr="00075E67">
              <w:rPr>
                <w:rFonts w:cs="Calibri"/>
                <w:sz w:val="18"/>
                <w:szCs w:val="18"/>
              </w:rPr>
              <w:t xml:space="preserve">1.1 Compare to 2011, to what extent do vulnerable populations now benefit more from better natural resource management </w:t>
            </w:r>
            <w:r w:rsidRPr="00075E67">
              <w:rPr>
                <w:rFonts w:cs="Calibri"/>
                <w:b/>
                <w:sz w:val="18"/>
                <w:szCs w:val="18"/>
              </w:rPr>
              <w:t>as a result of Green Bric</w:t>
            </w:r>
            <w:r>
              <w:rPr>
                <w:rFonts w:cs="Calibri"/>
                <w:b/>
                <w:sz w:val="18"/>
                <w:szCs w:val="18"/>
              </w:rPr>
              <w:t>k</w:t>
            </w:r>
            <w:r w:rsidRPr="00075E67">
              <w:rPr>
                <w:rFonts w:cs="Calibri"/>
                <w:b/>
                <w:sz w:val="18"/>
                <w:szCs w:val="18"/>
              </w:rPr>
              <w:t xml:space="preserve"> Project</w:t>
            </w:r>
            <w:r w:rsidRPr="00075E67">
              <w:rPr>
                <w:rFonts w:cs="Calibri"/>
                <w:sz w:val="18"/>
                <w:szCs w:val="18"/>
              </w:rPr>
              <w:t>?</w:t>
            </w:r>
          </w:p>
        </w:tc>
        <w:tc>
          <w:tcPr>
            <w:tcW w:w="22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1.1.1 Compare to 2011, to what extent do vulnerable populations now benefit more from better natural resource management </w:t>
            </w:r>
            <w:r w:rsidRPr="00075E67">
              <w:rPr>
                <w:rFonts w:cs="Calibri"/>
                <w:b/>
                <w:sz w:val="18"/>
                <w:szCs w:val="18"/>
              </w:rPr>
              <w:t>as a result of Green Bric</w:t>
            </w:r>
            <w:r>
              <w:rPr>
                <w:rFonts w:cs="Calibri"/>
                <w:b/>
                <w:sz w:val="18"/>
                <w:szCs w:val="18"/>
              </w:rPr>
              <w:t>k</w:t>
            </w:r>
            <w:r w:rsidRPr="00075E67">
              <w:rPr>
                <w:rFonts w:cs="Calibri"/>
                <w:b/>
                <w:sz w:val="18"/>
                <w:szCs w:val="18"/>
              </w:rPr>
              <w:t xml:space="preserve"> Demo Project</w:t>
            </w:r>
            <w:r w:rsidRPr="00075E67">
              <w:rPr>
                <w:rFonts w:cs="Calibri"/>
                <w:sz w:val="18"/>
                <w:szCs w:val="18"/>
              </w:rPr>
              <w:t>?</w:t>
            </w:r>
          </w:p>
        </w:tc>
        <w:tc>
          <w:tcPr>
            <w:tcW w:w="28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National level Emission data and target for potential mitigation.</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Achievement in terms of mitigation.</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Energy intensity needed as compared to traditional bric</w:t>
            </w:r>
            <w:r>
              <w:rPr>
                <w:rFonts w:cs="Calibri"/>
                <w:sz w:val="18"/>
                <w:szCs w:val="18"/>
              </w:rPr>
              <w:t>k</w:t>
            </w:r>
            <w:r w:rsidRPr="00075E67">
              <w:rPr>
                <w:rFonts w:cs="Calibri"/>
                <w:sz w:val="18"/>
                <w:szCs w:val="18"/>
              </w:rPr>
              <w:t xml:space="preserve"> ma</w:t>
            </w:r>
            <w:r>
              <w:rPr>
                <w:rFonts w:cs="Calibri"/>
                <w:sz w:val="18"/>
                <w:szCs w:val="18"/>
              </w:rPr>
              <w:t>k</w:t>
            </w:r>
            <w:r w:rsidRPr="00075E67">
              <w:rPr>
                <w:rFonts w:cs="Calibri"/>
                <w:sz w:val="18"/>
                <w:szCs w:val="18"/>
              </w:rPr>
              <w:t>ing unit.</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Extension in time frame in carrying out bric</w:t>
            </w:r>
            <w:r>
              <w:rPr>
                <w:rFonts w:cs="Calibri"/>
                <w:sz w:val="18"/>
                <w:szCs w:val="18"/>
              </w:rPr>
              <w:t>k</w:t>
            </w:r>
            <w:r w:rsidRPr="00075E67">
              <w:rPr>
                <w:rFonts w:cs="Calibri"/>
                <w:sz w:val="18"/>
                <w:szCs w:val="18"/>
              </w:rPr>
              <w:t xml:space="preserve"> ma</w:t>
            </w:r>
            <w:r>
              <w:rPr>
                <w:rFonts w:cs="Calibri"/>
                <w:sz w:val="18"/>
                <w:szCs w:val="18"/>
              </w:rPr>
              <w:t>k</w:t>
            </w:r>
            <w:r w:rsidRPr="00075E67">
              <w:rPr>
                <w:rFonts w:cs="Calibri"/>
                <w:sz w:val="18"/>
                <w:szCs w:val="18"/>
              </w:rPr>
              <w:t>ing activity.</w:t>
            </w:r>
          </w:p>
          <w:p w:rsidR="00455E34" w:rsidRPr="00075E67" w:rsidRDefault="00455E34" w:rsidP="009511DC">
            <w:pPr>
              <w:autoSpaceDE w:val="0"/>
              <w:autoSpaceDN w:val="0"/>
              <w:adjustRightInd w:val="0"/>
              <w:spacing w:after="0" w:line="240" w:lineRule="auto"/>
              <w:rPr>
                <w:rFonts w:cs="Calibri"/>
                <w:sz w:val="18"/>
                <w:szCs w:val="18"/>
              </w:rPr>
            </w:pP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Project office at UNDP and Pilot project.</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Field study, </w:t>
            </w:r>
            <w:r>
              <w:rPr>
                <w:rFonts w:cs="Calibri"/>
                <w:sz w:val="18"/>
                <w:szCs w:val="18"/>
              </w:rPr>
              <w:t>K</w:t>
            </w:r>
            <w:r w:rsidRPr="00075E67">
              <w:rPr>
                <w:rFonts w:cs="Calibri"/>
                <w:sz w:val="18"/>
                <w:szCs w:val="18"/>
              </w:rPr>
              <w:t>II, FGD, secondary documents</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review</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Purpose</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Quantitative and qualitative</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w:t>
            </w:r>
          </w:p>
        </w:tc>
      </w:tr>
      <w:tr w:rsidR="00455E34" w:rsidRPr="00075E67" w:rsidTr="009511DC">
        <w:tc>
          <w:tcPr>
            <w:tcW w:w="2628"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22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1.1.2 Compare to 2011, to what extent do vulnerable populations now benefit more from better natural resource management </w:t>
            </w:r>
            <w:r w:rsidRPr="00075E67">
              <w:rPr>
                <w:rFonts w:cs="Calibri"/>
                <w:b/>
                <w:sz w:val="18"/>
                <w:szCs w:val="18"/>
              </w:rPr>
              <w:t>as a result of Green Project’s gender activities</w:t>
            </w:r>
            <w:r w:rsidRPr="00075E67">
              <w:rPr>
                <w:rFonts w:cs="Calibri"/>
                <w:sz w:val="18"/>
                <w:szCs w:val="18"/>
              </w:rPr>
              <w:t>?</w:t>
            </w:r>
          </w:p>
          <w:p w:rsidR="00455E34" w:rsidRPr="00075E67" w:rsidRDefault="00455E34" w:rsidP="009511DC">
            <w:pPr>
              <w:autoSpaceDE w:val="0"/>
              <w:autoSpaceDN w:val="0"/>
              <w:adjustRightInd w:val="0"/>
              <w:spacing w:after="0" w:line="240" w:lineRule="auto"/>
              <w:rPr>
                <w:rFonts w:cs="Calibri"/>
                <w:sz w:val="18"/>
                <w:szCs w:val="18"/>
              </w:rPr>
            </w:pPr>
          </w:p>
        </w:tc>
        <w:tc>
          <w:tcPr>
            <w:tcW w:w="28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Health services.</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Salaries and other benefits.</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Security.</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Fixed wor</w:t>
            </w:r>
            <w:r>
              <w:rPr>
                <w:rFonts w:cs="Calibri"/>
                <w:sz w:val="18"/>
                <w:szCs w:val="18"/>
              </w:rPr>
              <w:t>k</w:t>
            </w:r>
            <w:r w:rsidRPr="00075E67">
              <w:rPr>
                <w:rFonts w:cs="Calibri"/>
                <w:sz w:val="18"/>
                <w:szCs w:val="18"/>
              </w:rPr>
              <w:t>ing hours.</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Leave.</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Nature of job (permanent/ temporary)</w:t>
            </w:r>
          </w:p>
          <w:p w:rsidR="00455E34" w:rsidRPr="00075E67" w:rsidRDefault="00455E34" w:rsidP="009511DC">
            <w:pPr>
              <w:autoSpaceDE w:val="0"/>
              <w:autoSpaceDN w:val="0"/>
              <w:adjustRightInd w:val="0"/>
              <w:spacing w:after="0" w:line="240" w:lineRule="auto"/>
              <w:rPr>
                <w:rFonts w:cs="Calibri"/>
                <w:sz w:val="18"/>
                <w:szCs w:val="18"/>
              </w:rPr>
            </w:pP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Project office at UNDP and Pilot project.</w:t>
            </w:r>
          </w:p>
          <w:p w:rsidR="00455E34" w:rsidRPr="00075E67" w:rsidRDefault="00455E34" w:rsidP="009511DC">
            <w:pPr>
              <w:autoSpaceDE w:val="0"/>
              <w:autoSpaceDN w:val="0"/>
              <w:adjustRightInd w:val="0"/>
              <w:spacing w:after="0" w:line="240" w:lineRule="auto"/>
              <w:rPr>
                <w:rFonts w:cs="Calibri"/>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Field study, </w:t>
            </w:r>
            <w:r>
              <w:rPr>
                <w:rFonts w:cs="Calibri"/>
                <w:sz w:val="18"/>
                <w:szCs w:val="18"/>
              </w:rPr>
              <w:t>K</w:t>
            </w:r>
            <w:r w:rsidRPr="00075E67">
              <w:rPr>
                <w:rFonts w:cs="Calibri"/>
                <w:sz w:val="18"/>
                <w:szCs w:val="18"/>
              </w:rPr>
              <w:t>II, FGD, secondary documents</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review</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Purpose</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Quantitative and qualitative</w:t>
            </w:r>
          </w:p>
          <w:p w:rsidR="00455E34" w:rsidRPr="00075E67" w:rsidRDefault="00455E34" w:rsidP="009511DC">
            <w:pPr>
              <w:autoSpaceDE w:val="0"/>
              <w:autoSpaceDN w:val="0"/>
              <w:adjustRightInd w:val="0"/>
              <w:spacing w:after="0" w:line="240" w:lineRule="auto"/>
              <w:rPr>
                <w:rFonts w:cs="Calibri"/>
                <w:sz w:val="18"/>
                <w:szCs w:val="18"/>
              </w:rPr>
            </w:pP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w:t>
            </w:r>
          </w:p>
        </w:tc>
      </w:tr>
      <w:tr w:rsidR="00455E34" w:rsidRPr="00075E67" w:rsidTr="009511DC">
        <w:tc>
          <w:tcPr>
            <w:tcW w:w="2628"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1.2. Did vulnerable population benefit from NRM: environmental governance and low carbon green development from </w:t>
            </w:r>
            <w:r w:rsidRPr="00075E67">
              <w:rPr>
                <w:rFonts w:cs="Calibri"/>
                <w:b/>
                <w:sz w:val="18"/>
                <w:szCs w:val="18"/>
              </w:rPr>
              <w:t>PECM project?</w:t>
            </w:r>
          </w:p>
        </w:tc>
        <w:tc>
          <w:tcPr>
            <w:tcW w:w="2250" w:type="dxa"/>
            <w:shd w:val="clear" w:color="auto" w:fill="auto"/>
          </w:tcPr>
          <w:p w:rsidR="00455E34" w:rsidRPr="00075E67" w:rsidRDefault="00455E34" w:rsidP="009511DC">
            <w:pPr>
              <w:pStyle w:val="ListParagraph"/>
              <w:spacing w:after="0" w:line="240" w:lineRule="auto"/>
              <w:ind w:left="0"/>
              <w:rPr>
                <w:rFonts w:cs="Calibri"/>
                <w:sz w:val="18"/>
                <w:szCs w:val="18"/>
              </w:rPr>
            </w:pPr>
          </w:p>
        </w:tc>
        <w:tc>
          <w:tcPr>
            <w:tcW w:w="28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No of govt  investment projects incorporating PECM indicators in project design and implementation </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Baseline 2010: 5 Target 30</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No of plans/strategies/polices drafted in favour of low </w:t>
            </w:r>
            <w:r w:rsidRPr="00075E67">
              <w:rPr>
                <w:rFonts w:cs="Calibri"/>
                <w:sz w:val="18"/>
                <w:szCs w:val="18"/>
              </w:rPr>
              <w:lastRenderedPageBreak/>
              <w:t xml:space="preserve">emissions/green growth </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Energy generated from renewable sources (Basline-2010: 42MW Target 2016: 85MW)</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reduction in  ozone depleting substances/greenhouses</w:t>
            </w:r>
          </w:p>
          <w:p w:rsidR="00455E34" w:rsidRPr="00075E67" w:rsidRDefault="00455E34" w:rsidP="009511DC">
            <w:pPr>
              <w:autoSpaceDE w:val="0"/>
              <w:autoSpaceDN w:val="0"/>
              <w:adjustRightInd w:val="0"/>
              <w:spacing w:after="0" w:line="240" w:lineRule="auto"/>
              <w:rPr>
                <w:rFonts w:cs="Calibri"/>
                <w:sz w:val="18"/>
                <w:szCs w:val="18"/>
              </w:rPr>
            </w:pP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lastRenderedPageBreak/>
              <w:t xml:space="preserve">UNDP Country Office </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FD </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Project Office</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Field study</w:t>
            </w: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Secondary (Data base, reports); </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Interviews </w:t>
            </w:r>
          </w:p>
          <w:p w:rsidR="00455E34" w:rsidRPr="00075E67" w:rsidRDefault="00455E34" w:rsidP="009511DC">
            <w:pPr>
              <w:autoSpaceDE w:val="0"/>
              <w:autoSpaceDN w:val="0"/>
              <w:adjustRightInd w:val="0"/>
              <w:spacing w:after="0" w:line="240" w:lineRule="auto"/>
              <w:rPr>
                <w:rFonts w:cs="Calibri"/>
                <w:sz w:val="18"/>
                <w:szCs w:val="18"/>
              </w:rPr>
            </w:pP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N/A</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Qualitative Analysis</w:t>
            </w: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Limited Scope of Validation</w:t>
            </w:r>
          </w:p>
        </w:tc>
      </w:tr>
      <w:tr w:rsidR="00455E34" w:rsidRPr="00075E67" w:rsidTr="009511DC">
        <w:tc>
          <w:tcPr>
            <w:tcW w:w="2628"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lastRenderedPageBreak/>
              <w:t xml:space="preserve">1. 3 Compare to 2011, to what extent do vulnerable populations now benefit more from better natural resource management </w:t>
            </w:r>
            <w:r w:rsidRPr="00075E67">
              <w:rPr>
                <w:rFonts w:cs="Calibri"/>
                <w:b/>
                <w:sz w:val="18"/>
                <w:szCs w:val="18"/>
              </w:rPr>
              <w:t>as a result of BRESL Project</w:t>
            </w:r>
            <w:r w:rsidRPr="00075E67">
              <w:rPr>
                <w:rFonts w:cs="Calibri"/>
                <w:sz w:val="18"/>
                <w:szCs w:val="18"/>
              </w:rPr>
              <w:t>?</w:t>
            </w:r>
          </w:p>
          <w:p w:rsidR="00455E34" w:rsidRPr="00075E67" w:rsidRDefault="00455E34" w:rsidP="009511DC">
            <w:pPr>
              <w:autoSpaceDE w:val="0"/>
              <w:autoSpaceDN w:val="0"/>
              <w:adjustRightInd w:val="0"/>
              <w:spacing w:after="0" w:line="240" w:lineRule="auto"/>
              <w:rPr>
                <w:rFonts w:cs="Calibri"/>
                <w:sz w:val="18"/>
                <w:szCs w:val="18"/>
              </w:rPr>
            </w:pPr>
          </w:p>
        </w:tc>
        <w:tc>
          <w:tcPr>
            <w:tcW w:w="22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28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Contribution to LCD.</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Any s</w:t>
            </w:r>
            <w:r>
              <w:rPr>
                <w:rFonts w:cs="Calibri"/>
                <w:sz w:val="18"/>
                <w:szCs w:val="18"/>
              </w:rPr>
              <w:t>k</w:t>
            </w:r>
            <w:r w:rsidRPr="00075E67">
              <w:rPr>
                <w:rFonts w:cs="Calibri"/>
                <w:sz w:val="18"/>
                <w:szCs w:val="18"/>
              </w:rPr>
              <w:t>ill training organized for women and men wor</w:t>
            </w:r>
            <w:r>
              <w:rPr>
                <w:rFonts w:cs="Calibri"/>
                <w:sz w:val="18"/>
                <w:szCs w:val="18"/>
              </w:rPr>
              <w:t>k</w:t>
            </w:r>
            <w:r w:rsidRPr="00075E67">
              <w:rPr>
                <w:rFonts w:cs="Calibri"/>
                <w:sz w:val="18"/>
                <w:szCs w:val="18"/>
              </w:rPr>
              <w:t>ers?</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Any attempt to encourage women entrepreneurship? </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Adoption of technology by the mar</w:t>
            </w:r>
            <w:r>
              <w:rPr>
                <w:rFonts w:cs="Calibri"/>
                <w:sz w:val="18"/>
                <w:szCs w:val="18"/>
              </w:rPr>
              <w:t>k</w:t>
            </w:r>
            <w:r w:rsidRPr="00075E67">
              <w:rPr>
                <w:rFonts w:cs="Calibri"/>
                <w:sz w:val="18"/>
                <w:szCs w:val="18"/>
              </w:rPr>
              <w:t>et.</w:t>
            </w:r>
          </w:p>
          <w:p w:rsidR="00455E34" w:rsidRPr="00075E67" w:rsidRDefault="00455E34" w:rsidP="009511DC">
            <w:pPr>
              <w:autoSpaceDE w:val="0"/>
              <w:autoSpaceDN w:val="0"/>
              <w:adjustRightInd w:val="0"/>
              <w:spacing w:after="0" w:line="240" w:lineRule="auto"/>
              <w:rPr>
                <w:rFonts w:cs="Calibri"/>
                <w:sz w:val="18"/>
                <w:szCs w:val="18"/>
              </w:rPr>
            </w:pP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Project team, des</w:t>
            </w:r>
            <w:r>
              <w:rPr>
                <w:rFonts w:cs="Calibri"/>
                <w:sz w:val="18"/>
                <w:szCs w:val="18"/>
              </w:rPr>
              <w:t>k</w:t>
            </w:r>
            <w:r w:rsidRPr="00075E67">
              <w:rPr>
                <w:rFonts w:cs="Calibri"/>
                <w:sz w:val="18"/>
                <w:szCs w:val="18"/>
              </w:rPr>
              <w:t xml:space="preserve"> review.</w:t>
            </w: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Pr>
                <w:rFonts w:cs="Calibri"/>
                <w:sz w:val="18"/>
                <w:szCs w:val="18"/>
              </w:rPr>
              <w:t>K</w:t>
            </w:r>
            <w:r w:rsidRPr="00075E67">
              <w:rPr>
                <w:rFonts w:cs="Calibri"/>
                <w:sz w:val="18"/>
                <w:szCs w:val="18"/>
              </w:rPr>
              <w:t>II, Des</w:t>
            </w:r>
            <w:r>
              <w:rPr>
                <w:rFonts w:cs="Calibri"/>
                <w:sz w:val="18"/>
                <w:szCs w:val="18"/>
              </w:rPr>
              <w:t>k</w:t>
            </w:r>
            <w:r w:rsidRPr="00075E67">
              <w:rPr>
                <w:rFonts w:cs="Calibri"/>
                <w:sz w:val="18"/>
                <w:szCs w:val="18"/>
              </w:rPr>
              <w:t xml:space="preserve"> Review</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Quantitative and qualitative</w:t>
            </w: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r>
      <w:tr w:rsidR="00455E34" w:rsidRPr="00075E67" w:rsidTr="009511DC">
        <w:trPr>
          <w:trHeight w:val="1223"/>
        </w:trPr>
        <w:tc>
          <w:tcPr>
            <w:tcW w:w="2628" w:type="dxa"/>
            <w:shd w:val="clear" w:color="auto" w:fill="auto"/>
          </w:tcPr>
          <w:p w:rsidR="00455E34" w:rsidRPr="00075E67" w:rsidRDefault="00455E34" w:rsidP="009511DC">
            <w:pPr>
              <w:pStyle w:val="ListParagraph"/>
              <w:spacing w:after="0" w:line="240" w:lineRule="auto"/>
              <w:ind w:left="0"/>
              <w:rPr>
                <w:rFonts w:cs="Calibri"/>
                <w:sz w:val="18"/>
                <w:szCs w:val="18"/>
              </w:rPr>
            </w:pPr>
            <w:r w:rsidRPr="00075E67">
              <w:rPr>
                <w:rFonts w:cs="Calibri"/>
                <w:sz w:val="18"/>
                <w:szCs w:val="18"/>
              </w:rPr>
              <w:t>2. Compare to 2011, to what extent do vulnerable populations now benefit more from better access to low carbon energy?</w:t>
            </w:r>
          </w:p>
        </w:tc>
        <w:tc>
          <w:tcPr>
            <w:tcW w:w="22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28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r>
      <w:tr w:rsidR="00455E34" w:rsidRPr="00075E67" w:rsidTr="009511DC">
        <w:tc>
          <w:tcPr>
            <w:tcW w:w="2628"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2.1 Compare to 2011, to what extent do vulnerable populations now benefit more from better access to low carbon energy </w:t>
            </w:r>
            <w:r w:rsidRPr="00075E67">
              <w:rPr>
                <w:rFonts w:cs="Calibri"/>
                <w:b/>
                <w:sz w:val="18"/>
                <w:szCs w:val="18"/>
              </w:rPr>
              <w:t>as a result of Green Bric</w:t>
            </w:r>
            <w:r>
              <w:rPr>
                <w:rFonts w:cs="Calibri"/>
                <w:b/>
                <w:sz w:val="18"/>
                <w:szCs w:val="18"/>
              </w:rPr>
              <w:t>k</w:t>
            </w:r>
            <w:r w:rsidRPr="00075E67">
              <w:rPr>
                <w:rFonts w:cs="Calibri"/>
                <w:b/>
                <w:sz w:val="18"/>
                <w:szCs w:val="18"/>
              </w:rPr>
              <w:t>s project</w:t>
            </w:r>
            <w:r w:rsidRPr="00075E67">
              <w:rPr>
                <w:rFonts w:cs="Calibri"/>
                <w:sz w:val="18"/>
                <w:szCs w:val="18"/>
              </w:rPr>
              <w:t>?</w:t>
            </w:r>
          </w:p>
        </w:tc>
        <w:tc>
          <w:tcPr>
            <w:tcW w:w="22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2.1 Compare to 2011, to what extent do vulnerable populations now benefit more from better access to low carbon energy </w:t>
            </w:r>
            <w:r w:rsidRPr="00075E67">
              <w:rPr>
                <w:rFonts w:cs="Calibri"/>
                <w:b/>
                <w:sz w:val="18"/>
                <w:szCs w:val="18"/>
              </w:rPr>
              <w:t>as a result of Green Bric</w:t>
            </w:r>
            <w:r>
              <w:rPr>
                <w:rFonts w:cs="Calibri"/>
                <w:b/>
                <w:sz w:val="18"/>
                <w:szCs w:val="18"/>
              </w:rPr>
              <w:t>k</w:t>
            </w:r>
            <w:r w:rsidRPr="00075E67">
              <w:rPr>
                <w:rFonts w:cs="Calibri"/>
                <w:b/>
                <w:sz w:val="18"/>
                <w:szCs w:val="18"/>
              </w:rPr>
              <w:t>s Demo project</w:t>
            </w:r>
            <w:r w:rsidRPr="00075E67">
              <w:rPr>
                <w:rFonts w:cs="Calibri"/>
                <w:sz w:val="18"/>
                <w:szCs w:val="18"/>
              </w:rPr>
              <w:t>?</w:t>
            </w:r>
          </w:p>
          <w:p w:rsidR="00455E34" w:rsidRPr="00075E67" w:rsidRDefault="00455E34" w:rsidP="009511DC">
            <w:pPr>
              <w:autoSpaceDE w:val="0"/>
              <w:autoSpaceDN w:val="0"/>
              <w:adjustRightInd w:val="0"/>
              <w:spacing w:after="0" w:line="240" w:lineRule="auto"/>
              <w:rPr>
                <w:rFonts w:cs="Calibri"/>
                <w:sz w:val="18"/>
                <w:szCs w:val="18"/>
              </w:rPr>
            </w:pPr>
          </w:p>
        </w:tc>
        <w:tc>
          <w:tcPr>
            <w:tcW w:w="28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Potential Impact on price of bric</w:t>
            </w:r>
            <w:r>
              <w:rPr>
                <w:rFonts w:cs="Calibri"/>
                <w:sz w:val="18"/>
                <w:szCs w:val="18"/>
              </w:rPr>
              <w:t>k</w:t>
            </w:r>
          </w:p>
          <w:p w:rsidR="00455E34" w:rsidRPr="00075E67" w:rsidRDefault="00455E34" w:rsidP="009511DC">
            <w:pPr>
              <w:autoSpaceDE w:val="0"/>
              <w:autoSpaceDN w:val="0"/>
              <w:adjustRightInd w:val="0"/>
              <w:spacing w:after="0" w:line="240" w:lineRule="auto"/>
              <w:rPr>
                <w:rFonts w:cs="Calibri"/>
                <w:sz w:val="18"/>
                <w:szCs w:val="18"/>
              </w:rPr>
            </w:pP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Project office at UNDP and Pilot</w:t>
            </w: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Field study, </w:t>
            </w:r>
            <w:r>
              <w:rPr>
                <w:rFonts w:cs="Calibri"/>
                <w:sz w:val="18"/>
                <w:szCs w:val="18"/>
              </w:rPr>
              <w:t>K</w:t>
            </w:r>
            <w:r w:rsidRPr="00075E67">
              <w:rPr>
                <w:rFonts w:cs="Calibri"/>
                <w:sz w:val="18"/>
                <w:szCs w:val="18"/>
              </w:rPr>
              <w:t>II, FGD, review of secondary documents</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Quantitative and qualitative</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r>
      <w:tr w:rsidR="00455E34" w:rsidRPr="00075E67" w:rsidTr="009511DC">
        <w:tc>
          <w:tcPr>
            <w:tcW w:w="2628"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22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2.2 Compare to 2011, to what extent do vulnerable populations now benefit more from better access to low carbon energy </w:t>
            </w:r>
            <w:r w:rsidRPr="00075E67">
              <w:rPr>
                <w:rFonts w:cs="Calibri"/>
                <w:b/>
                <w:sz w:val="18"/>
                <w:szCs w:val="18"/>
              </w:rPr>
              <w:t>as a result of Green Bric</w:t>
            </w:r>
            <w:r>
              <w:rPr>
                <w:rFonts w:cs="Calibri"/>
                <w:b/>
                <w:sz w:val="18"/>
                <w:szCs w:val="18"/>
              </w:rPr>
              <w:t>k</w:t>
            </w:r>
            <w:r w:rsidRPr="00075E67">
              <w:rPr>
                <w:rFonts w:cs="Calibri"/>
                <w:b/>
                <w:sz w:val="18"/>
                <w:szCs w:val="18"/>
              </w:rPr>
              <w:t>s projects’ gender activities</w:t>
            </w:r>
            <w:r w:rsidRPr="00075E67">
              <w:rPr>
                <w:rFonts w:cs="Calibri"/>
                <w:sz w:val="18"/>
                <w:szCs w:val="18"/>
              </w:rPr>
              <w:t>?</w:t>
            </w:r>
          </w:p>
          <w:p w:rsidR="00455E34" w:rsidRDefault="00455E34" w:rsidP="009511DC">
            <w:pPr>
              <w:autoSpaceDE w:val="0"/>
              <w:autoSpaceDN w:val="0"/>
              <w:adjustRightInd w:val="0"/>
              <w:spacing w:after="0" w:line="240" w:lineRule="auto"/>
              <w:rPr>
                <w:rFonts w:cs="Calibri"/>
                <w:sz w:val="18"/>
                <w:szCs w:val="18"/>
              </w:rPr>
            </w:pPr>
          </w:p>
          <w:p w:rsidR="00455E34"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tc>
        <w:tc>
          <w:tcPr>
            <w:tcW w:w="28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Gender sensitivity</w:t>
            </w: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Project office at UNDP and Pilot</w:t>
            </w: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Field study, </w:t>
            </w:r>
            <w:r>
              <w:rPr>
                <w:rFonts w:cs="Calibri"/>
                <w:sz w:val="18"/>
                <w:szCs w:val="18"/>
              </w:rPr>
              <w:t>K</w:t>
            </w:r>
            <w:r w:rsidRPr="00075E67">
              <w:rPr>
                <w:rFonts w:cs="Calibri"/>
                <w:sz w:val="18"/>
                <w:szCs w:val="18"/>
              </w:rPr>
              <w:t>II, FGD, review of secondary documents</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Quantitative and qualitative</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r>
      <w:tr w:rsidR="00455E34" w:rsidRPr="00075E67" w:rsidTr="009511DC">
        <w:tc>
          <w:tcPr>
            <w:tcW w:w="2628"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3. Did vulnerable population benefit from NRM: </w:t>
            </w:r>
            <w:r w:rsidRPr="00075E67">
              <w:rPr>
                <w:rFonts w:cs="Calibri"/>
                <w:sz w:val="18"/>
                <w:szCs w:val="18"/>
              </w:rPr>
              <w:lastRenderedPageBreak/>
              <w:t xml:space="preserve">environmental governance and low carbon green development from </w:t>
            </w:r>
            <w:r w:rsidRPr="00075E67">
              <w:rPr>
                <w:rFonts w:cs="Calibri"/>
                <w:b/>
                <w:sz w:val="18"/>
                <w:szCs w:val="18"/>
              </w:rPr>
              <w:t>PECM project?</w:t>
            </w:r>
          </w:p>
        </w:tc>
        <w:tc>
          <w:tcPr>
            <w:tcW w:w="2250" w:type="dxa"/>
            <w:shd w:val="clear" w:color="auto" w:fill="auto"/>
          </w:tcPr>
          <w:p w:rsidR="00455E34" w:rsidRPr="00075E67" w:rsidRDefault="00455E34" w:rsidP="009511DC">
            <w:pPr>
              <w:pStyle w:val="ListParagraph"/>
              <w:spacing w:after="0" w:line="240" w:lineRule="auto"/>
              <w:ind w:left="0"/>
              <w:rPr>
                <w:rFonts w:cs="Calibri"/>
                <w:sz w:val="18"/>
                <w:szCs w:val="18"/>
              </w:rPr>
            </w:pPr>
          </w:p>
        </w:tc>
        <w:tc>
          <w:tcPr>
            <w:tcW w:w="28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No of government investment projects incorporating PECM </w:t>
            </w:r>
            <w:r w:rsidRPr="00075E67">
              <w:rPr>
                <w:rFonts w:cs="Calibri"/>
                <w:sz w:val="18"/>
                <w:szCs w:val="18"/>
              </w:rPr>
              <w:lastRenderedPageBreak/>
              <w:t xml:space="preserve">indicators in project design and implementation </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Baseline 2010: 5 Target 30</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No of plans/strategies/polices drafted in favour of low emissions/green growth </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Energy generated from renewable sources (Basline-2010: 42MW Target 2016: 85MW)</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reduction in  ozone depleting substances/greenhouses</w:t>
            </w:r>
          </w:p>
          <w:p w:rsidR="00455E34" w:rsidRPr="00075E67" w:rsidRDefault="00455E34" w:rsidP="009511DC">
            <w:pPr>
              <w:autoSpaceDE w:val="0"/>
              <w:autoSpaceDN w:val="0"/>
              <w:adjustRightInd w:val="0"/>
              <w:spacing w:after="0" w:line="240" w:lineRule="auto"/>
              <w:rPr>
                <w:rFonts w:cs="Calibri"/>
                <w:sz w:val="18"/>
                <w:szCs w:val="18"/>
              </w:rPr>
            </w:pP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lastRenderedPageBreak/>
              <w:t xml:space="preserve">UNDP Country Office </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lastRenderedPageBreak/>
              <w:t xml:space="preserve">FD </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Project Office</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Field study</w:t>
            </w: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lastRenderedPageBreak/>
              <w:t xml:space="preserve">Secondary (Data base, </w:t>
            </w:r>
            <w:r w:rsidRPr="00075E67">
              <w:rPr>
                <w:rFonts w:cs="Calibri"/>
                <w:sz w:val="18"/>
                <w:szCs w:val="18"/>
              </w:rPr>
              <w:lastRenderedPageBreak/>
              <w:t xml:space="preserve">reports); </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Interviews </w:t>
            </w:r>
          </w:p>
          <w:p w:rsidR="00455E34" w:rsidRPr="00075E67" w:rsidRDefault="00455E34" w:rsidP="009511DC">
            <w:pPr>
              <w:autoSpaceDE w:val="0"/>
              <w:autoSpaceDN w:val="0"/>
              <w:adjustRightInd w:val="0"/>
              <w:spacing w:after="0" w:line="240" w:lineRule="auto"/>
              <w:rPr>
                <w:rFonts w:cs="Calibri"/>
                <w:sz w:val="18"/>
                <w:szCs w:val="18"/>
              </w:rPr>
            </w:pP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lastRenderedPageBreak/>
              <w:t>N/A</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Qualitative Analysis</w:t>
            </w: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Limited Scope of </w:t>
            </w:r>
            <w:r w:rsidRPr="00075E67">
              <w:rPr>
                <w:rFonts w:cs="Calibri"/>
                <w:sz w:val="18"/>
                <w:szCs w:val="18"/>
              </w:rPr>
              <w:lastRenderedPageBreak/>
              <w:t>Validation</w:t>
            </w:r>
          </w:p>
        </w:tc>
      </w:tr>
    </w:tbl>
    <w:p w:rsidR="00455E34" w:rsidRDefault="00455E34"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455E34" w:rsidRPr="004F24C4" w:rsidRDefault="00455E34" w:rsidP="00455E34">
      <w:pPr>
        <w:autoSpaceDE w:val="0"/>
        <w:autoSpaceDN w:val="0"/>
        <w:adjustRightInd w:val="0"/>
        <w:spacing w:after="0" w:line="240" w:lineRule="auto"/>
        <w:rPr>
          <w:rFonts w:cs="Calibri"/>
          <w:b/>
          <w:szCs w:val="18"/>
        </w:rPr>
      </w:pPr>
      <w:r w:rsidRPr="004F24C4">
        <w:rPr>
          <w:rFonts w:cs="Calibri"/>
          <w:b/>
          <w:szCs w:val="18"/>
        </w:rPr>
        <w:lastRenderedPageBreak/>
        <w:t>Efficiency</w:t>
      </w:r>
    </w:p>
    <w:tbl>
      <w:tblPr>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2700"/>
        <w:gridCol w:w="1620"/>
        <w:gridCol w:w="1350"/>
        <w:gridCol w:w="1170"/>
        <w:gridCol w:w="1350"/>
        <w:gridCol w:w="1350"/>
        <w:gridCol w:w="1080"/>
      </w:tblGrid>
      <w:tr w:rsidR="00455E34" w:rsidRPr="00075E67" w:rsidTr="009511DC">
        <w:tc>
          <w:tcPr>
            <w:tcW w:w="2988"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Main Evaluation Question</w:t>
            </w:r>
          </w:p>
          <w:p w:rsidR="00455E34" w:rsidRPr="00075E67" w:rsidRDefault="00455E34" w:rsidP="009511DC">
            <w:pPr>
              <w:autoSpaceDE w:val="0"/>
              <w:autoSpaceDN w:val="0"/>
              <w:adjustRightInd w:val="0"/>
              <w:spacing w:after="0" w:line="240" w:lineRule="auto"/>
              <w:rPr>
                <w:rFonts w:cs="Calibri"/>
                <w:b/>
                <w:sz w:val="18"/>
                <w:szCs w:val="18"/>
              </w:rPr>
            </w:pPr>
          </w:p>
        </w:tc>
        <w:tc>
          <w:tcPr>
            <w:tcW w:w="270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Specific Evaluation Question</w:t>
            </w:r>
          </w:p>
          <w:p w:rsidR="00455E34" w:rsidRPr="00075E67" w:rsidRDefault="00455E34" w:rsidP="009511DC">
            <w:pPr>
              <w:autoSpaceDE w:val="0"/>
              <w:autoSpaceDN w:val="0"/>
              <w:adjustRightInd w:val="0"/>
              <w:spacing w:after="0" w:line="240" w:lineRule="auto"/>
              <w:rPr>
                <w:rFonts w:cs="Calibri"/>
                <w:b/>
                <w:sz w:val="18"/>
                <w:szCs w:val="18"/>
              </w:rPr>
            </w:pPr>
          </w:p>
        </w:tc>
        <w:tc>
          <w:tcPr>
            <w:tcW w:w="162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 xml:space="preserve">Indicator </w:t>
            </w:r>
          </w:p>
          <w:p w:rsidR="00455E34" w:rsidRPr="00075E67" w:rsidRDefault="00455E34" w:rsidP="009511DC">
            <w:pPr>
              <w:autoSpaceDE w:val="0"/>
              <w:autoSpaceDN w:val="0"/>
              <w:adjustRightInd w:val="0"/>
              <w:spacing w:after="0" w:line="240" w:lineRule="auto"/>
              <w:rPr>
                <w:rFonts w:cs="Calibri"/>
                <w:b/>
                <w:sz w:val="18"/>
                <w:szCs w:val="18"/>
              </w:rPr>
            </w:pP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 xml:space="preserve">Data Source </w:t>
            </w:r>
          </w:p>
          <w:p w:rsidR="00455E34" w:rsidRPr="00075E67" w:rsidRDefault="00455E34" w:rsidP="009511DC">
            <w:pPr>
              <w:autoSpaceDE w:val="0"/>
              <w:autoSpaceDN w:val="0"/>
              <w:adjustRightInd w:val="0"/>
              <w:spacing w:after="0" w:line="240" w:lineRule="auto"/>
              <w:rPr>
                <w:rFonts w:cs="Calibri"/>
                <w:b/>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Data Collection Method</w:t>
            </w:r>
          </w:p>
          <w:p w:rsidR="00455E34" w:rsidRPr="00075E67" w:rsidRDefault="00455E34" w:rsidP="009511DC">
            <w:pPr>
              <w:autoSpaceDE w:val="0"/>
              <w:autoSpaceDN w:val="0"/>
              <w:adjustRightInd w:val="0"/>
              <w:spacing w:after="0" w:line="240" w:lineRule="auto"/>
              <w:rPr>
                <w:rFonts w:cs="Calibri"/>
                <w:b/>
                <w:sz w:val="18"/>
                <w:szCs w:val="18"/>
              </w:rPr>
            </w:pP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Sampling/</w:t>
            </w:r>
          </w:p>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Selection of Respondent</w:t>
            </w: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Method of Data Analysis</w:t>
            </w:r>
          </w:p>
          <w:p w:rsidR="00455E34" w:rsidRPr="00075E67" w:rsidRDefault="00455E34" w:rsidP="009511DC">
            <w:pPr>
              <w:autoSpaceDE w:val="0"/>
              <w:autoSpaceDN w:val="0"/>
              <w:adjustRightInd w:val="0"/>
              <w:spacing w:after="0" w:line="240" w:lineRule="auto"/>
              <w:rPr>
                <w:rFonts w:cs="Calibri"/>
                <w:b/>
                <w:sz w:val="18"/>
                <w:szCs w:val="18"/>
              </w:rPr>
            </w:pP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Limitation/</w:t>
            </w:r>
          </w:p>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Ris</w:t>
            </w:r>
            <w:r>
              <w:rPr>
                <w:rFonts w:cs="Calibri"/>
                <w:b/>
                <w:sz w:val="18"/>
                <w:szCs w:val="18"/>
              </w:rPr>
              <w:t>k</w:t>
            </w:r>
          </w:p>
          <w:p w:rsidR="00455E34" w:rsidRPr="00075E67" w:rsidRDefault="00455E34" w:rsidP="009511DC">
            <w:pPr>
              <w:autoSpaceDE w:val="0"/>
              <w:autoSpaceDN w:val="0"/>
              <w:adjustRightInd w:val="0"/>
              <w:spacing w:after="0" w:line="240" w:lineRule="auto"/>
              <w:rPr>
                <w:rFonts w:cs="Calibri"/>
                <w:b/>
                <w:sz w:val="18"/>
                <w:szCs w:val="18"/>
              </w:rPr>
            </w:pPr>
          </w:p>
        </w:tc>
      </w:tr>
      <w:tr w:rsidR="00455E34" w:rsidRPr="00075E67" w:rsidTr="009511DC">
        <w:tc>
          <w:tcPr>
            <w:tcW w:w="2988" w:type="dxa"/>
            <w:shd w:val="clear" w:color="auto" w:fill="auto"/>
          </w:tcPr>
          <w:p w:rsidR="00455E34" w:rsidRPr="00075E67" w:rsidRDefault="00455E34" w:rsidP="009511DC">
            <w:pPr>
              <w:pStyle w:val="ListParagraph"/>
              <w:spacing w:after="0" w:line="240" w:lineRule="auto"/>
              <w:ind w:left="0"/>
              <w:rPr>
                <w:rFonts w:cs="Calibri"/>
                <w:sz w:val="18"/>
                <w:szCs w:val="18"/>
              </w:rPr>
            </w:pPr>
            <w:r w:rsidRPr="00075E67">
              <w:rPr>
                <w:rFonts w:cs="Calibri"/>
                <w:sz w:val="18"/>
                <w:szCs w:val="18"/>
              </w:rPr>
              <w:t xml:space="preserve">1. 1 To what extent were the </w:t>
            </w:r>
            <w:r w:rsidRPr="00075E67">
              <w:rPr>
                <w:rFonts w:cs="Calibri"/>
                <w:b/>
                <w:sz w:val="18"/>
                <w:szCs w:val="18"/>
              </w:rPr>
              <w:t>Green Bric</w:t>
            </w:r>
            <w:r>
              <w:rPr>
                <w:rFonts w:cs="Calibri"/>
                <w:b/>
                <w:sz w:val="18"/>
                <w:szCs w:val="18"/>
              </w:rPr>
              <w:t>k</w:t>
            </w:r>
            <w:r w:rsidRPr="00075E67">
              <w:rPr>
                <w:rFonts w:cs="Calibri"/>
                <w:b/>
                <w:sz w:val="18"/>
                <w:szCs w:val="18"/>
              </w:rPr>
              <w:t>s project component</w:t>
            </w:r>
            <w:r w:rsidRPr="00075E67">
              <w:rPr>
                <w:rFonts w:cs="Calibri"/>
                <w:sz w:val="18"/>
                <w:szCs w:val="18"/>
              </w:rPr>
              <w:t xml:space="preserve"> outputs delivered in time and in good quality</w:t>
            </w:r>
          </w:p>
        </w:tc>
        <w:tc>
          <w:tcPr>
            <w:tcW w:w="270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1.1 To what extent were the </w:t>
            </w:r>
            <w:r w:rsidRPr="00075E67">
              <w:rPr>
                <w:rFonts w:cs="Calibri"/>
                <w:b/>
                <w:sz w:val="18"/>
                <w:szCs w:val="18"/>
              </w:rPr>
              <w:t>Green Bric</w:t>
            </w:r>
            <w:r>
              <w:rPr>
                <w:rFonts w:cs="Calibri"/>
                <w:b/>
                <w:sz w:val="18"/>
                <w:szCs w:val="18"/>
              </w:rPr>
              <w:t>k</w:t>
            </w:r>
            <w:r w:rsidRPr="00075E67">
              <w:rPr>
                <w:rFonts w:cs="Calibri"/>
                <w:b/>
                <w:sz w:val="18"/>
                <w:szCs w:val="18"/>
              </w:rPr>
              <w:t>s Demo project component</w:t>
            </w:r>
            <w:r w:rsidRPr="00075E67">
              <w:rPr>
                <w:rFonts w:cs="Calibri"/>
                <w:sz w:val="18"/>
                <w:szCs w:val="18"/>
              </w:rPr>
              <w:t xml:space="preserve"> outputs delivered in time and in good quality</w:t>
            </w:r>
          </w:p>
        </w:tc>
        <w:tc>
          <w:tcPr>
            <w:tcW w:w="162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Number of quality bric</w:t>
            </w:r>
            <w:r>
              <w:rPr>
                <w:rFonts w:cs="Calibri"/>
                <w:sz w:val="18"/>
                <w:szCs w:val="18"/>
              </w:rPr>
              <w:t>k</w:t>
            </w:r>
            <w:r w:rsidRPr="00075E67">
              <w:rPr>
                <w:rFonts w:cs="Calibri"/>
                <w:sz w:val="18"/>
                <w:szCs w:val="18"/>
              </w:rPr>
              <w:t xml:space="preserve"> produced per unit cost as compared to traditional units.</w:t>
            </w: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Project office at UNDP and Pilot</w:t>
            </w: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Field Visit, </w:t>
            </w:r>
            <w:r>
              <w:rPr>
                <w:rFonts w:cs="Calibri"/>
                <w:sz w:val="18"/>
                <w:szCs w:val="18"/>
              </w:rPr>
              <w:t>K</w:t>
            </w:r>
            <w:r w:rsidRPr="00075E67">
              <w:rPr>
                <w:rFonts w:cs="Calibri"/>
                <w:sz w:val="18"/>
                <w:szCs w:val="18"/>
              </w:rPr>
              <w:t>II, FGD, review of documents</w:t>
            </w: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Purposive</w:t>
            </w: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Quantitative and qualitative</w:t>
            </w:r>
          </w:p>
          <w:p w:rsidR="00455E34" w:rsidRPr="00075E67" w:rsidRDefault="00455E34" w:rsidP="009511DC">
            <w:pPr>
              <w:autoSpaceDE w:val="0"/>
              <w:autoSpaceDN w:val="0"/>
              <w:adjustRightInd w:val="0"/>
              <w:spacing w:after="0" w:line="240" w:lineRule="auto"/>
              <w:rPr>
                <w:rFonts w:cs="Calibri"/>
                <w:sz w:val="18"/>
                <w:szCs w:val="18"/>
              </w:rPr>
            </w:pP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r>
      <w:tr w:rsidR="00455E34" w:rsidRPr="00075E67" w:rsidTr="009511DC">
        <w:tc>
          <w:tcPr>
            <w:tcW w:w="2988" w:type="dxa"/>
            <w:shd w:val="clear" w:color="auto" w:fill="auto"/>
          </w:tcPr>
          <w:p w:rsidR="00455E34" w:rsidRPr="00075E67" w:rsidRDefault="00455E34" w:rsidP="009511DC">
            <w:pPr>
              <w:pStyle w:val="ListParagraph"/>
              <w:spacing w:after="0" w:line="240" w:lineRule="auto"/>
              <w:ind w:left="0"/>
              <w:rPr>
                <w:rFonts w:cs="Calibri"/>
                <w:sz w:val="18"/>
                <w:szCs w:val="18"/>
              </w:rPr>
            </w:pPr>
            <w:r w:rsidRPr="00075E67">
              <w:rPr>
                <w:rFonts w:cs="Calibri"/>
                <w:sz w:val="18"/>
                <w:szCs w:val="18"/>
              </w:rPr>
              <w:t xml:space="preserve">1. 2 To what extent were </w:t>
            </w:r>
            <w:r w:rsidRPr="00075E67">
              <w:rPr>
                <w:rFonts w:cs="Calibri"/>
                <w:b/>
                <w:sz w:val="18"/>
                <w:szCs w:val="18"/>
              </w:rPr>
              <w:t>the BRESL project component</w:t>
            </w:r>
            <w:r w:rsidRPr="00075E67">
              <w:rPr>
                <w:rFonts w:cs="Calibri"/>
                <w:sz w:val="18"/>
                <w:szCs w:val="18"/>
              </w:rPr>
              <w:t xml:space="preserve"> outputs delivered in time and in good quality</w:t>
            </w:r>
          </w:p>
        </w:tc>
        <w:tc>
          <w:tcPr>
            <w:tcW w:w="270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62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Price of products standardized.</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Value for money.</w:t>
            </w:r>
          </w:p>
          <w:p w:rsidR="00455E34" w:rsidRPr="00075E67" w:rsidRDefault="00455E34" w:rsidP="009511DC">
            <w:pPr>
              <w:autoSpaceDE w:val="0"/>
              <w:autoSpaceDN w:val="0"/>
              <w:adjustRightInd w:val="0"/>
              <w:spacing w:after="0" w:line="240" w:lineRule="auto"/>
              <w:rPr>
                <w:rFonts w:cs="Calibri"/>
                <w:sz w:val="18"/>
                <w:szCs w:val="18"/>
              </w:rPr>
            </w:pP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Project office at UNDP and Pilot.</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Field Visit, </w:t>
            </w:r>
            <w:r>
              <w:rPr>
                <w:rFonts w:cs="Calibri"/>
                <w:sz w:val="18"/>
                <w:szCs w:val="18"/>
              </w:rPr>
              <w:t>K</w:t>
            </w:r>
            <w:r w:rsidRPr="00075E67">
              <w:rPr>
                <w:rFonts w:cs="Calibri"/>
                <w:sz w:val="18"/>
                <w:szCs w:val="18"/>
              </w:rPr>
              <w:t>II, FGD, review of documents</w:t>
            </w: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Purposive</w:t>
            </w: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Quantitative and qualitative</w:t>
            </w:r>
          </w:p>
          <w:p w:rsidR="00455E34" w:rsidRPr="00075E67" w:rsidRDefault="00455E34" w:rsidP="009511DC">
            <w:pPr>
              <w:autoSpaceDE w:val="0"/>
              <w:autoSpaceDN w:val="0"/>
              <w:adjustRightInd w:val="0"/>
              <w:spacing w:after="0" w:line="240" w:lineRule="auto"/>
              <w:rPr>
                <w:rFonts w:cs="Calibri"/>
                <w:sz w:val="18"/>
                <w:szCs w:val="18"/>
              </w:rPr>
            </w:pP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r>
      <w:tr w:rsidR="00455E34" w:rsidRPr="00075E67" w:rsidTr="009511DC">
        <w:tc>
          <w:tcPr>
            <w:tcW w:w="2988" w:type="dxa"/>
            <w:shd w:val="clear" w:color="auto" w:fill="auto"/>
          </w:tcPr>
          <w:p w:rsidR="00455E34" w:rsidRPr="00075E67" w:rsidRDefault="00455E34" w:rsidP="009511DC">
            <w:pPr>
              <w:pStyle w:val="ListParagraph"/>
              <w:spacing w:after="0" w:line="240" w:lineRule="auto"/>
              <w:ind w:left="0"/>
              <w:rPr>
                <w:rFonts w:cs="Calibri"/>
                <w:b/>
                <w:sz w:val="18"/>
                <w:szCs w:val="18"/>
              </w:rPr>
            </w:pPr>
            <w:r w:rsidRPr="00075E67">
              <w:rPr>
                <w:rFonts w:cs="Calibri"/>
                <w:sz w:val="18"/>
                <w:szCs w:val="18"/>
              </w:rPr>
              <w:t>2</w:t>
            </w:r>
            <w:r w:rsidRPr="00075E67">
              <w:rPr>
                <w:rFonts w:cs="Calibri"/>
                <w:b/>
                <w:sz w:val="18"/>
                <w:szCs w:val="18"/>
              </w:rPr>
              <w:t>. To what extent did UNDP ensure value for money?</w:t>
            </w:r>
          </w:p>
          <w:p w:rsidR="00455E34" w:rsidRPr="00075E67" w:rsidRDefault="00455E34" w:rsidP="009511DC">
            <w:pPr>
              <w:pStyle w:val="ListParagraph"/>
              <w:spacing w:after="0" w:line="240" w:lineRule="auto"/>
              <w:ind w:left="0"/>
              <w:rPr>
                <w:rFonts w:cs="Calibri"/>
                <w:sz w:val="18"/>
                <w:szCs w:val="18"/>
              </w:rPr>
            </w:pPr>
          </w:p>
        </w:tc>
        <w:tc>
          <w:tcPr>
            <w:tcW w:w="270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62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r>
      <w:tr w:rsidR="00455E34" w:rsidRPr="00075E67" w:rsidTr="009511DC">
        <w:tc>
          <w:tcPr>
            <w:tcW w:w="2988" w:type="dxa"/>
            <w:shd w:val="clear" w:color="auto" w:fill="auto"/>
          </w:tcPr>
          <w:p w:rsidR="00455E34" w:rsidRPr="00075E67" w:rsidRDefault="00455E34" w:rsidP="009511DC">
            <w:pPr>
              <w:pStyle w:val="ListParagraph"/>
              <w:spacing w:after="0" w:line="240" w:lineRule="auto"/>
              <w:ind w:left="0"/>
              <w:rPr>
                <w:rFonts w:cs="Calibri"/>
                <w:sz w:val="18"/>
                <w:szCs w:val="18"/>
              </w:rPr>
            </w:pPr>
            <w:r w:rsidRPr="00075E67">
              <w:rPr>
                <w:rFonts w:cs="Calibri"/>
                <w:sz w:val="18"/>
                <w:szCs w:val="18"/>
              </w:rPr>
              <w:t xml:space="preserve">2.1 To what extent did UNDP’s </w:t>
            </w:r>
            <w:r w:rsidRPr="00075E67">
              <w:rPr>
                <w:rFonts w:cs="Calibri"/>
                <w:b/>
                <w:sz w:val="18"/>
                <w:szCs w:val="18"/>
              </w:rPr>
              <w:t>Green Bric</w:t>
            </w:r>
            <w:r>
              <w:rPr>
                <w:rFonts w:cs="Calibri"/>
                <w:b/>
                <w:sz w:val="18"/>
                <w:szCs w:val="18"/>
              </w:rPr>
              <w:t>k</w:t>
            </w:r>
            <w:r w:rsidRPr="00075E67">
              <w:rPr>
                <w:rFonts w:cs="Calibri"/>
                <w:b/>
                <w:sz w:val="18"/>
                <w:szCs w:val="18"/>
              </w:rPr>
              <w:t xml:space="preserve">s project </w:t>
            </w:r>
            <w:r w:rsidRPr="00075E67">
              <w:rPr>
                <w:rFonts w:cs="Calibri"/>
                <w:sz w:val="18"/>
                <w:szCs w:val="18"/>
              </w:rPr>
              <w:t>ensure value for money?</w:t>
            </w:r>
          </w:p>
        </w:tc>
        <w:tc>
          <w:tcPr>
            <w:tcW w:w="270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2.1.1 To what extent did UNDP’s </w:t>
            </w:r>
            <w:r w:rsidRPr="00075E67">
              <w:rPr>
                <w:rFonts w:cs="Calibri"/>
                <w:b/>
                <w:sz w:val="18"/>
                <w:szCs w:val="18"/>
              </w:rPr>
              <w:t>Green Bric</w:t>
            </w:r>
            <w:r>
              <w:rPr>
                <w:rFonts w:cs="Calibri"/>
                <w:b/>
                <w:sz w:val="18"/>
                <w:szCs w:val="18"/>
              </w:rPr>
              <w:t>k</w:t>
            </w:r>
            <w:r w:rsidRPr="00075E67">
              <w:rPr>
                <w:rFonts w:cs="Calibri"/>
                <w:b/>
                <w:sz w:val="18"/>
                <w:szCs w:val="18"/>
              </w:rPr>
              <w:t xml:space="preserve">s Demo project </w:t>
            </w:r>
            <w:r w:rsidRPr="00075E67">
              <w:rPr>
                <w:rFonts w:cs="Calibri"/>
                <w:sz w:val="18"/>
                <w:szCs w:val="18"/>
              </w:rPr>
              <w:t>ensure value for money?</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Any initiative lin</w:t>
            </w:r>
            <w:r>
              <w:rPr>
                <w:rFonts w:cs="Calibri"/>
                <w:sz w:val="18"/>
                <w:szCs w:val="18"/>
              </w:rPr>
              <w:t>k</w:t>
            </w:r>
            <w:r w:rsidRPr="00075E67">
              <w:rPr>
                <w:rFonts w:cs="Calibri"/>
                <w:sz w:val="18"/>
                <w:szCs w:val="18"/>
              </w:rPr>
              <w:t>ed to carbon Mar</w:t>
            </w:r>
            <w:r>
              <w:rPr>
                <w:rFonts w:cs="Calibri"/>
                <w:sz w:val="18"/>
                <w:szCs w:val="18"/>
              </w:rPr>
              <w:t>k</w:t>
            </w:r>
            <w:r w:rsidRPr="00075E67">
              <w:rPr>
                <w:rFonts w:cs="Calibri"/>
                <w:sz w:val="18"/>
                <w:szCs w:val="18"/>
              </w:rPr>
              <w:t>et?</w:t>
            </w:r>
          </w:p>
          <w:p w:rsidR="00455E34" w:rsidRPr="00075E67" w:rsidRDefault="00455E34" w:rsidP="009511DC">
            <w:pPr>
              <w:autoSpaceDE w:val="0"/>
              <w:autoSpaceDN w:val="0"/>
              <w:adjustRightInd w:val="0"/>
              <w:spacing w:after="0" w:line="240" w:lineRule="auto"/>
              <w:rPr>
                <w:rFonts w:cs="Calibri"/>
                <w:sz w:val="18"/>
                <w:szCs w:val="18"/>
              </w:rPr>
            </w:pPr>
          </w:p>
        </w:tc>
        <w:tc>
          <w:tcPr>
            <w:tcW w:w="162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Value for money</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Carbon value</w:t>
            </w: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Project office at UNDP and Pilot</w:t>
            </w: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Field Visit, </w:t>
            </w:r>
            <w:r>
              <w:rPr>
                <w:rFonts w:cs="Calibri"/>
                <w:sz w:val="18"/>
                <w:szCs w:val="18"/>
              </w:rPr>
              <w:t>K</w:t>
            </w:r>
            <w:r w:rsidRPr="00075E67">
              <w:rPr>
                <w:rFonts w:cs="Calibri"/>
                <w:sz w:val="18"/>
                <w:szCs w:val="18"/>
              </w:rPr>
              <w:t>II, FGD, review of documents</w:t>
            </w: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Purposive</w:t>
            </w: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Quantitative and qualitative</w:t>
            </w:r>
          </w:p>
          <w:p w:rsidR="00455E34" w:rsidRPr="00075E67" w:rsidRDefault="00455E34" w:rsidP="009511DC">
            <w:pPr>
              <w:autoSpaceDE w:val="0"/>
              <w:autoSpaceDN w:val="0"/>
              <w:adjustRightInd w:val="0"/>
              <w:spacing w:after="0" w:line="240" w:lineRule="auto"/>
              <w:rPr>
                <w:rFonts w:cs="Calibri"/>
                <w:sz w:val="18"/>
                <w:szCs w:val="18"/>
              </w:rPr>
            </w:pP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r>
      <w:tr w:rsidR="00455E34" w:rsidRPr="00075E67" w:rsidTr="009511DC">
        <w:tc>
          <w:tcPr>
            <w:tcW w:w="2988" w:type="dxa"/>
            <w:shd w:val="clear" w:color="auto" w:fill="auto"/>
          </w:tcPr>
          <w:p w:rsidR="00455E34" w:rsidRPr="00075E67" w:rsidRDefault="00455E34" w:rsidP="009511DC">
            <w:pPr>
              <w:pStyle w:val="ListParagraph"/>
              <w:spacing w:after="0" w:line="240" w:lineRule="auto"/>
              <w:ind w:left="0"/>
              <w:rPr>
                <w:rFonts w:cs="Calibri"/>
                <w:sz w:val="18"/>
                <w:szCs w:val="18"/>
              </w:rPr>
            </w:pPr>
          </w:p>
        </w:tc>
        <w:tc>
          <w:tcPr>
            <w:tcW w:w="270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2.1.2 To what extent did UNDP’s </w:t>
            </w:r>
            <w:r w:rsidRPr="00075E67">
              <w:rPr>
                <w:rFonts w:cs="Calibri"/>
                <w:b/>
                <w:sz w:val="18"/>
                <w:szCs w:val="18"/>
              </w:rPr>
              <w:t>Green Bric</w:t>
            </w:r>
            <w:r>
              <w:rPr>
                <w:rFonts w:cs="Calibri"/>
                <w:b/>
                <w:sz w:val="18"/>
                <w:szCs w:val="18"/>
              </w:rPr>
              <w:t>k</w:t>
            </w:r>
            <w:r w:rsidRPr="00075E67">
              <w:rPr>
                <w:rFonts w:cs="Calibri"/>
                <w:b/>
                <w:sz w:val="18"/>
                <w:szCs w:val="18"/>
              </w:rPr>
              <w:t xml:space="preserve">s project’s gender related activities </w:t>
            </w:r>
            <w:r w:rsidRPr="00075E67">
              <w:rPr>
                <w:rFonts w:cs="Calibri"/>
                <w:sz w:val="18"/>
                <w:szCs w:val="18"/>
              </w:rPr>
              <w:t>ensure value for money?</w:t>
            </w:r>
          </w:p>
          <w:p w:rsidR="00455E34" w:rsidRPr="00075E67" w:rsidRDefault="00455E34" w:rsidP="009511DC">
            <w:pPr>
              <w:autoSpaceDE w:val="0"/>
              <w:autoSpaceDN w:val="0"/>
              <w:adjustRightInd w:val="0"/>
              <w:spacing w:after="0" w:line="240" w:lineRule="auto"/>
              <w:rPr>
                <w:rFonts w:cs="Calibri"/>
                <w:sz w:val="18"/>
                <w:szCs w:val="18"/>
              </w:rPr>
            </w:pPr>
          </w:p>
        </w:tc>
        <w:tc>
          <w:tcPr>
            <w:tcW w:w="162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Social benefit cost analysis</w:t>
            </w: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Project office at UNDP and Pilot</w:t>
            </w: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Field Visit, </w:t>
            </w:r>
            <w:r>
              <w:rPr>
                <w:rFonts w:cs="Calibri"/>
                <w:sz w:val="18"/>
                <w:szCs w:val="18"/>
              </w:rPr>
              <w:t>K</w:t>
            </w:r>
            <w:r w:rsidRPr="00075E67">
              <w:rPr>
                <w:rFonts w:cs="Calibri"/>
                <w:sz w:val="18"/>
                <w:szCs w:val="18"/>
              </w:rPr>
              <w:t>II, FGD, review of documents</w:t>
            </w: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Purposive</w:t>
            </w: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Quantitative and qualitative</w:t>
            </w:r>
          </w:p>
          <w:p w:rsidR="00455E34" w:rsidRPr="00075E67" w:rsidRDefault="00455E34" w:rsidP="009511DC">
            <w:pPr>
              <w:autoSpaceDE w:val="0"/>
              <w:autoSpaceDN w:val="0"/>
              <w:adjustRightInd w:val="0"/>
              <w:spacing w:after="0" w:line="240" w:lineRule="auto"/>
              <w:rPr>
                <w:rFonts w:cs="Calibri"/>
                <w:sz w:val="18"/>
                <w:szCs w:val="18"/>
              </w:rPr>
            </w:pP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r>
      <w:tr w:rsidR="00455E34" w:rsidRPr="00075E67" w:rsidTr="009511DC">
        <w:tc>
          <w:tcPr>
            <w:tcW w:w="2988" w:type="dxa"/>
            <w:shd w:val="clear" w:color="auto" w:fill="auto"/>
          </w:tcPr>
          <w:p w:rsidR="00455E34" w:rsidRPr="00075E67" w:rsidRDefault="00455E34" w:rsidP="009511DC">
            <w:pPr>
              <w:pStyle w:val="ListParagraph"/>
              <w:spacing w:after="0" w:line="240" w:lineRule="auto"/>
              <w:ind w:left="0"/>
              <w:rPr>
                <w:rFonts w:cs="Calibri"/>
                <w:sz w:val="18"/>
                <w:szCs w:val="18"/>
              </w:rPr>
            </w:pPr>
            <w:r w:rsidRPr="00075E67">
              <w:rPr>
                <w:rFonts w:cs="Calibri"/>
                <w:sz w:val="18"/>
                <w:szCs w:val="18"/>
              </w:rPr>
              <w:t>3. Has there been any duplication of efforts among UNDP’s own interventions and interventions delivered by other organizations or entities in contributing to the outcome?</w:t>
            </w:r>
          </w:p>
          <w:p w:rsidR="00455E34" w:rsidRPr="00075E67" w:rsidRDefault="00455E34" w:rsidP="009511DC">
            <w:pPr>
              <w:autoSpaceDE w:val="0"/>
              <w:autoSpaceDN w:val="0"/>
              <w:adjustRightInd w:val="0"/>
              <w:spacing w:after="0" w:line="240" w:lineRule="auto"/>
              <w:rPr>
                <w:rFonts w:cs="Calibri"/>
                <w:sz w:val="18"/>
                <w:szCs w:val="18"/>
              </w:rPr>
            </w:pPr>
          </w:p>
        </w:tc>
        <w:tc>
          <w:tcPr>
            <w:tcW w:w="270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62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r>
    </w:tbl>
    <w:p w:rsidR="00455E34" w:rsidRDefault="00455E34" w:rsidP="005F5DC3">
      <w:pPr>
        <w:tabs>
          <w:tab w:val="left" w:pos="2595"/>
        </w:tabs>
        <w:rPr>
          <w:rFonts w:asciiTheme="minorHAnsi" w:hAnsiTheme="minorHAnsi"/>
        </w:rPr>
      </w:pPr>
    </w:p>
    <w:p w:rsidR="00455E34" w:rsidRDefault="00455E34" w:rsidP="005F5DC3">
      <w:pPr>
        <w:tabs>
          <w:tab w:val="left" w:pos="2595"/>
        </w:tabs>
        <w:rPr>
          <w:rFonts w:asciiTheme="minorHAnsi" w:hAnsiTheme="minorHAnsi"/>
        </w:rPr>
      </w:pPr>
    </w:p>
    <w:p w:rsidR="00455E34" w:rsidRPr="00075E67" w:rsidRDefault="00455E34" w:rsidP="00455E34">
      <w:pPr>
        <w:autoSpaceDE w:val="0"/>
        <w:autoSpaceDN w:val="0"/>
        <w:adjustRightInd w:val="0"/>
        <w:spacing w:after="0" w:line="240" w:lineRule="auto"/>
        <w:rPr>
          <w:rFonts w:cs="Calibri"/>
          <w:b/>
          <w:sz w:val="18"/>
          <w:szCs w:val="18"/>
        </w:rPr>
      </w:pPr>
      <w:r w:rsidRPr="004F24C4">
        <w:rPr>
          <w:rFonts w:cs="Calibri"/>
          <w:b/>
          <w:szCs w:val="18"/>
        </w:rPr>
        <w:lastRenderedPageBreak/>
        <w:t>Sustainability</w:t>
      </w:r>
    </w:p>
    <w:tbl>
      <w:tblP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2700"/>
        <w:gridCol w:w="2430"/>
        <w:gridCol w:w="900"/>
        <w:gridCol w:w="1170"/>
        <w:gridCol w:w="1350"/>
        <w:gridCol w:w="1260"/>
        <w:gridCol w:w="1080"/>
      </w:tblGrid>
      <w:tr w:rsidR="00455E34" w:rsidRPr="00075E67" w:rsidTr="009511DC">
        <w:tc>
          <w:tcPr>
            <w:tcW w:w="2988"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Main Evaluation Question</w:t>
            </w:r>
          </w:p>
          <w:p w:rsidR="00455E34" w:rsidRPr="00075E67" w:rsidRDefault="00455E34" w:rsidP="009511DC">
            <w:pPr>
              <w:autoSpaceDE w:val="0"/>
              <w:autoSpaceDN w:val="0"/>
              <w:adjustRightInd w:val="0"/>
              <w:spacing w:after="0" w:line="240" w:lineRule="auto"/>
              <w:rPr>
                <w:rFonts w:cs="Calibri"/>
                <w:b/>
                <w:sz w:val="18"/>
                <w:szCs w:val="18"/>
              </w:rPr>
            </w:pPr>
          </w:p>
        </w:tc>
        <w:tc>
          <w:tcPr>
            <w:tcW w:w="270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Specific Evaluation Question</w:t>
            </w:r>
          </w:p>
          <w:p w:rsidR="00455E34" w:rsidRPr="00075E67" w:rsidRDefault="00455E34" w:rsidP="009511DC">
            <w:pPr>
              <w:autoSpaceDE w:val="0"/>
              <w:autoSpaceDN w:val="0"/>
              <w:adjustRightInd w:val="0"/>
              <w:spacing w:after="0" w:line="240" w:lineRule="auto"/>
              <w:rPr>
                <w:rFonts w:cs="Calibri"/>
                <w:b/>
                <w:sz w:val="18"/>
                <w:szCs w:val="18"/>
              </w:rPr>
            </w:pPr>
          </w:p>
        </w:tc>
        <w:tc>
          <w:tcPr>
            <w:tcW w:w="243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 xml:space="preserve">Indicator </w:t>
            </w:r>
          </w:p>
          <w:p w:rsidR="00455E34" w:rsidRPr="00075E67" w:rsidRDefault="00455E34" w:rsidP="009511DC">
            <w:pPr>
              <w:autoSpaceDE w:val="0"/>
              <w:autoSpaceDN w:val="0"/>
              <w:adjustRightInd w:val="0"/>
              <w:spacing w:after="0" w:line="240" w:lineRule="auto"/>
              <w:rPr>
                <w:rFonts w:cs="Calibri"/>
                <w:b/>
                <w:sz w:val="18"/>
                <w:szCs w:val="18"/>
              </w:rPr>
            </w:pPr>
          </w:p>
        </w:tc>
        <w:tc>
          <w:tcPr>
            <w:tcW w:w="90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 xml:space="preserve">Data Source </w:t>
            </w:r>
          </w:p>
          <w:p w:rsidR="00455E34" w:rsidRPr="00075E67" w:rsidRDefault="00455E34" w:rsidP="009511DC">
            <w:pPr>
              <w:autoSpaceDE w:val="0"/>
              <w:autoSpaceDN w:val="0"/>
              <w:adjustRightInd w:val="0"/>
              <w:spacing w:after="0" w:line="240" w:lineRule="auto"/>
              <w:rPr>
                <w:rFonts w:cs="Calibri"/>
                <w:b/>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Data Collection Method</w:t>
            </w:r>
          </w:p>
          <w:p w:rsidR="00455E34" w:rsidRPr="00075E67" w:rsidRDefault="00455E34" w:rsidP="009511DC">
            <w:pPr>
              <w:autoSpaceDE w:val="0"/>
              <w:autoSpaceDN w:val="0"/>
              <w:adjustRightInd w:val="0"/>
              <w:spacing w:after="0" w:line="240" w:lineRule="auto"/>
              <w:rPr>
                <w:rFonts w:cs="Calibri"/>
                <w:b/>
                <w:sz w:val="18"/>
                <w:szCs w:val="18"/>
              </w:rPr>
            </w:pP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Sampling/</w:t>
            </w:r>
          </w:p>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Selection of Respondent</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Method of Data Analysis</w:t>
            </w:r>
          </w:p>
          <w:p w:rsidR="00455E34" w:rsidRPr="00075E67" w:rsidRDefault="00455E34" w:rsidP="009511DC">
            <w:pPr>
              <w:autoSpaceDE w:val="0"/>
              <w:autoSpaceDN w:val="0"/>
              <w:adjustRightInd w:val="0"/>
              <w:spacing w:after="0" w:line="240" w:lineRule="auto"/>
              <w:rPr>
                <w:rFonts w:cs="Calibri"/>
                <w:b/>
                <w:sz w:val="18"/>
                <w:szCs w:val="18"/>
              </w:rPr>
            </w:pP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b/>
                <w:sz w:val="18"/>
                <w:szCs w:val="18"/>
              </w:rPr>
            </w:pPr>
            <w:r w:rsidRPr="00075E67">
              <w:rPr>
                <w:rFonts w:cs="Calibri"/>
                <w:b/>
                <w:sz w:val="18"/>
                <w:szCs w:val="18"/>
              </w:rPr>
              <w:t>Limitation/Ris</w:t>
            </w:r>
            <w:r>
              <w:rPr>
                <w:rFonts w:cs="Calibri"/>
                <w:b/>
                <w:sz w:val="18"/>
                <w:szCs w:val="18"/>
              </w:rPr>
              <w:t>k</w:t>
            </w:r>
          </w:p>
          <w:p w:rsidR="00455E34" w:rsidRPr="00075E67" w:rsidRDefault="00455E34" w:rsidP="009511DC">
            <w:pPr>
              <w:autoSpaceDE w:val="0"/>
              <w:autoSpaceDN w:val="0"/>
              <w:adjustRightInd w:val="0"/>
              <w:spacing w:after="0" w:line="240" w:lineRule="auto"/>
              <w:rPr>
                <w:rFonts w:cs="Calibri"/>
                <w:b/>
                <w:sz w:val="18"/>
                <w:szCs w:val="18"/>
              </w:rPr>
            </w:pPr>
          </w:p>
        </w:tc>
      </w:tr>
      <w:tr w:rsidR="00455E34" w:rsidRPr="00075E67" w:rsidTr="009511DC">
        <w:trPr>
          <w:trHeight w:val="755"/>
        </w:trPr>
        <w:tc>
          <w:tcPr>
            <w:tcW w:w="2988" w:type="dxa"/>
            <w:shd w:val="clear" w:color="auto" w:fill="auto"/>
          </w:tcPr>
          <w:p w:rsidR="00455E34" w:rsidRPr="00075E67" w:rsidRDefault="00455E34" w:rsidP="009511DC">
            <w:pPr>
              <w:pStyle w:val="ListParagraph"/>
              <w:spacing w:after="0" w:line="240" w:lineRule="auto"/>
              <w:ind w:left="0"/>
              <w:rPr>
                <w:rFonts w:cs="Calibri"/>
                <w:sz w:val="18"/>
                <w:szCs w:val="18"/>
              </w:rPr>
            </w:pPr>
            <w:r w:rsidRPr="00075E67">
              <w:rPr>
                <w:rFonts w:cs="Calibri"/>
                <w:sz w:val="18"/>
                <w:szCs w:val="18"/>
              </w:rPr>
              <w:t>1.  What indications are there that the outcome will be sustained after external funding ends?</w:t>
            </w:r>
          </w:p>
        </w:tc>
        <w:tc>
          <w:tcPr>
            <w:tcW w:w="270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243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90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r>
      <w:tr w:rsidR="00455E34" w:rsidRPr="00075E67" w:rsidTr="009511DC">
        <w:tc>
          <w:tcPr>
            <w:tcW w:w="2988" w:type="dxa"/>
            <w:shd w:val="clear" w:color="auto" w:fill="auto"/>
          </w:tcPr>
          <w:p w:rsidR="00455E34" w:rsidRPr="00075E67" w:rsidRDefault="00455E34" w:rsidP="009511DC">
            <w:pPr>
              <w:pStyle w:val="ListParagraph"/>
              <w:spacing w:after="0" w:line="240" w:lineRule="auto"/>
              <w:ind w:left="0"/>
              <w:rPr>
                <w:rFonts w:cs="Calibri"/>
                <w:sz w:val="18"/>
                <w:szCs w:val="18"/>
              </w:rPr>
            </w:pPr>
            <w:r w:rsidRPr="00075E67">
              <w:rPr>
                <w:rFonts w:cs="Calibri"/>
                <w:sz w:val="18"/>
                <w:szCs w:val="18"/>
              </w:rPr>
              <w:t xml:space="preserve">1.1 What indications are there that </w:t>
            </w:r>
            <w:r w:rsidRPr="00075E67">
              <w:rPr>
                <w:rFonts w:cs="Calibri"/>
                <w:b/>
                <w:sz w:val="18"/>
                <w:szCs w:val="18"/>
              </w:rPr>
              <w:t>the Green Bric</w:t>
            </w:r>
            <w:r>
              <w:rPr>
                <w:rFonts w:cs="Calibri"/>
                <w:b/>
                <w:sz w:val="18"/>
                <w:szCs w:val="18"/>
              </w:rPr>
              <w:t>k</w:t>
            </w:r>
            <w:r w:rsidRPr="00075E67">
              <w:rPr>
                <w:rFonts w:cs="Calibri"/>
                <w:b/>
                <w:sz w:val="18"/>
                <w:szCs w:val="18"/>
              </w:rPr>
              <w:t xml:space="preserve"> project</w:t>
            </w:r>
            <w:r w:rsidRPr="00075E67">
              <w:rPr>
                <w:rFonts w:cs="Calibri"/>
                <w:sz w:val="18"/>
                <w:szCs w:val="18"/>
              </w:rPr>
              <w:t xml:space="preserve"> will be sustained after external funding ends?</w:t>
            </w:r>
          </w:p>
        </w:tc>
        <w:tc>
          <w:tcPr>
            <w:tcW w:w="2700" w:type="dxa"/>
            <w:shd w:val="clear" w:color="auto" w:fill="auto"/>
          </w:tcPr>
          <w:p w:rsidR="00455E34" w:rsidRPr="00075E67" w:rsidRDefault="00455E34" w:rsidP="009511DC">
            <w:pPr>
              <w:spacing w:after="0" w:line="240" w:lineRule="auto"/>
              <w:rPr>
                <w:rFonts w:cs="Calibri"/>
                <w:sz w:val="18"/>
                <w:szCs w:val="18"/>
              </w:rPr>
            </w:pPr>
            <w:r w:rsidRPr="00075E67">
              <w:rPr>
                <w:rFonts w:cs="Calibri"/>
                <w:sz w:val="18"/>
                <w:szCs w:val="18"/>
              </w:rPr>
              <w:t xml:space="preserve">1.1.1 What indications are there that </w:t>
            </w:r>
            <w:r w:rsidRPr="00075E67">
              <w:rPr>
                <w:rFonts w:cs="Calibri"/>
                <w:b/>
                <w:sz w:val="18"/>
                <w:szCs w:val="18"/>
              </w:rPr>
              <w:t>the Green Bric</w:t>
            </w:r>
            <w:r>
              <w:rPr>
                <w:rFonts w:cs="Calibri"/>
                <w:b/>
                <w:sz w:val="18"/>
                <w:szCs w:val="18"/>
              </w:rPr>
              <w:t>k</w:t>
            </w:r>
            <w:r w:rsidRPr="00075E67">
              <w:rPr>
                <w:rFonts w:cs="Calibri"/>
                <w:b/>
                <w:sz w:val="18"/>
                <w:szCs w:val="18"/>
              </w:rPr>
              <w:t xml:space="preserve"> Demo project</w:t>
            </w:r>
            <w:r w:rsidRPr="00075E67">
              <w:rPr>
                <w:rFonts w:cs="Calibri"/>
                <w:sz w:val="18"/>
                <w:szCs w:val="18"/>
              </w:rPr>
              <w:t xml:space="preserve"> will be sustained after external funding ends?</w:t>
            </w:r>
          </w:p>
          <w:p w:rsidR="00455E34" w:rsidRPr="00075E67" w:rsidRDefault="00455E34" w:rsidP="009511DC">
            <w:pPr>
              <w:spacing w:after="0" w:line="240" w:lineRule="auto"/>
              <w:rPr>
                <w:rFonts w:cs="Calibri"/>
                <w:sz w:val="18"/>
                <w:szCs w:val="18"/>
              </w:rPr>
            </w:pPr>
          </w:p>
          <w:p w:rsidR="00455E34" w:rsidRPr="00075E67" w:rsidRDefault="00455E34" w:rsidP="009511DC">
            <w:pPr>
              <w:spacing w:after="0" w:line="240" w:lineRule="auto"/>
              <w:rPr>
                <w:rFonts w:cs="Calibri"/>
                <w:sz w:val="18"/>
                <w:szCs w:val="18"/>
              </w:rPr>
            </w:pPr>
            <w:r w:rsidRPr="00075E67">
              <w:rPr>
                <w:rFonts w:cs="Calibri"/>
                <w:sz w:val="18"/>
                <w:szCs w:val="18"/>
              </w:rPr>
              <w:t>Any potential conflict in terms of national strategy for energy?</w:t>
            </w:r>
          </w:p>
          <w:p w:rsidR="00455E34" w:rsidRPr="00075E67" w:rsidRDefault="00455E34" w:rsidP="009511DC">
            <w:pPr>
              <w:spacing w:after="0" w:line="240" w:lineRule="auto"/>
              <w:rPr>
                <w:rFonts w:cs="Calibri"/>
                <w:sz w:val="18"/>
                <w:szCs w:val="18"/>
              </w:rPr>
            </w:pPr>
            <w:r w:rsidRPr="00075E67">
              <w:rPr>
                <w:rFonts w:cs="Calibri"/>
                <w:sz w:val="18"/>
                <w:szCs w:val="18"/>
              </w:rPr>
              <w:t>Types of activities to ma</w:t>
            </w:r>
            <w:r>
              <w:rPr>
                <w:rFonts w:cs="Calibri"/>
                <w:sz w:val="18"/>
                <w:szCs w:val="18"/>
              </w:rPr>
              <w:t>k</w:t>
            </w:r>
            <w:r w:rsidRPr="00075E67">
              <w:rPr>
                <w:rFonts w:cs="Calibri"/>
                <w:sz w:val="18"/>
                <w:szCs w:val="18"/>
              </w:rPr>
              <w:t>e it sustainable.</w:t>
            </w:r>
          </w:p>
          <w:p w:rsidR="00455E34" w:rsidRPr="00075E67" w:rsidRDefault="00455E34" w:rsidP="009511DC">
            <w:pPr>
              <w:spacing w:after="0" w:line="240" w:lineRule="auto"/>
              <w:rPr>
                <w:rFonts w:cs="Calibri"/>
                <w:sz w:val="18"/>
                <w:szCs w:val="18"/>
              </w:rPr>
            </w:pPr>
          </w:p>
        </w:tc>
        <w:tc>
          <w:tcPr>
            <w:tcW w:w="243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Cost effectiveness.</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Investment loss for </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Frequent changes in policy shifts.</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Number of replication.</w:t>
            </w:r>
          </w:p>
          <w:p w:rsidR="00455E34" w:rsidRPr="00075E67" w:rsidRDefault="00455E34" w:rsidP="009511DC">
            <w:pPr>
              <w:autoSpaceDE w:val="0"/>
              <w:autoSpaceDN w:val="0"/>
              <w:adjustRightInd w:val="0"/>
              <w:spacing w:after="0" w:line="240" w:lineRule="auto"/>
              <w:rPr>
                <w:rFonts w:cs="Calibri"/>
                <w:sz w:val="18"/>
                <w:szCs w:val="18"/>
              </w:rPr>
            </w:pP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Incentives given to ta</w:t>
            </w:r>
            <w:r>
              <w:rPr>
                <w:rFonts w:cs="Calibri"/>
                <w:sz w:val="18"/>
                <w:szCs w:val="18"/>
              </w:rPr>
              <w:t>k</w:t>
            </w:r>
            <w:r w:rsidRPr="00075E67">
              <w:rPr>
                <w:rFonts w:cs="Calibri"/>
                <w:sz w:val="18"/>
                <w:szCs w:val="18"/>
              </w:rPr>
              <w:t>e up new technology.</w:t>
            </w:r>
          </w:p>
          <w:p w:rsidR="00455E34" w:rsidRPr="00075E67" w:rsidRDefault="00455E34" w:rsidP="009511DC">
            <w:pPr>
              <w:autoSpaceDE w:val="0"/>
              <w:autoSpaceDN w:val="0"/>
              <w:adjustRightInd w:val="0"/>
              <w:spacing w:after="0" w:line="240" w:lineRule="auto"/>
              <w:rPr>
                <w:rFonts w:cs="Calibri"/>
                <w:sz w:val="18"/>
                <w:szCs w:val="18"/>
              </w:rPr>
            </w:pPr>
          </w:p>
        </w:tc>
        <w:tc>
          <w:tcPr>
            <w:tcW w:w="90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Project office at UNDP and Pilot</w:t>
            </w: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Field Visit, </w:t>
            </w:r>
            <w:r>
              <w:rPr>
                <w:rFonts w:cs="Calibri"/>
                <w:sz w:val="18"/>
                <w:szCs w:val="18"/>
              </w:rPr>
              <w:t>K</w:t>
            </w:r>
            <w:r w:rsidRPr="00075E67">
              <w:rPr>
                <w:rFonts w:cs="Calibri"/>
                <w:sz w:val="18"/>
                <w:szCs w:val="18"/>
              </w:rPr>
              <w:t>II, FGD, review of documents</w:t>
            </w: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Quantitative and qualitative</w:t>
            </w:r>
          </w:p>
          <w:p w:rsidR="00455E34" w:rsidRPr="00075E67" w:rsidRDefault="00455E34" w:rsidP="009511DC">
            <w:pPr>
              <w:autoSpaceDE w:val="0"/>
              <w:autoSpaceDN w:val="0"/>
              <w:adjustRightInd w:val="0"/>
              <w:spacing w:after="0" w:line="240" w:lineRule="auto"/>
              <w:rPr>
                <w:rFonts w:cs="Calibri"/>
                <w:sz w:val="18"/>
                <w:szCs w:val="18"/>
              </w:rPr>
            </w:pP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r>
      <w:tr w:rsidR="00455E34" w:rsidRPr="00075E67" w:rsidTr="009511DC">
        <w:tc>
          <w:tcPr>
            <w:tcW w:w="2988" w:type="dxa"/>
            <w:shd w:val="clear" w:color="auto" w:fill="auto"/>
          </w:tcPr>
          <w:p w:rsidR="00455E34" w:rsidRPr="00075E67" w:rsidRDefault="00455E34" w:rsidP="009511DC">
            <w:pPr>
              <w:pStyle w:val="ListParagraph"/>
              <w:spacing w:after="0" w:line="240" w:lineRule="auto"/>
              <w:ind w:left="0"/>
              <w:rPr>
                <w:rFonts w:cs="Calibri"/>
                <w:sz w:val="18"/>
                <w:szCs w:val="18"/>
              </w:rPr>
            </w:pPr>
          </w:p>
        </w:tc>
        <w:tc>
          <w:tcPr>
            <w:tcW w:w="2700" w:type="dxa"/>
            <w:shd w:val="clear" w:color="auto" w:fill="auto"/>
          </w:tcPr>
          <w:p w:rsidR="00455E34" w:rsidRPr="00075E67" w:rsidRDefault="00455E34" w:rsidP="009511DC">
            <w:pPr>
              <w:spacing w:after="0" w:line="240" w:lineRule="auto"/>
              <w:rPr>
                <w:rFonts w:cs="Calibri"/>
                <w:sz w:val="18"/>
                <w:szCs w:val="18"/>
              </w:rPr>
            </w:pPr>
            <w:r w:rsidRPr="00075E67">
              <w:rPr>
                <w:rFonts w:cs="Calibri"/>
                <w:sz w:val="18"/>
                <w:szCs w:val="18"/>
              </w:rPr>
              <w:t xml:space="preserve">1.1.2 What indications are there that </w:t>
            </w:r>
            <w:r w:rsidRPr="00075E67">
              <w:rPr>
                <w:rFonts w:cs="Calibri"/>
                <w:b/>
                <w:sz w:val="18"/>
                <w:szCs w:val="18"/>
              </w:rPr>
              <w:t>the Green Bric</w:t>
            </w:r>
            <w:r>
              <w:rPr>
                <w:rFonts w:cs="Calibri"/>
                <w:b/>
                <w:sz w:val="18"/>
                <w:szCs w:val="18"/>
              </w:rPr>
              <w:t>k</w:t>
            </w:r>
            <w:r w:rsidRPr="00075E67">
              <w:rPr>
                <w:rFonts w:cs="Calibri"/>
                <w:b/>
                <w:sz w:val="18"/>
                <w:szCs w:val="18"/>
              </w:rPr>
              <w:t xml:space="preserve"> project </w:t>
            </w:r>
            <w:r w:rsidRPr="00075E67">
              <w:rPr>
                <w:rFonts w:cs="Calibri"/>
                <w:sz w:val="18"/>
                <w:szCs w:val="18"/>
              </w:rPr>
              <w:t>gender related achievements will be sustained after external funding ends?</w:t>
            </w:r>
          </w:p>
          <w:p w:rsidR="00455E34" w:rsidRPr="00075E67" w:rsidRDefault="00455E34" w:rsidP="009511DC">
            <w:pPr>
              <w:spacing w:after="0" w:line="240" w:lineRule="auto"/>
              <w:rPr>
                <w:rFonts w:cs="Calibri"/>
                <w:sz w:val="18"/>
                <w:szCs w:val="18"/>
              </w:rPr>
            </w:pPr>
          </w:p>
          <w:p w:rsidR="00455E34" w:rsidRPr="00075E67" w:rsidRDefault="00455E34" w:rsidP="009511DC">
            <w:pPr>
              <w:spacing w:after="0" w:line="240" w:lineRule="auto"/>
              <w:rPr>
                <w:rFonts w:cs="Calibri"/>
                <w:sz w:val="18"/>
                <w:szCs w:val="18"/>
              </w:rPr>
            </w:pPr>
          </w:p>
        </w:tc>
        <w:tc>
          <w:tcPr>
            <w:tcW w:w="243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Policy shift.</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Replication.</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Awareness among bric</w:t>
            </w:r>
            <w:r>
              <w:rPr>
                <w:rFonts w:cs="Calibri"/>
                <w:sz w:val="18"/>
                <w:szCs w:val="18"/>
              </w:rPr>
              <w:t>k</w:t>
            </w:r>
            <w:r w:rsidRPr="00075E67">
              <w:rPr>
                <w:rFonts w:cs="Calibri"/>
                <w:sz w:val="18"/>
                <w:szCs w:val="18"/>
              </w:rPr>
              <w:t xml:space="preserve"> ma</w:t>
            </w:r>
            <w:r>
              <w:rPr>
                <w:rFonts w:cs="Calibri"/>
                <w:sz w:val="18"/>
                <w:szCs w:val="18"/>
              </w:rPr>
              <w:t>k</w:t>
            </w:r>
            <w:r w:rsidRPr="00075E67">
              <w:rPr>
                <w:rFonts w:cs="Calibri"/>
                <w:sz w:val="18"/>
                <w:szCs w:val="18"/>
              </w:rPr>
              <w:t>ers, cost effectiveness, eases of replication. Awareness by the enactment authorities. Involvement of women activist groups. Involvement of media in this regard.</w:t>
            </w:r>
          </w:p>
          <w:p w:rsidR="00455E34" w:rsidRPr="00075E67" w:rsidRDefault="00455E34" w:rsidP="009511DC">
            <w:pPr>
              <w:autoSpaceDE w:val="0"/>
              <w:autoSpaceDN w:val="0"/>
              <w:adjustRightInd w:val="0"/>
              <w:spacing w:after="0" w:line="240" w:lineRule="auto"/>
              <w:rPr>
                <w:rFonts w:cs="Calibri"/>
                <w:sz w:val="18"/>
                <w:szCs w:val="18"/>
              </w:rPr>
            </w:pPr>
          </w:p>
        </w:tc>
        <w:tc>
          <w:tcPr>
            <w:tcW w:w="90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Project office at UNDP and Pilot</w:t>
            </w: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 xml:space="preserve">Field Visit, </w:t>
            </w:r>
            <w:r>
              <w:rPr>
                <w:rFonts w:cs="Calibri"/>
                <w:sz w:val="18"/>
                <w:szCs w:val="18"/>
              </w:rPr>
              <w:t>K</w:t>
            </w:r>
            <w:r w:rsidRPr="00075E67">
              <w:rPr>
                <w:rFonts w:cs="Calibri"/>
                <w:sz w:val="18"/>
                <w:szCs w:val="18"/>
              </w:rPr>
              <w:t>II, FGD, review of documents</w:t>
            </w: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Quantitative and qualitative</w:t>
            </w:r>
          </w:p>
          <w:p w:rsidR="00455E34" w:rsidRPr="00075E67" w:rsidRDefault="00455E34" w:rsidP="009511DC">
            <w:pPr>
              <w:autoSpaceDE w:val="0"/>
              <w:autoSpaceDN w:val="0"/>
              <w:adjustRightInd w:val="0"/>
              <w:spacing w:after="0" w:line="240" w:lineRule="auto"/>
              <w:rPr>
                <w:rFonts w:cs="Calibri"/>
                <w:sz w:val="18"/>
                <w:szCs w:val="18"/>
              </w:rPr>
            </w:pP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r>
      <w:tr w:rsidR="00455E34" w:rsidRPr="00075E67" w:rsidTr="009511DC">
        <w:tc>
          <w:tcPr>
            <w:tcW w:w="2988" w:type="dxa"/>
            <w:shd w:val="clear" w:color="auto" w:fill="auto"/>
          </w:tcPr>
          <w:p w:rsidR="00455E34" w:rsidRPr="00075E67" w:rsidRDefault="00455E34" w:rsidP="009511DC">
            <w:pPr>
              <w:pStyle w:val="ListParagraph"/>
              <w:spacing w:after="0" w:line="240" w:lineRule="auto"/>
              <w:ind w:left="0"/>
              <w:rPr>
                <w:rFonts w:cs="Calibri"/>
                <w:sz w:val="18"/>
                <w:szCs w:val="18"/>
              </w:rPr>
            </w:pPr>
            <w:r w:rsidRPr="00075E67">
              <w:rPr>
                <w:rFonts w:cs="Calibri"/>
                <w:sz w:val="18"/>
                <w:szCs w:val="18"/>
              </w:rPr>
              <w:t xml:space="preserve">1.3 What indications are there that </w:t>
            </w:r>
            <w:r w:rsidRPr="00075E67">
              <w:rPr>
                <w:rFonts w:cs="Calibri"/>
                <w:b/>
                <w:sz w:val="18"/>
                <w:szCs w:val="18"/>
              </w:rPr>
              <w:t>the BRESL project</w:t>
            </w:r>
            <w:r w:rsidRPr="00075E67">
              <w:rPr>
                <w:rFonts w:cs="Calibri"/>
                <w:sz w:val="18"/>
                <w:szCs w:val="18"/>
              </w:rPr>
              <w:t xml:space="preserve"> will be sustained after external funding ends?</w:t>
            </w:r>
          </w:p>
        </w:tc>
        <w:tc>
          <w:tcPr>
            <w:tcW w:w="270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243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Policy shift.</w:t>
            </w:r>
          </w:p>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Incentives given to entrepreneurs, mar</w:t>
            </w:r>
            <w:r>
              <w:rPr>
                <w:rFonts w:cs="Calibri"/>
                <w:sz w:val="18"/>
                <w:szCs w:val="18"/>
              </w:rPr>
              <w:t>k</w:t>
            </w:r>
            <w:r w:rsidRPr="00075E67">
              <w:rPr>
                <w:rFonts w:cs="Calibri"/>
                <w:sz w:val="18"/>
                <w:szCs w:val="18"/>
              </w:rPr>
              <w:t>et.</w:t>
            </w:r>
          </w:p>
        </w:tc>
        <w:tc>
          <w:tcPr>
            <w:tcW w:w="90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Project office at UNDP and Pilot.</w:t>
            </w:r>
          </w:p>
          <w:p w:rsidR="00455E34" w:rsidRPr="00075E67" w:rsidRDefault="00455E34" w:rsidP="009511DC">
            <w:pPr>
              <w:autoSpaceDE w:val="0"/>
              <w:autoSpaceDN w:val="0"/>
              <w:adjustRightInd w:val="0"/>
              <w:spacing w:after="0" w:line="240" w:lineRule="auto"/>
              <w:rPr>
                <w:rFonts w:cs="Calibri"/>
                <w:sz w:val="18"/>
                <w:szCs w:val="18"/>
              </w:rPr>
            </w:pPr>
          </w:p>
        </w:tc>
        <w:tc>
          <w:tcPr>
            <w:tcW w:w="117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Pr>
                <w:rFonts w:cs="Calibri"/>
                <w:sz w:val="18"/>
                <w:szCs w:val="18"/>
              </w:rPr>
              <w:t>K</w:t>
            </w:r>
            <w:r w:rsidRPr="00075E67">
              <w:rPr>
                <w:rFonts w:cs="Calibri"/>
                <w:sz w:val="18"/>
                <w:szCs w:val="18"/>
              </w:rPr>
              <w:t>II, review of documents</w:t>
            </w:r>
          </w:p>
        </w:tc>
        <w:tc>
          <w:tcPr>
            <w:tcW w:w="135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r w:rsidRPr="00075E67">
              <w:rPr>
                <w:rFonts w:cs="Calibri"/>
                <w:sz w:val="18"/>
                <w:szCs w:val="18"/>
              </w:rPr>
              <w:t>Purposive</w:t>
            </w:r>
          </w:p>
        </w:tc>
        <w:tc>
          <w:tcPr>
            <w:tcW w:w="126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c>
          <w:tcPr>
            <w:tcW w:w="1080" w:type="dxa"/>
            <w:shd w:val="clear" w:color="auto" w:fill="auto"/>
          </w:tcPr>
          <w:p w:rsidR="00455E34" w:rsidRPr="00075E67" w:rsidRDefault="00455E34" w:rsidP="009511DC">
            <w:pPr>
              <w:autoSpaceDE w:val="0"/>
              <w:autoSpaceDN w:val="0"/>
              <w:adjustRightInd w:val="0"/>
              <w:spacing w:after="0" w:line="240" w:lineRule="auto"/>
              <w:rPr>
                <w:rFonts w:cs="Calibri"/>
                <w:sz w:val="18"/>
                <w:szCs w:val="18"/>
              </w:rPr>
            </w:pPr>
          </w:p>
        </w:tc>
      </w:tr>
    </w:tbl>
    <w:p w:rsidR="009511DC" w:rsidRDefault="009511DC" w:rsidP="005F5DC3">
      <w:pPr>
        <w:tabs>
          <w:tab w:val="left" w:pos="2595"/>
        </w:tabs>
        <w:rPr>
          <w:rFonts w:asciiTheme="minorHAnsi" w:hAnsiTheme="minorHAnsi"/>
        </w:rPr>
        <w:sectPr w:rsidR="009511DC" w:rsidSect="005F5DC3">
          <w:pgSz w:w="15840" w:h="12240" w:orient="landscape"/>
          <w:pgMar w:top="1440" w:right="1440" w:bottom="1440" w:left="1440" w:header="720" w:footer="720" w:gutter="0"/>
          <w:cols w:space="720"/>
          <w:docGrid w:linePitch="360"/>
        </w:sectPr>
      </w:pPr>
    </w:p>
    <w:p w:rsidR="009511DC" w:rsidRPr="00B62A64" w:rsidRDefault="009511DC" w:rsidP="009511DC">
      <w:pPr>
        <w:jc w:val="center"/>
        <w:rPr>
          <w:rFonts w:cstheme="minorHAnsi"/>
          <w:b/>
        </w:rPr>
      </w:pPr>
      <w:r>
        <w:rPr>
          <w:rFonts w:cstheme="minorHAnsi"/>
          <w:b/>
        </w:rPr>
        <w:lastRenderedPageBreak/>
        <w:t>Annex IV: List o</w:t>
      </w:r>
      <w:r w:rsidRPr="00B62A64">
        <w:rPr>
          <w:rFonts w:cstheme="minorHAnsi"/>
          <w:b/>
        </w:rPr>
        <w:t>f Contacts</w:t>
      </w:r>
      <w:r>
        <w:rPr>
          <w:rFonts w:cstheme="minorHAnsi"/>
          <w:b/>
        </w:rPr>
        <w:t>, Schedules a</w:t>
      </w:r>
      <w:r w:rsidRPr="00B62A64">
        <w:rPr>
          <w:rFonts w:cstheme="minorHAnsi"/>
          <w:b/>
        </w:rPr>
        <w:t>nd Meetings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700"/>
        <w:gridCol w:w="810"/>
        <w:gridCol w:w="5130"/>
      </w:tblGrid>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Date</w:t>
            </w:r>
          </w:p>
        </w:tc>
        <w:tc>
          <w:tcPr>
            <w:tcW w:w="2700"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t>Activities</w:t>
            </w:r>
          </w:p>
        </w:tc>
        <w:tc>
          <w:tcPr>
            <w:tcW w:w="810" w:type="dxa"/>
            <w:shd w:val="clear" w:color="auto" w:fill="DAEEF3" w:themeFill="accent5" w:themeFillTint="33"/>
          </w:tcPr>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Time</w:t>
            </w:r>
          </w:p>
        </w:tc>
        <w:tc>
          <w:tcPr>
            <w:tcW w:w="5130" w:type="dxa"/>
            <w:shd w:val="clear" w:color="auto" w:fill="DAEEF3" w:themeFill="accent5" w:themeFillTint="33"/>
          </w:tcPr>
          <w:p w:rsidR="009511DC" w:rsidRPr="007D7ED0" w:rsidRDefault="009511DC" w:rsidP="009511DC">
            <w:pPr>
              <w:spacing w:after="0" w:line="240" w:lineRule="auto"/>
              <w:rPr>
                <w:rFonts w:cstheme="minorHAnsi"/>
                <w:sz w:val="20"/>
                <w:szCs w:val="20"/>
              </w:rPr>
            </w:pPr>
            <w:r w:rsidRPr="007D7ED0">
              <w:rPr>
                <w:rFonts w:cstheme="minorHAnsi"/>
                <w:sz w:val="20"/>
                <w:szCs w:val="20"/>
              </w:rPr>
              <w:t>Contacts and Interviewees</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t>December 15, 2014</w:t>
            </w:r>
          </w:p>
        </w:tc>
        <w:tc>
          <w:tcPr>
            <w:tcW w:w="2700" w:type="dxa"/>
            <w:shd w:val="clear" w:color="auto" w:fill="FDE9D9" w:themeFill="accent6" w:themeFillTint="33"/>
          </w:tcPr>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Meeting and discussion with UNDP CCED Cluster</w:t>
            </w:r>
          </w:p>
        </w:tc>
        <w:tc>
          <w:tcPr>
            <w:tcW w:w="810" w:type="dxa"/>
            <w:shd w:val="clear" w:color="auto" w:fill="FDE9D9" w:themeFill="accent6" w:themeFillTint="33"/>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10:00 AM</w:t>
            </w:r>
          </w:p>
        </w:tc>
        <w:tc>
          <w:tcPr>
            <w:tcW w:w="5130" w:type="dxa"/>
            <w:shd w:val="clear" w:color="auto" w:fill="FDE9D9" w:themeFill="accent6" w:themeFillTint="33"/>
          </w:tcPr>
          <w:p w:rsidR="009511DC" w:rsidRPr="007D7ED0" w:rsidRDefault="009511DC" w:rsidP="009511DC">
            <w:pPr>
              <w:spacing w:after="0" w:line="240" w:lineRule="auto"/>
              <w:rPr>
                <w:rFonts w:cstheme="minorHAnsi"/>
                <w:sz w:val="20"/>
                <w:szCs w:val="20"/>
              </w:rPr>
            </w:pPr>
            <w:r>
              <w:rPr>
                <w:rFonts w:cstheme="minorHAnsi"/>
                <w:b/>
                <w:sz w:val="20"/>
                <w:szCs w:val="20"/>
              </w:rPr>
              <w:t>K</w:t>
            </w:r>
            <w:r w:rsidRPr="007D7ED0">
              <w:rPr>
                <w:rFonts w:cstheme="minorHAnsi"/>
                <w:b/>
                <w:sz w:val="20"/>
                <w:szCs w:val="20"/>
              </w:rPr>
              <w:t xml:space="preserve">hurshidAlam, </w:t>
            </w:r>
            <w:r w:rsidRPr="007D7ED0">
              <w:rPr>
                <w:rFonts w:cstheme="minorHAnsi"/>
                <w:sz w:val="20"/>
                <w:szCs w:val="20"/>
              </w:rPr>
              <w:t>Assistant Country Director</w:t>
            </w:r>
          </w:p>
          <w:p w:rsidR="009511DC" w:rsidRPr="007D7ED0" w:rsidRDefault="009511DC" w:rsidP="009511DC">
            <w:pPr>
              <w:spacing w:after="0" w:line="240" w:lineRule="auto"/>
              <w:rPr>
                <w:rFonts w:cstheme="minorHAnsi"/>
                <w:b/>
                <w:sz w:val="20"/>
                <w:szCs w:val="20"/>
              </w:rPr>
            </w:pPr>
            <w:r w:rsidRPr="007D7ED0">
              <w:rPr>
                <w:rFonts w:cstheme="minorHAnsi"/>
                <w:b/>
                <w:sz w:val="20"/>
                <w:szCs w:val="20"/>
              </w:rPr>
              <w:t xml:space="preserve">BlertaCela, </w:t>
            </w:r>
            <w:r w:rsidRPr="007D7ED0">
              <w:rPr>
                <w:rFonts w:cstheme="minorHAnsi"/>
                <w:sz w:val="20"/>
                <w:szCs w:val="20"/>
              </w:rPr>
              <w:t>Assistant Country Director</w:t>
            </w:r>
          </w:p>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M. Aminul Islam, </w:t>
            </w:r>
            <w:r w:rsidRPr="007D7ED0">
              <w:rPr>
                <w:rFonts w:cstheme="minorHAnsi"/>
                <w:sz w:val="20"/>
                <w:szCs w:val="20"/>
              </w:rPr>
              <w:t>Senior Advisor</w:t>
            </w:r>
          </w:p>
          <w:p w:rsidR="009511DC" w:rsidRPr="007D7ED0" w:rsidRDefault="009511DC" w:rsidP="009511DC">
            <w:pPr>
              <w:spacing w:after="0" w:line="240" w:lineRule="auto"/>
              <w:rPr>
                <w:rFonts w:cstheme="minorHAnsi"/>
                <w:sz w:val="20"/>
                <w:szCs w:val="20"/>
              </w:rPr>
            </w:pPr>
            <w:r w:rsidRPr="007D7ED0">
              <w:rPr>
                <w:rFonts w:cstheme="minorHAnsi"/>
                <w:b/>
                <w:sz w:val="20"/>
                <w:szCs w:val="20"/>
              </w:rPr>
              <w:t>Miyu</w:t>
            </w:r>
            <w:r>
              <w:rPr>
                <w:rFonts w:cstheme="minorHAnsi"/>
                <w:b/>
                <w:sz w:val="20"/>
                <w:szCs w:val="20"/>
              </w:rPr>
              <w:t>k</w:t>
            </w:r>
            <w:r w:rsidRPr="007D7ED0">
              <w:rPr>
                <w:rFonts w:cstheme="minorHAnsi"/>
                <w:b/>
                <w:sz w:val="20"/>
                <w:szCs w:val="20"/>
              </w:rPr>
              <w:t xml:space="preserve">i Fujii, </w:t>
            </w:r>
            <w:r w:rsidRPr="007D7ED0">
              <w:rPr>
                <w:rFonts w:cstheme="minorHAnsi"/>
                <w:sz w:val="20"/>
                <w:szCs w:val="20"/>
              </w:rPr>
              <w:t>Monitoring and Evaluation Analyst</w:t>
            </w:r>
          </w:p>
          <w:p w:rsidR="009511DC" w:rsidRPr="007D7ED0" w:rsidRDefault="009511DC" w:rsidP="009511DC">
            <w:pPr>
              <w:spacing w:after="0" w:line="240" w:lineRule="auto"/>
              <w:rPr>
                <w:rFonts w:cstheme="minorHAnsi"/>
                <w:sz w:val="20"/>
                <w:szCs w:val="20"/>
              </w:rPr>
            </w:pPr>
            <w:r w:rsidRPr="007D7ED0">
              <w:rPr>
                <w:rFonts w:cstheme="minorHAnsi"/>
                <w:b/>
                <w:sz w:val="20"/>
                <w:szCs w:val="20"/>
              </w:rPr>
              <w:t>A.</w:t>
            </w:r>
            <w:r>
              <w:rPr>
                <w:rFonts w:cstheme="minorHAnsi"/>
                <w:b/>
                <w:sz w:val="20"/>
                <w:szCs w:val="20"/>
              </w:rPr>
              <w:t>K</w:t>
            </w:r>
            <w:r w:rsidRPr="007D7ED0">
              <w:rPr>
                <w:rFonts w:cstheme="minorHAnsi"/>
                <w:b/>
                <w:sz w:val="20"/>
                <w:szCs w:val="20"/>
              </w:rPr>
              <w:t xml:space="preserve">M. Mamunur Rashid, </w:t>
            </w:r>
            <w:r w:rsidRPr="007D7ED0">
              <w:rPr>
                <w:rFonts w:cstheme="minorHAnsi"/>
                <w:sz w:val="20"/>
                <w:szCs w:val="20"/>
              </w:rPr>
              <w:t>Climate Change Specialist</w:t>
            </w:r>
          </w:p>
          <w:p w:rsidR="009511DC" w:rsidRPr="007D7ED0" w:rsidRDefault="009511DC" w:rsidP="009511DC">
            <w:pPr>
              <w:spacing w:after="0" w:line="240" w:lineRule="auto"/>
              <w:rPr>
                <w:rFonts w:cstheme="minorHAnsi"/>
                <w:sz w:val="20"/>
                <w:szCs w:val="20"/>
              </w:rPr>
            </w:pPr>
            <w:r w:rsidRPr="007D7ED0">
              <w:rPr>
                <w:rFonts w:cstheme="minorHAnsi"/>
                <w:b/>
                <w:sz w:val="20"/>
                <w:szCs w:val="20"/>
              </w:rPr>
              <w:t>Alamgir Hossain</w:t>
            </w:r>
            <w:r w:rsidRPr="007D7ED0">
              <w:rPr>
                <w:rFonts w:cstheme="minorHAnsi"/>
                <w:sz w:val="20"/>
                <w:szCs w:val="20"/>
              </w:rPr>
              <w:t>, Program Analyst Environment &amp; Energy</w:t>
            </w:r>
          </w:p>
          <w:p w:rsidR="009511DC" w:rsidRPr="007D7ED0" w:rsidRDefault="009511DC" w:rsidP="009511DC">
            <w:pPr>
              <w:spacing w:after="0" w:line="240" w:lineRule="auto"/>
              <w:rPr>
                <w:rFonts w:cstheme="minorHAnsi"/>
                <w:b/>
                <w:bCs/>
                <w:noProof/>
                <w:sz w:val="20"/>
                <w:szCs w:val="20"/>
              </w:rPr>
            </w:pPr>
            <w:r w:rsidRPr="007D7ED0">
              <w:rPr>
                <w:rFonts w:cstheme="minorHAnsi"/>
                <w:b/>
                <w:sz w:val="20"/>
                <w:szCs w:val="20"/>
              </w:rPr>
              <w:t>Mohammad SifayetUllah</w:t>
            </w:r>
            <w:r w:rsidRPr="007D7ED0">
              <w:rPr>
                <w:rFonts w:cstheme="minorHAnsi"/>
                <w:sz w:val="20"/>
                <w:szCs w:val="20"/>
              </w:rPr>
              <w:t>, Program Analyst Disaster Management</w:t>
            </w:r>
          </w:p>
          <w:p w:rsidR="009511DC" w:rsidRPr="007D7ED0" w:rsidRDefault="009511DC" w:rsidP="009511DC">
            <w:pPr>
              <w:spacing w:after="0" w:line="240" w:lineRule="auto"/>
              <w:rPr>
                <w:rFonts w:cstheme="minorHAnsi"/>
                <w:b/>
                <w:bCs/>
                <w:noProof/>
                <w:sz w:val="20"/>
                <w:szCs w:val="20"/>
              </w:rPr>
            </w:pPr>
            <w:r w:rsidRPr="007D7ED0">
              <w:rPr>
                <w:rFonts w:cstheme="minorHAnsi"/>
                <w:b/>
                <w:bCs/>
                <w:noProof/>
                <w:sz w:val="20"/>
                <w:szCs w:val="20"/>
              </w:rPr>
              <w:t>Lu</w:t>
            </w:r>
            <w:r>
              <w:rPr>
                <w:rFonts w:cstheme="minorHAnsi"/>
                <w:b/>
                <w:bCs/>
                <w:noProof/>
                <w:sz w:val="20"/>
                <w:szCs w:val="20"/>
              </w:rPr>
              <w:t>k</w:t>
            </w:r>
            <w:r w:rsidRPr="007D7ED0">
              <w:rPr>
                <w:rFonts w:cstheme="minorHAnsi"/>
                <w:b/>
                <w:bCs/>
                <w:noProof/>
                <w:sz w:val="20"/>
                <w:szCs w:val="20"/>
              </w:rPr>
              <w:t xml:space="preserve">e Parsons, </w:t>
            </w:r>
            <w:r w:rsidRPr="007D7ED0">
              <w:rPr>
                <w:rFonts w:cstheme="minorHAnsi"/>
                <w:bCs/>
                <w:noProof/>
                <w:sz w:val="20"/>
                <w:szCs w:val="20"/>
              </w:rPr>
              <w:t>Climate Change Adaptation and Disaster Ris</w:t>
            </w:r>
            <w:r>
              <w:rPr>
                <w:rFonts w:cstheme="minorHAnsi"/>
                <w:bCs/>
                <w:noProof/>
                <w:sz w:val="20"/>
                <w:szCs w:val="20"/>
              </w:rPr>
              <w:t>k</w:t>
            </w:r>
            <w:r w:rsidRPr="007D7ED0">
              <w:rPr>
                <w:rFonts w:cstheme="minorHAnsi"/>
                <w:bCs/>
                <w:noProof/>
                <w:sz w:val="20"/>
                <w:szCs w:val="20"/>
              </w:rPr>
              <w:t xml:space="preserve"> Reduction Officer</w:t>
            </w:r>
          </w:p>
          <w:p w:rsidR="009511DC" w:rsidRPr="007D7ED0" w:rsidRDefault="009511DC" w:rsidP="009511DC">
            <w:pPr>
              <w:spacing w:after="0" w:line="240" w:lineRule="auto"/>
              <w:rPr>
                <w:rFonts w:cstheme="minorHAnsi"/>
                <w:b/>
                <w:bCs/>
                <w:noProof/>
                <w:sz w:val="20"/>
                <w:szCs w:val="20"/>
              </w:rPr>
            </w:pPr>
            <w:r w:rsidRPr="007D7ED0">
              <w:rPr>
                <w:rFonts w:cstheme="minorHAnsi"/>
                <w:b/>
                <w:bCs/>
                <w:noProof/>
                <w:sz w:val="20"/>
                <w:szCs w:val="20"/>
              </w:rPr>
              <w:t xml:space="preserve">Ahmadul Hassan, </w:t>
            </w:r>
            <w:r w:rsidRPr="007D7ED0">
              <w:rPr>
                <w:rFonts w:cstheme="minorHAnsi"/>
                <w:bCs/>
                <w:noProof/>
                <w:sz w:val="20"/>
                <w:szCs w:val="20"/>
              </w:rPr>
              <w:t>Project Manager, Integrated Water Resource Management Programme</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t>December 17, 2014</w:t>
            </w:r>
          </w:p>
        </w:tc>
        <w:tc>
          <w:tcPr>
            <w:tcW w:w="2700" w:type="dxa"/>
          </w:tcPr>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S</w:t>
            </w:r>
            <w:r>
              <w:rPr>
                <w:rFonts w:cstheme="minorHAnsi"/>
                <w:sz w:val="20"/>
                <w:szCs w:val="20"/>
              </w:rPr>
              <w:t>k</w:t>
            </w:r>
            <w:r w:rsidRPr="007D7ED0">
              <w:rPr>
                <w:rFonts w:cstheme="minorHAnsi"/>
                <w:sz w:val="20"/>
                <w:szCs w:val="20"/>
              </w:rPr>
              <w:t xml:space="preserve">ype meeting and discussion with UNDP about </w:t>
            </w:r>
            <w:r w:rsidRPr="007D7ED0">
              <w:rPr>
                <w:rFonts w:cstheme="minorHAnsi"/>
                <w:sz w:val="20"/>
                <w:szCs w:val="20"/>
                <w:u w:val="single"/>
              </w:rPr>
              <w:t>energy and low carbon emission projects</w:t>
            </w:r>
          </w:p>
        </w:tc>
        <w:tc>
          <w:tcPr>
            <w:tcW w:w="810" w:type="dxa"/>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1:00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tc>
        <w:tc>
          <w:tcPr>
            <w:tcW w:w="5130" w:type="dxa"/>
          </w:tcPr>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M. Aminul Islam, </w:t>
            </w:r>
            <w:r w:rsidRPr="007D7ED0">
              <w:rPr>
                <w:rFonts w:cstheme="minorHAnsi"/>
                <w:sz w:val="20"/>
                <w:szCs w:val="20"/>
              </w:rPr>
              <w:t>Senior Advisor</w:t>
            </w:r>
          </w:p>
          <w:p w:rsidR="009511DC" w:rsidRPr="007D7ED0" w:rsidRDefault="009511DC" w:rsidP="009511DC">
            <w:pPr>
              <w:spacing w:after="0" w:line="240" w:lineRule="auto"/>
              <w:rPr>
                <w:rFonts w:cstheme="minorHAnsi"/>
                <w:sz w:val="20"/>
                <w:szCs w:val="20"/>
              </w:rPr>
            </w:pPr>
            <w:r w:rsidRPr="007D7ED0">
              <w:rPr>
                <w:rFonts w:cstheme="minorHAnsi"/>
                <w:b/>
                <w:sz w:val="20"/>
                <w:szCs w:val="20"/>
              </w:rPr>
              <w:t>Miyu</w:t>
            </w:r>
            <w:r>
              <w:rPr>
                <w:rFonts w:cstheme="minorHAnsi"/>
                <w:b/>
                <w:sz w:val="20"/>
                <w:szCs w:val="20"/>
              </w:rPr>
              <w:t>k</w:t>
            </w:r>
            <w:r w:rsidRPr="007D7ED0">
              <w:rPr>
                <w:rFonts w:cstheme="minorHAnsi"/>
                <w:b/>
                <w:sz w:val="20"/>
                <w:szCs w:val="20"/>
              </w:rPr>
              <w:t xml:space="preserve">i Fujii, </w:t>
            </w:r>
            <w:r w:rsidRPr="007D7ED0">
              <w:rPr>
                <w:rFonts w:cstheme="minorHAnsi"/>
                <w:sz w:val="20"/>
                <w:szCs w:val="20"/>
              </w:rPr>
              <w:t>Monitoring and Evaluation Analyst</w:t>
            </w:r>
          </w:p>
          <w:p w:rsidR="009511DC" w:rsidRPr="007D7ED0" w:rsidRDefault="009511DC" w:rsidP="009511DC">
            <w:pPr>
              <w:spacing w:after="0" w:line="240" w:lineRule="auto"/>
              <w:rPr>
                <w:rFonts w:cstheme="minorHAnsi"/>
                <w:sz w:val="20"/>
                <w:szCs w:val="20"/>
              </w:rPr>
            </w:pPr>
            <w:r w:rsidRPr="007D7ED0">
              <w:rPr>
                <w:rFonts w:cstheme="minorHAnsi"/>
                <w:b/>
                <w:sz w:val="20"/>
                <w:szCs w:val="20"/>
              </w:rPr>
              <w:t>Alamgir Hossain</w:t>
            </w:r>
            <w:r w:rsidRPr="007D7ED0">
              <w:rPr>
                <w:rFonts w:cstheme="minorHAnsi"/>
                <w:sz w:val="20"/>
                <w:szCs w:val="20"/>
              </w:rPr>
              <w:t>, Program Analyst Environment &amp; Energy</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t>December 17, 2014</w:t>
            </w:r>
          </w:p>
        </w:tc>
        <w:tc>
          <w:tcPr>
            <w:tcW w:w="2700" w:type="dxa"/>
            <w:shd w:val="clear" w:color="auto" w:fill="FDE9D9" w:themeFill="accent6" w:themeFillTint="33"/>
          </w:tcPr>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Meeting with UNDP about PECM project</w:t>
            </w:r>
          </w:p>
        </w:tc>
        <w:tc>
          <w:tcPr>
            <w:tcW w:w="810" w:type="dxa"/>
            <w:shd w:val="clear" w:color="auto" w:fill="FDE9D9" w:themeFill="accent6" w:themeFillTint="33"/>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2:00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tc>
        <w:tc>
          <w:tcPr>
            <w:tcW w:w="5130" w:type="dxa"/>
            <w:shd w:val="clear" w:color="auto" w:fill="FDE9D9" w:themeFill="accent6" w:themeFillTint="33"/>
          </w:tcPr>
          <w:p w:rsidR="009511DC" w:rsidRPr="007D7ED0" w:rsidRDefault="009511DC" w:rsidP="009511DC">
            <w:pPr>
              <w:spacing w:after="0" w:line="240" w:lineRule="auto"/>
              <w:rPr>
                <w:rFonts w:cstheme="minorHAnsi"/>
                <w:b/>
                <w:sz w:val="20"/>
                <w:szCs w:val="20"/>
              </w:rPr>
            </w:pPr>
            <w:r w:rsidRPr="007D7ED0">
              <w:rPr>
                <w:rFonts w:cstheme="minorHAnsi"/>
                <w:b/>
                <w:sz w:val="20"/>
                <w:szCs w:val="20"/>
              </w:rPr>
              <w:t>A.</w:t>
            </w:r>
            <w:r>
              <w:rPr>
                <w:rFonts w:cstheme="minorHAnsi"/>
                <w:b/>
                <w:sz w:val="20"/>
                <w:szCs w:val="20"/>
              </w:rPr>
              <w:t>K</w:t>
            </w:r>
            <w:r w:rsidRPr="007D7ED0">
              <w:rPr>
                <w:rFonts w:cstheme="minorHAnsi"/>
                <w:b/>
                <w:sz w:val="20"/>
                <w:szCs w:val="20"/>
              </w:rPr>
              <w:t xml:space="preserve">M. Mamunur Rashid, </w:t>
            </w:r>
            <w:r w:rsidRPr="007D7ED0">
              <w:rPr>
                <w:rFonts w:cstheme="minorHAnsi"/>
                <w:sz w:val="20"/>
                <w:szCs w:val="20"/>
              </w:rPr>
              <w:t>Climate Change Specialist</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December 18, 2014</w:t>
            </w:r>
          </w:p>
          <w:p w:rsidR="009511DC" w:rsidRPr="007D7ED0" w:rsidRDefault="009511DC" w:rsidP="009511DC">
            <w:pPr>
              <w:spacing w:after="0" w:line="240" w:lineRule="auto"/>
              <w:jc w:val="center"/>
              <w:rPr>
                <w:rFonts w:cstheme="minorHAnsi"/>
                <w:b/>
                <w:sz w:val="20"/>
                <w:szCs w:val="20"/>
              </w:rPr>
            </w:pPr>
          </w:p>
        </w:tc>
        <w:tc>
          <w:tcPr>
            <w:tcW w:w="2700" w:type="dxa"/>
          </w:tcPr>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 xml:space="preserve">Meeting with UNDP about </w:t>
            </w:r>
            <w:r w:rsidRPr="007D7ED0">
              <w:rPr>
                <w:rFonts w:cstheme="minorHAnsi"/>
                <w:sz w:val="20"/>
                <w:szCs w:val="20"/>
                <w:u w:val="single"/>
              </w:rPr>
              <w:t>Community Based Adaptation to Climate Change through Coastal Afforestation Project</w:t>
            </w:r>
          </w:p>
        </w:tc>
        <w:tc>
          <w:tcPr>
            <w:tcW w:w="810" w:type="dxa"/>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2:00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tc>
        <w:tc>
          <w:tcPr>
            <w:tcW w:w="5130" w:type="dxa"/>
          </w:tcPr>
          <w:p w:rsidR="009511DC" w:rsidRPr="007D7ED0" w:rsidRDefault="009511DC" w:rsidP="009511DC">
            <w:pPr>
              <w:spacing w:after="0" w:line="240" w:lineRule="auto"/>
              <w:rPr>
                <w:rFonts w:cstheme="minorHAnsi"/>
                <w:b/>
                <w:sz w:val="20"/>
                <w:szCs w:val="20"/>
              </w:rPr>
            </w:pPr>
            <w:r w:rsidRPr="007D7ED0">
              <w:rPr>
                <w:rFonts w:cstheme="minorHAnsi"/>
                <w:b/>
                <w:sz w:val="20"/>
                <w:szCs w:val="20"/>
              </w:rPr>
              <w:t xml:space="preserve">ParameshNandy, </w:t>
            </w:r>
            <w:r w:rsidRPr="007D7ED0">
              <w:rPr>
                <w:rFonts w:cstheme="minorHAnsi"/>
                <w:sz w:val="20"/>
                <w:szCs w:val="20"/>
              </w:rPr>
              <w:t>Project Manager, Community Based Adaptation to Climate Change through Coastal Afforestation Project</w:t>
            </w:r>
          </w:p>
        </w:tc>
      </w:tr>
      <w:tr w:rsidR="009511DC" w:rsidRPr="007D7ED0" w:rsidTr="009511DC">
        <w:trPr>
          <w:trHeight w:val="548"/>
        </w:trPr>
        <w:tc>
          <w:tcPr>
            <w:tcW w:w="1548" w:type="dxa"/>
            <w:shd w:val="clear" w:color="auto" w:fill="DAEEF3" w:themeFill="accent5" w:themeFillTint="33"/>
          </w:tcPr>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December 18, 2014</w:t>
            </w:r>
          </w:p>
        </w:tc>
        <w:tc>
          <w:tcPr>
            <w:tcW w:w="2700" w:type="dxa"/>
            <w:shd w:val="clear" w:color="auto" w:fill="FDE9D9" w:themeFill="accent6" w:themeFillTint="33"/>
          </w:tcPr>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Meeting with UNDP CCED Cluster</w:t>
            </w:r>
          </w:p>
        </w:tc>
        <w:tc>
          <w:tcPr>
            <w:tcW w:w="810" w:type="dxa"/>
            <w:shd w:val="clear" w:color="auto" w:fill="FDE9D9" w:themeFill="accent6" w:themeFillTint="33"/>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4:30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tc>
        <w:tc>
          <w:tcPr>
            <w:tcW w:w="5130" w:type="dxa"/>
            <w:shd w:val="clear" w:color="auto" w:fill="FDE9D9" w:themeFill="accent6" w:themeFillTint="33"/>
          </w:tcPr>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M. Aminul Islam, </w:t>
            </w:r>
            <w:r w:rsidRPr="007D7ED0">
              <w:rPr>
                <w:rFonts w:cstheme="minorHAnsi"/>
                <w:sz w:val="20"/>
                <w:szCs w:val="20"/>
              </w:rPr>
              <w:t>Senior Advisor</w:t>
            </w:r>
          </w:p>
          <w:p w:rsidR="009511DC" w:rsidRPr="007D7ED0" w:rsidRDefault="009511DC" w:rsidP="009511DC">
            <w:pPr>
              <w:spacing w:after="0" w:line="240" w:lineRule="auto"/>
              <w:rPr>
                <w:rFonts w:cstheme="minorHAnsi"/>
                <w:b/>
                <w:sz w:val="20"/>
                <w:szCs w:val="20"/>
              </w:rPr>
            </w:pP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December 19, 2014</w:t>
            </w:r>
          </w:p>
          <w:p w:rsidR="009511DC" w:rsidRPr="007D7ED0" w:rsidRDefault="009511DC" w:rsidP="009511DC">
            <w:pPr>
              <w:spacing w:after="0" w:line="240" w:lineRule="auto"/>
              <w:jc w:val="center"/>
              <w:rPr>
                <w:rFonts w:cstheme="minorHAnsi"/>
                <w:b/>
                <w:sz w:val="20"/>
                <w:szCs w:val="20"/>
              </w:rPr>
            </w:pPr>
          </w:p>
        </w:tc>
        <w:tc>
          <w:tcPr>
            <w:tcW w:w="2700" w:type="dxa"/>
          </w:tcPr>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Meeting with UNDP programming in Bangladesh and CCED Cluster</w:t>
            </w:r>
          </w:p>
        </w:tc>
        <w:tc>
          <w:tcPr>
            <w:tcW w:w="810" w:type="dxa"/>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9:00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AM</w:t>
            </w:r>
          </w:p>
        </w:tc>
        <w:tc>
          <w:tcPr>
            <w:tcW w:w="5130" w:type="dxa"/>
          </w:tcPr>
          <w:p w:rsidR="009511DC" w:rsidRPr="007D7ED0" w:rsidRDefault="009511DC" w:rsidP="009511DC">
            <w:pPr>
              <w:spacing w:after="0" w:line="240" w:lineRule="auto"/>
              <w:rPr>
                <w:rFonts w:cstheme="minorHAnsi"/>
                <w:sz w:val="20"/>
                <w:szCs w:val="20"/>
              </w:rPr>
            </w:pPr>
            <w:r>
              <w:rPr>
                <w:rFonts w:cstheme="minorHAnsi"/>
                <w:b/>
                <w:sz w:val="20"/>
                <w:szCs w:val="20"/>
              </w:rPr>
              <w:t>K</w:t>
            </w:r>
            <w:r w:rsidRPr="007D7ED0">
              <w:rPr>
                <w:rFonts w:cstheme="minorHAnsi"/>
                <w:b/>
                <w:sz w:val="20"/>
                <w:szCs w:val="20"/>
              </w:rPr>
              <w:t xml:space="preserve">hurshidAlam, </w:t>
            </w:r>
            <w:r w:rsidRPr="007D7ED0">
              <w:rPr>
                <w:rFonts w:cstheme="minorHAnsi"/>
                <w:sz w:val="20"/>
                <w:szCs w:val="20"/>
              </w:rPr>
              <w:t>Deputy Country Director</w:t>
            </w:r>
          </w:p>
          <w:p w:rsidR="009511DC" w:rsidRPr="007D7ED0" w:rsidRDefault="009511DC" w:rsidP="009511DC">
            <w:pPr>
              <w:spacing w:after="0" w:line="240" w:lineRule="auto"/>
              <w:rPr>
                <w:rFonts w:cstheme="minorHAnsi"/>
                <w:b/>
                <w:sz w:val="20"/>
                <w:szCs w:val="20"/>
              </w:rPr>
            </w:pP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December 21, 2014</w:t>
            </w:r>
          </w:p>
          <w:p w:rsidR="009511DC" w:rsidRPr="007D7ED0" w:rsidRDefault="009511DC" w:rsidP="009511DC">
            <w:pPr>
              <w:spacing w:after="0" w:line="240" w:lineRule="auto"/>
              <w:jc w:val="center"/>
              <w:rPr>
                <w:rFonts w:cstheme="minorHAnsi"/>
                <w:b/>
                <w:sz w:val="20"/>
                <w:szCs w:val="20"/>
              </w:rPr>
            </w:pPr>
          </w:p>
        </w:tc>
        <w:tc>
          <w:tcPr>
            <w:tcW w:w="2700" w:type="dxa"/>
            <w:shd w:val="clear" w:color="auto" w:fill="FDE9D9" w:themeFill="accent6" w:themeFillTint="33"/>
          </w:tcPr>
          <w:p w:rsidR="009511DC" w:rsidRPr="007D7ED0" w:rsidRDefault="009511DC" w:rsidP="009511DC">
            <w:pPr>
              <w:spacing w:after="0" w:line="240" w:lineRule="auto"/>
              <w:jc w:val="center"/>
              <w:rPr>
                <w:rFonts w:cstheme="minorHAnsi"/>
                <w:sz w:val="20"/>
                <w:szCs w:val="20"/>
                <w:u w:val="single"/>
              </w:rPr>
            </w:pPr>
            <w:r w:rsidRPr="007D7ED0">
              <w:rPr>
                <w:rFonts w:cstheme="minorHAnsi"/>
                <w:sz w:val="20"/>
                <w:szCs w:val="20"/>
              </w:rPr>
              <w:t xml:space="preserve">Meeting with UNDP about </w:t>
            </w:r>
            <w:r w:rsidRPr="007D7ED0">
              <w:rPr>
                <w:rFonts w:cstheme="minorHAnsi"/>
                <w:sz w:val="20"/>
                <w:szCs w:val="20"/>
                <w:u w:val="single"/>
              </w:rPr>
              <w:t>Early Recovery Facility Project</w:t>
            </w:r>
          </w:p>
        </w:tc>
        <w:tc>
          <w:tcPr>
            <w:tcW w:w="810" w:type="dxa"/>
            <w:shd w:val="clear" w:color="auto" w:fill="FDE9D9" w:themeFill="accent6" w:themeFillTint="33"/>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9:00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AM</w:t>
            </w:r>
          </w:p>
        </w:tc>
        <w:tc>
          <w:tcPr>
            <w:tcW w:w="5130" w:type="dxa"/>
            <w:shd w:val="clear" w:color="auto" w:fill="FDE9D9" w:themeFill="accent6" w:themeFillTint="33"/>
          </w:tcPr>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SeetaGiri, </w:t>
            </w:r>
            <w:r w:rsidRPr="007D7ED0">
              <w:rPr>
                <w:rFonts w:cstheme="minorHAnsi"/>
                <w:sz w:val="20"/>
                <w:szCs w:val="20"/>
              </w:rPr>
              <w:t>Project Manager, Early Recovery Facility</w:t>
            </w:r>
          </w:p>
          <w:p w:rsidR="009511DC" w:rsidRPr="007D7ED0" w:rsidRDefault="009511DC" w:rsidP="009511DC">
            <w:pPr>
              <w:spacing w:after="0" w:line="240" w:lineRule="auto"/>
              <w:rPr>
                <w:rFonts w:cstheme="minorHAnsi"/>
                <w:sz w:val="20"/>
                <w:szCs w:val="20"/>
              </w:rPr>
            </w:pPr>
            <w:r w:rsidRPr="007D7ED0">
              <w:rPr>
                <w:rFonts w:cstheme="minorHAnsi"/>
                <w:b/>
                <w:sz w:val="20"/>
                <w:szCs w:val="20"/>
              </w:rPr>
              <w:t>Mo</w:t>
            </w:r>
            <w:r>
              <w:rPr>
                <w:rFonts w:cstheme="minorHAnsi"/>
                <w:b/>
                <w:sz w:val="20"/>
                <w:szCs w:val="20"/>
              </w:rPr>
              <w:t>k</w:t>
            </w:r>
            <w:r w:rsidRPr="007D7ED0">
              <w:rPr>
                <w:rFonts w:cstheme="minorHAnsi"/>
                <w:b/>
                <w:sz w:val="20"/>
                <w:szCs w:val="20"/>
              </w:rPr>
              <w:t xml:space="preserve">ther Hossain, </w:t>
            </w:r>
            <w:r w:rsidRPr="007D7ED0">
              <w:rPr>
                <w:rFonts w:cstheme="minorHAnsi"/>
                <w:sz w:val="20"/>
                <w:szCs w:val="20"/>
              </w:rPr>
              <w:t>M &amp;ESpecialist, Early Recovery Facility</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December 21, 2014</w:t>
            </w:r>
          </w:p>
        </w:tc>
        <w:tc>
          <w:tcPr>
            <w:tcW w:w="2700" w:type="dxa"/>
          </w:tcPr>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 xml:space="preserve">Meeting with UNDP about </w:t>
            </w:r>
            <w:r w:rsidRPr="007D7ED0">
              <w:rPr>
                <w:rFonts w:cstheme="minorHAnsi"/>
                <w:sz w:val="20"/>
                <w:szCs w:val="20"/>
                <w:u w:val="single"/>
              </w:rPr>
              <w:t>CDMP-I and PECM project</w:t>
            </w:r>
          </w:p>
        </w:tc>
        <w:tc>
          <w:tcPr>
            <w:tcW w:w="810" w:type="dxa"/>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11:30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tc>
        <w:tc>
          <w:tcPr>
            <w:tcW w:w="5130" w:type="dxa"/>
          </w:tcPr>
          <w:p w:rsidR="009511DC" w:rsidRPr="007D7ED0" w:rsidRDefault="009511DC" w:rsidP="009511DC">
            <w:pPr>
              <w:spacing w:after="0" w:line="240" w:lineRule="auto"/>
              <w:rPr>
                <w:rFonts w:cstheme="minorHAnsi"/>
                <w:sz w:val="20"/>
                <w:szCs w:val="20"/>
              </w:rPr>
            </w:pPr>
            <w:r w:rsidRPr="007D7ED0">
              <w:rPr>
                <w:rFonts w:cstheme="minorHAnsi"/>
                <w:b/>
                <w:sz w:val="20"/>
                <w:szCs w:val="20"/>
              </w:rPr>
              <w:t>A.</w:t>
            </w:r>
            <w:r>
              <w:rPr>
                <w:rFonts w:cstheme="minorHAnsi"/>
                <w:b/>
                <w:sz w:val="20"/>
                <w:szCs w:val="20"/>
              </w:rPr>
              <w:t>K</w:t>
            </w:r>
            <w:r w:rsidRPr="007D7ED0">
              <w:rPr>
                <w:rFonts w:cstheme="minorHAnsi"/>
                <w:b/>
                <w:sz w:val="20"/>
                <w:szCs w:val="20"/>
              </w:rPr>
              <w:t xml:space="preserve">M. Mamunur Rashid, </w:t>
            </w:r>
            <w:r w:rsidRPr="007D7ED0">
              <w:rPr>
                <w:rFonts w:cstheme="minorHAnsi"/>
                <w:sz w:val="20"/>
                <w:szCs w:val="20"/>
              </w:rPr>
              <w:t>Climate Change Specialist</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t>December 23, 2014</w:t>
            </w:r>
          </w:p>
        </w:tc>
        <w:tc>
          <w:tcPr>
            <w:tcW w:w="2700" w:type="dxa"/>
            <w:shd w:val="clear" w:color="auto" w:fill="FDE9D9" w:themeFill="accent6" w:themeFillTint="33"/>
          </w:tcPr>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Depart Dha</w:t>
            </w:r>
            <w:r>
              <w:rPr>
                <w:rFonts w:cstheme="minorHAnsi"/>
                <w:sz w:val="20"/>
                <w:szCs w:val="20"/>
              </w:rPr>
              <w:t>k</w:t>
            </w:r>
            <w:r w:rsidRPr="007D7ED0">
              <w:rPr>
                <w:rFonts w:cstheme="minorHAnsi"/>
                <w:sz w:val="20"/>
                <w:szCs w:val="20"/>
              </w:rPr>
              <w:t>a for Syamnagar, Sat</w:t>
            </w:r>
            <w:r>
              <w:rPr>
                <w:rFonts w:cstheme="minorHAnsi"/>
                <w:sz w:val="20"/>
                <w:szCs w:val="20"/>
              </w:rPr>
              <w:t>k</w:t>
            </w:r>
            <w:r w:rsidRPr="007D7ED0">
              <w:rPr>
                <w:rFonts w:cstheme="minorHAnsi"/>
                <w:sz w:val="20"/>
                <w:szCs w:val="20"/>
              </w:rPr>
              <w:t>hira</w:t>
            </w:r>
          </w:p>
        </w:tc>
        <w:tc>
          <w:tcPr>
            <w:tcW w:w="810" w:type="dxa"/>
            <w:shd w:val="clear" w:color="auto" w:fill="FDE9D9" w:themeFill="accent6" w:themeFillTint="33"/>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4:00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PM-11:00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tc>
        <w:tc>
          <w:tcPr>
            <w:tcW w:w="5130" w:type="dxa"/>
            <w:shd w:val="clear" w:color="auto" w:fill="FDE9D9" w:themeFill="accent6" w:themeFillTint="33"/>
          </w:tcPr>
          <w:p w:rsidR="009511DC" w:rsidRPr="007D7ED0" w:rsidRDefault="009511DC" w:rsidP="009511DC">
            <w:pPr>
              <w:spacing w:after="0" w:line="240" w:lineRule="auto"/>
              <w:rPr>
                <w:rFonts w:cstheme="minorHAnsi"/>
                <w:b/>
                <w:sz w:val="20"/>
                <w:szCs w:val="20"/>
              </w:rPr>
            </w:pP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t>December 24, 2014</w:t>
            </w:r>
          </w:p>
        </w:tc>
        <w:tc>
          <w:tcPr>
            <w:tcW w:w="2700" w:type="dxa"/>
          </w:tcPr>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Depart Syamnagar for Padma Pu</w:t>
            </w:r>
            <w:r>
              <w:rPr>
                <w:rFonts w:cstheme="minorHAnsi"/>
                <w:sz w:val="20"/>
                <w:szCs w:val="20"/>
              </w:rPr>
              <w:t>k</w:t>
            </w:r>
            <w:r w:rsidRPr="007D7ED0">
              <w:rPr>
                <w:rFonts w:cstheme="minorHAnsi"/>
                <w:sz w:val="20"/>
                <w:szCs w:val="20"/>
              </w:rPr>
              <w:t>ur</w:t>
            </w:r>
          </w:p>
          <w:p w:rsidR="009511DC" w:rsidRPr="007D7ED0" w:rsidRDefault="009511DC" w:rsidP="009511DC">
            <w:pPr>
              <w:spacing w:after="0" w:line="240" w:lineRule="auto"/>
              <w:jc w:val="center"/>
              <w:rPr>
                <w:rFonts w:cstheme="minorHAnsi"/>
                <w:b/>
                <w:sz w:val="20"/>
                <w:szCs w:val="20"/>
                <w:u w:val="single"/>
              </w:rPr>
            </w:pPr>
            <w:r w:rsidRPr="007D7ED0">
              <w:rPr>
                <w:rFonts w:cstheme="minorHAnsi"/>
                <w:b/>
                <w:sz w:val="20"/>
                <w:szCs w:val="20"/>
                <w:u w:val="single"/>
              </w:rPr>
              <w:t xml:space="preserve">Visit Resilient Habitat (ERF Project) (Field activities FGDs, </w:t>
            </w:r>
            <w:r>
              <w:rPr>
                <w:rFonts w:cstheme="minorHAnsi"/>
                <w:b/>
                <w:sz w:val="20"/>
                <w:szCs w:val="20"/>
                <w:u w:val="single"/>
              </w:rPr>
              <w:t>K</w:t>
            </w:r>
            <w:r w:rsidRPr="007D7ED0">
              <w:rPr>
                <w:rFonts w:cstheme="minorHAnsi"/>
                <w:b/>
                <w:sz w:val="20"/>
                <w:szCs w:val="20"/>
                <w:u w:val="single"/>
              </w:rPr>
              <w:t>II and Case study etc)</w:t>
            </w:r>
          </w:p>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 xml:space="preserve">Depart for </w:t>
            </w:r>
            <w:r>
              <w:rPr>
                <w:rFonts w:cstheme="minorHAnsi"/>
                <w:sz w:val="20"/>
                <w:szCs w:val="20"/>
              </w:rPr>
              <w:t>K</w:t>
            </w:r>
            <w:r w:rsidRPr="007D7ED0">
              <w:rPr>
                <w:rFonts w:cstheme="minorHAnsi"/>
                <w:sz w:val="20"/>
                <w:szCs w:val="20"/>
              </w:rPr>
              <w:t>hulna</w:t>
            </w:r>
          </w:p>
        </w:tc>
        <w:tc>
          <w:tcPr>
            <w:tcW w:w="810" w:type="dxa"/>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7:00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AM</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9:00 AM-</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3:00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6:00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tc>
        <w:tc>
          <w:tcPr>
            <w:tcW w:w="5130" w:type="dxa"/>
          </w:tcPr>
          <w:p w:rsidR="009511DC" w:rsidRPr="007D7ED0" w:rsidRDefault="009511DC" w:rsidP="009511DC">
            <w:pPr>
              <w:spacing w:after="0" w:line="240" w:lineRule="auto"/>
              <w:rPr>
                <w:rFonts w:cstheme="minorHAnsi"/>
                <w:b/>
                <w:sz w:val="20"/>
                <w:szCs w:val="20"/>
              </w:rPr>
            </w:pPr>
            <w:r w:rsidRPr="007D7ED0">
              <w:rPr>
                <w:rFonts w:cstheme="minorHAnsi"/>
                <w:b/>
                <w:sz w:val="20"/>
                <w:szCs w:val="20"/>
              </w:rPr>
              <w:t>Humayun</w:t>
            </w:r>
            <w:r>
              <w:rPr>
                <w:rFonts w:cstheme="minorHAnsi"/>
                <w:b/>
                <w:sz w:val="20"/>
                <w:szCs w:val="20"/>
              </w:rPr>
              <w:t>K</w:t>
            </w:r>
            <w:r w:rsidRPr="007D7ED0">
              <w:rPr>
                <w:rFonts w:cstheme="minorHAnsi"/>
                <w:b/>
                <w:sz w:val="20"/>
                <w:szCs w:val="20"/>
              </w:rPr>
              <w:t xml:space="preserve">abir, </w:t>
            </w:r>
            <w:r w:rsidRPr="007D7ED0">
              <w:rPr>
                <w:rFonts w:cstheme="minorHAnsi"/>
                <w:sz w:val="20"/>
                <w:szCs w:val="20"/>
              </w:rPr>
              <w:t>Site Facilitator, SHUSHILON</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t>December 25, 2014</w:t>
            </w:r>
          </w:p>
        </w:tc>
        <w:tc>
          <w:tcPr>
            <w:tcW w:w="2700" w:type="dxa"/>
            <w:shd w:val="clear" w:color="auto" w:fill="FDE9D9" w:themeFill="accent6" w:themeFillTint="33"/>
          </w:tcPr>
          <w:p w:rsidR="009511DC" w:rsidRPr="007D7ED0" w:rsidRDefault="009511DC" w:rsidP="009511DC">
            <w:pPr>
              <w:spacing w:after="0" w:line="240" w:lineRule="auto"/>
              <w:jc w:val="center"/>
              <w:rPr>
                <w:rFonts w:cstheme="minorHAnsi"/>
                <w:b/>
                <w:sz w:val="20"/>
                <w:szCs w:val="20"/>
                <w:u w:val="single"/>
              </w:rPr>
            </w:pPr>
            <w:r w:rsidRPr="007D7ED0">
              <w:rPr>
                <w:rFonts w:cstheme="minorHAnsi"/>
                <w:sz w:val="20"/>
                <w:szCs w:val="20"/>
              </w:rPr>
              <w:t>Depart for Dacope</w:t>
            </w:r>
            <w:r w:rsidRPr="007D7ED0">
              <w:rPr>
                <w:rFonts w:cstheme="minorHAnsi"/>
                <w:b/>
                <w:sz w:val="20"/>
                <w:szCs w:val="20"/>
              </w:rPr>
              <w:t>(CDMP-II)</w:t>
            </w:r>
            <w:r w:rsidRPr="007D7ED0">
              <w:rPr>
                <w:rFonts w:cstheme="minorHAnsi"/>
                <w:b/>
                <w:sz w:val="20"/>
                <w:szCs w:val="20"/>
                <w:u w:val="single"/>
              </w:rPr>
              <w:t xml:space="preserve">(Field activities FGDs, </w:t>
            </w:r>
            <w:r>
              <w:rPr>
                <w:rFonts w:cstheme="minorHAnsi"/>
                <w:b/>
                <w:sz w:val="20"/>
                <w:szCs w:val="20"/>
                <w:u w:val="single"/>
              </w:rPr>
              <w:t>K</w:t>
            </w:r>
            <w:r w:rsidRPr="007D7ED0">
              <w:rPr>
                <w:rFonts w:cstheme="minorHAnsi"/>
                <w:b/>
                <w:sz w:val="20"/>
                <w:szCs w:val="20"/>
                <w:u w:val="single"/>
              </w:rPr>
              <w:t>II and Case study etc)</w:t>
            </w:r>
          </w:p>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 xml:space="preserve">Depart Dacope for </w:t>
            </w:r>
            <w:r>
              <w:rPr>
                <w:rFonts w:cstheme="minorHAnsi"/>
                <w:sz w:val="20"/>
                <w:szCs w:val="20"/>
              </w:rPr>
              <w:t>K</w:t>
            </w:r>
            <w:r w:rsidRPr="007D7ED0">
              <w:rPr>
                <w:rFonts w:cstheme="minorHAnsi"/>
                <w:sz w:val="20"/>
                <w:szCs w:val="20"/>
              </w:rPr>
              <w:t>hulna</w:t>
            </w:r>
          </w:p>
        </w:tc>
        <w:tc>
          <w:tcPr>
            <w:tcW w:w="810" w:type="dxa"/>
            <w:shd w:val="clear" w:color="auto" w:fill="FDE9D9" w:themeFill="accent6" w:themeFillTint="33"/>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7:00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AM</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4:00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tc>
        <w:tc>
          <w:tcPr>
            <w:tcW w:w="5130" w:type="dxa"/>
            <w:shd w:val="clear" w:color="auto" w:fill="FDE9D9" w:themeFill="accent6" w:themeFillTint="33"/>
          </w:tcPr>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Man Bahadur Thapa, </w:t>
            </w:r>
            <w:r w:rsidRPr="007D7ED0">
              <w:rPr>
                <w:rFonts w:cstheme="minorHAnsi"/>
                <w:sz w:val="20"/>
                <w:szCs w:val="20"/>
              </w:rPr>
              <w:t>Programme Specialist, CDMP-II</w:t>
            </w:r>
          </w:p>
          <w:p w:rsidR="009511DC" w:rsidRPr="007D7ED0" w:rsidRDefault="009511DC" w:rsidP="009511DC">
            <w:pPr>
              <w:spacing w:after="0" w:line="240" w:lineRule="auto"/>
              <w:rPr>
                <w:rFonts w:cstheme="minorHAnsi"/>
                <w:b/>
                <w:sz w:val="20"/>
                <w:szCs w:val="20"/>
              </w:rPr>
            </w:pPr>
            <w:r w:rsidRPr="007D7ED0">
              <w:rPr>
                <w:rFonts w:cstheme="minorHAnsi"/>
                <w:b/>
                <w:sz w:val="20"/>
                <w:szCs w:val="20"/>
              </w:rPr>
              <w:t>Satu Biswas</w:t>
            </w:r>
            <w:r w:rsidRPr="007D7ED0">
              <w:rPr>
                <w:rFonts w:cstheme="minorHAnsi"/>
                <w:sz w:val="20"/>
                <w:szCs w:val="20"/>
              </w:rPr>
              <w:t>, Coordinator, SHUSILON</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t>December 26, 2014</w:t>
            </w:r>
          </w:p>
        </w:tc>
        <w:tc>
          <w:tcPr>
            <w:tcW w:w="2700" w:type="dxa"/>
          </w:tcPr>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Depart for Barguna</w:t>
            </w:r>
          </w:p>
          <w:p w:rsidR="009511DC" w:rsidRPr="007D7ED0" w:rsidRDefault="009511DC" w:rsidP="009511DC">
            <w:pPr>
              <w:autoSpaceDE w:val="0"/>
              <w:autoSpaceDN w:val="0"/>
              <w:adjustRightInd w:val="0"/>
              <w:spacing w:after="0" w:line="240" w:lineRule="auto"/>
              <w:jc w:val="center"/>
              <w:rPr>
                <w:rFonts w:cstheme="minorHAnsi"/>
                <w:b/>
                <w:sz w:val="20"/>
                <w:szCs w:val="20"/>
                <w:u w:val="single"/>
              </w:rPr>
            </w:pPr>
            <w:r w:rsidRPr="007D7ED0">
              <w:rPr>
                <w:rFonts w:cstheme="minorHAnsi"/>
                <w:b/>
                <w:bCs/>
                <w:sz w:val="20"/>
                <w:szCs w:val="20"/>
                <w:u w:val="single"/>
              </w:rPr>
              <w:t>Visit BargunaSadar-</w:t>
            </w:r>
            <w:r w:rsidRPr="007D7ED0">
              <w:rPr>
                <w:rFonts w:cstheme="minorHAnsi"/>
                <w:b/>
                <w:bCs/>
                <w:sz w:val="20"/>
                <w:szCs w:val="20"/>
                <w:u w:val="single"/>
              </w:rPr>
              <w:lastRenderedPageBreak/>
              <w:t>Naltona</w:t>
            </w:r>
            <w:r w:rsidRPr="007D7ED0">
              <w:rPr>
                <w:rFonts w:cstheme="minorHAnsi"/>
                <w:b/>
                <w:sz w:val="20"/>
                <w:szCs w:val="20"/>
              </w:rPr>
              <w:t>CBACC-CF Project</w:t>
            </w:r>
            <w:r w:rsidRPr="007D7ED0">
              <w:rPr>
                <w:rFonts w:cstheme="minorHAnsi"/>
                <w:b/>
                <w:bCs/>
                <w:sz w:val="20"/>
                <w:szCs w:val="20"/>
                <w:u w:val="single"/>
              </w:rPr>
              <w:t xml:space="preserve"> (Field Activities </w:t>
            </w:r>
            <w:r w:rsidRPr="007D7ED0">
              <w:rPr>
                <w:rFonts w:cstheme="minorHAnsi"/>
                <w:b/>
                <w:sz w:val="20"/>
                <w:szCs w:val="20"/>
                <w:u w:val="single"/>
              </w:rPr>
              <w:t xml:space="preserve">FGDs, </w:t>
            </w:r>
            <w:r>
              <w:rPr>
                <w:rFonts w:cstheme="minorHAnsi"/>
                <w:b/>
                <w:sz w:val="20"/>
                <w:szCs w:val="20"/>
                <w:u w:val="single"/>
              </w:rPr>
              <w:t>K</w:t>
            </w:r>
            <w:r w:rsidRPr="007D7ED0">
              <w:rPr>
                <w:rFonts w:cstheme="minorHAnsi"/>
                <w:b/>
                <w:sz w:val="20"/>
                <w:szCs w:val="20"/>
                <w:u w:val="single"/>
              </w:rPr>
              <w:t>II and Case study etc)</w:t>
            </w:r>
          </w:p>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sz w:val="20"/>
                <w:szCs w:val="20"/>
              </w:rPr>
              <w:t>Meeting with UNO BargunaSadar</w:t>
            </w:r>
          </w:p>
        </w:tc>
        <w:tc>
          <w:tcPr>
            <w:tcW w:w="810" w:type="dxa"/>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lastRenderedPageBreak/>
              <w:t>6:30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AM</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lastRenderedPageBreak/>
              <w:t>5:00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8:30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tc>
        <w:tc>
          <w:tcPr>
            <w:tcW w:w="5130" w:type="dxa"/>
          </w:tcPr>
          <w:p w:rsidR="009511DC" w:rsidRPr="007D7ED0" w:rsidRDefault="009511DC" w:rsidP="009511DC">
            <w:pPr>
              <w:spacing w:after="0" w:line="240" w:lineRule="auto"/>
              <w:rPr>
                <w:rFonts w:cstheme="minorHAnsi"/>
                <w:sz w:val="20"/>
                <w:szCs w:val="20"/>
              </w:rPr>
            </w:pPr>
            <w:r w:rsidRPr="007D7ED0">
              <w:rPr>
                <w:rFonts w:cstheme="minorHAnsi"/>
                <w:b/>
                <w:sz w:val="20"/>
                <w:szCs w:val="20"/>
              </w:rPr>
              <w:lastRenderedPageBreak/>
              <w:t xml:space="preserve">Shahinur Rahman, </w:t>
            </w:r>
            <w:r w:rsidRPr="007D7ED0">
              <w:rPr>
                <w:rFonts w:cstheme="minorHAnsi"/>
                <w:sz w:val="20"/>
                <w:szCs w:val="20"/>
              </w:rPr>
              <w:t>Community Development Associate</w:t>
            </w:r>
          </w:p>
          <w:p w:rsidR="009511DC" w:rsidRPr="007D7ED0" w:rsidRDefault="009511DC" w:rsidP="009511DC">
            <w:pPr>
              <w:spacing w:after="0" w:line="240" w:lineRule="auto"/>
              <w:rPr>
                <w:rFonts w:cstheme="minorHAnsi"/>
                <w:b/>
                <w:sz w:val="20"/>
                <w:szCs w:val="20"/>
              </w:rPr>
            </w:pPr>
          </w:p>
          <w:p w:rsidR="009511DC" w:rsidRPr="007D7ED0" w:rsidRDefault="009511DC" w:rsidP="009511DC">
            <w:pPr>
              <w:spacing w:after="0" w:line="240" w:lineRule="auto"/>
              <w:rPr>
                <w:rFonts w:cstheme="minorHAnsi"/>
                <w:sz w:val="20"/>
                <w:szCs w:val="20"/>
              </w:rPr>
            </w:pPr>
            <w:r w:rsidRPr="007D7ED0">
              <w:rPr>
                <w:rFonts w:cstheme="minorHAnsi"/>
                <w:b/>
                <w:sz w:val="20"/>
                <w:szCs w:val="20"/>
              </w:rPr>
              <w:lastRenderedPageBreak/>
              <w:t xml:space="preserve">Md. Abul Hashem Miah, </w:t>
            </w:r>
            <w:r w:rsidRPr="007D7ED0">
              <w:rPr>
                <w:rFonts w:cstheme="minorHAnsi"/>
                <w:sz w:val="20"/>
                <w:szCs w:val="20"/>
              </w:rPr>
              <w:t>Community Development Assistant</w:t>
            </w:r>
          </w:p>
          <w:p w:rsidR="009511DC" w:rsidRPr="007D7ED0" w:rsidRDefault="009511DC" w:rsidP="009511DC">
            <w:pPr>
              <w:spacing w:after="0" w:line="240" w:lineRule="auto"/>
              <w:rPr>
                <w:rFonts w:cstheme="minorHAnsi"/>
                <w:sz w:val="20"/>
                <w:szCs w:val="20"/>
              </w:rPr>
            </w:pPr>
          </w:p>
          <w:p w:rsidR="009511DC" w:rsidRPr="007D7ED0" w:rsidRDefault="009511DC" w:rsidP="009511DC">
            <w:pPr>
              <w:spacing w:after="0" w:line="240" w:lineRule="auto"/>
              <w:rPr>
                <w:rFonts w:cstheme="minorHAnsi"/>
                <w:b/>
                <w:sz w:val="20"/>
                <w:szCs w:val="20"/>
              </w:rPr>
            </w:pPr>
            <w:r w:rsidRPr="007D7ED0">
              <w:rPr>
                <w:rFonts w:cstheme="minorHAnsi"/>
                <w:b/>
                <w:sz w:val="20"/>
                <w:szCs w:val="20"/>
              </w:rPr>
              <w:t>Mr. Golam Mohammed Bhuyan</w:t>
            </w:r>
            <w:r w:rsidRPr="007D7ED0">
              <w:rPr>
                <w:rFonts w:cstheme="minorHAnsi"/>
                <w:sz w:val="20"/>
                <w:szCs w:val="20"/>
              </w:rPr>
              <w:t>, UNO, BargunaSadarUpazila</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lastRenderedPageBreak/>
              <w:t>December 27, 2014</w:t>
            </w:r>
          </w:p>
        </w:tc>
        <w:tc>
          <w:tcPr>
            <w:tcW w:w="2700" w:type="dxa"/>
            <w:shd w:val="clear" w:color="auto" w:fill="FDE9D9" w:themeFill="accent6" w:themeFillTint="33"/>
          </w:tcPr>
          <w:p w:rsidR="009511DC" w:rsidRPr="007D7ED0" w:rsidRDefault="009511DC" w:rsidP="009511DC">
            <w:pPr>
              <w:autoSpaceDE w:val="0"/>
              <w:autoSpaceDN w:val="0"/>
              <w:adjustRightInd w:val="0"/>
              <w:spacing w:after="0" w:line="240" w:lineRule="auto"/>
              <w:jc w:val="center"/>
              <w:rPr>
                <w:rFonts w:cstheme="minorHAnsi"/>
                <w:b/>
                <w:sz w:val="20"/>
                <w:szCs w:val="20"/>
                <w:u w:val="single"/>
              </w:rPr>
            </w:pPr>
            <w:r w:rsidRPr="007D7ED0">
              <w:rPr>
                <w:rFonts w:cstheme="minorHAnsi"/>
                <w:b/>
                <w:bCs/>
                <w:sz w:val="20"/>
                <w:szCs w:val="20"/>
                <w:u w:val="single"/>
              </w:rPr>
              <w:t>Visit BargunaSadar-Sonadanga</w:t>
            </w:r>
            <w:r w:rsidRPr="007D7ED0">
              <w:rPr>
                <w:rFonts w:cstheme="minorHAnsi"/>
                <w:b/>
                <w:sz w:val="20"/>
                <w:szCs w:val="20"/>
              </w:rPr>
              <w:t>CBACC-CF Project</w:t>
            </w:r>
            <w:r w:rsidRPr="007D7ED0">
              <w:rPr>
                <w:rFonts w:cstheme="minorHAnsi"/>
                <w:b/>
                <w:bCs/>
                <w:sz w:val="20"/>
                <w:szCs w:val="20"/>
                <w:u w:val="single"/>
              </w:rPr>
              <w:t xml:space="preserve"> (Field Activities </w:t>
            </w:r>
            <w:r w:rsidRPr="007D7ED0">
              <w:rPr>
                <w:rFonts w:cstheme="minorHAnsi"/>
                <w:b/>
                <w:sz w:val="20"/>
                <w:szCs w:val="20"/>
                <w:u w:val="single"/>
              </w:rPr>
              <w:t xml:space="preserve">FGDs, </w:t>
            </w:r>
            <w:r>
              <w:rPr>
                <w:rFonts w:cstheme="minorHAnsi"/>
                <w:b/>
                <w:sz w:val="20"/>
                <w:szCs w:val="20"/>
                <w:u w:val="single"/>
              </w:rPr>
              <w:t>K</w:t>
            </w:r>
            <w:r w:rsidRPr="007D7ED0">
              <w:rPr>
                <w:rFonts w:cstheme="minorHAnsi"/>
                <w:b/>
                <w:sz w:val="20"/>
                <w:szCs w:val="20"/>
                <w:u w:val="single"/>
              </w:rPr>
              <w:t>II and Case study etc)</w:t>
            </w:r>
          </w:p>
          <w:p w:rsidR="009511DC" w:rsidRPr="007D7ED0" w:rsidRDefault="009511DC" w:rsidP="009511DC">
            <w:pPr>
              <w:autoSpaceDE w:val="0"/>
              <w:autoSpaceDN w:val="0"/>
              <w:adjustRightInd w:val="0"/>
              <w:spacing w:after="0" w:line="240" w:lineRule="auto"/>
              <w:jc w:val="center"/>
              <w:rPr>
                <w:rFonts w:cstheme="minorHAnsi"/>
                <w:b/>
                <w:bCs/>
                <w:sz w:val="20"/>
                <w:szCs w:val="20"/>
                <w:u w:val="single"/>
              </w:rPr>
            </w:pPr>
            <w:r w:rsidRPr="007D7ED0">
              <w:rPr>
                <w:rFonts w:cstheme="minorHAnsi"/>
                <w:b/>
                <w:sz w:val="20"/>
                <w:szCs w:val="20"/>
                <w:u w:val="single"/>
              </w:rPr>
              <w:t>Visited HBA Model</w:t>
            </w:r>
          </w:p>
        </w:tc>
        <w:tc>
          <w:tcPr>
            <w:tcW w:w="810" w:type="dxa"/>
            <w:shd w:val="clear" w:color="auto" w:fill="FDE9D9" w:themeFill="accent6" w:themeFillTint="33"/>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8:00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AM</w:t>
            </w:r>
          </w:p>
          <w:p w:rsidR="009511DC" w:rsidRPr="007D7ED0" w:rsidRDefault="009511DC" w:rsidP="009511DC">
            <w:pPr>
              <w:spacing w:after="0" w:line="240" w:lineRule="auto"/>
              <w:rPr>
                <w:rFonts w:cstheme="minorHAnsi"/>
                <w:b/>
                <w:sz w:val="20"/>
                <w:szCs w:val="20"/>
              </w:rPr>
            </w:pP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4:30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tc>
        <w:tc>
          <w:tcPr>
            <w:tcW w:w="5130" w:type="dxa"/>
            <w:shd w:val="clear" w:color="auto" w:fill="FDE9D9" w:themeFill="accent6" w:themeFillTint="33"/>
          </w:tcPr>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Shahinur Rahman, </w:t>
            </w:r>
            <w:r w:rsidRPr="007D7ED0">
              <w:rPr>
                <w:rFonts w:cstheme="minorHAnsi"/>
                <w:sz w:val="20"/>
                <w:szCs w:val="20"/>
              </w:rPr>
              <w:t>Community Development Associate</w:t>
            </w:r>
          </w:p>
          <w:p w:rsidR="009511DC" w:rsidRPr="007D7ED0" w:rsidRDefault="009511DC" w:rsidP="009511DC">
            <w:pPr>
              <w:spacing w:after="0" w:line="240" w:lineRule="auto"/>
              <w:rPr>
                <w:rFonts w:cstheme="minorHAnsi"/>
                <w:sz w:val="20"/>
                <w:szCs w:val="20"/>
              </w:rPr>
            </w:pPr>
          </w:p>
          <w:p w:rsidR="009511DC" w:rsidRPr="007D7ED0" w:rsidRDefault="009511DC" w:rsidP="009511DC">
            <w:pPr>
              <w:spacing w:after="0" w:line="240" w:lineRule="auto"/>
              <w:rPr>
                <w:rFonts w:cstheme="minorHAnsi"/>
                <w:b/>
                <w:sz w:val="20"/>
                <w:szCs w:val="20"/>
              </w:rPr>
            </w:pPr>
          </w:p>
          <w:p w:rsidR="009511DC" w:rsidRPr="007D7ED0" w:rsidRDefault="009511DC" w:rsidP="009511DC">
            <w:pPr>
              <w:spacing w:after="0" w:line="240" w:lineRule="auto"/>
              <w:rPr>
                <w:rFonts w:cstheme="minorHAnsi"/>
                <w:b/>
                <w:sz w:val="20"/>
                <w:szCs w:val="20"/>
              </w:rPr>
            </w:pPr>
            <w:r w:rsidRPr="007D7ED0">
              <w:rPr>
                <w:rFonts w:cstheme="minorHAnsi"/>
                <w:b/>
                <w:sz w:val="20"/>
                <w:szCs w:val="20"/>
              </w:rPr>
              <w:t xml:space="preserve">Md. Abul Hashem Miah, </w:t>
            </w:r>
            <w:r w:rsidRPr="007D7ED0">
              <w:rPr>
                <w:rFonts w:cstheme="minorHAnsi"/>
                <w:sz w:val="20"/>
                <w:szCs w:val="20"/>
              </w:rPr>
              <w:t>Community Development Assistant</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t>December 28, 2014</w:t>
            </w:r>
          </w:p>
        </w:tc>
        <w:tc>
          <w:tcPr>
            <w:tcW w:w="2700" w:type="dxa"/>
          </w:tcPr>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bCs/>
                <w:sz w:val="20"/>
                <w:szCs w:val="20"/>
              </w:rPr>
              <w:t xml:space="preserve">Meeting with </w:t>
            </w:r>
            <w:r w:rsidRPr="007D7ED0">
              <w:rPr>
                <w:rFonts w:cstheme="minorHAnsi"/>
                <w:bCs/>
                <w:sz w:val="20"/>
                <w:szCs w:val="20"/>
                <w:u w:val="single"/>
              </w:rPr>
              <w:t>Fisheries Department</w:t>
            </w:r>
            <w:r w:rsidRPr="007D7ED0">
              <w:rPr>
                <w:rFonts w:cstheme="minorHAnsi"/>
                <w:bCs/>
                <w:sz w:val="20"/>
                <w:szCs w:val="20"/>
              </w:rPr>
              <w:t xml:space="preserve"> of BargunaSadar;</w:t>
            </w:r>
          </w:p>
          <w:p w:rsidR="009511DC" w:rsidRPr="007D7ED0" w:rsidRDefault="009511DC" w:rsidP="009511DC">
            <w:pPr>
              <w:autoSpaceDE w:val="0"/>
              <w:autoSpaceDN w:val="0"/>
              <w:adjustRightInd w:val="0"/>
              <w:spacing w:after="0" w:line="240" w:lineRule="auto"/>
              <w:jc w:val="center"/>
              <w:rPr>
                <w:rFonts w:cstheme="minorHAnsi"/>
                <w:bCs/>
                <w:sz w:val="20"/>
                <w:szCs w:val="20"/>
                <w:u w:val="single"/>
              </w:rPr>
            </w:pPr>
            <w:r w:rsidRPr="007D7ED0">
              <w:rPr>
                <w:rFonts w:cstheme="minorHAnsi"/>
                <w:bCs/>
                <w:sz w:val="20"/>
                <w:szCs w:val="20"/>
              </w:rPr>
              <w:t xml:space="preserve">Meeting with </w:t>
            </w:r>
            <w:r w:rsidRPr="007D7ED0">
              <w:rPr>
                <w:rFonts w:cstheme="minorHAnsi"/>
                <w:bCs/>
                <w:sz w:val="20"/>
                <w:szCs w:val="20"/>
                <w:u w:val="single"/>
              </w:rPr>
              <w:t>District Disaster Management and Relief Office, Barguna;</w:t>
            </w:r>
          </w:p>
          <w:p w:rsidR="009511DC" w:rsidRPr="007D7ED0" w:rsidRDefault="009511DC" w:rsidP="009511DC">
            <w:pPr>
              <w:autoSpaceDE w:val="0"/>
              <w:autoSpaceDN w:val="0"/>
              <w:adjustRightInd w:val="0"/>
              <w:spacing w:after="0" w:line="240" w:lineRule="auto"/>
              <w:jc w:val="center"/>
              <w:rPr>
                <w:rFonts w:cstheme="minorHAnsi"/>
                <w:bCs/>
                <w:sz w:val="20"/>
                <w:szCs w:val="20"/>
                <w:u w:val="single"/>
              </w:rPr>
            </w:pPr>
            <w:r w:rsidRPr="007D7ED0">
              <w:rPr>
                <w:rFonts w:cstheme="minorHAnsi"/>
                <w:bCs/>
                <w:sz w:val="20"/>
                <w:szCs w:val="20"/>
                <w:u w:val="single"/>
              </w:rPr>
              <w:t>Meeting with Department of Agriculture and Livestoc</w:t>
            </w:r>
            <w:r>
              <w:rPr>
                <w:rFonts w:cstheme="minorHAnsi"/>
                <w:bCs/>
                <w:sz w:val="20"/>
                <w:szCs w:val="20"/>
                <w:u w:val="single"/>
              </w:rPr>
              <w:t>k</w:t>
            </w:r>
            <w:r w:rsidRPr="007D7ED0">
              <w:rPr>
                <w:rFonts w:cstheme="minorHAnsi"/>
                <w:bCs/>
                <w:sz w:val="20"/>
                <w:szCs w:val="20"/>
                <w:u w:val="single"/>
              </w:rPr>
              <w:t>s, BargunaSadar</w:t>
            </w:r>
          </w:p>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bCs/>
                <w:sz w:val="20"/>
                <w:szCs w:val="20"/>
              </w:rPr>
              <w:t>Depart Barguna for Patua</w:t>
            </w:r>
            <w:r>
              <w:rPr>
                <w:rFonts w:cstheme="minorHAnsi"/>
                <w:bCs/>
                <w:sz w:val="20"/>
                <w:szCs w:val="20"/>
              </w:rPr>
              <w:t>k</w:t>
            </w:r>
            <w:r w:rsidRPr="007D7ED0">
              <w:rPr>
                <w:rFonts w:cstheme="minorHAnsi"/>
                <w:bCs/>
                <w:sz w:val="20"/>
                <w:szCs w:val="20"/>
              </w:rPr>
              <w:t>hali</w:t>
            </w:r>
          </w:p>
        </w:tc>
        <w:tc>
          <w:tcPr>
            <w:tcW w:w="810" w:type="dxa"/>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10:30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AM</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12:00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p w:rsidR="009511DC" w:rsidRPr="007D7ED0" w:rsidRDefault="009511DC" w:rsidP="009511DC">
            <w:pPr>
              <w:spacing w:after="0" w:line="240" w:lineRule="auto"/>
              <w:rPr>
                <w:rFonts w:cstheme="minorHAnsi"/>
                <w:b/>
                <w:sz w:val="20"/>
                <w:szCs w:val="20"/>
              </w:rPr>
            </w:pP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1:30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6:00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tc>
        <w:tc>
          <w:tcPr>
            <w:tcW w:w="5130" w:type="dxa"/>
          </w:tcPr>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Mr. MD. </w:t>
            </w:r>
            <w:r>
              <w:rPr>
                <w:rFonts w:cstheme="minorHAnsi"/>
                <w:b/>
                <w:sz w:val="20"/>
                <w:szCs w:val="20"/>
              </w:rPr>
              <w:t>K</w:t>
            </w:r>
            <w:r w:rsidRPr="007D7ED0">
              <w:rPr>
                <w:rFonts w:cstheme="minorHAnsi"/>
                <w:b/>
                <w:sz w:val="20"/>
                <w:szCs w:val="20"/>
              </w:rPr>
              <w:t xml:space="preserve">amruzzaman, </w:t>
            </w:r>
            <w:r w:rsidRPr="007D7ED0">
              <w:rPr>
                <w:rFonts w:cstheme="minorHAnsi"/>
                <w:sz w:val="20"/>
                <w:szCs w:val="20"/>
              </w:rPr>
              <w:t>Assistant Director</w:t>
            </w:r>
          </w:p>
          <w:p w:rsidR="009511DC" w:rsidRPr="007D7ED0" w:rsidRDefault="009511DC" w:rsidP="009511DC">
            <w:pPr>
              <w:spacing w:after="0" w:line="240" w:lineRule="auto"/>
              <w:rPr>
                <w:rFonts w:cstheme="minorHAnsi"/>
                <w:sz w:val="20"/>
                <w:szCs w:val="20"/>
              </w:rPr>
            </w:pPr>
          </w:p>
          <w:p w:rsidR="009511DC" w:rsidRPr="007D7ED0" w:rsidRDefault="009511DC" w:rsidP="009511DC">
            <w:pPr>
              <w:spacing w:after="0" w:line="240" w:lineRule="auto"/>
              <w:rPr>
                <w:rFonts w:cstheme="minorHAnsi"/>
                <w:sz w:val="20"/>
                <w:szCs w:val="20"/>
              </w:rPr>
            </w:pPr>
            <w:r w:rsidRPr="007D7ED0">
              <w:rPr>
                <w:rFonts w:cstheme="minorHAnsi"/>
                <w:b/>
                <w:sz w:val="20"/>
                <w:szCs w:val="20"/>
              </w:rPr>
              <w:t>Mr. Abu Ba</w:t>
            </w:r>
            <w:r>
              <w:rPr>
                <w:rFonts w:cstheme="minorHAnsi"/>
                <w:b/>
                <w:sz w:val="20"/>
                <w:szCs w:val="20"/>
              </w:rPr>
              <w:t>kk</w:t>
            </w:r>
            <w:r w:rsidRPr="007D7ED0">
              <w:rPr>
                <w:rFonts w:cstheme="minorHAnsi"/>
                <w:b/>
                <w:sz w:val="20"/>
                <w:szCs w:val="20"/>
              </w:rPr>
              <w:t xml:space="preserve">ar Siddique, </w:t>
            </w:r>
            <w:r w:rsidRPr="007D7ED0">
              <w:rPr>
                <w:rFonts w:cstheme="minorHAnsi"/>
                <w:sz w:val="20"/>
                <w:szCs w:val="20"/>
              </w:rPr>
              <w:t>District Disaster, Relief and Rehabilitation Officer</w:t>
            </w:r>
          </w:p>
          <w:p w:rsidR="009511DC" w:rsidRPr="007D7ED0" w:rsidRDefault="009511DC" w:rsidP="009511DC">
            <w:pPr>
              <w:spacing w:after="0" w:line="240" w:lineRule="auto"/>
              <w:rPr>
                <w:rFonts w:cstheme="minorHAnsi"/>
                <w:sz w:val="20"/>
                <w:szCs w:val="20"/>
              </w:rPr>
            </w:pPr>
          </w:p>
          <w:p w:rsidR="009511DC" w:rsidRPr="007D7ED0" w:rsidRDefault="009511DC" w:rsidP="009511DC">
            <w:pPr>
              <w:spacing w:after="0" w:line="240" w:lineRule="auto"/>
              <w:rPr>
                <w:rFonts w:cstheme="minorHAnsi"/>
                <w:sz w:val="20"/>
                <w:szCs w:val="20"/>
              </w:rPr>
            </w:pPr>
            <w:r w:rsidRPr="007D7ED0">
              <w:rPr>
                <w:rFonts w:cstheme="minorHAnsi"/>
                <w:b/>
                <w:sz w:val="20"/>
                <w:szCs w:val="20"/>
              </w:rPr>
              <w:t>Mr. Asho</w:t>
            </w:r>
            <w:r>
              <w:rPr>
                <w:rFonts w:cstheme="minorHAnsi"/>
                <w:b/>
                <w:sz w:val="20"/>
                <w:szCs w:val="20"/>
              </w:rPr>
              <w:t>kK</w:t>
            </w:r>
            <w:r w:rsidRPr="007D7ED0">
              <w:rPr>
                <w:rFonts w:cstheme="minorHAnsi"/>
                <w:b/>
                <w:sz w:val="20"/>
                <w:szCs w:val="20"/>
              </w:rPr>
              <w:t>umar Halder</w:t>
            </w:r>
            <w:r w:rsidRPr="007D7ED0">
              <w:rPr>
                <w:rFonts w:cstheme="minorHAnsi"/>
                <w:sz w:val="20"/>
                <w:szCs w:val="20"/>
              </w:rPr>
              <w:t>, Deputy Director, Agricultural Extension Division</w:t>
            </w:r>
          </w:p>
          <w:p w:rsidR="009511DC" w:rsidRPr="007D7ED0" w:rsidRDefault="009511DC" w:rsidP="009511DC">
            <w:pPr>
              <w:spacing w:after="0" w:line="240" w:lineRule="auto"/>
              <w:rPr>
                <w:rFonts w:cstheme="minorHAnsi"/>
                <w:b/>
                <w:sz w:val="20"/>
                <w:szCs w:val="20"/>
              </w:rPr>
            </w:pPr>
            <w:r w:rsidRPr="007D7ED0">
              <w:rPr>
                <w:rFonts w:cstheme="minorHAnsi"/>
                <w:b/>
                <w:sz w:val="20"/>
                <w:szCs w:val="20"/>
              </w:rPr>
              <w:t>Mr. Mostafizur Rahman</w:t>
            </w:r>
            <w:r w:rsidRPr="007D7ED0">
              <w:rPr>
                <w:rFonts w:cstheme="minorHAnsi"/>
                <w:sz w:val="20"/>
                <w:szCs w:val="20"/>
              </w:rPr>
              <w:t>, Livestoc</w:t>
            </w:r>
            <w:r>
              <w:rPr>
                <w:rFonts w:cstheme="minorHAnsi"/>
                <w:sz w:val="20"/>
                <w:szCs w:val="20"/>
              </w:rPr>
              <w:t>k</w:t>
            </w:r>
            <w:r w:rsidRPr="007D7ED0">
              <w:rPr>
                <w:rFonts w:cstheme="minorHAnsi"/>
                <w:sz w:val="20"/>
                <w:szCs w:val="20"/>
              </w:rPr>
              <w:t xml:space="preserve"> Officer</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t>December 29, 2014</w:t>
            </w:r>
          </w:p>
        </w:tc>
        <w:tc>
          <w:tcPr>
            <w:tcW w:w="2700" w:type="dxa"/>
            <w:shd w:val="clear" w:color="auto" w:fill="FDE9D9" w:themeFill="accent6" w:themeFillTint="33"/>
          </w:tcPr>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bCs/>
                <w:sz w:val="20"/>
                <w:szCs w:val="20"/>
              </w:rPr>
              <w:t xml:space="preserve">Meeting with </w:t>
            </w:r>
            <w:r w:rsidRPr="007D7ED0">
              <w:rPr>
                <w:rFonts w:cstheme="minorHAnsi"/>
                <w:bCs/>
                <w:sz w:val="20"/>
                <w:szCs w:val="20"/>
                <w:u w:val="single"/>
              </w:rPr>
              <w:t>Faculty of Disaster Management;</w:t>
            </w:r>
          </w:p>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bCs/>
                <w:sz w:val="20"/>
                <w:szCs w:val="20"/>
              </w:rPr>
              <w:t xml:space="preserve">Attended a </w:t>
            </w:r>
            <w:r w:rsidRPr="007D7ED0">
              <w:rPr>
                <w:rFonts w:cstheme="minorHAnsi"/>
                <w:bCs/>
                <w:sz w:val="20"/>
                <w:szCs w:val="20"/>
                <w:u w:val="single"/>
              </w:rPr>
              <w:t>conference on “</w:t>
            </w:r>
            <w:r>
              <w:rPr>
                <w:rFonts w:cstheme="minorHAnsi"/>
                <w:bCs/>
                <w:sz w:val="20"/>
                <w:szCs w:val="20"/>
                <w:u w:val="single"/>
              </w:rPr>
              <w:t>K</w:t>
            </w:r>
            <w:r w:rsidRPr="007D7ED0">
              <w:rPr>
                <w:rFonts w:cstheme="minorHAnsi"/>
                <w:bCs/>
                <w:sz w:val="20"/>
                <w:szCs w:val="20"/>
                <w:u w:val="single"/>
              </w:rPr>
              <w:t>nowledge Sharing on Disaster and Natural Resources Management</w:t>
            </w:r>
            <w:r w:rsidRPr="007D7ED0">
              <w:rPr>
                <w:rFonts w:cstheme="minorHAnsi"/>
                <w:bCs/>
                <w:sz w:val="20"/>
                <w:szCs w:val="20"/>
              </w:rPr>
              <w:t>” at Patua</w:t>
            </w:r>
            <w:r>
              <w:rPr>
                <w:rFonts w:cstheme="minorHAnsi"/>
                <w:bCs/>
                <w:sz w:val="20"/>
                <w:szCs w:val="20"/>
              </w:rPr>
              <w:t>k</w:t>
            </w:r>
            <w:r w:rsidRPr="007D7ED0">
              <w:rPr>
                <w:rFonts w:cstheme="minorHAnsi"/>
                <w:bCs/>
                <w:sz w:val="20"/>
                <w:szCs w:val="20"/>
              </w:rPr>
              <w:t>hali Science and Technology University (PSTU) (CDMP-II)</w:t>
            </w:r>
          </w:p>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bCs/>
                <w:sz w:val="20"/>
                <w:szCs w:val="20"/>
                <w:u w:val="single"/>
              </w:rPr>
              <w:t>Visited Cyclone Shelter, Dhum</w:t>
            </w:r>
            <w:r>
              <w:rPr>
                <w:rFonts w:cstheme="minorHAnsi"/>
                <w:bCs/>
                <w:sz w:val="20"/>
                <w:szCs w:val="20"/>
                <w:u w:val="single"/>
              </w:rPr>
              <w:t>k</w:t>
            </w:r>
            <w:r w:rsidRPr="007D7ED0">
              <w:rPr>
                <w:rFonts w:cstheme="minorHAnsi"/>
                <w:bCs/>
                <w:sz w:val="20"/>
                <w:szCs w:val="20"/>
                <w:u w:val="single"/>
              </w:rPr>
              <w:t>i</w:t>
            </w:r>
            <w:r w:rsidRPr="007D7ED0">
              <w:rPr>
                <w:rFonts w:cstheme="minorHAnsi"/>
                <w:bCs/>
                <w:sz w:val="20"/>
                <w:szCs w:val="20"/>
              </w:rPr>
              <w:t xml:space="preserve"> (CDMP-II)</w:t>
            </w:r>
          </w:p>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bCs/>
                <w:sz w:val="20"/>
                <w:szCs w:val="20"/>
              </w:rPr>
              <w:t>Depart for Dha</w:t>
            </w:r>
            <w:r>
              <w:rPr>
                <w:rFonts w:cstheme="minorHAnsi"/>
                <w:bCs/>
                <w:sz w:val="20"/>
                <w:szCs w:val="20"/>
              </w:rPr>
              <w:t>k</w:t>
            </w:r>
            <w:r w:rsidRPr="007D7ED0">
              <w:rPr>
                <w:rFonts w:cstheme="minorHAnsi"/>
                <w:bCs/>
                <w:sz w:val="20"/>
                <w:szCs w:val="20"/>
              </w:rPr>
              <w:t>a</w:t>
            </w:r>
          </w:p>
        </w:tc>
        <w:tc>
          <w:tcPr>
            <w:tcW w:w="810" w:type="dxa"/>
            <w:shd w:val="clear" w:color="auto" w:fill="FDE9D9" w:themeFill="accent6" w:themeFillTint="33"/>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9:30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AM</w:t>
            </w: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10:00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AM</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1:30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6:00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tc>
        <w:tc>
          <w:tcPr>
            <w:tcW w:w="5130" w:type="dxa"/>
            <w:shd w:val="clear" w:color="auto" w:fill="FDE9D9" w:themeFill="accent6" w:themeFillTint="33"/>
          </w:tcPr>
          <w:p w:rsidR="009511DC" w:rsidRPr="007D7ED0" w:rsidRDefault="009511DC" w:rsidP="009511DC">
            <w:pPr>
              <w:spacing w:after="0" w:line="240" w:lineRule="auto"/>
              <w:rPr>
                <w:rFonts w:cstheme="minorHAnsi"/>
                <w:sz w:val="20"/>
                <w:szCs w:val="20"/>
              </w:rPr>
            </w:pPr>
            <w:r w:rsidRPr="007D7ED0">
              <w:rPr>
                <w:rFonts w:cstheme="minorHAnsi"/>
                <w:b/>
                <w:sz w:val="20"/>
                <w:szCs w:val="20"/>
              </w:rPr>
              <w:t>Professor A.</w:t>
            </w:r>
            <w:r>
              <w:rPr>
                <w:rFonts w:cstheme="minorHAnsi"/>
                <w:b/>
                <w:sz w:val="20"/>
                <w:szCs w:val="20"/>
              </w:rPr>
              <w:t>K</w:t>
            </w:r>
            <w:r w:rsidRPr="007D7ED0">
              <w:rPr>
                <w:rFonts w:cstheme="minorHAnsi"/>
                <w:b/>
                <w:sz w:val="20"/>
                <w:szCs w:val="20"/>
              </w:rPr>
              <w:t xml:space="preserve">M.Mostafa Zaman, </w:t>
            </w:r>
            <w:r w:rsidRPr="007D7ED0">
              <w:rPr>
                <w:rFonts w:cstheme="minorHAnsi"/>
                <w:sz w:val="20"/>
                <w:szCs w:val="20"/>
              </w:rPr>
              <w:t>Dean, Faculty of Disaster Management</w:t>
            </w:r>
          </w:p>
          <w:p w:rsidR="009511DC" w:rsidRPr="007D7ED0" w:rsidRDefault="009511DC" w:rsidP="009511DC">
            <w:pPr>
              <w:spacing w:after="0" w:line="240" w:lineRule="auto"/>
              <w:rPr>
                <w:rFonts w:cstheme="minorHAnsi"/>
                <w:b/>
                <w:sz w:val="20"/>
                <w:szCs w:val="20"/>
              </w:rPr>
            </w:pPr>
          </w:p>
          <w:p w:rsidR="009511DC" w:rsidRPr="007D7ED0" w:rsidRDefault="009511DC" w:rsidP="009511DC">
            <w:pPr>
              <w:spacing w:after="0" w:line="240" w:lineRule="auto"/>
              <w:rPr>
                <w:rFonts w:cstheme="minorHAnsi"/>
                <w:b/>
                <w:sz w:val="20"/>
                <w:szCs w:val="20"/>
              </w:rPr>
            </w:pPr>
          </w:p>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Professor Dr. Shams-Ud-Din, </w:t>
            </w:r>
            <w:r w:rsidRPr="007D7ED0">
              <w:rPr>
                <w:rFonts w:cstheme="minorHAnsi"/>
                <w:sz w:val="20"/>
                <w:szCs w:val="20"/>
              </w:rPr>
              <w:t>Vice-Chancellor, PSTU</w:t>
            </w:r>
          </w:p>
          <w:p w:rsidR="009511DC" w:rsidRPr="007D7ED0" w:rsidRDefault="009511DC" w:rsidP="009511DC">
            <w:pPr>
              <w:spacing w:after="0" w:line="240" w:lineRule="auto"/>
              <w:rPr>
                <w:rFonts w:cstheme="minorHAnsi"/>
                <w:sz w:val="20"/>
                <w:szCs w:val="20"/>
              </w:rPr>
            </w:pPr>
          </w:p>
          <w:p w:rsidR="009511DC" w:rsidRPr="007D7ED0" w:rsidRDefault="009511DC" w:rsidP="009511DC">
            <w:pPr>
              <w:spacing w:after="0" w:line="240" w:lineRule="auto"/>
              <w:rPr>
                <w:rFonts w:cstheme="minorHAnsi"/>
                <w:sz w:val="20"/>
                <w:szCs w:val="20"/>
              </w:rPr>
            </w:pPr>
            <w:r w:rsidRPr="007D7ED0">
              <w:rPr>
                <w:rFonts w:cstheme="minorHAnsi"/>
                <w:b/>
                <w:sz w:val="20"/>
                <w:szCs w:val="20"/>
              </w:rPr>
              <w:t>Dr. Abdul Ahad Biswas</w:t>
            </w:r>
            <w:r w:rsidRPr="007D7ED0">
              <w:rPr>
                <w:rFonts w:cstheme="minorHAnsi"/>
                <w:sz w:val="20"/>
                <w:szCs w:val="20"/>
              </w:rPr>
              <w:t>, Associate Professor, Faculty of Disaster Management</w:t>
            </w:r>
          </w:p>
          <w:p w:rsidR="009511DC" w:rsidRPr="007D7ED0" w:rsidRDefault="009511DC" w:rsidP="009511DC">
            <w:pPr>
              <w:spacing w:after="0" w:line="240" w:lineRule="auto"/>
              <w:rPr>
                <w:rFonts w:cstheme="minorHAnsi"/>
                <w:sz w:val="20"/>
                <w:szCs w:val="20"/>
              </w:rPr>
            </w:pPr>
          </w:p>
          <w:p w:rsidR="009511DC" w:rsidRPr="007D7ED0" w:rsidRDefault="009511DC" w:rsidP="009511DC">
            <w:pPr>
              <w:spacing w:after="0" w:line="240" w:lineRule="auto"/>
              <w:rPr>
                <w:rFonts w:cstheme="minorHAnsi"/>
                <w:sz w:val="20"/>
                <w:szCs w:val="20"/>
              </w:rPr>
            </w:pPr>
          </w:p>
          <w:p w:rsidR="009511DC" w:rsidRPr="007D7ED0" w:rsidRDefault="009511DC" w:rsidP="009511DC">
            <w:pPr>
              <w:spacing w:after="0" w:line="240" w:lineRule="auto"/>
              <w:rPr>
                <w:rFonts w:cstheme="minorHAnsi"/>
                <w:sz w:val="20"/>
                <w:szCs w:val="20"/>
              </w:rPr>
            </w:pPr>
          </w:p>
          <w:p w:rsidR="009511DC" w:rsidRPr="007D7ED0" w:rsidRDefault="009511DC" w:rsidP="009511DC">
            <w:pPr>
              <w:spacing w:after="0" w:line="240" w:lineRule="auto"/>
              <w:rPr>
                <w:rFonts w:cstheme="minorHAnsi"/>
                <w:b/>
                <w:sz w:val="20"/>
                <w:szCs w:val="20"/>
              </w:rPr>
            </w:pP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t>January 1, 2015</w:t>
            </w:r>
          </w:p>
        </w:tc>
        <w:tc>
          <w:tcPr>
            <w:tcW w:w="2700" w:type="dxa"/>
          </w:tcPr>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bCs/>
                <w:sz w:val="20"/>
                <w:szCs w:val="20"/>
              </w:rPr>
              <w:t>Meeting with Department of Disaster Management, Ministry of Disaster Management and Relief, and CDMP-II</w:t>
            </w:r>
          </w:p>
        </w:tc>
        <w:tc>
          <w:tcPr>
            <w:tcW w:w="810" w:type="dxa"/>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10:45AM</w:t>
            </w: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1:00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tc>
        <w:tc>
          <w:tcPr>
            <w:tcW w:w="5130" w:type="dxa"/>
          </w:tcPr>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Mohammad Abdul Wazed, </w:t>
            </w:r>
            <w:r w:rsidRPr="007D7ED0">
              <w:rPr>
                <w:rFonts w:cstheme="minorHAnsi"/>
                <w:sz w:val="20"/>
                <w:szCs w:val="20"/>
              </w:rPr>
              <w:t>Director General &amp; Additional Secretary</w:t>
            </w:r>
          </w:p>
          <w:p w:rsidR="009511DC" w:rsidRPr="007D7ED0" w:rsidRDefault="009511DC" w:rsidP="009511DC">
            <w:pPr>
              <w:spacing w:after="0" w:line="240" w:lineRule="auto"/>
              <w:rPr>
                <w:rFonts w:cstheme="minorHAnsi"/>
                <w:b/>
                <w:sz w:val="20"/>
                <w:szCs w:val="20"/>
              </w:rPr>
            </w:pPr>
          </w:p>
          <w:p w:rsidR="009511DC" w:rsidRPr="007D7ED0" w:rsidRDefault="009511DC" w:rsidP="009511DC">
            <w:pPr>
              <w:spacing w:after="0" w:line="240" w:lineRule="auto"/>
              <w:rPr>
                <w:rFonts w:cstheme="minorHAnsi"/>
                <w:sz w:val="20"/>
                <w:szCs w:val="20"/>
              </w:rPr>
            </w:pPr>
            <w:r w:rsidRPr="007D7ED0">
              <w:rPr>
                <w:rFonts w:cstheme="minorHAnsi"/>
                <w:b/>
                <w:sz w:val="20"/>
                <w:szCs w:val="20"/>
              </w:rPr>
              <w:t>Muhammad Abdul Qayyum</w:t>
            </w:r>
            <w:r w:rsidRPr="007D7ED0">
              <w:rPr>
                <w:rFonts w:cstheme="minorHAnsi"/>
                <w:sz w:val="20"/>
                <w:szCs w:val="20"/>
              </w:rPr>
              <w:t>, National Project Director, CDMP-II &amp; Additional Secretary</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t>February 9, 2015</w:t>
            </w:r>
          </w:p>
        </w:tc>
        <w:tc>
          <w:tcPr>
            <w:tcW w:w="2700" w:type="dxa"/>
            <w:shd w:val="clear" w:color="auto" w:fill="FDE9D9" w:themeFill="accent6" w:themeFillTint="33"/>
          </w:tcPr>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bCs/>
                <w:sz w:val="20"/>
                <w:szCs w:val="20"/>
              </w:rPr>
              <w:t>Meeting with Ministry of Finance, Economic Relations Division (UN), Sher-e-Bangla Nagar, Dha</w:t>
            </w:r>
            <w:r>
              <w:rPr>
                <w:rFonts w:cstheme="minorHAnsi"/>
                <w:bCs/>
                <w:sz w:val="20"/>
                <w:szCs w:val="20"/>
              </w:rPr>
              <w:t>k</w:t>
            </w:r>
            <w:r w:rsidRPr="007D7ED0">
              <w:rPr>
                <w:rFonts w:cstheme="minorHAnsi"/>
                <w:bCs/>
                <w:sz w:val="20"/>
                <w:szCs w:val="20"/>
              </w:rPr>
              <w:t xml:space="preserve">a </w:t>
            </w:r>
          </w:p>
        </w:tc>
        <w:tc>
          <w:tcPr>
            <w:tcW w:w="810" w:type="dxa"/>
            <w:shd w:val="clear" w:color="auto" w:fill="FDE9D9" w:themeFill="accent6" w:themeFillTint="33"/>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11:00 AM</w:t>
            </w:r>
          </w:p>
        </w:tc>
        <w:tc>
          <w:tcPr>
            <w:tcW w:w="5130" w:type="dxa"/>
            <w:shd w:val="clear" w:color="auto" w:fill="FDE9D9" w:themeFill="accent6" w:themeFillTint="33"/>
          </w:tcPr>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Md. Ashadul Islam, </w:t>
            </w:r>
            <w:r w:rsidRPr="007D7ED0">
              <w:rPr>
                <w:rFonts w:cstheme="minorHAnsi"/>
                <w:sz w:val="20"/>
                <w:szCs w:val="20"/>
              </w:rPr>
              <w:t>Additional Secretary</w:t>
            </w:r>
          </w:p>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Md. Monirul Islam, </w:t>
            </w:r>
            <w:r w:rsidRPr="007D7ED0">
              <w:rPr>
                <w:rFonts w:cstheme="minorHAnsi"/>
                <w:sz w:val="20"/>
                <w:szCs w:val="20"/>
              </w:rPr>
              <w:t>Joint Secretary</w:t>
            </w:r>
          </w:p>
          <w:p w:rsidR="009511DC" w:rsidRPr="007D7ED0" w:rsidRDefault="009511DC" w:rsidP="009511DC">
            <w:pPr>
              <w:spacing w:after="0" w:line="240" w:lineRule="auto"/>
              <w:rPr>
                <w:rFonts w:cstheme="minorHAnsi"/>
                <w:sz w:val="20"/>
                <w:szCs w:val="20"/>
              </w:rPr>
            </w:pPr>
            <w:r w:rsidRPr="007D7ED0">
              <w:rPr>
                <w:rFonts w:cstheme="minorHAnsi"/>
                <w:b/>
                <w:sz w:val="20"/>
                <w:szCs w:val="20"/>
              </w:rPr>
              <w:t>Mohammad Ifte</w:t>
            </w:r>
            <w:r>
              <w:rPr>
                <w:rFonts w:cstheme="minorHAnsi"/>
                <w:b/>
                <w:sz w:val="20"/>
                <w:szCs w:val="20"/>
              </w:rPr>
              <w:t>k</w:t>
            </w:r>
            <w:r w:rsidRPr="007D7ED0">
              <w:rPr>
                <w:rFonts w:cstheme="minorHAnsi"/>
                <w:b/>
                <w:sz w:val="20"/>
                <w:szCs w:val="20"/>
              </w:rPr>
              <w:t xml:space="preserve">har Hossain, </w:t>
            </w:r>
            <w:r w:rsidRPr="007D7ED0">
              <w:rPr>
                <w:rFonts w:cstheme="minorHAnsi"/>
                <w:sz w:val="20"/>
                <w:szCs w:val="20"/>
              </w:rPr>
              <w:t>Senior Assistant Secretary</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February 15,  2015</w:t>
            </w:r>
          </w:p>
        </w:tc>
        <w:tc>
          <w:tcPr>
            <w:tcW w:w="2700" w:type="dxa"/>
            <w:shd w:val="clear" w:color="auto" w:fill="FDE9D9" w:themeFill="accent6" w:themeFillTint="33"/>
          </w:tcPr>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eastAsia="Cambria" w:cstheme="minorHAnsi"/>
                <w:sz w:val="20"/>
                <w:szCs w:val="20"/>
              </w:rPr>
              <w:t>Preliminary evaluation observations were presented to UNDP</w:t>
            </w:r>
          </w:p>
        </w:tc>
        <w:tc>
          <w:tcPr>
            <w:tcW w:w="810" w:type="dxa"/>
            <w:shd w:val="clear" w:color="auto" w:fill="FDE9D9" w:themeFill="accent6" w:themeFillTint="33"/>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10:00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AM</w:t>
            </w:r>
          </w:p>
        </w:tc>
        <w:tc>
          <w:tcPr>
            <w:tcW w:w="5130" w:type="dxa"/>
            <w:shd w:val="clear" w:color="auto" w:fill="FDE9D9" w:themeFill="accent6" w:themeFillTint="33"/>
          </w:tcPr>
          <w:p w:rsidR="009511DC" w:rsidRPr="007D7ED0" w:rsidRDefault="009511DC" w:rsidP="009511DC">
            <w:pPr>
              <w:pStyle w:val="Heading1"/>
              <w:spacing w:before="0" w:beforeAutospacing="0" w:after="0" w:afterAutospacing="0"/>
              <w:textAlignment w:val="baseline"/>
              <w:rPr>
                <w:rFonts w:asciiTheme="minorHAnsi" w:hAnsiTheme="minorHAnsi" w:cstheme="minorHAnsi"/>
                <w:b w:val="0"/>
                <w:sz w:val="20"/>
                <w:szCs w:val="20"/>
              </w:rPr>
            </w:pPr>
            <w:r w:rsidRPr="007D7ED0">
              <w:rPr>
                <w:rFonts w:asciiTheme="minorHAnsi" w:hAnsiTheme="minorHAnsi" w:cstheme="minorHAnsi"/>
                <w:sz w:val="20"/>
                <w:szCs w:val="20"/>
              </w:rPr>
              <w:t>Paulin Tamesis</w:t>
            </w:r>
            <w:r w:rsidRPr="007D7ED0">
              <w:rPr>
                <w:rFonts w:asciiTheme="minorHAnsi" w:hAnsiTheme="minorHAnsi" w:cstheme="minorHAnsi"/>
                <w:b w:val="0"/>
                <w:sz w:val="20"/>
                <w:szCs w:val="20"/>
              </w:rPr>
              <w:t>, Country Director, UNDP Bangladesh</w:t>
            </w:r>
          </w:p>
          <w:p w:rsidR="009511DC" w:rsidRPr="007D7ED0" w:rsidRDefault="009511DC" w:rsidP="009511DC">
            <w:pPr>
              <w:pStyle w:val="Heading1"/>
              <w:spacing w:before="0" w:beforeAutospacing="0" w:after="0" w:afterAutospacing="0"/>
              <w:textAlignment w:val="baseline"/>
              <w:rPr>
                <w:rFonts w:asciiTheme="minorHAnsi" w:hAnsiTheme="minorHAnsi" w:cstheme="minorHAnsi"/>
                <w:b w:val="0"/>
                <w:sz w:val="20"/>
                <w:szCs w:val="20"/>
              </w:rPr>
            </w:pPr>
            <w:r w:rsidRPr="007D7ED0">
              <w:rPr>
                <w:rFonts w:asciiTheme="minorHAnsi" w:hAnsiTheme="minorHAnsi" w:cstheme="minorHAnsi"/>
                <w:sz w:val="20"/>
                <w:szCs w:val="20"/>
              </w:rPr>
              <w:t>Nic Beresford</w:t>
            </w:r>
            <w:r w:rsidRPr="007D7ED0">
              <w:rPr>
                <w:rFonts w:asciiTheme="minorHAnsi" w:hAnsiTheme="minorHAnsi" w:cstheme="minorHAnsi"/>
                <w:b w:val="0"/>
                <w:sz w:val="20"/>
                <w:szCs w:val="20"/>
              </w:rPr>
              <w:t>, Deputy Country Director, UNDP Bangladesh</w:t>
            </w:r>
          </w:p>
          <w:p w:rsidR="009511DC" w:rsidRPr="007D7ED0" w:rsidRDefault="009511DC" w:rsidP="009511DC">
            <w:pPr>
              <w:spacing w:after="0" w:line="240" w:lineRule="auto"/>
              <w:rPr>
                <w:rFonts w:cstheme="minorHAnsi"/>
                <w:sz w:val="20"/>
                <w:szCs w:val="20"/>
              </w:rPr>
            </w:pPr>
            <w:r>
              <w:rPr>
                <w:rFonts w:cstheme="minorHAnsi"/>
                <w:b/>
                <w:sz w:val="20"/>
                <w:szCs w:val="20"/>
              </w:rPr>
              <w:t>K</w:t>
            </w:r>
            <w:r w:rsidRPr="007D7ED0">
              <w:rPr>
                <w:rFonts w:cstheme="minorHAnsi"/>
                <w:b/>
                <w:sz w:val="20"/>
                <w:szCs w:val="20"/>
              </w:rPr>
              <w:t xml:space="preserve">hurshidAlam, </w:t>
            </w:r>
            <w:r w:rsidRPr="007D7ED0">
              <w:rPr>
                <w:rFonts w:cstheme="minorHAnsi"/>
                <w:sz w:val="20"/>
                <w:szCs w:val="20"/>
              </w:rPr>
              <w:t>Assistant Country Director</w:t>
            </w:r>
          </w:p>
          <w:p w:rsidR="009511DC" w:rsidRPr="007D7ED0" w:rsidRDefault="009511DC" w:rsidP="009511DC">
            <w:pPr>
              <w:spacing w:after="0" w:line="240" w:lineRule="auto"/>
              <w:rPr>
                <w:rFonts w:cstheme="minorHAnsi"/>
                <w:b/>
                <w:sz w:val="20"/>
                <w:szCs w:val="20"/>
              </w:rPr>
            </w:pPr>
            <w:r w:rsidRPr="007D7ED0">
              <w:rPr>
                <w:rFonts w:cstheme="minorHAnsi"/>
                <w:b/>
                <w:sz w:val="20"/>
                <w:szCs w:val="20"/>
              </w:rPr>
              <w:t xml:space="preserve">BlertaCela, </w:t>
            </w:r>
            <w:r w:rsidRPr="007D7ED0">
              <w:rPr>
                <w:rFonts w:cstheme="minorHAnsi"/>
                <w:sz w:val="20"/>
                <w:szCs w:val="20"/>
              </w:rPr>
              <w:t>Assistant Country Director</w:t>
            </w:r>
          </w:p>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M. Aminul Islam, </w:t>
            </w:r>
            <w:r w:rsidRPr="007D7ED0">
              <w:rPr>
                <w:rFonts w:cstheme="minorHAnsi"/>
                <w:sz w:val="20"/>
                <w:szCs w:val="20"/>
              </w:rPr>
              <w:t>Senior Advisor</w:t>
            </w:r>
          </w:p>
          <w:p w:rsidR="009511DC" w:rsidRPr="007D7ED0" w:rsidRDefault="009511DC" w:rsidP="009511DC">
            <w:pPr>
              <w:spacing w:after="0" w:line="240" w:lineRule="auto"/>
              <w:rPr>
                <w:rFonts w:cstheme="minorHAnsi"/>
                <w:sz w:val="20"/>
                <w:szCs w:val="20"/>
              </w:rPr>
            </w:pPr>
            <w:r w:rsidRPr="007D7ED0">
              <w:rPr>
                <w:rFonts w:cstheme="minorHAnsi"/>
                <w:b/>
                <w:sz w:val="20"/>
                <w:szCs w:val="20"/>
              </w:rPr>
              <w:t>Miyu</w:t>
            </w:r>
            <w:r>
              <w:rPr>
                <w:rFonts w:cstheme="minorHAnsi"/>
                <w:b/>
                <w:sz w:val="20"/>
                <w:szCs w:val="20"/>
              </w:rPr>
              <w:t>k</w:t>
            </w:r>
            <w:r w:rsidRPr="007D7ED0">
              <w:rPr>
                <w:rFonts w:cstheme="minorHAnsi"/>
                <w:b/>
                <w:sz w:val="20"/>
                <w:szCs w:val="20"/>
              </w:rPr>
              <w:t xml:space="preserve">i Fujii, </w:t>
            </w:r>
            <w:r w:rsidRPr="007D7ED0">
              <w:rPr>
                <w:rFonts w:cstheme="minorHAnsi"/>
                <w:sz w:val="20"/>
                <w:szCs w:val="20"/>
              </w:rPr>
              <w:t>Monitoring and Evaluation Analyst</w:t>
            </w:r>
          </w:p>
          <w:p w:rsidR="009511DC" w:rsidRPr="007D7ED0" w:rsidRDefault="009511DC" w:rsidP="009511DC">
            <w:pPr>
              <w:spacing w:after="0" w:line="240" w:lineRule="auto"/>
              <w:rPr>
                <w:rFonts w:cstheme="minorHAnsi"/>
                <w:sz w:val="20"/>
                <w:szCs w:val="20"/>
              </w:rPr>
            </w:pPr>
            <w:r w:rsidRPr="007D7ED0">
              <w:rPr>
                <w:rFonts w:cstheme="minorHAnsi"/>
                <w:b/>
                <w:sz w:val="20"/>
                <w:szCs w:val="20"/>
              </w:rPr>
              <w:t>A.</w:t>
            </w:r>
            <w:r>
              <w:rPr>
                <w:rFonts w:cstheme="minorHAnsi"/>
                <w:b/>
                <w:sz w:val="20"/>
                <w:szCs w:val="20"/>
              </w:rPr>
              <w:t>K</w:t>
            </w:r>
            <w:r w:rsidRPr="007D7ED0">
              <w:rPr>
                <w:rFonts w:cstheme="minorHAnsi"/>
                <w:b/>
                <w:sz w:val="20"/>
                <w:szCs w:val="20"/>
              </w:rPr>
              <w:t xml:space="preserve">M. Mamunur Rashid, </w:t>
            </w:r>
            <w:r w:rsidRPr="007D7ED0">
              <w:rPr>
                <w:rFonts w:cstheme="minorHAnsi"/>
                <w:sz w:val="20"/>
                <w:szCs w:val="20"/>
              </w:rPr>
              <w:t>Climate Change Specialist</w:t>
            </w:r>
          </w:p>
          <w:p w:rsidR="009511DC" w:rsidRPr="007D7ED0" w:rsidRDefault="009511DC" w:rsidP="009511DC">
            <w:pPr>
              <w:spacing w:after="0" w:line="240" w:lineRule="auto"/>
              <w:rPr>
                <w:rFonts w:cstheme="minorHAnsi"/>
                <w:sz w:val="20"/>
                <w:szCs w:val="20"/>
              </w:rPr>
            </w:pPr>
            <w:r w:rsidRPr="007D7ED0">
              <w:rPr>
                <w:rFonts w:cstheme="minorHAnsi"/>
                <w:b/>
                <w:sz w:val="20"/>
                <w:szCs w:val="20"/>
              </w:rPr>
              <w:t>Alamgir Hossain</w:t>
            </w:r>
            <w:r w:rsidRPr="007D7ED0">
              <w:rPr>
                <w:rFonts w:cstheme="minorHAnsi"/>
                <w:sz w:val="20"/>
                <w:szCs w:val="20"/>
              </w:rPr>
              <w:t>, Program Analyst Environment &amp; Energy</w:t>
            </w:r>
          </w:p>
          <w:p w:rsidR="009511DC" w:rsidRPr="007D7ED0" w:rsidRDefault="009511DC" w:rsidP="009511DC">
            <w:pPr>
              <w:spacing w:after="0" w:line="240" w:lineRule="auto"/>
              <w:rPr>
                <w:rFonts w:cstheme="minorHAnsi"/>
                <w:b/>
                <w:bCs/>
                <w:noProof/>
                <w:sz w:val="20"/>
                <w:szCs w:val="20"/>
              </w:rPr>
            </w:pPr>
            <w:r w:rsidRPr="007D7ED0">
              <w:rPr>
                <w:rFonts w:cstheme="minorHAnsi"/>
                <w:b/>
                <w:sz w:val="20"/>
                <w:szCs w:val="20"/>
              </w:rPr>
              <w:t>Mohammad SifayetUllah</w:t>
            </w:r>
            <w:r w:rsidRPr="007D7ED0">
              <w:rPr>
                <w:rFonts w:cstheme="minorHAnsi"/>
                <w:sz w:val="20"/>
                <w:szCs w:val="20"/>
              </w:rPr>
              <w:t>, Program Analyst Disaster Management</w:t>
            </w:r>
          </w:p>
          <w:p w:rsidR="009511DC" w:rsidRPr="007D7ED0" w:rsidRDefault="009511DC" w:rsidP="009511DC">
            <w:pPr>
              <w:spacing w:after="0" w:line="240" w:lineRule="auto"/>
              <w:rPr>
                <w:rFonts w:cstheme="minorHAnsi"/>
                <w:b/>
                <w:bCs/>
                <w:noProof/>
                <w:sz w:val="20"/>
                <w:szCs w:val="20"/>
              </w:rPr>
            </w:pPr>
            <w:r w:rsidRPr="007D7ED0">
              <w:rPr>
                <w:rFonts w:cstheme="minorHAnsi"/>
                <w:b/>
                <w:bCs/>
                <w:noProof/>
                <w:sz w:val="20"/>
                <w:szCs w:val="20"/>
              </w:rPr>
              <w:t>Lu</w:t>
            </w:r>
            <w:r>
              <w:rPr>
                <w:rFonts w:cstheme="minorHAnsi"/>
                <w:b/>
                <w:bCs/>
                <w:noProof/>
                <w:sz w:val="20"/>
                <w:szCs w:val="20"/>
              </w:rPr>
              <w:t>k</w:t>
            </w:r>
            <w:r w:rsidRPr="007D7ED0">
              <w:rPr>
                <w:rFonts w:cstheme="minorHAnsi"/>
                <w:b/>
                <w:bCs/>
                <w:noProof/>
                <w:sz w:val="20"/>
                <w:szCs w:val="20"/>
              </w:rPr>
              <w:t xml:space="preserve">e Parsons, </w:t>
            </w:r>
            <w:r w:rsidRPr="007D7ED0">
              <w:rPr>
                <w:rFonts w:cstheme="minorHAnsi"/>
                <w:bCs/>
                <w:noProof/>
                <w:sz w:val="20"/>
                <w:szCs w:val="20"/>
              </w:rPr>
              <w:t>Climate Change Adaptation and Disaster Ris</w:t>
            </w:r>
            <w:r>
              <w:rPr>
                <w:rFonts w:cstheme="minorHAnsi"/>
                <w:bCs/>
                <w:noProof/>
                <w:sz w:val="20"/>
                <w:szCs w:val="20"/>
              </w:rPr>
              <w:t>k</w:t>
            </w:r>
            <w:r w:rsidRPr="007D7ED0">
              <w:rPr>
                <w:rFonts w:cstheme="minorHAnsi"/>
                <w:bCs/>
                <w:noProof/>
                <w:sz w:val="20"/>
                <w:szCs w:val="20"/>
              </w:rPr>
              <w:t>Reduction Officer</w:t>
            </w:r>
          </w:p>
          <w:p w:rsidR="009511DC" w:rsidRPr="007D7ED0" w:rsidRDefault="009511DC" w:rsidP="009511DC">
            <w:pPr>
              <w:spacing w:after="0" w:line="240" w:lineRule="auto"/>
              <w:rPr>
                <w:rFonts w:cstheme="minorHAnsi"/>
                <w:b/>
                <w:sz w:val="20"/>
                <w:szCs w:val="20"/>
              </w:rPr>
            </w:pPr>
            <w:r w:rsidRPr="007D7ED0">
              <w:rPr>
                <w:rFonts w:cstheme="minorHAnsi"/>
                <w:b/>
                <w:bCs/>
                <w:noProof/>
                <w:sz w:val="20"/>
                <w:szCs w:val="20"/>
              </w:rPr>
              <w:lastRenderedPageBreak/>
              <w:t xml:space="preserve">Ahmadul Hassan, </w:t>
            </w:r>
            <w:r w:rsidRPr="007D7ED0">
              <w:rPr>
                <w:rFonts w:cstheme="minorHAnsi"/>
                <w:bCs/>
                <w:noProof/>
                <w:sz w:val="20"/>
                <w:szCs w:val="20"/>
              </w:rPr>
              <w:t>Project Manager, Integrated Water Resource Management Programme</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lastRenderedPageBreak/>
              <w:t>February 18,  2015</w:t>
            </w:r>
          </w:p>
        </w:tc>
        <w:tc>
          <w:tcPr>
            <w:tcW w:w="2700" w:type="dxa"/>
          </w:tcPr>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bCs/>
                <w:sz w:val="20"/>
                <w:szCs w:val="20"/>
              </w:rPr>
              <w:t>Meeting with Ministry of Power, Energy &amp; Mineral Resources, Room 1114, Level 11, BiddutBhaban, Dha</w:t>
            </w:r>
            <w:r>
              <w:rPr>
                <w:rFonts w:cstheme="minorHAnsi"/>
                <w:bCs/>
                <w:sz w:val="20"/>
                <w:szCs w:val="20"/>
              </w:rPr>
              <w:t>k</w:t>
            </w:r>
            <w:r w:rsidRPr="007D7ED0">
              <w:rPr>
                <w:rFonts w:cstheme="minorHAnsi"/>
                <w:bCs/>
                <w:sz w:val="20"/>
                <w:szCs w:val="20"/>
              </w:rPr>
              <w:t>a, Bangladesh</w:t>
            </w:r>
          </w:p>
        </w:tc>
        <w:tc>
          <w:tcPr>
            <w:tcW w:w="810" w:type="dxa"/>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11:30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AM</w:t>
            </w:r>
          </w:p>
        </w:tc>
        <w:tc>
          <w:tcPr>
            <w:tcW w:w="5130" w:type="dxa"/>
          </w:tcPr>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Siddique Zobair, </w:t>
            </w:r>
            <w:r w:rsidRPr="007D7ED0">
              <w:rPr>
                <w:rFonts w:cstheme="minorHAnsi"/>
                <w:sz w:val="20"/>
                <w:szCs w:val="20"/>
              </w:rPr>
              <w:t>Joint Secretary and Member (Energy Efficiency) Sustainable and Renewable Energy Development Authority (SREDA)</w:t>
            </w:r>
          </w:p>
          <w:p w:rsidR="009511DC" w:rsidRPr="007D7ED0" w:rsidRDefault="009511DC" w:rsidP="009511DC">
            <w:pPr>
              <w:autoSpaceDE w:val="0"/>
              <w:autoSpaceDN w:val="0"/>
              <w:adjustRightInd w:val="0"/>
              <w:spacing w:after="0" w:line="240" w:lineRule="auto"/>
              <w:rPr>
                <w:rFonts w:cstheme="minorHAnsi"/>
                <w:b/>
                <w:sz w:val="20"/>
                <w:szCs w:val="20"/>
              </w:rPr>
            </w:pPr>
            <w:r w:rsidRPr="007D7ED0">
              <w:rPr>
                <w:rFonts w:cstheme="minorHAnsi"/>
                <w:b/>
                <w:sz w:val="20"/>
                <w:szCs w:val="20"/>
              </w:rPr>
              <w:t xml:space="preserve">Md. Monwar Hasan </w:t>
            </w:r>
            <w:r>
              <w:rPr>
                <w:rFonts w:cstheme="minorHAnsi"/>
                <w:b/>
                <w:sz w:val="20"/>
                <w:szCs w:val="20"/>
              </w:rPr>
              <w:t>K</w:t>
            </w:r>
            <w:r w:rsidRPr="007D7ED0">
              <w:rPr>
                <w:rFonts w:cstheme="minorHAnsi"/>
                <w:b/>
                <w:sz w:val="20"/>
                <w:szCs w:val="20"/>
              </w:rPr>
              <w:t xml:space="preserve">han, </w:t>
            </w:r>
            <w:r w:rsidRPr="007D7ED0">
              <w:rPr>
                <w:rFonts w:cstheme="minorHAnsi"/>
                <w:sz w:val="20"/>
                <w:szCs w:val="20"/>
              </w:rPr>
              <w:t>Project Manager, Development of Sustainable Renewable Energy Power Generation (SREPGen)</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t>February 19, 2015</w:t>
            </w:r>
          </w:p>
        </w:tc>
        <w:tc>
          <w:tcPr>
            <w:tcW w:w="2700" w:type="dxa"/>
            <w:shd w:val="clear" w:color="auto" w:fill="FDE9D9" w:themeFill="accent6" w:themeFillTint="33"/>
          </w:tcPr>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bCs/>
                <w:sz w:val="20"/>
                <w:szCs w:val="20"/>
              </w:rPr>
              <w:t>Brea</w:t>
            </w:r>
            <w:r>
              <w:rPr>
                <w:rFonts w:cstheme="minorHAnsi"/>
                <w:bCs/>
                <w:sz w:val="20"/>
                <w:szCs w:val="20"/>
              </w:rPr>
              <w:t>k</w:t>
            </w:r>
            <w:r w:rsidRPr="007D7ED0">
              <w:rPr>
                <w:rFonts w:cstheme="minorHAnsi"/>
                <w:bCs/>
                <w:sz w:val="20"/>
                <w:szCs w:val="20"/>
              </w:rPr>
              <w:t>fast meeting with donors, civil society organizations and government officials at Hotel La</w:t>
            </w:r>
            <w:r>
              <w:rPr>
                <w:rFonts w:cstheme="minorHAnsi"/>
                <w:bCs/>
                <w:sz w:val="20"/>
                <w:szCs w:val="20"/>
              </w:rPr>
              <w:t>k</w:t>
            </w:r>
            <w:r w:rsidRPr="007D7ED0">
              <w:rPr>
                <w:rFonts w:cstheme="minorHAnsi"/>
                <w:bCs/>
                <w:sz w:val="20"/>
                <w:szCs w:val="20"/>
              </w:rPr>
              <w:t>e Castle, Gulshan-2, Dha</w:t>
            </w:r>
            <w:r>
              <w:rPr>
                <w:rFonts w:cstheme="minorHAnsi"/>
                <w:bCs/>
                <w:sz w:val="20"/>
                <w:szCs w:val="20"/>
              </w:rPr>
              <w:t>k</w:t>
            </w:r>
            <w:r w:rsidRPr="007D7ED0">
              <w:rPr>
                <w:rFonts w:cstheme="minorHAnsi"/>
                <w:bCs/>
                <w:sz w:val="20"/>
                <w:szCs w:val="20"/>
              </w:rPr>
              <w:t>a</w:t>
            </w:r>
          </w:p>
          <w:p w:rsidR="009511DC" w:rsidRPr="007D7ED0" w:rsidRDefault="009511DC" w:rsidP="009511DC">
            <w:pPr>
              <w:autoSpaceDE w:val="0"/>
              <w:autoSpaceDN w:val="0"/>
              <w:adjustRightInd w:val="0"/>
              <w:spacing w:after="0" w:line="240" w:lineRule="auto"/>
              <w:jc w:val="center"/>
              <w:rPr>
                <w:rFonts w:cstheme="minorHAnsi"/>
                <w:bCs/>
                <w:sz w:val="20"/>
                <w:szCs w:val="20"/>
              </w:rPr>
            </w:pPr>
          </w:p>
          <w:p w:rsidR="009511DC" w:rsidRPr="007D7ED0" w:rsidRDefault="009511DC" w:rsidP="009511DC">
            <w:pPr>
              <w:autoSpaceDE w:val="0"/>
              <w:autoSpaceDN w:val="0"/>
              <w:adjustRightInd w:val="0"/>
              <w:spacing w:after="0" w:line="240" w:lineRule="auto"/>
              <w:jc w:val="center"/>
              <w:rPr>
                <w:rFonts w:cstheme="minorHAnsi"/>
                <w:bCs/>
                <w:sz w:val="20"/>
                <w:szCs w:val="20"/>
              </w:rPr>
            </w:pPr>
          </w:p>
          <w:p w:rsidR="009511DC" w:rsidRPr="007D7ED0" w:rsidRDefault="009511DC" w:rsidP="009511DC">
            <w:pPr>
              <w:autoSpaceDE w:val="0"/>
              <w:autoSpaceDN w:val="0"/>
              <w:adjustRightInd w:val="0"/>
              <w:spacing w:after="0" w:line="240" w:lineRule="auto"/>
              <w:jc w:val="center"/>
              <w:rPr>
                <w:rFonts w:cstheme="minorHAnsi"/>
                <w:bCs/>
                <w:sz w:val="20"/>
                <w:szCs w:val="20"/>
              </w:rPr>
            </w:pPr>
          </w:p>
          <w:p w:rsidR="009511DC" w:rsidRPr="007D7ED0" w:rsidRDefault="009511DC" w:rsidP="009511DC">
            <w:pPr>
              <w:autoSpaceDE w:val="0"/>
              <w:autoSpaceDN w:val="0"/>
              <w:adjustRightInd w:val="0"/>
              <w:spacing w:after="0" w:line="240" w:lineRule="auto"/>
              <w:jc w:val="center"/>
              <w:rPr>
                <w:rFonts w:cstheme="minorHAnsi"/>
                <w:bCs/>
                <w:sz w:val="20"/>
                <w:szCs w:val="20"/>
              </w:rPr>
            </w:pPr>
          </w:p>
          <w:p w:rsidR="009511DC" w:rsidRPr="007D7ED0" w:rsidRDefault="009511DC" w:rsidP="009511DC">
            <w:pPr>
              <w:autoSpaceDE w:val="0"/>
              <w:autoSpaceDN w:val="0"/>
              <w:adjustRightInd w:val="0"/>
              <w:spacing w:after="0" w:line="240" w:lineRule="auto"/>
              <w:jc w:val="center"/>
              <w:rPr>
                <w:rFonts w:cstheme="minorHAnsi"/>
                <w:bCs/>
                <w:sz w:val="20"/>
                <w:szCs w:val="20"/>
              </w:rPr>
            </w:pPr>
          </w:p>
          <w:p w:rsidR="009511DC" w:rsidRPr="007D7ED0" w:rsidRDefault="009511DC" w:rsidP="009511DC">
            <w:pPr>
              <w:autoSpaceDE w:val="0"/>
              <w:autoSpaceDN w:val="0"/>
              <w:adjustRightInd w:val="0"/>
              <w:spacing w:after="0" w:line="240" w:lineRule="auto"/>
              <w:jc w:val="center"/>
              <w:rPr>
                <w:rFonts w:cstheme="minorHAnsi"/>
                <w:bCs/>
                <w:sz w:val="20"/>
                <w:szCs w:val="20"/>
              </w:rPr>
            </w:pPr>
          </w:p>
          <w:p w:rsidR="009511DC" w:rsidRPr="007D7ED0" w:rsidRDefault="009511DC" w:rsidP="009511DC">
            <w:pPr>
              <w:autoSpaceDE w:val="0"/>
              <w:autoSpaceDN w:val="0"/>
              <w:adjustRightInd w:val="0"/>
              <w:spacing w:after="0" w:line="240" w:lineRule="auto"/>
              <w:jc w:val="center"/>
              <w:rPr>
                <w:rFonts w:cstheme="minorHAnsi"/>
                <w:bCs/>
                <w:sz w:val="20"/>
                <w:szCs w:val="20"/>
              </w:rPr>
            </w:pPr>
          </w:p>
          <w:p w:rsidR="009511DC" w:rsidRPr="007D7ED0" w:rsidRDefault="009511DC" w:rsidP="009511DC">
            <w:pPr>
              <w:autoSpaceDE w:val="0"/>
              <w:autoSpaceDN w:val="0"/>
              <w:adjustRightInd w:val="0"/>
              <w:spacing w:after="0" w:line="240" w:lineRule="auto"/>
              <w:jc w:val="center"/>
              <w:rPr>
                <w:rFonts w:cstheme="minorHAnsi"/>
                <w:bCs/>
                <w:sz w:val="20"/>
                <w:szCs w:val="20"/>
              </w:rPr>
            </w:pPr>
          </w:p>
          <w:p w:rsidR="009511DC" w:rsidRPr="007D7ED0" w:rsidRDefault="009511DC" w:rsidP="009511DC">
            <w:pPr>
              <w:autoSpaceDE w:val="0"/>
              <w:autoSpaceDN w:val="0"/>
              <w:adjustRightInd w:val="0"/>
              <w:spacing w:after="0" w:line="240" w:lineRule="auto"/>
              <w:jc w:val="center"/>
              <w:rPr>
                <w:rFonts w:cstheme="minorHAnsi"/>
                <w:bCs/>
                <w:sz w:val="20"/>
                <w:szCs w:val="20"/>
              </w:rPr>
            </w:pPr>
          </w:p>
          <w:p w:rsidR="009511DC" w:rsidRPr="007D7ED0" w:rsidRDefault="009511DC" w:rsidP="009511DC">
            <w:pPr>
              <w:autoSpaceDE w:val="0"/>
              <w:autoSpaceDN w:val="0"/>
              <w:adjustRightInd w:val="0"/>
              <w:spacing w:after="0" w:line="240" w:lineRule="auto"/>
              <w:jc w:val="center"/>
              <w:rPr>
                <w:rFonts w:cstheme="minorHAnsi"/>
                <w:bCs/>
                <w:sz w:val="20"/>
                <w:szCs w:val="20"/>
              </w:rPr>
            </w:pPr>
          </w:p>
          <w:p w:rsidR="009511DC" w:rsidRPr="007D7ED0" w:rsidRDefault="009511DC" w:rsidP="009511DC">
            <w:pPr>
              <w:autoSpaceDE w:val="0"/>
              <w:autoSpaceDN w:val="0"/>
              <w:adjustRightInd w:val="0"/>
              <w:spacing w:after="0" w:line="240" w:lineRule="auto"/>
              <w:jc w:val="center"/>
              <w:rPr>
                <w:rFonts w:cstheme="minorHAnsi"/>
                <w:bCs/>
                <w:sz w:val="20"/>
                <w:szCs w:val="20"/>
              </w:rPr>
            </w:pPr>
          </w:p>
          <w:p w:rsidR="009511DC" w:rsidRPr="007D7ED0" w:rsidRDefault="009511DC" w:rsidP="009511DC">
            <w:pPr>
              <w:autoSpaceDE w:val="0"/>
              <w:autoSpaceDN w:val="0"/>
              <w:adjustRightInd w:val="0"/>
              <w:spacing w:after="0" w:line="240" w:lineRule="auto"/>
              <w:jc w:val="center"/>
              <w:rPr>
                <w:rFonts w:cstheme="minorHAnsi"/>
                <w:bCs/>
                <w:sz w:val="20"/>
                <w:szCs w:val="20"/>
              </w:rPr>
            </w:pPr>
          </w:p>
          <w:p w:rsidR="009511DC" w:rsidRPr="007D7ED0" w:rsidRDefault="009511DC" w:rsidP="009511DC">
            <w:pPr>
              <w:autoSpaceDE w:val="0"/>
              <w:autoSpaceDN w:val="0"/>
              <w:adjustRightInd w:val="0"/>
              <w:spacing w:after="0" w:line="240" w:lineRule="auto"/>
              <w:jc w:val="center"/>
              <w:rPr>
                <w:rFonts w:cstheme="minorHAnsi"/>
                <w:bCs/>
                <w:sz w:val="20"/>
                <w:szCs w:val="20"/>
              </w:rPr>
            </w:pPr>
          </w:p>
          <w:p w:rsidR="009511DC" w:rsidRPr="007D7ED0" w:rsidRDefault="009511DC" w:rsidP="009511DC">
            <w:pPr>
              <w:autoSpaceDE w:val="0"/>
              <w:autoSpaceDN w:val="0"/>
              <w:adjustRightInd w:val="0"/>
              <w:spacing w:after="0" w:line="240" w:lineRule="auto"/>
              <w:jc w:val="center"/>
              <w:rPr>
                <w:rFonts w:cstheme="minorHAnsi"/>
                <w:bCs/>
                <w:sz w:val="20"/>
                <w:szCs w:val="20"/>
              </w:rPr>
            </w:pPr>
          </w:p>
          <w:p w:rsidR="009511DC" w:rsidRPr="007D7ED0" w:rsidRDefault="009511DC" w:rsidP="009511DC">
            <w:pPr>
              <w:autoSpaceDE w:val="0"/>
              <w:autoSpaceDN w:val="0"/>
              <w:adjustRightInd w:val="0"/>
              <w:spacing w:after="0" w:line="240" w:lineRule="auto"/>
              <w:jc w:val="center"/>
              <w:rPr>
                <w:rFonts w:cstheme="minorHAnsi"/>
                <w:bCs/>
                <w:sz w:val="20"/>
                <w:szCs w:val="20"/>
              </w:rPr>
            </w:pPr>
          </w:p>
          <w:p w:rsidR="009511DC" w:rsidRPr="007D7ED0" w:rsidRDefault="009511DC" w:rsidP="009511DC">
            <w:pPr>
              <w:autoSpaceDE w:val="0"/>
              <w:autoSpaceDN w:val="0"/>
              <w:adjustRightInd w:val="0"/>
              <w:spacing w:after="0" w:line="240" w:lineRule="auto"/>
              <w:jc w:val="center"/>
              <w:rPr>
                <w:rFonts w:cstheme="minorHAnsi"/>
                <w:bCs/>
                <w:sz w:val="20"/>
                <w:szCs w:val="20"/>
              </w:rPr>
            </w:pPr>
          </w:p>
          <w:p w:rsidR="009511DC" w:rsidRPr="007D7ED0" w:rsidRDefault="009511DC" w:rsidP="009511DC">
            <w:pPr>
              <w:autoSpaceDE w:val="0"/>
              <w:autoSpaceDN w:val="0"/>
              <w:adjustRightInd w:val="0"/>
              <w:spacing w:after="0" w:line="240" w:lineRule="auto"/>
              <w:jc w:val="center"/>
              <w:rPr>
                <w:rFonts w:cstheme="minorHAnsi"/>
                <w:bCs/>
                <w:sz w:val="20"/>
                <w:szCs w:val="20"/>
              </w:rPr>
            </w:pPr>
          </w:p>
          <w:p w:rsidR="009511DC" w:rsidRPr="007D7ED0" w:rsidRDefault="009511DC" w:rsidP="009511DC">
            <w:pPr>
              <w:autoSpaceDE w:val="0"/>
              <w:autoSpaceDN w:val="0"/>
              <w:adjustRightInd w:val="0"/>
              <w:spacing w:after="0" w:line="240" w:lineRule="auto"/>
              <w:jc w:val="center"/>
              <w:rPr>
                <w:rFonts w:cstheme="minorHAnsi"/>
                <w:bCs/>
                <w:sz w:val="20"/>
                <w:szCs w:val="20"/>
              </w:rPr>
            </w:pPr>
          </w:p>
          <w:p w:rsidR="009511DC" w:rsidRPr="007D7ED0" w:rsidRDefault="009511DC" w:rsidP="009511DC">
            <w:pPr>
              <w:autoSpaceDE w:val="0"/>
              <w:autoSpaceDN w:val="0"/>
              <w:adjustRightInd w:val="0"/>
              <w:spacing w:after="0" w:line="240" w:lineRule="auto"/>
              <w:rPr>
                <w:rFonts w:cstheme="minorHAnsi"/>
                <w:bCs/>
                <w:sz w:val="20"/>
                <w:szCs w:val="20"/>
              </w:rPr>
            </w:pPr>
          </w:p>
          <w:p w:rsidR="009511DC" w:rsidRPr="007D7ED0" w:rsidRDefault="009511DC" w:rsidP="009511DC">
            <w:pPr>
              <w:autoSpaceDE w:val="0"/>
              <w:autoSpaceDN w:val="0"/>
              <w:adjustRightInd w:val="0"/>
              <w:spacing w:after="0" w:line="240" w:lineRule="auto"/>
              <w:rPr>
                <w:rFonts w:cstheme="minorHAnsi"/>
                <w:bCs/>
                <w:sz w:val="20"/>
                <w:szCs w:val="20"/>
              </w:rPr>
            </w:pPr>
          </w:p>
          <w:p w:rsidR="009511DC" w:rsidRDefault="009511DC" w:rsidP="009511DC">
            <w:pPr>
              <w:autoSpaceDE w:val="0"/>
              <w:autoSpaceDN w:val="0"/>
              <w:adjustRightInd w:val="0"/>
              <w:spacing w:after="0" w:line="240" w:lineRule="auto"/>
              <w:rPr>
                <w:rFonts w:cstheme="minorHAnsi"/>
                <w:bCs/>
                <w:sz w:val="20"/>
                <w:szCs w:val="20"/>
              </w:rPr>
            </w:pPr>
          </w:p>
          <w:p w:rsidR="009511DC" w:rsidRPr="007D7ED0" w:rsidRDefault="009511DC" w:rsidP="009511DC">
            <w:pPr>
              <w:autoSpaceDE w:val="0"/>
              <w:autoSpaceDN w:val="0"/>
              <w:adjustRightInd w:val="0"/>
              <w:spacing w:after="0" w:line="240" w:lineRule="auto"/>
              <w:rPr>
                <w:rFonts w:cstheme="minorHAnsi"/>
                <w:bCs/>
                <w:sz w:val="20"/>
                <w:szCs w:val="20"/>
              </w:rPr>
            </w:pPr>
          </w:p>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bCs/>
                <w:sz w:val="20"/>
                <w:szCs w:val="20"/>
              </w:rPr>
              <w:t>Field visit to Universal Bric</w:t>
            </w:r>
            <w:r>
              <w:rPr>
                <w:rFonts w:cstheme="minorHAnsi"/>
                <w:bCs/>
                <w:sz w:val="20"/>
                <w:szCs w:val="20"/>
              </w:rPr>
              <w:t>k</w:t>
            </w:r>
            <w:r w:rsidRPr="007D7ED0">
              <w:rPr>
                <w:rFonts w:cstheme="minorHAnsi"/>
                <w:bCs/>
                <w:sz w:val="20"/>
                <w:szCs w:val="20"/>
              </w:rPr>
              <w:t>s, Green Bric</w:t>
            </w:r>
            <w:r>
              <w:rPr>
                <w:rFonts w:cstheme="minorHAnsi"/>
                <w:bCs/>
                <w:sz w:val="20"/>
                <w:szCs w:val="20"/>
              </w:rPr>
              <w:t>k</w:t>
            </w:r>
            <w:r w:rsidRPr="007D7ED0">
              <w:rPr>
                <w:rFonts w:cstheme="minorHAnsi"/>
                <w:bCs/>
                <w:sz w:val="20"/>
                <w:szCs w:val="20"/>
              </w:rPr>
              <w:t>s project site at Dhamrai, Dha</w:t>
            </w:r>
            <w:r>
              <w:rPr>
                <w:rFonts w:cstheme="minorHAnsi"/>
                <w:bCs/>
                <w:sz w:val="20"/>
                <w:szCs w:val="20"/>
              </w:rPr>
              <w:t>k</w:t>
            </w:r>
            <w:r w:rsidRPr="007D7ED0">
              <w:rPr>
                <w:rFonts w:cstheme="minorHAnsi"/>
                <w:bCs/>
                <w:sz w:val="20"/>
                <w:szCs w:val="20"/>
              </w:rPr>
              <w:t>a</w:t>
            </w:r>
          </w:p>
          <w:p w:rsidR="009511DC" w:rsidRPr="007D7ED0" w:rsidRDefault="009511DC" w:rsidP="009511DC">
            <w:pPr>
              <w:autoSpaceDE w:val="0"/>
              <w:autoSpaceDN w:val="0"/>
              <w:adjustRightInd w:val="0"/>
              <w:spacing w:after="0" w:line="240" w:lineRule="auto"/>
              <w:rPr>
                <w:rFonts w:cstheme="minorHAnsi"/>
                <w:bCs/>
                <w:sz w:val="20"/>
                <w:szCs w:val="20"/>
              </w:rPr>
            </w:pPr>
          </w:p>
        </w:tc>
        <w:tc>
          <w:tcPr>
            <w:tcW w:w="810" w:type="dxa"/>
            <w:shd w:val="clear" w:color="auto" w:fill="FDE9D9" w:themeFill="accent6" w:themeFillTint="33"/>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8:00 AM</w:t>
            </w: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rPr>
                <w:rFonts w:cstheme="minorHAnsi"/>
                <w:b/>
                <w:sz w:val="20"/>
                <w:szCs w:val="20"/>
              </w:rPr>
            </w:pPr>
            <w:r w:rsidRPr="007D7ED0">
              <w:rPr>
                <w:rFonts w:cstheme="minorHAnsi"/>
                <w:b/>
                <w:sz w:val="20"/>
                <w:szCs w:val="20"/>
              </w:rPr>
              <w:t>11:30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AM</w:t>
            </w:r>
          </w:p>
        </w:tc>
        <w:tc>
          <w:tcPr>
            <w:tcW w:w="5130" w:type="dxa"/>
            <w:shd w:val="clear" w:color="auto" w:fill="FDE9D9" w:themeFill="accent6" w:themeFillTint="33"/>
          </w:tcPr>
          <w:p w:rsidR="009511DC" w:rsidRPr="007D7ED0" w:rsidRDefault="009511DC" w:rsidP="009511DC">
            <w:pPr>
              <w:spacing w:after="0" w:line="240" w:lineRule="auto"/>
              <w:rPr>
                <w:rFonts w:cstheme="minorHAnsi"/>
                <w:b/>
                <w:sz w:val="20"/>
                <w:szCs w:val="20"/>
              </w:rPr>
            </w:pPr>
            <w:r w:rsidRPr="007D7ED0">
              <w:rPr>
                <w:rFonts w:cstheme="minorHAnsi"/>
                <w:b/>
                <w:sz w:val="20"/>
                <w:szCs w:val="20"/>
              </w:rPr>
              <w:t xml:space="preserve">Colum Wilson, </w:t>
            </w:r>
            <w:r w:rsidRPr="007D7ED0">
              <w:rPr>
                <w:rFonts w:cstheme="minorHAnsi"/>
                <w:sz w:val="20"/>
                <w:szCs w:val="20"/>
              </w:rPr>
              <w:t>DFID Bangladesh</w:t>
            </w:r>
          </w:p>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Helen </w:t>
            </w:r>
            <w:r>
              <w:rPr>
                <w:rFonts w:cstheme="minorHAnsi"/>
                <w:b/>
                <w:sz w:val="20"/>
                <w:szCs w:val="20"/>
              </w:rPr>
              <w:t>K</w:t>
            </w:r>
            <w:r w:rsidRPr="007D7ED0">
              <w:rPr>
                <w:rFonts w:cstheme="minorHAnsi"/>
                <w:b/>
                <w:sz w:val="20"/>
                <w:szCs w:val="20"/>
              </w:rPr>
              <w:t xml:space="preserve">ing, </w:t>
            </w:r>
            <w:r w:rsidRPr="007D7ED0">
              <w:rPr>
                <w:rFonts w:cstheme="minorHAnsi"/>
                <w:sz w:val="20"/>
                <w:szCs w:val="20"/>
              </w:rPr>
              <w:t>DFID Bangladesh</w:t>
            </w:r>
          </w:p>
          <w:p w:rsidR="009511DC" w:rsidRPr="007D7ED0" w:rsidRDefault="009511DC" w:rsidP="009511DC">
            <w:pPr>
              <w:spacing w:after="0" w:line="240" w:lineRule="auto"/>
              <w:rPr>
                <w:rFonts w:cstheme="minorHAnsi"/>
                <w:sz w:val="20"/>
                <w:szCs w:val="20"/>
              </w:rPr>
            </w:pPr>
            <w:r w:rsidRPr="007D7ED0">
              <w:rPr>
                <w:rFonts w:cstheme="minorHAnsi"/>
                <w:b/>
                <w:sz w:val="20"/>
                <w:szCs w:val="20"/>
              </w:rPr>
              <w:t>Dr. Haseeb Md. Irfanullah</w:t>
            </w:r>
            <w:r w:rsidRPr="007D7ED0">
              <w:rPr>
                <w:rFonts w:cstheme="minorHAnsi"/>
                <w:sz w:val="20"/>
                <w:szCs w:val="20"/>
              </w:rPr>
              <w:t>, IUCN Bangladesh</w:t>
            </w:r>
          </w:p>
          <w:p w:rsidR="009511DC" w:rsidRPr="007D7ED0" w:rsidRDefault="009511DC" w:rsidP="009511DC">
            <w:pPr>
              <w:spacing w:after="0" w:line="240" w:lineRule="auto"/>
              <w:rPr>
                <w:rFonts w:cstheme="minorHAnsi"/>
                <w:sz w:val="20"/>
                <w:szCs w:val="20"/>
              </w:rPr>
            </w:pPr>
            <w:r w:rsidRPr="007D7ED0">
              <w:rPr>
                <w:rFonts w:cstheme="minorHAnsi"/>
                <w:b/>
                <w:sz w:val="20"/>
                <w:szCs w:val="20"/>
              </w:rPr>
              <w:t>DilrubaHaider</w:t>
            </w:r>
            <w:r w:rsidRPr="007D7ED0">
              <w:rPr>
                <w:rFonts w:cstheme="minorHAnsi"/>
                <w:sz w:val="20"/>
                <w:szCs w:val="20"/>
              </w:rPr>
              <w:t>, UN Women</w:t>
            </w:r>
          </w:p>
          <w:p w:rsidR="009511DC" w:rsidRPr="007D7ED0" w:rsidRDefault="009511DC" w:rsidP="009511DC">
            <w:pPr>
              <w:spacing w:after="0" w:line="240" w:lineRule="auto"/>
              <w:rPr>
                <w:rFonts w:cstheme="minorHAnsi"/>
                <w:sz w:val="20"/>
                <w:szCs w:val="20"/>
              </w:rPr>
            </w:pPr>
            <w:r w:rsidRPr="007D7ED0">
              <w:rPr>
                <w:rFonts w:cstheme="minorHAnsi"/>
                <w:b/>
                <w:sz w:val="20"/>
                <w:szCs w:val="20"/>
              </w:rPr>
              <w:t>Dr. Sultan Ahmed</w:t>
            </w:r>
            <w:r w:rsidRPr="007D7ED0">
              <w:rPr>
                <w:rFonts w:cstheme="minorHAnsi"/>
                <w:sz w:val="20"/>
                <w:szCs w:val="20"/>
              </w:rPr>
              <w:t>, Joint Secretary, Director NRM</w:t>
            </w:r>
          </w:p>
          <w:p w:rsidR="009511DC" w:rsidRPr="007D7ED0" w:rsidRDefault="009511DC" w:rsidP="009511DC">
            <w:pPr>
              <w:spacing w:after="0" w:line="240" w:lineRule="auto"/>
              <w:rPr>
                <w:rFonts w:cstheme="minorHAnsi"/>
                <w:sz w:val="20"/>
                <w:szCs w:val="20"/>
              </w:rPr>
            </w:pPr>
            <w:r w:rsidRPr="007D7ED0">
              <w:rPr>
                <w:rFonts w:cstheme="minorHAnsi"/>
                <w:b/>
                <w:sz w:val="20"/>
                <w:szCs w:val="20"/>
              </w:rPr>
              <w:t>Harun Rashid</w:t>
            </w:r>
            <w:r w:rsidRPr="007D7ED0">
              <w:rPr>
                <w:rFonts w:cstheme="minorHAnsi"/>
                <w:sz w:val="20"/>
                <w:szCs w:val="20"/>
              </w:rPr>
              <w:t>, ILO Bangladesh</w:t>
            </w:r>
          </w:p>
          <w:p w:rsidR="009511DC" w:rsidRPr="007D7ED0" w:rsidRDefault="009511DC" w:rsidP="009511DC">
            <w:pPr>
              <w:spacing w:after="0" w:line="240" w:lineRule="auto"/>
              <w:rPr>
                <w:rFonts w:cstheme="minorHAnsi"/>
                <w:sz w:val="20"/>
                <w:szCs w:val="20"/>
              </w:rPr>
            </w:pPr>
            <w:r w:rsidRPr="007D7ED0">
              <w:rPr>
                <w:rFonts w:cstheme="minorHAnsi"/>
                <w:b/>
                <w:sz w:val="20"/>
                <w:szCs w:val="20"/>
              </w:rPr>
              <w:t>Md. ShamsulAlam</w:t>
            </w:r>
            <w:r w:rsidRPr="007D7ED0">
              <w:rPr>
                <w:rFonts w:cstheme="minorHAnsi"/>
                <w:sz w:val="20"/>
                <w:szCs w:val="20"/>
              </w:rPr>
              <w:t>, Deputy Chief Conservator of Forest, Bangladesh Forest Department</w:t>
            </w:r>
          </w:p>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QuaziSarwarImtiaz Hashmi, </w:t>
            </w:r>
            <w:r w:rsidRPr="007D7ED0">
              <w:rPr>
                <w:rFonts w:cstheme="minorHAnsi"/>
                <w:sz w:val="20"/>
                <w:szCs w:val="20"/>
              </w:rPr>
              <w:t>ADG, DoE</w:t>
            </w:r>
          </w:p>
          <w:p w:rsidR="009511DC" w:rsidRPr="007D7ED0" w:rsidRDefault="009511DC" w:rsidP="009511DC">
            <w:pPr>
              <w:spacing w:after="0" w:line="240" w:lineRule="auto"/>
              <w:rPr>
                <w:rFonts w:cstheme="minorHAnsi"/>
                <w:sz w:val="20"/>
                <w:szCs w:val="20"/>
              </w:rPr>
            </w:pPr>
            <w:r w:rsidRPr="007D7ED0">
              <w:rPr>
                <w:rFonts w:cstheme="minorHAnsi"/>
                <w:b/>
                <w:sz w:val="20"/>
                <w:szCs w:val="20"/>
              </w:rPr>
              <w:t>Anwar Hossain</w:t>
            </w:r>
            <w:r w:rsidRPr="007D7ED0">
              <w:rPr>
                <w:rFonts w:cstheme="minorHAnsi"/>
                <w:sz w:val="20"/>
                <w:szCs w:val="20"/>
              </w:rPr>
              <w:t>, Programme Specialist, UNICEF</w:t>
            </w:r>
          </w:p>
          <w:p w:rsidR="009511DC" w:rsidRPr="007D7ED0" w:rsidRDefault="009511DC" w:rsidP="009511DC">
            <w:pPr>
              <w:spacing w:after="0" w:line="240" w:lineRule="auto"/>
              <w:rPr>
                <w:rFonts w:cstheme="minorHAnsi"/>
                <w:sz w:val="20"/>
                <w:szCs w:val="20"/>
              </w:rPr>
            </w:pPr>
            <w:r w:rsidRPr="007D7ED0">
              <w:rPr>
                <w:rFonts w:cstheme="minorHAnsi"/>
                <w:b/>
                <w:sz w:val="20"/>
                <w:szCs w:val="20"/>
              </w:rPr>
              <w:t>RomenaParvin</w:t>
            </w:r>
            <w:r w:rsidRPr="007D7ED0">
              <w:rPr>
                <w:rFonts w:cstheme="minorHAnsi"/>
                <w:sz w:val="20"/>
                <w:szCs w:val="20"/>
              </w:rPr>
              <w:t>, DFAT, Australian High Commission, Bangladesh</w:t>
            </w:r>
          </w:p>
          <w:p w:rsidR="009511DC" w:rsidRPr="007D7ED0" w:rsidRDefault="009511DC" w:rsidP="009511DC">
            <w:pPr>
              <w:spacing w:after="0" w:line="240" w:lineRule="auto"/>
              <w:rPr>
                <w:rFonts w:cstheme="minorHAnsi"/>
                <w:sz w:val="20"/>
                <w:szCs w:val="20"/>
              </w:rPr>
            </w:pPr>
            <w:r w:rsidRPr="007D7ED0">
              <w:rPr>
                <w:rFonts w:cstheme="minorHAnsi"/>
                <w:b/>
                <w:sz w:val="20"/>
                <w:szCs w:val="20"/>
              </w:rPr>
              <w:t>Shahnaz Za</w:t>
            </w:r>
            <w:r>
              <w:rPr>
                <w:rFonts w:cstheme="minorHAnsi"/>
                <w:b/>
                <w:sz w:val="20"/>
                <w:szCs w:val="20"/>
              </w:rPr>
              <w:t>k</w:t>
            </w:r>
            <w:r w:rsidRPr="007D7ED0">
              <w:rPr>
                <w:rFonts w:cstheme="minorHAnsi"/>
                <w:b/>
                <w:sz w:val="20"/>
                <w:szCs w:val="20"/>
              </w:rPr>
              <w:t xml:space="preserve">ari, </w:t>
            </w:r>
            <w:r w:rsidRPr="007D7ED0">
              <w:rPr>
                <w:rFonts w:cstheme="minorHAnsi"/>
                <w:sz w:val="20"/>
                <w:szCs w:val="20"/>
              </w:rPr>
              <w:t>USAID</w:t>
            </w:r>
          </w:p>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Morshed Ahmed, </w:t>
            </w:r>
            <w:r w:rsidRPr="007D7ED0">
              <w:rPr>
                <w:rFonts w:cstheme="minorHAnsi"/>
                <w:sz w:val="20"/>
                <w:szCs w:val="20"/>
              </w:rPr>
              <w:t>Norwegian Embassy</w:t>
            </w:r>
          </w:p>
          <w:p w:rsidR="009511DC" w:rsidRPr="007D7ED0" w:rsidRDefault="009511DC" w:rsidP="009511DC">
            <w:pPr>
              <w:spacing w:after="0" w:line="240" w:lineRule="auto"/>
              <w:rPr>
                <w:rFonts w:cstheme="minorHAnsi"/>
                <w:sz w:val="20"/>
                <w:szCs w:val="20"/>
              </w:rPr>
            </w:pPr>
            <w:r w:rsidRPr="007D7ED0">
              <w:rPr>
                <w:rFonts w:cstheme="minorHAnsi"/>
                <w:b/>
                <w:sz w:val="20"/>
                <w:szCs w:val="20"/>
              </w:rPr>
              <w:t>Nys</w:t>
            </w:r>
            <w:r>
              <w:rPr>
                <w:rFonts w:cstheme="minorHAnsi"/>
                <w:b/>
                <w:sz w:val="20"/>
                <w:szCs w:val="20"/>
              </w:rPr>
              <w:t>k</w:t>
            </w:r>
            <w:r w:rsidRPr="007D7ED0">
              <w:rPr>
                <w:rFonts w:cstheme="minorHAnsi"/>
                <w:b/>
                <w:sz w:val="20"/>
                <w:szCs w:val="20"/>
              </w:rPr>
              <w:t>e Janssen</w:t>
            </w:r>
            <w:r w:rsidRPr="007D7ED0">
              <w:rPr>
                <w:rFonts w:cstheme="minorHAnsi"/>
                <w:sz w:val="20"/>
                <w:szCs w:val="20"/>
              </w:rPr>
              <w:t>, ILO</w:t>
            </w:r>
          </w:p>
          <w:p w:rsidR="009511DC" w:rsidRPr="007D7ED0" w:rsidRDefault="009511DC" w:rsidP="009511DC">
            <w:pPr>
              <w:spacing w:after="0" w:line="240" w:lineRule="auto"/>
              <w:rPr>
                <w:rFonts w:cstheme="minorHAnsi"/>
                <w:sz w:val="20"/>
                <w:szCs w:val="20"/>
              </w:rPr>
            </w:pPr>
            <w:r w:rsidRPr="007D7ED0">
              <w:rPr>
                <w:rFonts w:cstheme="minorHAnsi"/>
                <w:b/>
                <w:sz w:val="20"/>
                <w:szCs w:val="20"/>
              </w:rPr>
              <w:t>Fran Martin</w:t>
            </w:r>
            <w:r w:rsidRPr="007D7ED0">
              <w:rPr>
                <w:rFonts w:cstheme="minorHAnsi"/>
                <w:sz w:val="20"/>
                <w:szCs w:val="20"/>
              </w:rPr>
              <w:t>, DFID Bangladesh</w:t>
            </w:r>
          </w:p>
          <w:p w:rsidR="009511DC" w:rsidRPr="007D7ED0" w:rsidRDefault="009511DC" w:rsidP="009511DC">
            <w:pPr>
              <w:spacing w:after="0" w:line="240" w:lineRule="auto"/>
              <w:rPr>
                <w:rFonts w:cstheme="minorHAnsi"/>
                <w:sz w:val="20"/>
                <w:szCs w:val="20"/>
              </w:rPr>
            </w:pPr>
            <w:r w:rsidRPr="007D7ED0">
              <w:rPr>
                <w:rFonts w:cstheme="minorHAnsi"/>
                <w:b/>
                <w:sz w:val="20"/>
                <w:szCs w:val="20"/>
              </w:rPr>
              <w:t>SunitaGiri,</w:t>
            </w:r>
            <w:r w:rsidRPr="007D7ED0">
              <w:rPr>
                <w:rFonts w:cstheme="minorHAnsi"/>
                <w:sz w:val="20"/>
                <w:szCs w:val="20"/>
              </w:rPr>
              <w:t xml:space="preserve"> UN RCO</w:t>
            </w:r>
          </w:p>
          <w:p w:rsidR="009511DC" w:rsidRPr="007D7ED0" w:rsidRDefault="009511DC" w:rsidP="009511DC">
            <w:pPr>
              <w:spacing w:after="0" w:line="240" w:lineRule="auto"/>
              <w:rPr>
                <w:rFonts w:cstheme="minorHAnsi"/>
                <w:sz w:val="20"/>
                <w:szCs w:val="20"/>
              </w:rPr>
            </w:pPr>
            <w:r w:rsidRPr="007D7ED0">
              <w:rPr>
                <w:rFonts w:cstheme="minorHAnsi"/>
                <w:b/>
                <w:sz w:val="20"/>
                <w:szCs w:val="20"/>
              </w:rPr>
              <w:t>Mi</w:t>
            </w:r>
            <w:r>
              <w:rPr>
                <w:rFonts w:cstheme="minorHAnsi"/>
                <w:b/>
                <w:sz w:val="20"/>
                <w:szCs w:val="20"/>
              </w:rPr>
              <w:t>k</w:t>
            </w:r>
            <w:r w:rsidRPr="007D7ED0">
              <w:rPr>
                <w:rFonts w:cstheme="minorHAnsi"/>
                <w:b/>
                <w:sz w:val="20"/>
                <w:szCs w:val="20"/>
              </w:rPr>
              <w:t xml:space="preserve">a </w:t>
            </w:r>
            <w:r>
              <w:rPr>
                <w:rFonts w:cstheme="minorHAnsi"/>
                <w:b/>
                <w:sz w:val="20"/>
                <w:szCs w:val="20"/>
              </w:rPr>
              <w:t>K</w:t>
            </w:r>
            <w:r w:rsidRPr="007D7ED0">
              <w:rPr>
                <w:rFonts w:cstheme="minorHAnsi"/>
                <w:b/>
                <w:sz w:val="20"/>
                <w:szCs w:val="20"/>
              </w:rPr>
              <w:t>anervavuori</w:t>
            </w:r>
            <w:r w:rsidRPr="007D7ED0">
              <w:rPr>
                <w:rFonts w:cstheme="minorHAnsi"/>
                <w:sz w:val="20"/>
                <w:szCs w:val="20"/>
              </w:rPr>
              <w:t>, UN RCO</w:t>
            </w:r>
          </w:p>
          <w:p w:rsidR="009511DC" w:rsidRPr="007D7ED0" w:rsidRDefault="009511DC" w:rsidP="009511DC">
            <w:pPr>
              <w:spacing w:after="0" w:line="240" w:lineRule="auto"/>
              <w:rPr>
                <w:rFonts w:cstheme="minorHAnsi"/>
                <w:sz w:val="20"/>
                <w:szCs w:val="20"/>
              </w:rPr>
            </w:pPr>
            <w:r w:rsidRPr="007D7ED0">
              <w:rPr>
                <w:rFonts w:cstheme="minorHAnsi"/>
                <w:b/>
                <w:sz w:val="20"/>
                <w:szCs w:val="20"/>
              </w:rPr>
              <w:t>SyedaMeherunnesaAfsana</w:t>
            </w:r>
            <w:r w:rsidRPr="007D7ED0">
              <w:rPr>
                <w:rFonts w:cstheme="minorHAnsi"/>
                <w:sz w:val="20"/>
                <w:szCs w:val="20"/>
              </w:rPr>
              <w:t>, BCAS</w:t>
            </w:r>
          </w:p>
          <w:p w:rsidR="009511DC" w:rsidRPr="007D7ED0" w:rsidRDefault="009511DC" w:rsidP="009511DC">
            <w:pPr>
              <w:spacing w:after="0" w:line="240" w:lineRule="auto"/>
              <w:rPr>
                <w:rFonts w:cstheme="minorHAnsi"/>
                <w:sz w:val="20"/>
                <w:szCs w:val="20"/>
              </w:rPr>
            </w:pPr>
            <w:r w:rsidRPr="007D7ED0">
              <w:rPr>
                <w:rFonts w:cstheme="minorHAnsi"/>
                <w:b/>
                <w:sz w:val="20"/>
                <w:szCs w:val="20"/>
              </w:rPr>
              <w:t>Md. Mizanur Rahman</w:t>
            </w:r>
            <w:r w:rsidRPr="007D7ED0">
              <w:rPr>
                <w:rFonts w:cstheme="minorHAnsi"/>
                <w:sz w:val="20"/>
                <w:szCs w:val="20"/>
              </w:rPr>
              <w:t>, BCAS</w:t>
            </w:r>
          </w:p>
          <w:p w:rsidR="009511DC" w:rsidRPr="007D7ED0" w:rsidRDefault="009511DC" w:rsidP="009511DC">
            <w:pPr>
              <w:spacing w:after="0" w:line="240" w:lineRule="auto"/>
              <w:rPr>
                <w:rFonts w:cstheme="minorHAnsi"/>
                <w:sz w:val="20"/>
                <w:szCs w:val="20"/>
              </w:rPr>
            </w:pPr>
            <w:r w:rsidRPr="007D7ED0">
              <w:rPr>
                <w:rFonts w:cstheme="minorHAnsi"/>
                <w:b/>
                <w:sz w:val="20"/>
                <w:szCs w:val="20"/>
              </w:rPr>
              <w:t>Manfred Fernholz</w:t>
            </w:r>
            <w:r w:rsidRPr="007D7ED0">
              <w:rPr>
                <w:rFonts w:cstheme="minorHAnsi"/>
                <w:sz w:val="20"/>
                <w:szCs w:val="20"/>
              </w:rPr>
              <w:t>, Delegation of EU to Bangladesh</w:t>
            </w:r>
          </w:p>
          <w:p w:rsidR="009511DC" w:rsidRPr="007D7ED0" w:rsidRDefault="009511DC" w:rsidP="009511DC">
            <w:pPr>
              <w:spacing w:after="0" w:line="240" w:lineRule="auto"/>
              <w:rPr>
                <w:rFonts w:cstheme="minorHAnsi"/>
                <w:sz w:val="20"/>
                <w:szCs w:val="20"/>
              </w:rPr>
            </w:pPr>
            <w:r w:rsidRPr="007D7ED0">
              <w:rPr>
                <w:rFonts w:cstheme="minorHAnsi"/>
                <w:b/>
                <w:sz w:val="20"/>
                <w:szCs w:val="20"/>
              </w:rPr>
              <w:t>Magnus Andre</w:t>
            </w:r>
            <w:r w:rsidRPr="007D7ED0">
              <w:rPr>
                <w:rFonts w:cstheme="minorHAnsi"/>
                <w:sz w:val="20"/>
                <w:szCs w:val="20"/>
              </w:rPr>
              <w:t>, Embassy of Sweden</w:t>
            </w:r>
          </w:p>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Michael Stevens, </w:t>
            </w:r>
            <w:r w:rsidRPr="007D7ED0">
              <w:rPr>
                <w:rFonts w:cstheme="minorHAnsi"/>
                <w:sz w:val="20"/>
                <w:szCs w:val="20"/>
              </w:rPr>
              <w:t xml:space="preserve">Embassy of the </w:t>
            </w:r>
            <w:r>
              <w:rPr>
                <w:rFonts w:cstheme="minorHAnsi"/>
                <w:sz w:val="20"/>
                <w:szCs w:val="20"/>
              </w:rPr>
              <w:t>K</w:t>
            </w:r>
            <w:r w:rsidRPr="007D7ED0">
              <w:rPr>
                <w:rFonts w:cstheme="minorHAnsi"/>
                <w:sz w:val="20"/>
                <w:szCs w:val="20"/>
              </w:rPr>
              <w:t>ingdom of Netherlands, Bangladesh</w:t>
            </w:r>
          </w:p>
          <w:p w:rsidR="009511DC" w:rsidRPr="007D7ED0" w:rsidRDefault="009511DC" w:rsidP="009511DC">
            <w:pPr>
              <w:pStyle w:val="Heading1"/>
              <w:spacing w:before="0" w:beforeAutospacing="0" w:after="0" w:afterAutospacing="0"/>
              <w:textAlignment w:val="baseline"/>
              <w:rPr>
                <w:rFonts w:asciiTheme="minorHAnsi" w:hAnsiTheme="minorHAnsi" w:cstheme="minorHAnsi"/>
                <w:b w:val="0"/>
                <w:sz w:val="20"/>
                <w:szCs w:val="20"/>
              </w:rPr>
            </w:pPr>
            <w:r w:rsidRPr="007D7ED0">
              <w:rPr>
                <w:rFonts w:asciiTheme="minorHAnsi" w:hAnsiTheme="minorHAnsi" w:cstheme="minorHAnsi"/>
                <w:sz w:val="20"/>
                <w:szCs w:val="20"/>
              </w:rPr>
              <w:t>Nic Beresford</w:t>
            </w:r>
            <w:r w:rsidRPr="007D7ED0">
              <w:rPr>
                <w:rFonts w:asciiTheme="minorHAnsi" w:hAnsiTheme="minorHAnsi" w:cstheme="minorHAnsi"/>
                <w:b w:val="0"/>
                <w:sz w:val="20"/>
                <w:szCs w:val="20"/>
              </w:rPr>
              <w:t>, Deputy Country Director, UNDP Bangladesh</w:t>
            </w:r>
          </w:p>
          <w:p w:rsidR="009511DC" w:rsidRPr="007D7ED0" w:rsidRDefault="009511DC" w:rsidP="009511DC">
            <w:pPr>
              <w:spacing w:after="0" w:line="240" w:lineRule="auto"/>
              <w:rPr>
                <w:rFonts w:cstheme="minorHAnsi"/>
                <w:b/>
                <w:sz w:val="20"/>
                <w:szCs w:val="20"/>
              </w:rPr>
            </w:pPr>
          </w:p>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Md. Amanullah Bin Mahmood, </w:t>
            </w:r>
            <w:r w:rsidRPr="007D7ED0">
              <w:rPr>
                <w:rFonts w:cstheme="minorHAnsi"/>
                <w:sz w:val="20"/>
                <w:szCs w:val="20"/>
              </w:rPr>
              <w:t>Monitoring Officer, I</w:t>
            </w:r>
            <w:r>
              <w:rPr>
                <w:rFonts w:cstheme="minorHAnsi"/>
                <w:sz w:val="20"/>
                <w:szCs w:val="20"/>
              </w:rPr>
              <w:t>K</w:t>
            </w:r>
            <w:r w:rsidRPr="007D7ED0">
              <w:rPr>
                <w:rFonts w:cstheme="minorHAnsi"/>
                <w:sz w:val="20"/>
                <w:szCs w:val="20"/>
              </w:rPr>
              <w:t>EBMI project</w:t>
            </w:r>
          </w:p>
          <w:p w:rsidR="009511DC" w:rsidRPr="007D7ED0" w:rsidRDefault="009511DC" w:rsidP="009511DC">
            <w:pPr>
              <w:spacing w:after="0" w:line="240" w:lineRule="auto"/>
              <w:rPr>
                <w:rFonts w:cstheme="minorHAnsi"/>
                <w:b/>
                <w:sz w:val="20"/>
                <w:szCs w:val="20"/>
              </w:rPr>
            </w:pPr>
            <w:r w:rsidRPr="007D7ED0">
              <w:rPr>
                <w:rFonts w:cstheme="minorHAnsi"/>
                <w:b/>
                <w:sz w:val="20"/>
                <w:szCs w:val="20"/>
              </w:rPr>
              <w:t xml:space="preserve">Mr. Liaquat Hossain, </w:t>
            </w:r>
            <w:r w:rsidRPr="007D7ED0">
              <w:rPr>
                <w:rFonts w:cstheme="minorHAnsi"/>
                <w:sz w:val="20"/>
                <w:szCs w:val="20"/>
              </w:rPr>
              <w:t>Project Engineer</w:t>
            </w:r>
          </w:p>
          <w:p w:rsidR="009511DC" w:rsidRPr="007D7ED0" w:rsidRDefault="009511DC" w:rsidP="009511DC">
            <w:pPr>
              <w:spacing w:after="0" w:line="240" w:lineRule="auto"/>
              <w:rPr>
                <w:rFonts w:cstheme="minorHAnsi"/>
                <w:b/>
                <w:sz w:val="20"/>
                <w:szCs w:val="20"/>
              </w:rPr>
            </w:pPr>
            <w:r w:rsidRPr="007D7ED0">
              <w:rPr>
                <w:rFonts w:cstheme="minorHAnsi"/>
                <w:b/>
                <w:sz w:val="20"/>
                <w:szCs w:val="20"/>
              </w:rPr>
              <w:t xml:space="preserve">Mr. </w:t>
            </w:r>
            <w:r>
              <w:rPr>
                <w:rFonts w:cstheme="minorHAnsi"/>
                <w:b/>
                <w:sz w:val="20"/>
                <w:szCs w:val="20"/>
              </w:rPr>
              <w:t>K</w:t>
            </w:r>
            <w:r w:rsidRPr="007D7ED0">
              <w:rPr>
                <w:rFonts w:cstheme="minorHAnsi"/>
                <w:b/>
                <w:sz w:val="20"/>
                <w:szCs w:val="20"/>
              </w:rPr>
              <w:t xml:space="preserve">abir Hossain, </w:t>
            </w:r>
            <w:r w:rsidRPr="007D7ED0">
              <w:rPr>
                <w:rFonts w:cstheme="minorHAnsi"/>
                <w:sz w:val="20"/>
                <w:szCs w:val="20"/>
              </w:rPr>
              <w:t>Manager Universal Bric</w:t>
            </w:r>
            <w:r>
              <w:rPr>
                <w:rFonts w:cstheme="minorHAnsi"/>
                <w:sz w:val="20"/>
                <w:szCs w:val="20"/>
              </w:rPr>
              <w:t>k</w:t>
            </w:r>
            <w:r w:rsidRPr="007D7ED0">
              <w:rPr>
                <w:rFonts w:cstheme="minorHAnsi"/>
                <w:sz w:val="20"/>
                <w:szCs w:val="20"/>
              </w:rPr>
              <w:t>s</w:t>
            </w:r>
          </w:p>
          <w:p w:rsidR="009511DC" w:rsidRPr="007D7ED0" w:rsidRDefault="009511DC" w:rsidP="009511DC">
            <w:pPr>
              <w:spacing w:after="0" w:line="240" w:lineRule="auto"/>
              <w:rPr>
                <w:rFonts w:cstheme="minorHAnsi"/>
                <w:b/>
                <w:sz w:val="20"/>
                <w:szCs w:val="20"/>
              </w:rPr>
            </w:pPr>
            <w:r w:rsidRPr="007D7ED0">
              <w:rPr>
                <w:rFonts w:cstheme="minorHAnsi"/>
                <w:b/>
                <w:sz w:val="20"/>
                <w:szCs w:val="20"/>
              </w:rPr>
              <w:t xml:space="preserve">Mr. Alamgir Hossain, </w:t>
            </w:r>
            <w:r w:rsidRPr="007D7ED0">
              <w:rPr>
                <w:rFonts w:cstheme="minorHAnsi"/>
                <w:sz w:val="20"/>
                <w:szCs w:val="20"/>
              </w:rPr>
              <w:t>Accountant, Universal</w:t>
            </w:r>
            <w:r w:rsidRPr="007D7ED0">
              <w:rPr>
                <w:rFonts w:cstheme="minorHAnsi"/>
                <w:b/>
                <w:sz w:val="20"/>
                <w:szCs w:val="20"/>
              </w:rPr>
              <w:t xml:space="preserve"> Bric</w:t>
            </w:r>
            <w:r>
              <w:rPr>
                <w:rFonts w:cstheme="minorHAnsi"/>
                <w:b/>
                <w:sz w:val="20"/>
                <w:szCs w:val="20"/>
              </w:rPr>
              <w:t>k</w:t>
            </w:r>
            <w:r w:rsidRPr="007D7ED0">
              <w:rPr>
                <w:rFonts w:cstheme="minorHAnsi"/>
                <w:b/>
                <w:sz w:val="20"/>
                <w:szCs w:val="20"/>
              </w:rPr>
              <w:t>s</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t>May 10, 2015</w:t>
            </w:r>
          </w:p>
        </w:tc>
        <w:tc>
          <w:tcPr>
            <w:tcW w:w="2700" w:type="dxa"/>
          </w:tcPr>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bCs/>
                <w:sz w:val="20"/>
                <w:szCs w:val="20"/>
              </w:rPr>
              <w:t xml:space="preserve">Meeting with </w:t>
            </w:r>
            <w:r>
              <w:rPr>
                <w:rFonts w:cstheme="minorHAnsi"/>
                <w:bCs/>
                <w:sz w:val="20"/>
                <w:szCs w:val="20"/>
              </w:rPr>
              <w:t>K</w:t>
            </w:r>
            <w:r w:rsidRPr="007D7ED0">
              <w:rPr>
                <w:rFonts w:cstheme="minorHAnsi"/>
                <w:bCs/>
                <w:sz w:val="20"/>
                <w:szCs w:val="20"/>
              </w:rPr>
              <w:t>FW Development Ban</w:t>
            </w:r>
            <w:r>
              <w:rPr>
                <w:rFonts w:cstheme="minorHAnsi"/>
                <w:bCs/>
                <w:sz w:val="20"/>
                <w:szCs w:val="20"/>
              </w:rPr>
              <w:t>k</w:t>
            </w:r>
            <w:r w:rsidRPr="007D7ED0">
              <w:rPr>
                <w:rFonts w:cstheme="minorHAnsi"/>
                <w:bCs/>
                <w:sz w:val="20"/>
                <w:szCs w:val="20"/>
              </w:rPr>
              <w:t>, Road #90, House #10/C, Gulshan-2, Dha</w:t>
            </w:r>
            <w:r>
              <w:rPr>
                <w:rFonts w:cstheme="minorHAnsi"/>
                <w:bCs/>
                <w:sz w:val="20"/>
                <w:szCs w:val="20"/>
              </w:rPr>
              <w:t>k</w:t>
            </w:r>
            <w:r w:rsidRPr="007D7ED0">
              <w:rPr>
                <w:rFonts w:cstheme="minorHAnsi"/>
                <w:bCs/>
                <w:sz w:val="20"/>
                <w:szCs w:val="20"/>
              </w:rPr>
              <w:t>a-1212, Bangladesh</w:t>
            </w:r>
          </w:p>
          <w:p w:rsidR="009511DC" w:rsidRPr="007D7ED0" w:rsidRDefault="009511DC" w:rsidP="009511DC">
            <w:pPr>
              <w:autoSpaceDE w:val="0"/>
              <w:autoSpaceDN w:val="0"/>
              <w:adjustRightInd w:val="0"/>
              <w:spacing w:after="0" w:line="240" w:lineRule="auto"/>
              <w:jc w:val="center"/>
              <w:rPr>
                <w:rFonts w:cstheme="minorHAnsi"/>
                <w:bCs/>
                <w:sz w:val="20"/>
                <w:szCs w:val="20"/>
              </w:rPr>
            </w:pPr>
          </w:p>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bCs/>
                <w:sz w:val="20"/>
                <w:szCs w:val="20"/>
              </w:rPr>
              <w:t>Meeting with Asian Development Ban</w:t>
            </w:r>
            <w:r>
              <w:rPr>
                <w:rFonts w:cstheme="minorHAnsi"/>
                <w:bCs/>
                <w:sz w:val="20"/>
                <w:szCs w:val="20"/>
              </w:rPr>
              <w:t>k</w:t>
            </w:r>
            <w:r w:rsidRPr="007D7ED0">
              <w:rPr>
                <w:rFonts w:cstheme="minorHAnsi"/>
                <w:bCs/>
                <w:sz w:val="20"/>
                <w:szCs w:val="20"/>
              </w:rPr>
              <w:t xml:space="preserve"> (ADB), Plot E-31, Sher-e-Bangla Nagar, Dha</w:t>
            </w:r>
            <w:r>
              <w:rPr>
                <w:rFonts w:cstheme="minorHAnsi"/>
                <w:bCs/>
                <w:sz w:val="20"/>
                <w:szCs w:val="20"/>
              </w:rPr>
              <w:t>k</w:t>
            </w:r>
            <w:r w:rsidRPr="007D7ED0">
              <w:rPr>
                <w:rFonts w:cstheme="minorHAnsi"/>
                <w:bCs/>
                <w:sz w:val="20"/>
                <w:szCs w:val="20"/>
              </w:rPr>
              <w:t>a-1207</w:t>
            </w:r>
          </w:p>
        </w:tc>
        <w:tc>
          <w:tcPr>
            <w:tcW w:w="810" w:type="dxa"/>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9:00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AM</w:t>
            </w: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jc w:val="center"/>
              <w:rPr>
                <w:rFonts w:cstheme="minorHAnsi"/>
                <w:b/>
                <w:sz w:val="20"/>
                <w:szCs w:val="20"/>
              </w:rPr>
            </w:pPr>
          </w:p>
          <w:p w:rsidR="009511DC" w:rsidRPr="007D7ED0" w:rsidRDefault="009511DC" w:rsidP="009511DC">
            <w:pPr>
              <w:spacing w:after="0" w:line="240" w:lineRule="auto"/>
              <w:rPr>
                <w:rFonts w:cstheme="minorHAnsi"/>
                <w:b/>
                <w:sz w:val="20"/>
                <w:szCs w:val="20"/>
              </w:rPr>
            </w:pP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12:15</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tc>
        <w:tc>
          <w:tcPr>
            <w:tcW w:w="5130" w:type="dxa"/>
          </w:tcPr>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Tazmilur Rahman, </w:t>
            </w:r>
            <w:r w:rsidRPr="007D7ED0">
              <w:rPr>
                <w:rFonts w:cstheme="minorHAnsi"/>
                <w:sz w:val="20"/>
                <w:szCs w:val="20"/>
              </w:rPr>
              <w:t xml:space="preserve">Senior Sector Specialist, Energy, </w:t>
            </w:r>
            <w:r>
              <w:rPr>
                <w:rFonts w:cstheme="minorHAnsi"/>
                <w:sz w:val="20"/>
                <w:szCs w:val="20"/>
              </w:rPr>
              <w:t>K</w:t>
            </w:r>
            <w:r w:rsidRPr="007D7ED0">
              <w:rPr>
                <w:rFonts w:cstheme="minorHAnsi"/>
                <w:sz w:val="20"/>
                <w:szCs w:val="20"/>
              </w:rPr>
              <w:t>fW Development Ban</w:t>
            </w:r>
            <w:r>
              <w:rPr>
                <w:rFonts w:cstheme="minorHAnsi"/>
                <w:sz w:val="20"/>
                <w:szCs w:val="20"/>
              </w:rPr>
              <w:t>k</w:t>
            </w:r>
            <w:r w:rsidRPr="007D7ED0">
              <w:rPr>
                <w:rFonts w:cstheme="minorHAnsi"/>
                <w:sz w:val="20"/>
                <w:szCs w:val="20"/>
              </w:rPr>
              <w:t xml:space="preserve">, </w:t>
            </w:r>
            <w:r>
              <w:rPr>
                <w:rFonts w:cstheme="minorHAnsi"/>
                <w:sz w:val="20"/>
                <w:szCs w:val="20"/>
              </w:rPr>
              <w:t>K</w:t>
            </w:r>
            <w:r w:rsidRPr="007D7ED0">
              <w:rPr>
                <w:rFonts w:cstheme="minorHAnsi"/>
                <w:sz w:val="20"/>
                <w:szCs w:val="20"/>
              </w:rPr>
              <w:t xml:space="preserve">fW Regional Office Bangladesh </w:t>
            </w:r>
          </w:p>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S. M. Mehedi Ahsan, </w:t>
            </w:r>
            <w:r w:rsidRPr="007D7ED0">
              <w:rPr>
                <w:rFonts w:cstheme="minorHAnsi"/>
                <w:sz w:val="20"/>
                <w:szCs w:val="20"/>
              </w:rPr>
              <w:t xml:space="preserve">Sector Specialist for Resilient Cities, </w:t>
            </w:r>
            <w:r>
              <w:rPr>
                <w:rFonts w:cstheme="minorHAnsi"/>
                <w:sz w:val="20"/>
                <w:szCs w:val="20"/>
              </w:rPr>
              <w:t>K</w:t>
            </w:r>
            <w:r w:rsidRPr="007D7ED0">
              <w:rPr>
                <w:rFonts w:cstheme="minorHAnsi"/>
                <w:sz w:val="20"/>
                <w:szCs w:val="20"/>
              </w:rPr>
              <w:t>fW Development Ban</w:t>
            </w:r>
            <w:r>
              <w:rPr>
                <w:rFonts w:cstheme="minorHAnsi"/>
                <w:sz w:val="20"/>
                <w:szCs w:val="20"/>
              </w:rPr>
              <w:t>k</w:t>
            </w:r>
            <w:r w:rsidRPr="007D7ED0">
              <w:rPr>
                <w:rFonts w:cstheme="minorHAnsi"/>
                <w:sz w:val="20"/>
                <w:szCs w:val="20"/>
              </w:rPr>
              <w:t xml:space="preserve">, </w:t>
            </w:r>
            <w:r>
              <w:rPr>
                <w:rFonts w:cstheme="minorHAnsi"/>
                <w:sz w:val="20"/>
                <w:szCs w:val="20"/>
              </w:rPr>
              <w:t>K</w:t>
            </w:r>
            <w:r w:rsidRPr="007D7ED0">
              <w:rPr>
                <w:rFonts w:cstheme="minorHAnsi"/>
                <w:sz w:val="20"/>
                <w:szCs w:val="20"/>
              </w:rPr>
              <w:t xml:space="preserve">fW Regional Office Bangladesh </w:t>
            </w:r>
          </w:p>
          <w:p w:rsidR="009511DC" w:rsidRPr="007D7ED0" w:rsidRDefault="009511DC" w:rsidP="009511DC">
            <w:pPr>
              <w:spacing w:after="0" w:line="240" w:lineRule="auto"/>
              <w:rPr>
                <w:rFonts w:cstheme="minorHAnsi"/>
                <w:sz w:val="20"/>
                <w:szCs w:val="20"/>
              </w:rPr>
            </w:pPr>
          </w:p>
          <w:p w:rsidR="009511DC" w:rsidRPr="007D7ED0" w:rsidRDefault="009511DC" w:rsidP="009511DC">
            <w:pPr>
              <w:spacing w:after="0" w:line="240" w:lineRule="auto"/>
              <w:rPr>
                <w:rFonts w:cstheme="minorHAnsi"/>
                <w:sz w:val="20"/>
                <w:szCs w:val="20"/>
              </w:rPr>
            </w:pPr>
            <w:r w:rsidRPr="007D7ED0">
              <w:rPr>
                <w:rFonts w:cstheme="minorHAnsi"/>
                <w:b/>
                <w:sz w:val="20"/>
                <w:szCs w:val="20"/>
              </w:rPr>
              <w:t>Md. Saidur Rahman</w:t>
            </w:r>
            <w:r w:rsidRPr="007D7ED0">
              <w:rPr>
                <w:rFonts w:cstheme="minorHAnsi"/>
                <w:sz w:val="20"/>
                <w:szCs w:val="20"/>
              </w:rPr>
              <w:t>, Project Officer (Energy), Bangladesh Resident Mission</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t>May 11, 2015</w:t>
            </w:r>
          </w:p>
        </w:tc>
        <w:tc>
          <w:tcPr>
            <w:tcW w:w="2700" w:type="dxa"/>
            <w:shd w:val="clear" w:color="auto" w:fill="FDE9D9" w:themeFill="accent6" w:themeFillTint="33"/>
          </w:tcPr>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bCs/>
                <w:sz w:val="20"/>
                <w:szCs w:val="20"/>
              </w:rPr>
              <w:t>Meeting with International Finance Corporation (IFC) World Ban</w:t>
            </w:r>
            <w:r>
              <w:rPr>
                <w:rFonts w:cstheme="minorHAnsi"/>
                <w:bCs/>
                <w:sz w:val="20"/>
                <w:szCs w:val="20"/>
              </w:rPr>
              <w:t>k</w:t>
            </w:r>
            <w:r w:rsidRPr="007D7ED0">
              <w:rPr>
                <w:rFonts w:cstheme="minorHAnsi"/>
                <w:bCs/>
                <w:sz w:val="20"/>
                <w:szCs w:val="20"/>
              </w:rPr>
              <w:t xml:space="preserve"> Group, </w:t>
            </w:r>
          </w:p>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bCs/>
                <w:sz w:val="20"/>
                <w:szCs w:val="20"/>
              </w:rPr>
              <w:t xml:space="preserve">United House, 10, BirUttam </w:t>
            </w:r>
            <w:r w:rsidRPr="007D7ED0">
              <w:rPr>
                <w:rFonts w:cstheme="minorHAnsi"/>
                <w:bCs/>
                <w:sz w:val="20"/>
                <w:szCs w:val="20"/>
              </w:rPr>
              <w:lastRenderedPageBreak/>
              <w:t>Mir Shaw</w:t>
            </w:r>
            <w:r>
              <w:rPr>
                <w:rFonts w:cstheme="minorHAnsi"/>
                <w:bCs/>
                <w:sz w:val="20"/>
                <w:szCs w:val="20"/>
              </w:rPr>
              <w:t>k</w:t>
            </w:r>
            <w:r w:rsidRPr="007D7ED0">
              <w:rPr>
                <w:rFonts w:cstheme="minorHAnsi"/>
                <w:bCs/>
                <w:sz w:val="20"/>
                <w:szCs w:val="20"/>
              </w:rPr>
              <w:t>atSara</w:t>
            </w:r>
            <w:r>
              <w:rPr>
                <w:rFonts w:cstheme="minorHAnsi"/>
                <w:bCs/>
                <w:sz w:val="20"/>
                <w:szCs w:val="20"/>
              </w:rPr>
              <w:t>k</w:t>
            </w:r>
            <w:r w:rsidRPr="007D7ED0">
              <w:rPr>
                <w:rFonts w:cstheme="minorHAnsi"/>
                <w:bCs/>
                <w:sz w:val="20"/>
                <w:szCs w:val="20"/>
              </w:rPr>
              <w:t>, Dha</w:t>
            </w:r>
            <w:r>
              <w:rPr>
                <w:rFonts w:cstheme="minorHAnsi"/>
                <w:bCs/>
                <w:sz w:val="20"/>
                <w:szCs w:val="20"/>
              </w:rPr>
              <w:t>k</w:t>
            </w:r>
            <w:r w:rsidRPr="007D7ED0">
              <w:rPr>
                <w:rFonts w:cstheme="minorHAnsi"/>
                <w:bCs/>
                <w:sz w:val="20"/>
                <w:szCs w:val="20"/>
              </w:rPr>
              <w:t>a-1212.</w:t>
            </w:r>
          </w:p>
        </w:tc>
        <w:tc>
          <w:tcPr>
            <w:tcW w:w="810" w:type="dxa"/>
            <w:shd w:val="clear" w:color="auto" w:fill="FDE9D9" w:themeFill="accent6" w:themeFillTint="33"/>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lastRenderedPageBreak/>
              <w:t>1:30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tc>
        <w:tc>
          <w:tcPr>
            <w:tcW w:w="5130" w:type="dxa"/>
            <w:shd w:val="clear" w:color="auto" w:fill="FDE9D9" w:themeFill="accent6" w:themeFillTint="33"/>
          </w:tcPr>
          <w:p w:rsidR="009511DC" w:rsidRPr="007D7ED0" w:rsidRDefault="009511DC" w:rsidP="009511DC">
            <w:pPr>
              <w:spacing w:after="0" w:line="240" w:lineRule="auto"/>
              <w:rPr>
                <w:rFonts w:cstheme="minorHAnsi"/>
                <w:sz w:val="20"/>
                <w:szCs w:val="20"/>
              </w:rPr>
            </w:pPr>
            <w:r w:rsidRPr="007D7ED0">
              <w:rPr>
                <w:rFonts w:cstheme="minorHAnsi"/>
                <w:b/>
                <w:sz w:val="20"/>
                <w:szCs w:val="20"/>
              </w:rPr>
              <w:t>Mohan Seneviratne,</w:t>
            </w:r>
            <w:r w:rsidRPr="007D7ED0">
              <w:rPr>
                <w:rFonts w:cstheme="minorHAnsi"/>
                <w:sz w:val="20"/>
                <w:szCs w:val="20"/>
              </w:rPr>
              <w:t xml:space="preserve"> Principal Industry Specialist, Resource Efficiency, Climate Business Department</w:t>
            </w:r>
          </w:p>
          <w:p w:rsidR="009511DC" w:rsidRPr="007D7ED0" w:rsidRDefault="009511DC" w:rsidP="009511DC">
            <w:pPr>
              <w:spacing w:after="0" w:line="240" w:lineRule="auto"/>
              <w:rPr>
                <w:rFonts w:cstheme="minorHAnsi"/>
                <w:sz w:val="20"/>
                <w:szCs w:val="20"/>
              </w:rPr>
            </w:pPr>
            <w:r w:rsidRPr="007D7ED0">
              <w:rPr>
                <w:rFonts w:cstheme="minorHAnsi"/>
                <w:b/>
                <w:sz w:val="20"/>
                <w:szCs w:val="20"/>
              </w:rPr>
              <w:t>Chandrase</w:t>
            </w:r>
            <w:r>
              <w:rPr>
                <w:rFonts w:cstheme="minorHAnsi"/>
                <w:b/>
                <w:sz w:val="20"/>
                <w:szCs w:val="20"/>
              </w:rPr>
              <w:t>k</w:t>
            </w:r>
            <w:r w:rsidRPr="007D7ED0">
              <w:rPr>
                <w:rFonts w:cstheme="minorHAnsi"/>
                <w:b/>
                <w:sz w:val="20"/>
                <w:szCs w:val="20"/>
              </w:rPr>
              <w:t xml:space="preserve">arGoviudarajalu, </w:t>
            </w:r>
            <w:r w:rsidRPr="007D7ED0">
              <w:rPr>
                <w:rFonts w:cstheme="minorHAnsi"/>
                <w:sz w:val="20"/>
                <w:szCs w:val="20"/>
              </w:rPr>
              <w:t>Resource Efficiency, Climate Business Department</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lastRenderedPageBreak/>
              <w:t>May 12, 2015</w:t>
            </w:r>
          </w:p>
        </w:tc>
        <w:tc>
          <w:tcPr>
            <w:tcW w:w="2700" w:type="dxa"/>
          </w:tcPr>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bCs/>
                <w:sz w:val="20"/>
                <w:szCs w:val="20"/>
              </w:rPr>
              <w:t>Meeting with Japan International Cooperation Agency,</w:t>
            </w:r>
            <w:r>
              <w:rPr>
                <w:rFonts w:cstheme="minorHAnsi"/>
                <w:bCs/>
                <w:sz w:val="20"/>
                <w:szCs w:val="20"/>
              </w:rPr>
              <w:t>Uday Tower (7</w:t>
            </w:r>
            <w:r w:rsidRPr="007D7ED0">
              <w:rPr>
                <w:rFonts w:cstheme="minorHAnsi"/>
                <w:bCs/>
                <w:sz w:val="20"/>
                <w:szCs w:val="20"/>
                <w:vertAlign w:val="superscript"/>
              </w:rPr>
              <w:t>th</w:t>
            </w:r>
            <w:r>
              <w:rPr>
                <w:rFonts w:cstheme="minorHAnsi"/>
                <w:bCs/>
                <w:sz w:val="20"/>
                <w:szCs w:val="20"/>
              </w:rPr>
              <w:t xml:space="preserve"> Floor), Plot No. 57 &amp; 57/A, Gulshan-1, Dhaka</w:t>
            </w:r>
          </w:p>
        </w:tc>
        <w:tc>
          <w:tcPr>
            <w:tcW w:w="810" w:type="dxa"/>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11:30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AM</w:t>
            </w:r>
          </w:p>
        </w:tc>
        <w:tc>
          <w:tcPr>
            <w:tcW w:w="5130" w:type="dxa"/>
          </w:tcPr>
          <w:p w:rsidR="009511DC" w:rsidRPr="007D7ED0" w:rsidRDefault="009511DC" w:rsidP="009511DC">
            <w:pPr>
              <w:spacing w:after="0" w:line="240" w:lineRule="auto"/>
              <w:rPr>
                <w:rFonts w:cstheme="minorHAnsi"/>
                <w:b/>
                <w:sz w:val="20"/>
                <w:szCs w:val="20"/>
              </w:rPr>
            </w:pPr>
            <w:r>
              <w:rPr>
                <w:rFonts w:cstheme="minorHAnsi"/>
                <w:b/>
                <w:sz w:val="20"/>
                <w:szCs w:val="20"/>
              </w:rPr>
              <w:t xml:space="preserve">Yushi Nagano, </w:t>
            </w:r>
            <w:r w:rsidRPr="007D7ED0">
              <w:rPr>
                <w:rFonts w:cstheme="minorHAnsi"/>
                <w:sz w:val="20"/>
                <w:szCs w:val="20"/>
              </w:rPr>
              <w:t>Representative (Power, Transport, PFM Sector/Loan Portfolio Management</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t>May 13, 2015</w:t>
            </w:r>
          </w:p>
        </w:tc>
        <w:tc>
          <w:tcPr>
            <w:tcW w:w="2700" w:type="dxa"/>
            <w:shd w:val="clear" w:color="auto" w:fill="FDE9D9" w:themeFill="accent6" w:themeFillTint="33"/>
          </w:tcPr>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bCs/>
                <w:sz w:val="20"/>
                <w:szCs w:val="20"/>
              </w:rPr>
              <w:t>Meeting with Deloitte-Catalyzing Clean Energy in Bangladesh, USAID Contractor, House #14 (2</w:t>
            </w:r>
            <w:r w:rsidRPr="007D7ED0">
              <w:rPr>
                <w:rFonts w:cstheme="minorHAnsi"/>
                <w:bCs/>
                <w:sz w:val="20"/>
                <w:szCs w:val="20"/>
                <w:vertAlign w:val="superscript"/>
              </w:rPr>
              <w:t>nd</w:t>
            </w:r>
            <w:r w:rsidRPr="007D7ED0">
              <w:rPr>
                <w:rFonts w:cstheme="minorHAnsi"/>
                <w:bCs/>
                <w:sz w:val="20"/>
                <w:szCs w:val="20"/>
              </w:rPr>
              <w:t xml:space="preserve"> Floor), Road # 32, Gulshan-1, Dha</w:t>
            </w:r>
            <w:r>
              <w:rPr>
                <w:rFonts w:cstheme="minorHAnsi"/>
                <w:bCs/>
                <w:sz w:val="20"/>
                <w:szCs w:val="20"/>
              </w:rPr>
              <w:t>k</w:t>
            </w:r>
            <w:r w:rsidRPr="007D7ED0">
              <w:rPr>
                <w:rFonts w:cstheme="minorHAnsi"/>
                <w:bCs/>
                <w:sz w:val="20"/>
                <w:szCs w:val="20"/>
              </w:rPr>
              <w:t>a-1212, Bangladesh</w:t>
            </w:r>
          </w:p>
        </w:tc>
        <w:tc>
          <w:tcPr>
            <w:tcW w:w="810" w:type="dxa"/>
            <w:shd w:val="clear" w:color="auto" w:fill="FDE9D9" w:themeFill="accent6" w:themeFillTint="33"/>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8:00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AM</w:t>
            </w:r>
          </w:p>
        </w:tc>
        <w:tc>
          <w:tcPr>
            <w:tcW w:w="5130" w:type="dxa"/>
            <w:shd w:val="clear" w:color="auto" w:fill="FDE9D9" w:themeFill="accent6" w:themeFillTint="33"/>
          </w:tcPr>
          <w:p w:rsidR="009511DC" w:rsidRPr="007D7ED0" w:rsidRDefault="009511DC" w:rsidP="009511DC">
            <w:pPr>
              <w:spacing w:after="0" w:line="240" w:lineRule="auto"/>
              <w:rPr>
                <w:rFonts w:cstheme="minorHAnsi"/>
                <w:sz w:val="20"/>
                <w:szCs w:val="20"/>
              </w:rPr>
            </w:pPr>
            <w:r w:rsidRPr="007D7ED0">
              <w:rPr>
                <w:rFonts w:cstheme="minorHAnsi"/>
                <w:b/>
                <w:sz w:val="20"/>
                <w:szCs w:val="20"/>
              </w:rPr>
              <w:t xml:space="preserve">Craig VanDevelde, </w:t>
            </w:r>
            <w:r w:rsidRPr="007D7ED0">
              <w:rPr>
                <w:rFonts w:cstheme="minorHAnsi"/>
                <w:sz w:val="20"/>
                <w:szCs w:val="20"/>
              </w:rPr>
              <w:t>Chief of Party</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t>May 13, 2015</w:t>
            </w:r>
          </w:p>
        </w:tc>
        <w:tc>
          <w:tcPr>
            <w:tcW w:w="2700" w:type="dxa"/>
          </w:tcPr>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bCs/>
                <w:sz w:val="20"/>
                <w:szCs w:val="20"/>
              </w:rPr>
              <w:t>Meeting with The World Ban</w:t>
            </w:r>
            <w:r>
              <w:rPr>
                <w:rFonts w:cstheme="minorHAnsi"/>
                <w:bCs/>
                <w:sz w:val="20"/>
                <w:szCs w:val="20"/>
              </w:rPr>
              <w:t>k</w:t>
            </w:r>
            <w:r w:rsidRPr="007D7ED0">
              <w:rPr>
                <w:rFonts w:cstheme="minorHAnsi"/>
                <w:bCs/>
                <w:sz w:val="20"/>
                <w:szCs w:val="20"/>
              </w:rPr>
              <w:t>, World Ban</w:t>
            </w:r>
            <w:r>
              <w:rPr>
                <w:rFonts w:cstheme="minorHAnsi"/>
                <w:bCs/>
                <w:sz w:val="20"/>
                <w:szCs w:val="20"/>
              </w:rPr>
              <w:t>k</w:t>
            </w:r>
            <w:r w:rsidRPr="007D7ED0">
              <w:rPr>
                <w:rFonts w:cstheme="minorHAnsi"/>
                <w:bCs/>
                <w:sz w:val="20"/>
                <w:szCs w:val="20"/>
              </w:rPr>
              <w:t xml:space="preserve"> Office Dha</w:t>
            </w:r>
            <w:r>
              <w:rPr>
                <w:rFonts w:cstheme="minorHAnsi"/>
                <w:bCs/>
                <w:sz w:val="20"/>
                <w:szCs w:val="20"/>
              </w:rPr>
              <w:t>k</w:t>
            </w:r>
            <w:r w:rsidRPr="007D7ED0">
              <w:rPr>
                <w:rFonts w:cstheme="minorHAnsi"/>
                <w:bCs/>
                <w:sz w:val="20"/>
                <w:szCs w:val="20"/>
              </w:rPr>
              <w:t>a, Plot E-32, Agargaon, Sher-e-Bangla Nagar, Dha</w:t>
            </w:r>
            <w:r>
              <w:rPr>
                <w:rFonts w:cstheme="minorHAnsi"/>
                <w:bCs/>
                <w:sz w:val="20"/>
                <w:szCs w:val="20"/>
              </w:rPr>
              <w:t>k</w:t>
            </w:r>
            <w:r w:rsidRPr="007D7ED0">
              <w:rPr>
                <w:rFonts w:cstheme="minorHAnsi"/>
                <w:bCs/>
                <w:sz w:val="20"/>
                <w:szCs w:val="20"/>
              </w:rPr>
              <w:t>a-1207, Bangladesh</w:t>
            </w:r>
          </w:p>
        </w:tc>
        <w:tc>
          <w:tcPr>
            <w:tcW w:w="810" w:type="dxa"/>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10:30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AM</w:t>
            </w:r>
          </w:p>
        </w:tc>
        <w:tc>
          <w:tcPr>
            <w:tcW w:w="5130" w:type="dxa"/>
          </w:tcPr>
          <w:p w:rsidR="009511DC" w:rsidRPr="007D7ED0" w:rsidRDefault="009511DC" w:rsidP="009511DC">
            <w:pPr>
              <w:spacing w:after="0" w:line="240" w:lineRule="auto"/>
              <w:rPr>
                <w:rFonts w:cstheme="minorHAnsi"/>
                <w:sz w:val="20"/>
                <w:szCs w:val="20"/>
              </w:rPr>
            </w:pPr>
            <w:r w:rsidRPr="007D7ED0">
              <w:rPr>
                <w:rFonts w:cstheme="minorHAnsi"/>
                <w:b/>
                <w:sz w:val="20"/>
                <w:szCs w:val="20"/>
              </w:rPr>
              <w:t>Zubair</w:t>
            </w:r>
            <w:r>
              <w:rPr>
                <w:rFonts w:cstheme="minorHAnsi"/>
                <w:b/>
                <w:sz w:val="20"/>
                <w:szCs w:val="20"/>
              </w:rPr>
              <w:t>K</w:t>
            </w:r>
            <w:r w:rsidRPr="007D7ED0">
              <w:rPr>
                <w:rFonts w:cstheme="minorHAnsi"/>
                <w:b/>
                <w:sz w:val="20"/>
                <w:szCs w:val="20"/>
              </w:rPr>
              <w:t xml:space="preserve"> M Sadeque, </w:t>
            </w:r>
            <w:r w:rsidRPr="007D7ED0">
              <w:rPr>
                <w:rFonts w:cstheme="minorHAnsi"/>
                <w:sz w:val="20"/>
                <w:szCs w:val="20"/>
              </w:rPr>
              <w:t>Senior Energy Finance Specialist, South Asia Sustainable Development</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sz w:val="20"/>
                <w:szCs w:val="20"/>
              </w:rPr>
            </w:pPr>
            <w:r w:rsidRPr="007D7ED0">
              <w:rPr>
                <w:rFonts w:cstheme="minorHAnsi"/>
                <w:sz w:val="20"/>
                <w:szCs w:val="20"/>
              </w:rPr>
              <w:t>May 14, 2015</w:t>
            </w:r>
          </w:p>
        </w:tc>
        <w:tc>
          <w:tcPr>
            <w:tcW w:w="2700" w:type="dxa"/>
            <w:shd w:val="clear" w:color="auto" w:fill="FDE9D9" w:themeFill="accent6" w:themeFillTint="33"/>
          </w:tcPr>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bCs/>
                <w:sz w:val="20"/>
                <w:szCs w:val="20"/>
              </w:rPr>
              <w:t>Meeting with GIZ, Road 90, House 10/C, Gulshan-2, Dha</w:t>
            </w:r>
            <w:r>
              <w:rPr>
                <w:rFonts w:cstheme="minorHAnsi"/>
                <w:bCs/>
                <w:sz w:val="20"/>
                <w:szCs w:val="20"/>
              </w:rPr>
              <w:t>k</w:t>
            </w:r>
            <w:r w:rsidRPr="007D7ED0">
              <w:rPr>
                <w:rFonts w:cstheme="minorHAnsi"/>
                <w:bCs/>
                <w:sz w:val="20"/>
                <w:szCs w:val="20"/>
              </w:rPr>
              <w:t>a 1212, Bangladesh</w:t>
            </w:r>
          </w:p>
        </w:tc>
        <w:tc>
          <w:tcPr>
            <w:tcW w:w="810" w:type="dxa"/>
            <w:shd w:val="clear" w:color="auto" w:fill="FDE9D9" w:themeFill="accent6" w:themeFillTint="33"/>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3:30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PM</w:t>
            </w:r>
          </w:p>
        </w:tc>
        <w:tc>
          <w:tcPr>
            <w:tcW w:w="5130" w:type="dxa"/>
            <w:shd w:val="clear" w:color="auto" w:fill="FDE9D9" w:themeFill="accent6" w:themeFillTint="33"/>
          </w:tcPr>
          <w:p w:rsidR="009511DC" w:rsidRPr="007D7ED0" w:rsidRDefault="009511DC" w:rsidP="009511DC">
            <w:pPr>
              <w:spacing w:after="0" w:line="240" w:lineRule="auto"/>
              <w:rPr>
                <w:rFonts w:cstheme="minorHAnsi"/>
                <w:b/>
                <w:sz w:val="20"/>
                <w:szCs w:val="20"/>
              </w:rPr>
            </w:pPr>
            <w:r w:rsidRPr="007D7ED0">
              <w:rPr>
                <w:rFonts w:cstheme="minorHAnsi"/>
                <w:b/>
                <w:sz w:val="20"/>
                <w:szCs w:val="20"/>
              </w:rPr>
              <w:t>Jan-Hendri</w:t>
            </w:r>
            <w:r>
              <w:rPr>
                <w:rFonts w:cstheme="minorHAnsi"/>
                <w:b/>
                <w:sz w:val="20"/>
                <w:szCs w:val="20"/>
              </w:rPr>
              <w:t>k</w:t>
            </w:r>
            <w:r w:rsidRPr="007D7ED0">
              <w:rPr>
                <w:rFonts w:cstheme="minorHAnsi"/>
                <w:b/>
                <w:sz w:val="20"/>
                <w:szCs w:val="20"/>
              </w:rPr>
              <w:t>Söhlemann</w:t>
            </w:r>
            <w:r w:rsidRPr="007D7ED0">
              <w:rPr>
                <w:rFonts w:cstheme="minorHAnsi"/>
                <w:sz w:val="20"/>
                <w:szCs w:val="20"/>
              </w:rPr>
              <w:t>, Monitoring Advisor Sustainable Energy for Development (SED)</w:t>
            </w:r>
          </w:p>
        </w:tc>
      </w:tr>
      <w:tr w:rsidR="009511DC" w:rsidRPr="007D7ED0" w:rsidTr="009511DC">
        <w:tc>
          <w:tcPr>
            <w:tcW w:w="1548" w:type="dxa"/>
            <w:shd w:val="clear" w:color="auto" w:fill="DAEEF3" w:themeFill="accent5" w:themeFillTint="33"/>
          </w:tcPr>
          <w:p w:rsidR="009511DC" w:rsidRPr="007D7ED0" w:rsidRDefault="009511DC" w:rsidP="009511DC">
            <w:pPr>
              <w:spacing w:after="0" w:line="240" w:lineRule="auto"/>
              <w:jc w:val="center"/>
              <w:rPr>
                <w:rFonts w:cstheme="minorHAnsi"/>
                <w:b/>
                <w:sz w:val="20"/>
                <w:szCs w:val="20"/>
              </w:rPr>
            </w:pPr>
            <w:r w:rsidRPr="007D7ED0">
              <w:rPr>
                <w:rFonts w:cstheme="minorHAnsi"/>
                <w:sz w:val="20"/>
                <w:szCs w:val="20"/>
              </w:rPr>
              <w:t>May 20, 2015</w:t>
            </w:r>
          </w:p>
        </w:tc>
        <w:tc>
          <w:tcPr>
            <w:tcW w:w="2700" w:type="dxa"/>
          </w:tcPr>
          <w:p w:rsidR="009511DC" w:rsidRPr="007D7ED0" w:rsidRDefault="009511DC" w:rsidP="009511DC">
            <w:pPr>
              <w:autoSpaceDE w:val="0"/>
              <w:autoSpaceDN w:val="0"/>
              <w:adjustRightInd w:val="0"/>
              <w:spacing w:after="0" w:line="240" w:lineRule="auto"/>
              <w:jc w:val="center"/>
              <w:rPr>
                <w:rFonts w:cstheme="minorHAnsi"/>
                <w:bCs/>
                <w:sz w:val="20"/>
                <w:szCs w:val="20"/>
              </w:rPr>
            </w:pPr>
            <w:r w:rsidRPr="007D7ED0">
              <w:rPr>
                <w:rFonts w:cstheme="minorHAnsi"/>
                <w:bCs/>
                <w:sz w:val="20"/>
                <w:szCs w:val="20"/>
              </w:rPr>
              <w:t>Meeting with Food and Agriculture Organization of the UN (FAO), House #37, Road #08, Dhanmondi R/A, Dha</w:t>
            </w:r>
            <w:r>
              <w:rPr>
                <w:rFonts w:cstheme="minorHAnsi"/>
                <w:bCs/>
                <w:sz w:val="20"/>
                <w:szCs w:val="20"/>
              </w:rPr>
              <w:t>k</w:t>
            </w:r>
            <w:r w:rsidRPr="007D7ED0">
              <w:rPr>
                <w:rFonts w:cstheme="minorHAnsi"/>
                <w:bCs/>
                <w:sz w:val="20"/>
                <w:szCs w:val="20"/>
              </w:rPr>
              <w:t>a-1205, Bangladesh</w:t>
            </w:r>
          </w:p>
        </w:tc>
        <w:tc>
          <w:tcPr>
            <w:tcW w:w="810" w:type="dxa"/>
          </w:tcPr>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10:00</w:t>
            </w:r>
          </w:p>
          <w:p w:rsidR="009511DC" w:rsidRPr="007D7ED0" w:rsidRDefault="009511DC" w:rsidP="009511DC">
            <w:pPr>
              <w:spacing w:after="0" w:line="240" w:lineRule="auto"/>
              <w:jc w:val="center"/>
              <w:rPr>
                <w:rFonts w:cstheme="minorHAnsi"/>
                <w:b/>
                <w:sz w:val="20"/>
                <w:szCs w:val="20"/>
              </w:rPr>
            </w:pPr>
            <w:r w:rsidRPr="007D7ED0">
              <w:rPr>
                <w:rFonts w:cstheme="minorHAnsi"/>
                <w:b/>
                <w:sz w:val="20"/>
                <w:szCs w:val="20"/>
              </w:rPr>
              <w:t>AM</w:t>
            </w:r>
          </w:p>
        </w:tc>
        <w:tc>
          <w:tcPr>
            <w:tcW w:w="5130" w:type="dxa"/>
          </w:tcPr>
          <w:p w:rsidR="009511DC" w:rsidRPr="007D7ED0" w:rsidRDefault="009511DC" w:rsidP="009511DC">
            <w:pPr>
              <w:spacing w:after="0" w:line="240" w:lineRule="auto"/>
              <w:rPr>
                <w:rFonts w:cstheme="minorHAnsi"/>
                <w:sz w:val="20"/>
                <w:szCs w:val="20"/>
              </w:rPr>
            </w:pPr>
            <w:r w:rsidRPr="007D7ED0">
              <w:rPr>
                <w:rFonts w:cstheme="minorHAnsi"/>
                <w:b/>
                <w:sz w:val="20"/>
                <w:szCs w:val="20"/>
              </w:rPr>
              <w:t>Mi</w:t>
            </w:r>
            <w:r>
              <w:rPr>
                <w:rFonts w:cstheme="minorHAnsi"/>
                <w:b/>
                <w:sz w:val="20"/>
                <w:szCs w:val="20"/>
              </w:rPr>
              <w:t>k</w:t>
            </w:r>
            <w:r w:rsidRPr="007D7ED0">
              <w:rPr>
                <w:rFonts w:cstheme="minorHAnsi"/>
                <w:b/>
                <w:sz w:val="20"/>
                <w:szCs w:val="20"/>
              </w:rPr>
              <w:t xml:space="preserve">e Robson, </w:t>
            </w:r>
            <w:r w:rsidRPr="007D7ED0">
              <w:rPr>
                <w:rFonts w:cstheme="minorHAnsi"/>
                <w:sz w:val="20"/>
                <w:szCs w:val="20"/>
              </w:rPr>
              <w:t>FAO Representative in Bangladesh</w:t>
            </w:r>
          </w:p>
        </w:tc>
      </w:tr>
    </w:tbl>
    <w:p w:rsidR="00455E34" w:rsidRDefault="00455E34"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9511DC">
      <w:pPr>
        <w:autoSpaceDE w:val="0"/>
        <w:autoSpaceDN w:val="0"/>
        <w:adjustRightInd w:val="0"/>
        <w:spacing w:after="0" w:line="240" w:lineRule="auto"/>
        <w:jc w:val="center"/>
        <w:rPr>
          <w:rFonts w:cs="Calibri"/>
          <w:b/>
        </w:rPr>
      </w:pPr>
      <w:r>
        <w:rPr>
          <w:rFonts w:cs="Calibri"/>
          <w:b/>
        </w:rPr>
        <w:lastRenderedPageBreak/>
        <w:t>Annex V: List of Selected Documents Reviewed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511DC" w:rsidRPr="00A63566" w:rsidTr="009511DC">
        <w:tc>
          <w:tcPr>
            <w:tcW w:w="9576" w:type="dxa"/>
            <w:shd w:val="clear" w:color="auto" w:fill="D99594"/>
          </w:tcPr>
          <w:p w:rsidR="009511DC" w:rsidRPr="004F24C4" w:rsidRDefault="009511DC" w:rsidP="009511DC">
            <w:pPr>
              <w:spacing w:after="0" w:line="240" w:lineRule="auto"/>
              <w:jc w:val="center"/>
              <w:rPr>
                <w:rFonts w:cs="Calibri"/>
                <w:b/>
                <w:sz w:val="24"/>
                <w:szCs w:val="24"/>
              </w:rPr>
            </w:pPr>
            <w:r w:rsidRPr="004F24C4">
              <w:rPr>
                <w:rFonts w:cs="Calibri"/>
                <w:b/>
                <w:sz w:val="24"/>
                <w:szCs w:val="24"/>
              </w:rPr>
              <w:t>List of Documents Reviewed</w:t>
            </w:r>
          </w:p>
          <w:p w:rsidR="009511DC" w:rsidRPr="004F24C4" w:rsidRDefault="009511DC" w:rsidP="009511DC">
            <w:pPr>
              <w:spacing w:after="0" w:line="240" w:lineRule="auto"/>
              <w:jc w:val="center"/>
              <w:rPr>
                <w:rFonts w:cs="Calibri"/>
                <w:b/>
              </w:rPr>
            </w:pPr>
          </w:p>
        </w:tc>
      </w:tr>
      <w:tr w:rsidR="009511DC" w:rsidRPr="00A63566" w:rsidTr="009511DC">
        <w:tc>
          <w:tcPr>
            <w:tcW w:w="9576" w:type="dxa"/>
            <w:shd w:val="clear" w:color="auto" w:fill="C6D9F1"/>
          </w:tcPr>
          <w:p w:rsidR="009511DC" w:rsidRPr="004F24C4" w:rsidRDefault="009511DC" w:rsidP="009511DC">
            <w:pPr>
              <w:spacing w:after="0" w:line="240" w:lineRule="auto"/>
              <w:rPr>
                <w:rFonts w:cs="Calibri"/>
                <w:b/>
              </w:rPr>
            </w:pPr>
            <w:r w:rsidRPr="004F24C4">
              <w:rPr>
                <w:rFonts w:cs="Calibri"/>
                <w:b/>
              </w:rPr>
              <w:t>1. Sixth Five Year Plan of Bangladesh-Part-1, 2 &amp; 3</w:t>
            </w:r>
          </w:p>
        </w:tc>
      </w:tr>
      <w:tr w:rsidR="009511DC" w:rsidRPr="00A63566" w:rsidTr="009511DC">
        <w:tc>
          <w:tcPr>
            <w:tcW w:w="9576" w:type="dxa"/>
            <w:shd w:val="clear" w:color="auto" w:fill="C6D9F1"/>
          </w:tcPr>
          <w:p w:rsidR="009511DC" w:rsidRPr="004F24C4" w:rsidRDefault="009511DC" w:rsidP="009511DC">
            <w:pPr>
              <w:spacing w:after="0" w:line="240" w:lineRule="auto"/>
              <w:rPr>
                <w:rFonts w:cs="Calibri"/>
                <w:b/>
              </w:rPr>
            </w:pPr>
            <w:r w:rsidRPr="004F24C4">
              <w:rPr>
                <w:rFonts w:cs="Calibri"/>
                <w:b/>
              </w:rPr>
              <w:t>2. National Strategic Documents</w:t>
            </w:r>
          </w:p>
        </w:tc>
      </w:tr>
      <w:tr w:rsidR="009511DC" w:rsidRPr="00A63566" w:rsidTr="009511DC">
        <w:tc>
          <w:tcPr>
            <w:tcW w:w="9576" w:type="dxa"/>
            <w:shd w:val="clear" w:color="auto" w:fill="EEECE1"/>
          </w:tcPr>
          <w:p w:rsidR="009511DC" w:rsidRPr="004F24C4" w:rsidRDefault="009511DC" w:rsidP="009511DC">
            <w:pPr>
              <w:spacing w:after="0" w:line="240" w:lineRule="auto"/>
              <w:rPr>
                <w:rFonts w:cs="Calibri"/>
              </w:rPr>
            </w:pPr>
            <w:r w:rsidRPr="004F24C4">
              <w:rPr>
                <w:rFonts w:cs="Calibri"/>
              </w:rPr>
              <w:t xml:space="preserve">               -The Millennium Development Goals, Bangladesh Progress Report 2012</w:t>
            </w:r>
          </w:p>
          <w:p w:rsidR="009511DC" w:rsidRPr="004F24C4" w:rsidRDefault="009511DC" w:rsidP="009511DC">
            <w:pPr>
              <w:spacing w:after="0" w:line="240" w:lineRule="auto"/>
              <w:rPr>
                <w:rFonts w:cs="Calibri"/>
              </w:rPr>
            </w:pPr>
            <w:r w:rsidRPr="004F24C4">
              <w:rPr>
                <w:rFonts w:cs="Calibri"/>
              </w:rPr>
              <w:tab/>
              <w:t>-Bric</w:t>
            </w:r>
            <w:r>
              <w:rPr>
                <w:rFonts w:cs="Calibri"/>
              </w:rPr>
              <w:t>k</w:t>
            </w:r>
            <w:r w:rsidRPr="004F24C4">
              <w:rPr>
                <w:rFonts w:cs="Calibri"/>
              </w:rPr>
              <w:t xml:space="preserve"> Manufacturing and Bric</w:t>
            </w:r>
            <w:r>
              <w:rPr>
                <w:rFonts w:cs="Calibri"/>
              </w:rPr>
              <w:t>kK</w:t>
            </w:r>
            <w:r w:rsidRPr="004F24C4">
              <w:rPr>
                <w:rFonts w:cs="Calibri"/>
              </w:rPr>
              <w:t xml:space="preserve">iln Setting up (Control) Law, 2013 </w:t>
            </w:r>
          </w:p>
          <w:p w:rsidR="009511DC" w:rsidRPr="004F24C4" w:rsidRDefault="009511DC" w:rsidP="009511DC">
            <w:pPr>
              <w:spacing w:after="0" w:line="240" w:lineRule="auto"/>
              <w:rPr>
                <w:rFonts w:cs="Calibri"/>
              </w:rPr>
            </w:pPr>
            <w:r w:rsidRPr="004F24C4">
              <w:rPr>
                <w:rFonts w:cs="Calibri"/>
              </w:rPr>
              <w:tab/>
              <w:t>-Climate Change Strategy and Action Plan 2009</w:t>
            </w:r>
          </w:p>
          <w:p w:rsidR="009511DC" w:rsidRPr="004F24C4" w:rsidRDefault="009511DC" w:rsidP="009511DC">
            <w:pPr>
              <w:spacing w:after="0" w:line="240" w:lineRule="auto"/>
              <w:rPr>
                <w:rFonts w:cs="Calibri"/>
              </w:rPr>
            </w:pPr>
            <w:r w:rsidRPr="004F24C4">
              <w:rPr>
                <w:rFonts w:cs="Calibri"/>
              </w:rPr>
              <w:tab/>
              <w:t>-Climate Fiscal Framewor</w:t>
            </w:r>
            <w:r>
              <w:rPr>
                <w:rFonts w:cs="Calibri"/>
              </w:rPr>
              <w:t>k</w:t>
            </w:r>
          </w:p>
          <w:p w:rsidR="009511DC" w:rsidRPr="004F24C4" w:rsidRDefault="009511DC" w:rsidP="009511DC">
            <w:pPr>
              <w:spacing w:after="0" w:line="240" w:lineRule="auto"/>
              <w:rPr>
                <w:rFonts w:cs="Calibri"/>
              </w:rPr>
            </w:pPr>
            <w:r w:rsidRPr="004F24C4">
              <w:rPr>
                <w:rFonts w:cs="Calibri"/>
              </w:rPr>
              <w:tab/>
              <w:t>-Disaster Management Act (draft) Eng</w:t>
            </w:r>
          </w:p>
          <w:p w:rsidR="009511DC" w:rsidRPr="004F24C4" w:rsidRDefault="009511DC" w:rsidP="009511DC">
            <w:pPr>
              <w:spacing w:after="0" w:line="240" w:lineRule="auto"/>
              <w:rPr>
                <w:rFonts w:cs="Calibri"/>
              </w:rPr>
            </w:pPr>
            <w:r w:rsidRPr="004F24C4">
              <w:rPr>
                <w:rFonts w:cs="Calibri"/>
              </w:rPr>
              <w:tab/>
              <w:t>-Economics of Adaptation to Climate Change-Bangladesh 2010-World Ban</w:t>
            </w:r>
            <w:r>
              <w:rPr>
                <w:rFonts w:cs="Calibri"/>
              </w:rPr>
              <w:t>k</w:t>
            </w:r>
          </w:p>
          <w:p w:rsidR="009511DC" w:rsidRPr="004F24C4" w:rsidRDefault="009511DC" w:rsidP="009511DC">
            <w:pPr>
              <w:spacing w:after="0" w:line="240" w:lineRule="auto"/>
              <w:rPr>
                <w:rFonts w:cs="Calibri"/>
              </w:rPr>
            </w:pPr>
            <w:r w:rsidRPr="004F24C4">
              <w:rPr>
                <w:rFonts w:cs="Calibri"/>
              </w:rPr>
              <w:tab/>
              <w:t>-Energy and Poverty in Bangladesh 2007</w:t>
            </w:r>
          </w:p>
          <w:p w:rsidR="009511DC" w:rsidRPr="004F24C4" w:rsidRDefault="009511DC" w:rsidP="009511DC">
            <w:pPr>
              <w:spacing w:after="0" w:line="240" w:lineRule="auto"/>
              <w:rPr>
                <w:rFonts w:cs="Calibri"/>
              </w:rPr>
            </w:pPr>
            <w:r w:rsidRPr="004F24C4">
              <w:rPr>
                <w:rFonts w:cs="Calibri"/>
              </w:rPr>
              <w:tab/>
              <w:t>-Indicator Framewor</w:t>
            </w:r>
            <w:r>
              <w:rPr>
                <w:rFonts w:cs="Calibri"/>
              </w:rPr>
              <w:t>k</w:t>
            </w:r>
            <w:r w:rsidRPr="004F24C4">
              <w:rPr>
                <w:rFonts w:cs="Calibri"/>
              </w:rPr>
              <w:t xml:space="preserve"> for Inclusive and Resilient Development</w:t>
            </w:r>
          </w:p>
          <w:p w:rsidR="009511DC" w:rsidRPr="004F24C4" w:rsidRDefault="009511DC" w:rsidP="009511DC">
            <w:pPr>
              <w:spacing w:after="0" w:line="240" w:lineRule="auto"/>
              <w:rPr>
                <w:rFonts w:cs="Calibri"/>
              </w:rPr>
            </w:pPr>
            <w:r w:rsidRPr="004F24C4">
              <w:rPr>
                <w:rFonts w:cs="Calibri"/>
              </w:rPr>
              <w:tab/>
              <w:t>- The Millennium Development Goals Declaration</w:t>
            </w:r>
          </w:p>
          <w:p w:rsidR="009511DC" w:rsidRPr="004F24C4" w:rsidRDefault="009511DC" w:rsidP="009511DC">
            <w:pPr>
              <w:spacing w:after="0" w:line="240" w:lineRule="auto"/>
              <w:rPr>
                <w:rFonts w:cs="Calibri"/>
              </w:rPr>
            </w:pPr>
            <w:r w:rsidRPr="004F24C4">
              <w:rPr>
                <w:rFonts w:cs="Calibri"/>
              </w:rPr>
              <w:tab/>
              <w:t>-National Plan for Disaster Management 2010-2015</w:t>
            </w:r>
          </w:p>
          <w:p w:rsidR="009511DC" w:rsidRPr="004F24C4" w:rsidRDefault="009511DC" w:rsidP="009511DC">
            <w:pPr>
              <w:spacing w:after="0" w:line="240" w:lineRule="auto"/>
              <w:rPr>
                <w:rFonts w:cs="Calibri"/>
              </w:rPr>
            </w:pPr>
            <w:r w:rsidRPr="004F24C4">
              <w:rPr>
                <w:rFonts w:cs="Calibri"/>
              </w:rPr>
              <w:tab/>
              <w:t>-National Sustainable Development Strategy (NSDS) 2010-2021</w:t>
            </w:r>
          </w:p>
          <w:p w:rsidR="009511DC" w:rsidRPr="004F24C4" w:rsidRDefault="009511DC" w:rsidP="009511DC">
            <w:pPr>
              <w:spacing w:after="0" w:line="240" w:lineRule="auto"/>
              <w:rPr>
                <w:rFonts w:cs="Calibri"/>
              </w:rPr>
            </w:pPr>
            <w:r w:rsidRPr="004F24C4">
              <w:rPr>
                <w:rFonts w:cs="Calibri"/>
              </w:rPr>
              <w:tab/>
              <w:t>-Perspective Plan of Bangladesh 2010-2021</w:t>
            </w:r>
          </w:p>
          <w:p w:rsidR="009511DC" w:rsidRPr="004F24C4" w:rsidRDefault="009511DC" w:rsidP="009511DC">
            <w:pPr>
              <w:spacing w:after="0" w:line="240" w:lineRule="auto"/>
              <w:rPr>
                <w:rFonts w:cs="Calibri"/>
              </w:rPr>
            </w:pPr>
            <w:r w:rsidRPr="004F24C4">
              <w:rPr>
                <w:rFonts w:cs="Calibri"/>
              </w:rPr>
              <w:tab/>
              <w:t>-Progress Report on the Implementation of the HFA</w:t>
            </w:r>
          </w:p>
          <w:p w:rsidR="009511DC" w:rsidRPr="004F24C4" w:rsidRDefault="009511DC" w:rsidP="009511DC">
            <w:pPr>
              <w:spacing w:after="0" w:line="240" w:lineRule="auto"/>
              <w:rPr>
                <w:rFonts w:cs="Calibri"/>
              </w:rPr>
            </w:pPr>
            <w:r w:rsidRPr="004F24C4">
              <w:rPr>
                <w:rFonts w:cs="Calibri"/>
              </w:rPr>
              <w:tab/>
              <w:t>-Public Expenditure for Climate Change</w:t>
            </w:r>
          </w:p>
          <w:p w:rsidR="009511DC" w:rsidRPr="004F24C4" w:rsidRDefault="009511DC" w:rsidP="009511DC">
            <w:pPr>
              <w:spacing w:after="0" w:line="240" w:lineRule="auto"/>
              <w:rPr>
                <w:rFonts w:cs="Calibri"/>
              </w:rPr>
            </w:pPr>
            <w:r w:rsidRPr="004F24C4">
              <w:rPr>
                <w:rFonts w:cs="Calibri"/>
              </w:rPr>
              <w:tab/>
              <w:t>-SE4ALL Rapid Assessment and Gap Analysis</w:t>
            </w:r>
          </w:p>
          <w:p w:rsidR="009511DC" w:rsidRPr="004F24C4" w:rsidRDefault="009511DC" w:rsidP="009511DC">
            <w:pPr>
              <w:spacing w:after="0" w:line="240" w:lineRule="auto"/>
              <w:rPr>
                <w:rFonts w:cs="Calibri"/>
              </w:rPr>
            </w:pPr>
            <w:r w:rsidRPr="004F24C4">
              <w:rPr>
                <w:rFonts w:cs="Calibri"/>
              </w:rPr>
              <w:tab/>
              <w:t>-Standing Orders on Disaster</w:t>
            </w:r>
          </w:p>
          <w:p w:rsidR="009511DC" w:rsidRPr="004F24C4" w:rsidRDefault="009511DC" w:rsidP="009511DC">
            <w:pPr>
              <w:spacing w:after="0" w:line="240" w:lineRule="auto"/>
              <w:rPr>
                <w:rFonts w:cs="Calibri"/>
              </w:rPr>
            </w:pPr>
            <w:r w:rsidRPr="004F24C4">
              <w:rPr>
                <w:rFonts w:cs="Calibri"/>
              </w:rPr>
              <w:tab/>
              <w:t>-Sustainable and Renewable Energy Development Authority Act 2012</w:t>
            </w:r>
          </w:p>
          <w:p w:rsidR="009511DC" w:rsidRPr="004F24C4" w:rsidRDefault="009511DC" w:rsidP="009511DC">
            <w:pPr>
              <w:spacing w:after="0" w:line="240" w:lineRule="auto"/>
              <w:rPr>
                <w:rFonts w:cs="Calibri"/>
              </w:rPr>
            </w:pPr>
            <w:r w:rsidRPr="004F24C4">
              <w:rPr>
                <w:rFonts w:cs="Calibri"/>
              </w:rPr>
              <w:tab/>
              <w:t>-Towards Resilient Development</w:t>
            </w:r>
          </w:p>
          <w:p w:rsidR="009511DC" w:rsidRPr="004F24C4" w:rsidRDefault="009511DC" w:rsidP="009511DC">
            <w:pPr>
              <w:spacing w:after="0" w:line="240" w:lineRule="auto"/>
              <w:rPr>
                <w:rFonts w:cs="Calibri"/>
                <w:sz w:val="8"/>
              </w:rPr>
            </w:pPr>
          </w:p>
        </w:tc>
      </w:tr>
      <w:tr w:rsidR="009511DC" w:rsidRPr="00A63566" w:rsidTr="009511DC">
        <w:tc>
          <w:tcPr>
            <w:tcW w:w="9576" w:type="dxa"/>
            <w:shd w:val="clear" w:color="auto" w:fill="C6D9F1"/>
          </w:tcPr>
          <w:p w:rsidR="009511DC" w:rsidRPr="004F24C4" w:rsidRDefault="009511DC" w:rsidP="009511DC">
            <w:pPr>
              <w:spacing w:after="0" w:line="240" w:lineRule="auto"/>
              <w:rPr>
                <w:rFonts w:cs="Calibri"/>
                <w:b/>
                <w:i/>
              </w:rPr>
            </w:pPr>
            <w:r w:rsidRPr="004F24C4">
              <w:rPr>
                <w:rFonts w:cs="Calibri"/>
                <w:b/>
              </w:rPr>
              <w:t xml:space="preserve">3. Country Program Outcome 3.1/UNDAF Outcome 5.1: </w:t>
            </w:r>
            <w:r w:rsidRPr="004F24C4">
              <w:rPr>
                <w:rFonts w:cs="Calibri"/>
                <w:b/>
                <w:i/>
              </w:rPr>
              <w:t>By 2016, populations vulnerable to climate change and natural disaster have become more resilient to adapt to ris</w:t>
            </w:r>
            <w:r>
              <w:rPr>
                <w:rFonts w:cs="Calibri"/>
                <w:b/>
                <w:i/>
              </w:rPr>
              <w:t>k</w:t>
            </w:r>
          </w:p>
          <w:p w:rsidR="009511DC" w:rsidRPr="004F24C4" w:rsidRDefault="009511DC" w:rsidP="009511DC">
            <w:pPr>
              <w:spacing w:after="0" w:line="240" w:lineRule="auto"/>
              <w:rPr>
                <w:rFonts w:cs="Calibri"/>
                <w:b/>
                <w:sz w:val="8"/>
              </w:rPr>
            </w:pPr>
          </w:p>
        </w:tc>
      </w:tr>
      <w:tr w:rsidR="009511DC" w:rsidRPr="00A63566" w:rsidTr="009511DC">
        <w:tc>
          <w:tcPr>
            <w:tcW w:w="9576" w:type="dxa"/>
            <w:shd w:val="clear" w:color="auto" w:fill="EEECE1"/>
          </w:tcPr>
          <w:p w:rsidR="009511DC" w:rsidRPr="004F24C4" w:rsidRDefault="009511DC" w:rsidP="009511DC">
            <w:pPr>
              <w:spacing w:after="0" w:line="240" w:lineRule="auto"/>
              <w:rPr>
                <w:rFonts w:cs="Calibri"/>
              </w:rPr>
            </w:pPr>
            <w:r w:rsidRPr="004F24C4">
              <w:rPr>
                <w:rFonts w:cs="Calibri"/>
              </w:rPr>
              <w:t>a) 3rd National communications to UNFCCC</w:t>
            </w:r>
          </w:p>
          <w:p w:rsidR="009511DC" w:rsidRPr="004F24C4" w:rsidRDefault="009511DC" w:rsidP="009511DC">
            <w:pPr>
              <w:spacing w:after="0" w:line="240" w:lineRule="auto"/>
              <w:rPr>
                <w:rFonts w:cs="Calibri"/>
              </w:rPr>
            </w:pPr>
            <w:r w:rsidRPr="004F24C4">
              <w:rPr>
                <w:rFonts w:cs="Calibri"/>
              </w:rPr>
              <w:tab/>
              <w:t>-Project Document 3rd National Communication to UNFCCC</w:t>
            </w:r>
          </w:p>
          <w:p w:rsidR="009511DC" w:rsidRPr="004F24C4" w:rsidRDefault="009511DC" w:rsidP="009511DC">
            <w:pPr>
              <w:spacing w:after="0" w:line="240" w:lineRule="auto"/>
              <w:rPr>
                <w:rFonts w:cs="Calibri"/>
                <w:sz w:val="8"/>
              </w:rPr>
            </w:pPr>
          </w:p>
        </w:tc>
      </w:tr>
      <w:tr w:rsidR="009511DC" w:rsidRPr="00A63566" w:rsidTr="009511DC">
        <w:tc>
          <w:tcPr>
            <w:tcW w:w="9576" w:type="dxa"/>
            <w:shd w:val="clear" w:color="auto" w:fill="EEECE1"/>
          </w:tcPr>
          <w:p w:rsidR="009511DC" w:rsidRPr="004F24C4" w:rsidRDefault="009511DC" w:rsidP="009511DC">
            <w:pPr>
              <w:spacing w:after="0" w:line="240" w:lineRule="auto"/>
              <w:rPr>
                <w:rFonts w:cs="Calibri"/>
              </w:rPr>
            </w:pPr>
            <w:r w:rsidRPr="004F24C4">
              <w:rPr>
                <w:rFonts w:cs="Calibri"/>
              </w:rPr>
              <w:t>b) Comprehensive Disaster Management Programme phase-II</w:t>
            </w:r>
          </w:p>
          <w:p w:rsidR="009511DC" w:rsidRPr="004F24C4" w:rsidRDefault="009511DC" w:rsidP="009511DC">
            <w:pPr>
              <w:spacing w:after="0" w:line="240" w:lineRule="auto"/>
              <w:ind w:firstLine="720"/>
              <w:rPr>
                <w:rFonts w:cs="Calibri"/>
              </w:rPr>
            </w:pPr>
            <w:r w:rsidRPr="004F24C4">
              <w:rPr>
                <w:rFonts w:cs="Calibri"/>
              </w:rPr>
              <w:t>-Signed Project Document CDMP, Phase II</w:t>
            </w:r>
          </w:p>
          <w:p w:rsidR="009511DC" w:rsidRPr="004F24C4" w:rsidRDefault="009511DC" w:rsidP="009511DC">
            <w:pPr>
              <w:spacing w:after="0" w:line="240" w:lineRule="auto"/>
              <w:ind w:firstLine="720"/>
              <w:rPr>
                <w:rFonts w:cs="Calibri"/>
              </w:rPr>
            </w:pPr>
            <w:r w:rsidRPr="004F24C4">
              <w:rPr>
                <w:rFonts w:cs="Calibri"/>
              </w:rPr>
              <w:t>-Assessment Sta</w:t>
            </w:r>
            <w:r>
              <w:rPr>
                <w:rFonts w:cs="Calibri"/>
              </w:rPr>
              <w:t>k</w:t>
            </w:r>
            <w:r w:rsidRPr="004F24C4">
              <w:rPr>
                <w:rFonts w:cs="Calibri"/>
              </w:rPr>
              <w:t>eholders’ Role Mahasen</w:t>
            </w:r>
          </w:p>
          <w:p w:rsidR="009511DC" w:rsidRPr="004F24C4" w:rsidRDefault="009511DC" w:rsidP="009511DC">
            <w:pPr>
              <w:spacing w:after="0" w:line="240" w:lineRule="auto"/>
              <w:ind w:firstLine="720"/>
              <w:rPr>
                <w:rFonts w:cs="Calibri"/>
              </w:rPr>
            </w:pPr>
            <w:r w:rsidRPr="004F24C4">
              <w:rPr>
                <w:rFonts w:cs="Calibri"/>
              </w:rPr>
              <w:t>-Bangladesh volunteerism</w:t>
            </w:r>
          </w:p>
          <w:p w:rsidR="009511DC" w:rsidRPr="004F24C4" w:rsidRDefault="009511DC" w:rsidP="009511DC">
            <w:pPr>
              <w:spacing w:after="0" w:line="240" w:lineRule="auto"/>
              <w:ind w:firstLine="720"/>
              <w:rPr>
                <w:rFonts w:cs="Calibri"/>
              </w:rPr>
            </w:pPr>
            <w:r w:rsidRPr="004F24C4">
              <w:rPr>
                <w:rFonts w:cs="Calibri"/>
              </w:rPr>
              <w:t>-CDMP Impact Assessment Report 2013</w:t>
            </w:r>
          </w:p>
          <w:p w:rsidR="009511DC" w:rsidRPr="004F24C4" w:rsidRDefault="009511DC" w:rsidP="009511DC">
            <w:pPr>
              <w:tabs>
                <w:tab w:val="left" w:pos="7299"/>
              </w:tabs>
              <w:spacing w:after="0" w:line="240" w:lineRule="auto"/>
              <w:ind w:firstLine="720"/>
              <w:rPr>
                <w:rFonts w:cs="Calibri"/>
              </w:rPr>
            </w:pPr>
            <w:r w:rsidRPr="004F24C4">
              <w:rPr>
                <w:rFonts w:cs="Calibri"/>
              </w:rPr>
              <w:t>-CDMP Mid-Term Final Report</w:t>
            </w:r>
            <w:r w:rsidRPr="004F24C4">
              <w:rPr>
                <w:rFonts w:cs="Calibri"/>
              </w:rPr>
              <w:tab/>
            </w:r>
          </w:p>
          <w:p w:rsidR="009511DC" w:rsidRPr="004F24C4" w:rsidRDefault="009511DC" w:rsidP="009511DC">
            <w:pPr>
              <w:spacing w:after="0" w:line="240" w:lineRule="auto"/>
              <w:ind w:firstLine="720"/>
              <w:rPr>
                <w:rFonts w:cs="Calibri"/>
              </w:rPr>
            </w:pPr>
            <w:r w:rsidRPr="004F24C4">
              <w:rPr>
                <w:rFonts w:cs="Calibri"/>
              </w:rPr>
              <w:t>-Local Level Hazard maps</w:t>
            </w:r>
          </w:p>
          <w:p w:rsidR="009511DC" w:rsidRPr="004F24C4" w:rsidRDefault="009511DC" w:rsidP="009511DC">
            <w:pPr>
              <w:spacing w:after="0" w:line="240" w:lineRule="auto"/>
              <w:ind w:firstLine="720"/>
              <w:rPr>
                <w:rFonts w:cs="Calibri"/>
              </w:rPr>
            </w:pPr>
            <w:r w:rsidRPr="004F24C4">
              <w:rPr>
                <w:rFonts w:cs="Calibri"/>
              </w:rPr>
              <w:t>-Rana Plaza Assessment Report Final</w:t>
            </w:r>
          </w:p>
          <w:p w:rsidR="009511DC" w:rsidRPr="004F24C4" w:rsidRDefault="009511DC" w:rsidP="009511DC">
            <w:pPr>
              <w:spacing w:after="0" w:line="240" w:lineRule="auto"/>
              <w:ind w:firstLine="720"/>
              <w:rPr>
                <w:rFonts w:cs="Calibri"/>
              </w:rPr>
            </w:pPr>
            <w:r w:rsidRPr="004F24C4">
              <w:rPr>
                <w:rFonts w:cs="Calibri"/>
              </w:rPr>
              <w:t>-Rapid assessment LDRRF interventions in flood affected districts Sep 2014</w:t>
            </w:r>
          </w:p>
          <w:p w:rsidR="009511DC" w:rsidRPr="004F24C4" w:rsidRDefault="009511DC" w:rsidP="009511DC">
            <w:pPr>
              <w:spacing w:after="0" w:line="240" w:lineRule="auto"/>
              <w:ind w:firstLine="720"/>
              <w:rPr>
                <w:rFonts w:cs="Calibri"/>
              </w:rPr>
            </w:pPr>
            <w:r w:rsidRPr="004F24C4">
              <w:rPr>
                <w:rFonts w:cs="Calibri"/>
              </w:rPr>
              <w:t>- Revised TOR of Early Recovery Cluster 2012</w:t>
            </w:r>
          </w:p>
          <w:p w:rsidR="009511DC" w:rsidRPr="004F24C4" w:rsidRDefault="009511DC" w:rsidP="009511DC">
            <w:pPr>
              <w:spacing w:after="0" w:line="240" w:lineRule="auto"/>
              <w:ind w:firstLine="720"/>
              <w:rPr>
                <w:rFonts w:cs="Calibri"/>
              </w:rPr>
            </w:pPr>
            <w:r w:rsidRPr="004F24C4">
              <w:rPr>
                <w:rFonts w:cs="Calibri"/>
              </w:rPr>
              <w:t>-CDM-II Case Studies 1-5</w:t>
            </w:r>
          </w:p>
          <w:p w:rsidR="009511DC" w:rsidRPr="004F24C4" w:rsidRDefault="009511DC" w:rsidP="009511DC">
            <w:pPr>
              <w:spacing w:after="0" w:line="240" w:lineRule="auto"/>
              <w:ind w:firstLine="720"/>
              <w:rPr>
                <w:rFonts w:cs="Calibri"/>
              </w:rPr>
            </w:pPr>
            <w:r w:rsidRPr="004F24C4">
              <w:rPr>
                <w:rFonts w:cs="Calibri"/>
              </w:rPr>
              <w:t>-CDMP-II Success Stories 2014</w:t>
            </w:r>
          </w:p>
          <w:p w:rsidR="009511DC" w:rsidRPr="004F24C4" w:rsidRDefault="009511DC" w:rsidP="009511DC">
            <w:pPr>
              <w:spacing w:after="0" w:line="240" w:lineRule="auto"/>
              <w:ind w:firstLine="720"/>
              <w:rPr>
                <w:rFonts w:cs="Calibri"/>
                <w:sz w:val="8"/>
              </w:rPr>
            </w:pPr>
          </w:p>
        </w:tc>
      </w:tr>
      <w:tr w:rsidR="009511DC" w:rsidRPr="00A63566" w:rsidTr="009511DC">
        <w:tc>
          <w:tcPr>
            <w:tcW w:w="9576" w:type="dxa"/>
            <w:shd w:val="clear" w:color="auto" w:fill="EEECE1"/>
          </w:tcPr>
          <w:p w:rsidR="009511DC" w:rsidRPr="004F24C4" w:rsidRDefault="009511DC" w:rsidP="009511DC">
            <w:pPr>
              <w:spacing w:after="0" w:line="240" w:lineRule="auto"/>
              <w:rPr>
                <w:rFonts w:cs="Calibri"/>
              </w:rPr>
            </w:pPr>
            <w:r w:rsidRPr="004F24C4">
              <w:rPr>
                <w:rFonts w:cs="Calibri"/>
              </w:rPr>
              <w:t>c) Coastal Afforestation</w:t>
            </w:r>
          </w:p>
          <w:p w:rsidR="009511DC" w:rsidRPr="004F24C4" w:rsidRDefault="009511DC" w:rsidP="009511DC">
            <w:pPr>
              <w:spacing w:after="0" w:line="240" w:lineRule="auto"/>
              <w:ind w:firstLine="720"/>
              <w:rPr>
                <w:rFonts w:cs="Calibri"/>
              </w:rPr>
            </w:pPr>
            <w:r w:rsidRPr="004F24C4">
              <w:rPr>
                <w:rFonts w:cs="Calibri"/>
              </w:rPr>
              <w:t>-Signed Project document</w:t>
            </w:r>
          </w:p>
          <w:p w:rsidR="009511DC" w:rsidRPr="004F24C4" w:rsidRDefault="009511DC" w:rsidP="009511DC">
            <w:pPr>
              <w:spacing w:after="0" w:line="240" w:lineRule="auto"/>
              <w:ind w:firstLine="720"/>
              <w:rPr>
                <w:rFonts w:cs="Calibri"/>
              </w:rPr>
            </w:pPr>
            <w:r w:rsidRPr="004F24C4">
              <w:rPr>
                <w:rFonts w:cs="Calibri"/>
              </w:rPr>
              <w:t>-E</w:t>
            </w:r>
            <w:r>
              <w:rPr>
                <w:rFonts w:cs="Calibri"/>
              </w:rPr>
              <w:t>K</w:t>
            </w:r>
            <w:r w:rsidRPr="004F24C4">
              <w:rPr>
                <w:rFonts w:cs="Calibri"/>
              </w:rPr>
              <w:t>N - UN Project Document Full Building Community Resilience IWM</w:t>
            </w:r>
          </w:p>
          <w:p w:rsidR="009511DC" w:rsidRPr="004F24C4" w:rsidRDefault="009511DC" w:rsidP="009511DC">
            <w:pPr>
              <w:spacing w:after="0" w:line="240" w:lineRule="auto"/>
              <w:ind w:firstLine="720"/>
              <w:rPr>
                <w:rFonts w:cs="Calibri"/>
              </w:rPr>
            </w:pPr>
            <w:r w:rsidRPr="004F24C4">
              <w:rPr>
                <w:rFonts w:cs="Calibri"/>
              </w:rPr>
              <w:t>- Annual Results Report2012</w:t>
            </w:r>
          </w:p>
          <w:p w:rsidR="009511DC" w:rsidRPr="004F24C4" w:rsidRDefault="009511DC" w:rsidP="009511DC">
            <w:pPr>
              <w:spacing w:after="0" w:line="240" w:lineRule="auto"/>
              <w:ind w:firstLine="720"/>
              <w:rPr>
                <w:rFonts w:cs="Calibri"/>
              </w:rPr>
            </w:pPr>
            <w:r w:rsidRPr="004F24C4">
              <w:rPr>
                <w:rFonts w:cs="Calibri"/>
              </w:rPr>
              <w:t>-Mid Term Evaluation Report-2012</w:t>
            </w:r>
          </w:p>
          <w:p w:rsidR="009511DC" w:rsidRPr="004F24C4" w:rsidRDefault="009511DC" w:rsidP="009511DC">
            <w:pPr>
              <w:spacing w:after="0" w:line="240" w:lineRule="auto"/>
              <w:ind w:firstLine="720"/>
              <w:rPr>
                <w:rFonts w:cs="Calibri"/>
              </w:rPr>
            </w:pPr>
            <w:r w:rsidRPr="004F24C4">
              <w:rPr>
                <w:rFonts w:cs="Calibri"/>
              </w:rPr>
              <w:t>-Progress Report 2014 Char FassionBhola</w:t>
            </w:r>
          </w:p>
          <w:p w:rsidR="009511DC" w:rsidRPr="004F24C4" w:rsidRDefault="009511DC" w:rsidP="009511DC">
            <w:pPr>
              <w:spacing w:after="0" w:line="240" w:lineRule="auto"/>
              <w:rPr>
                <w:rFonts w:cs="Calibri"/>
              </w:rPr>
            </w:pPr>
            <w:r w:rsidRPr="004F24C4">
              <w:rPr>
                <w:rFonts w:cs="Calibri"/>
              </w:rPr>
              <w:t xml:space="preserve">               -Progress Impact Report 2014 Barguna</w:t>
            </w:r>
          </w:p>
          <w:p w:rsidR="009511DC" w:rsidRPr="004F24C4" w:rsidRDefault="009511DC" w:rsidP="009511DC">
            <w:pPr>
              <w:spacing w:after="0" w:line="240" w:lineRule="auto"/>
              <w:rPr>
                <w:rFonts w:cs="Calibri"/>
              </w:rPr>
            </w:pPr>
            <w:r w:rsidRPr="004F24C4">
              <w:rPr>
                <w:rFonts w:cs="Calibri"/>
              </w:rPr>
              <w:lastRenderedPageBreak/>
              <w:t xml:space="preserve">           -Progress Impact Report Noa</w:t>
            </w:r>
            <w:r>
              <w:rPr>
                <w:rFonts w:cs="Calibri"/>
              </w:rPr>
              <w:t>k</w:t>
            </w:r>
            <w:r w:rsidRPr="004F24C4">
              <w:rPr>
                <w:rFonts w:cs="Calibri"/>
              </w:rPr>
              <w:t>hali</w:t>
            </w:r>
          </w:p>
          <w:p w:rsidR="009511DC" w:rsidRPr="004F24C4" w:rsidRDefault="009511DC" w:rsidP="009511DC">
            <w:pPr>
              <w:spacing w:after="0" w:line="240" w:lineRule="auto"/>
              <w:rPr>
                <w:rFonts w:cs="Calibri"/>
              </w:rPr>
            </w:pPr>
            <w:r w:rsidRPr="004F24C4">
              <w:rPr>
                <w:rFonts w:cs="Calibri"/>
              </w:rPr>
              <w:t xml:space="preserve">           -</w:t>
            </w:r>
            <w:r w:rsidRPr="004F24C4">
              <w:rPr>
                <w:rFonts w:cs="Calibri"/>
                <w:bCs/>
              </w:rPr>
              <w:t xml:space="preserve">Impact Assessment of GOB Officials on Capacity Building and CBA Measures </w:t>
            </w:r>
            <w:r w:rsidRPr="004F24C4">
              <w:rPr>
                <w:rFonts w:cs="Calibri"/>
              </w:rPr>
              <w:t>- Noa</w:t>
            </w:r>
            <w:r>
              <w:rPr>
                <w:rFonts w:cs="Calibri"/>
              </w:rPr>
              <w:t>k</w:t>
            </w:r>
            <w:r w:rsidRPr="004F24C4">
              <w:rPr>
                <w:rFonts w:cs="Calibri"/>
              </w:rPr>
              <w:t>hali</w:t>
            </w:r>
          </w:p>
          <w:p w:rsidR="009511DC" w:rsidRPr="004F24C4" w:rsidRDefault="009511DC" w:rsidP="009511DC">
            <w:pPr>
              <w:spacing w:after="0" w:line="240" w:lineRule="auto"/>
              <w:rPr>
                <w:rFonts w:cs="Calibri"/>
              </w:rPr>
            </w:pPr>
            <w:r w:rsidRPr="004F24C4">
              <w:rPr>
                <w:rFonts w:cs="Calibri"/>
              </w:rPr>
              <w:t xml:space="preserve">          -</w:t>
            </w:r>
            <w:r w:rsidRPr="004F24C4">
              <w:rPr>
                <w:rFonts w:cs="Calibri"/>
                <w:bCs/>
              </w:rPr>
              <w:t xml:space="preserve"> Impact Assessment of GOB Officials on Capacity Building and CBA Measures </w:t>
            </w:r>
            <w:r w:rsidRPr="004F24C4">
              <w:rPr>
                <w:rFonts w:cs="Calibri"/>
              </w:rPr>
              <w:t>–Barguna</w:t>
            </w:r>
          </w:p>
          <w:p w:rsidR="009511DC" w:rsidRPr="004F24C4" w:rsidRDefault="009511DC" w:rsidP="009511DC">
            <w:pPr>
              <w:spacing w:after="0" w:line="240" w:lineRule="auto"/>
              <w:rPr>
                <w:rFonts w:cs="Calibri"/>
              </w:rPr>
            </w:pPr>
            <w:r w:rsidRPr="004F24C4">
              <w:rPr>
                <w:rFonts w:cs="Calibri"/>
              </w:rPr>
              <w:t xml:space="preserve">          -</w:t>
            </w:r>
            <w:r w:rsidRPr="004F24C4">
              <w:rPr>
                <w:rFonts w:cs="Calibri"/>
                <w:bCs/>
              </w:rPr>
              <w:t xml:space="preserve"> Impact Assessment of GOB Officials on Capacity Building and CBA Measures </w:t>
            </w:r>
            <w:r w:rsidRPr="004F24C4">
              <w:rPr>
                <w:rFonts w:cs="Calibri"/>
              </w:rPr>
              <w:t>-Chittagong</w:t>
            </w:r>
          </w:p>
          <w:p w:rsidR="009511DC" w:rsidRPr="004F24C4" w:rsidRDefault="009511DC" w:rsidP="009511DC">
            <w:pPr>
              <w:spacing w:after="0" w:line="240" w:lineRule="auto"/>
              <w:rPr>
                <w:rFonts w:cs="Calibri"/>
                <w:bCs/>
              </w:rPr>
            </w:pPr>
            <w:r w:rsidRPr="004F24C4">
              <w:rPr>
                <w:rFonts w:cs="Calibri"/>
              </w:rPr>
              <w:t xml:space="preserve">          -</w:t>
            </w:r>
            <w:r w:rsidRPr="004F24C4">
              <w:rPr>
                <w:rFonts w:cs="Calibri"/>
                <w:bCs/>
              </w:rPr>
              <w:t xml:space="preserve"> Impact Assessment of GOB Officials on Capacity Building and CBA Measures -</w:t>
            </w:r>
            <w:r w:rsidRPr="004F24C4">
              <w:rPr>
                <w:rFonts w:cs="Calibri"/>
              </w:rPr>
              <w:t>Bhola</w:t>
            </w:r>
          </w:p>
          <w:p w:rsidR="009511DC" w:rsidRPr="00955758" w:rsidRDefault="009511DC" w:rsidP="009511DC">
            <w:pPr>
              <w:pStyle w:val="Default"/>
              <w:rPr>
                <w:rFonts w:ascii="Calibri" w:hAnsi="Calibri" w:cs="Calibri"/>
                <w:sz w:val="8"/>
                <w:szCs w:val="22"/>
              </w:rPr>
            </w:pPr>
          </w:p>
        </w:tc>
      </w:tr>
      <w:tr w:rsidR="009511DC" w:rsidRPr="00A63566" w:rsidTr="009511DC">
        <w:tc>
          <w:tcPr>
            <w:tcW w:w="9576" w:type="dxa"/>
            <w:shd w:val="clear" w:color="auto" w:fill="EEECE1"/>
          </w:tcPr>
          <w:p w:rsidR="009511DC" w:rsidRPr="004F24C4" w:rsidRDefault="009511DC" w:rsidP="009511DC">
            <w:pPr>
              <w:spacing w:after="0" w:line="240" w:lineRule="auto"/>
              <w:rPr>
                <w:rFonts w:cs="Calibri"/>
              </w:rPr>
            </w:pPr>
            <w:r w:rsidRPr="004F24C4">
              <w:rPr>
                <w:rFonts w:cs="Calibri"/>
              </w:rPr>
              <w:lastRenderedPageBreak/>
              <w:t>d) Early recovery facilities</w:t>
            </w:r>
          </w:p>
          <w:p w:rsidR="009511DC" w:rsidRPr="004F24C4" w:rsidRDefault="009511DC" w:rsidP="009511DC">
            <w:pPr>
              <w:spacing w:after="0" w:line="240" w:lineRule="auto"/>
              <w:rPr>
                <w:rFonts w:cs="Calibri"/>
              </w:rPr>
            </w:pPr>
            <w:r w:rsidRPr="004F24C4">
              <w:rPr>
                <w:rFonts w:cs="Calibri"/>
              </w:rPr>
              <w:tab/>
              <w:t xml:space="preserve">-Signed Project Document </w:t>
            </w:r>
          </w:p>
          <w:p w:rsidR="009511DC" w:rsidRPr="004F24C4" w:rsidRDefault="009511DC" w:rsidP="009511DC">
            <w:pPr>
              <w:spacing w:after="0" w:line="240" w:lineRule="auto"/>
              <w:rPr>
                <w:rFonts w:cs="Calibri"/>
              </w:rPr>
            </w:pPr>
            <w:r w:rsidRPr="004F24C4">
              <w:rPr>
                <w:rFonts w:cs="Calibri"/>
              </w:rPr>
              <w:tab/>
              <w:t>-Feb 2014 Revised Project document</w:t>
            </w:r>
          </w:p>
          <w:p w:rsidR="009511DC" w:rsidRPr="004F24C4" w:rsidRDefault="009511DC" w:rsidP="009511DC">
            <w:pPr>
              <w:spacing w:after="0" w:line="240" w:lineRule="auto"/>
              <w:rPr>
                <w:rFonts w:cs="Calibri"/>
              </w:rPr>
            </w:pPr>
            <w:r w:rsidRPr="004F24C4">
              <w:rPr>
                <w:rFonts w:cs="Calibri"/>
              </w:rPr>
              <w:tab/>
              <w:t>-Early Recovery Programmes Lesson Study 2012</w:t>
            </w:r>
          </w:p>
          <w:p w:rsidR="009511DC" w:rsidRPr="00955758" w:rsidRDefault="009511DC" w:rsidP="009511DC">
            <w:pPr>
              <w:pStyle w:val="Default"/>
              <w:rPr>
                <w:rFonts w:ascii="Calibri" w:hAnsi="Calibri" w:cs="Calibri"/>
                <w:sz w:val="22"/>
                <w:szCs w:val="22"/>
              </w:rPr>
            </w:pPr>
            <w:r w:rsidRPr="00955758">
              <w:rPr>
                <w:rFonts w:ascii="Calibri" w:hAnsi="Calibri" w:cs="Calibri"/>
                <w:sz w:val="22"/>
                <w:szCs w:val="22"/>
              </w:rPr>
              <w:tab/>
              <w:t>-ERF Mid Term Report 2014</w:t>
            </w:r>
          </w:p>
          <w:p w:rsidR="009511DC" w:rsidRPr="00955758" w:rsidRDefault="009511DC" w:rsidP="009511DC">
            <w:pPr>
              <w:pStyle w:val="Default"/>
              <w:rPr>
                <w:rFonts w:ascii="Calibri" w:hAnsi="Calibri" w:cs="Calibri"/>
                <w:sz w:val="8"/>
                <w:szCs w:val="8"/>
              </w:rPr>
            </w:pPr>
          </w:p>
        </w:tc>
      </w:tr>
      <w:tr w:rsidR="009511DC" w:rsidRPr="00A63566" w:rsidTr="009511DC">
        <w:tc>
          <w:tcPr>
            <w:tcW w:w="9576" w:type="dxa"/>
            <w:shd w:val="clear" w:color="auto" w:fill="C6D9F1"/>
          </w:tcPr>
          <w:p w:rsidR="009511DC" w:rsidRPr="004F24C4" w:rsidRDefault="009511DC" w:rsidP="009511DC">
            <w:pPr>
              <w:spacing w:after="0" w:line="240" w:lineRule="auto"/>
              <w:rPr>
                <w:rFonts w:cs="Calibri"/>
                <w:b/>
                <w:i/>
              </w:rPr>
            </w:pPr>
            <w:r w:rsidRPr="004F24C4">
              <w:rPr>
                <w:rFonts w:cs="Calibri"/>
                <w:b/>
              </w:rPr>
              <w:t xml:space="preserve">4. Country Programme Outcome 3.2/UNDAF Outcome 5.2: </w:t>
            </w:r>
            <w:r w:rsidRPr="004F24C4">
              <w:rPr>
                <w:rFonts w:cs="Calibri"/>
                <w:b/>
                <w:i/>
              </w:rPr>
              <w:t>By 2016, vulnerable populations benefit from better natural resource management and access to low carbon energy</w:t>
            </w:r>
          </w:p>
          <w:p w:rsidR="009511DC" w:rsidRPr="004F24C4" w:rsidRDefault="009511DC" w:rsidP="009511DC">
            <w:pPr>
              <w:spacing w:after="0" w:line="240" w:lineRule="auto"/>
              <w:rPr>
                <w:rFonts w:cs="Calibri"/>
                <w:b/>
                <w:i/>
                <w:sz w:val="8"/>
              </w:rPr>
            </w:pPr>
          </w:p>
        </w:tc>
      </w:tr>
      <w:tr w:rsidR="009511DC" w:rsidRPr="00A63566" w:rsidTr="009511DC">
        <w:tc>
          <w:tcPr>
            <w:tcW w:w="9576" w:type="dxa"/>
            <w:shd w:val="clear" w:color="auto" w:fill="EEECE1"/>
          </w:tcPr>
          <w:p w:rsidR="009511DC" w:rsidRPr="004F24C4" w:rsidRDefault="009511DC" w:rsidP="009511DC">
            <w:pPr>
              <w:spacing w:after="0" w:line="240" w:lineRule="auto"/>
              <w:rPr>
                <w:rFonts w:cs="Calibri"/>
              </w:rPr>
            </w:pPr>
            <w:r w:rsidRPr="004F24C4">
              <w:rPr>
                <w:rFonts w:cs="Calibri"/>
              </w:rPr>
              <w:t>a) Bangladesh Green Development Program</w:t>
            </w:r>
          </w:p>
          <w:p w:rsidR="009511DC" w:rsidRPr="004F24C4" w:rsidRDefault="009511DC" w:rsidP="009511DC">
            <w:pPr>
              <w:spacing w:after="0" w:line="240" w:lineRule="auto"/>
              <w:rPr>
                <w:rFonts w:cs="Calibri"/>
              </w:rPr>
            </w:pPr>
            <w:r w:rsidRPr="004F24C4">
              <w:rPr>
                <w:rFonts w:cs="Calibri"/>
              </w:rPr>
              <w:tab/>
              <w:t>- Initiation Plan-2011</w:t>
            </w:r>
          </w:p>
          <w:p w:rsidR="009511DC" w:rsidRPr="004F24C4" w:rsidRDefault="009511DC" w:rsidP="009511DC">
            <w:pPr>
              <w:spacing w:after="0" w:line="240" w:lineRule="auto"/>
              <w:rPr>
                <w:rFonts w:cs="Calibri"/>
                <w:sz w:val="8"/>
              </w:rPr>
            </w:pPr>
          </w:p>
        </w:tc>
      </w:tr>
      <w:tr w:rsidR="009511DC" w:rsidRPr="00A63566" w:rsidTr="009511DC">
        <w:tc>
          <w:tcPr>
            <w:tcW w:w="9576" w:type="dxa"/>
            <w:shd w:val="clear" w:color="auto" w:fill="EEECE1"/>
          </w:tcPr>
          <w:p w:rsidR="009511DC" w:rsidRPr="004F24C4" w:rsidRDefault="009511DC" w:rsidP="009511DC">
            <w:pPr>
              <w:spacing w:after="0" w:line="240" w:lineRule="auto"/>
              <w:rPr>
                <w:rFonts w:cs="Calibri"/>
              </w:rPr>
            </w:pPr>
            <w:r w:rsidRPr="004F24C4">
              <w:rPr>
                <w:rFonts w:cs="Calibri"/>
              </w:rPr>
              <w:t>b) Barrier Removals for Energy Standards &amp; Labeling (BRESL)</w:t>
            </w:r>
          </w:p>
          <w:p w:rsidR="009511DC" w:rsidRPr="004F24C4" w:rsidRDefault="009511DC" w:rsidP="009511DC">
            <w:pPr>
              <w:spacing w:after="0" w:line="240" w:lineRule="auto"/>
              <w:rPr>
                <w:rFonts w:cs="Calibri"/>
              </w:rPr>
            </w:pPr>
            <w:r w:rsidRPr="004F24C4">
              <w:rPr>
                <w:rFonts w:cs="Calibri"/>
              </w:rPr>
              <w:tab/>
              <w:t>-Project document</w:t>
            </w:r>
          </w:p>
          <w:p w:rsidR="009511DC" w:rsidRPr="004F24C4" w:rsidRDefault="009511DC" w:rsidP="009511DC">
            <w:pPr>
              <w:spacing w:after="0" w:line="240" w:lineRule="auto"/>
              <w:rPr>
                <w:rFonts w:cs="Calibri"/>
              </w:rPr>
            </w:pPr>
            <w:r w:rsidRPr="004F24C4">
              <w:rPr>
                <w:rFonts w:cs="Calibri"/>
              </w:rPr>
              <w:tab/>
              <w:t>-Project Result Report (Annual) (2012-2014)</w:t>
            </w:r>
          </w:p>
          <w:p w:rsidR="009511DC" w:rsidRPr="004F24C4" w:rsidRDefault="009511DC" w:rsidP="009511DC">
            <w:pPr>
              <w:spacing w:after="0" w:line="240" w:lineRule="auto"/>
              <w:rPr>
                <w:rFonts w:cs="Calibri"/>
                <w:sz w:val="8"/>
              </w:rPr>
            </w:pPr>
          </w:p>
        </w:tc>
      </w:tr>
      <w:tr w:rsidR="009511DC" w:rsidRPr="00A63566" w:rsidTr="009511DC">
        <w:tc>
          <w:tcPr>
            <w:tcW w:w="9576" w:type="dxa"/>
            <w:shd w:val="clear" w:color="auto" w:fill="EEECE1"/>
          </w:tcPr>
          <w:p w:rsidR="009511DC" w:rsidRPr="004F24C4" w:rsidRDefault="009511DC" w:rsidP="009511DC">
            <w:pPr>
              <w:spacing w:after="0" w:line="240" w:lineRule="auto"/>
              <w:rPr>
                <w:rFonts w:cs="Calibri"/>
              </w:rPr>
            </w:pPr>
            <w:r w:rsidRPr="004F24C4">
              <w:rPr>
                <w:rFonts w:cs="Calibri"/>
              </w:rPr>
              <w:t>c) CHT watershed Co-management</w:t>
            </w:r>
          </w:p>
          <w:p w:rsidR="009511DC" w:rsidRPr="004F24C4" w:rsidRDefault="009511DC" w:rsidP="009511DC">
            <w:pPr>
              <w:spacing w:after="0" w:line="240" w:lineRule="auto"/>
              <w:rPr>
                <w:rFonts w:cs="Calibri"/>
              </w:rPr>
            </w:pPr>
            <w:r w:rsidRPr="004F24C4">
              <w:rPr>
                <w:rFonts w:cs="Calibri"/>
              </w:rPr>
              <w:tab/>
              <w:t>- 2013-08-30 Watershed CS Agreement with USAID</w:t>
            </w:r>
          </w:p>
          <w:p w:rsidR="009511DC" w:rsidRPr="004F24C4" w:rsidRDefault="009511DC" w:rsidP="009511DC">
            <w:pPr>
              <w:spacing w:after="0" w:line="240" w:lineRule="auto"/>
              <w:rPr>
                <w:rFonts w:cs="Calibri"/>
                <w:sz w:val="8"/>
              </w:rPr>
            </w:pPr>
          </w:p>
        </w:tc>
      </w:tr>
      <w:tr w:rsidR="009511DC" w:rsidRPr="00A63566" w:rsidTr="009511DC">
        <w:tc>
          <w:tcPr>
            <w:tcW w:w="9576" w:type="dxa"/>
            <w:shd w:val="clear" w:color="auto" w:fill="EEECE1"/>
          </w:tcPr>
          <w:p w:rsidR="009511DC" w:rsidRPr="004F24C4" w:rsidRDefault="009511DC" w:rsidP="009511DC">
            <w:pPr>
              <w:spacing w:after="0" w:line="240" w:lineRule="auto"/>
              <w:rPr>
                <w:rFonts w:cs="Calibri"/>
              </w:rPr>
            </w:pPr>
            <w:r w:rsidRPr="004F24C4">
              <w:rPr>
                <w:rFonts w:cs="Calibri"/>
              </w:rPr>
              <w:t>d) Conversion Cyclopentane (Walton)</w:t>
            </w:r>
          </w:p>
          <w:p w:rsidR="009511DC" w:rsidRPr="004F24C4" w:rsidRDefault="009511DC" w:rsidP="009511DC">
            <w:pPr>
              <w:spacing w:after="0" w:line="240" w:lineRule="auto"/>
              <w:rPr>
                <w:rFonts w:cs="Calibri"/>
              </w:rPr>
            </w:pPr>
            <w:r w:rsidRPr="004F24C4">
              <w:rPr>
                <w:rFonts w:cs="Calibri"/>
              </w:rPr>
              <w:tab/>
              <w:t>- Project Document</w:t>
            </w:r>
          </w:p>
          <w:p w:rsidR="009511DC" w:rsidRPr="004F24C4" w:rsidRDefault="009511DC" w:rsidP="009511DC">
            <w:pPr>
              <w:spacing w:after="0" w:line="240" w:lineRule="auto"/>
              <w:rPr>
                <w:rFonts w:cs="Calibri"/>
              </w:rPr>
            </w:pPr>
            <w:r w:rsidRPr="004F24C4">
              <w:rPr>
                <w:rFonts w:cs="Calibri"/>
              </w:rPr>
              <w:tab/>
              <w:t>- HFC Survey Final Report</w:t>
            </w:r>
          </w:p>
          <w:p w:rsidR="009511DC" w:rsidRPr="004F24C4" w:rsidRDefault="009511DC" w:rsidP="009511DC">
            <w:pPr>
              <w:spacing w:after="0" w:line="240" w:lineRule="auto"/>
              <w:rPr>
                <w:rFonts w:cs="Calibri"/>
                <w:sz w:val="8"/>
              </w:rPr>
            </w:pPr>
          </w:p>
        </w:tc>
      </w:tr>
      <w:tr w:rsidR="009511DC" w:rsidRPr="00A63566" w:rsidTr="009511DC">
        <w:tc>
          <w:tcPr>
            <w:tcW w:w="9576" w:type="dxa"/>
            <w:shd w:val="clear" w:color="auto" w:fill="EEECE1"/>
          </w:tcPr>
          <w:p w:rsidR="009511DC" w:rsidRPr="004F24C4" w:rsidRDefault="009511DC" w:rsidP="009511DC">
            <w:pPr>
              <w:spacing w:after="0" w:line="240" w:lineRule="auto"/>
              <w:rPr>
                <w:rFonts w:cs="Calibri"/>
              </w:rPr>
            </w:pPr>
            <w:r w:rsidRPr="004F24C4">
              <w:rPr>
                <w:rFonts w:cs="Calibri"/>
              </w:rPr>
              <w:t>e) Development of sustainable renewable energy power generation</w:t>
            </w:r>
          </w:p>
          <w:p w:rsidR="009511DC" w:rsidRPr="004F24C4" w:rsidRDefault="009511DC" w:rsidP="009511DC">
            <w:pPr>
              <w:spacing w:after="0" w:line="240" w:lineRule="auto"/>
              <w:rPr>
                <w:rFonts w:cs="Calibri"/>
              </w:rPr>
            </w:pPr>
            <w:r w:rsidRPr="004F24C4">
              <w:rPr>
                <w:rFonts w:cs="Calibri"/>
              </w:rPr>
              <w:tab/>
              <w:t>- Project Document</w:t>
            </w:r>
          </w:p>
          <w:p w:rsidR="009511DC" w:rsidRPr="004F24C4" w:rsidRDefault="009511DC" w:rsidP="009511DC">
            <w:pPr>
              <w:spacing w:after="0" w:line="240" w:lineRule="auto"/>
              <w:rPr>
                <w:rFonts w:cs="Calibri"/>
                <w:sz w:val="8"/>
              </w:rPr>
            </w:pPr>
          </w:p>
        </w:tc>
      </w:tr>
      <w:tr w:rsidR="009511DC" w:rsidRPr="00A63566" w:rsidTr="009511DC">
        <w:tc>
          <w:tcPr>
            <w:tcW w:w="9576" w:type="dxa"/>
            <w:shd w:val="clear" w:color="auto" w:fill="EEECE1"/>
          </w:tcPr>
          <w:p w:rsidR="009511DC" w:rsidRPr="004F24C4" w:rsidRDefault="009511DC" w:rsidP="009511DC">
            <w:pPr>
              <w:spacing w:after="0" w:line="240" w:lineRule="auto"/>
              <w:rPr>
                <w:rFonts w:cs="Calibri"/>
              </w:rPr>
            </w:pPr>
            <w:r w:rsidRPr="004F24C4">
              <w:rPr>
                <w:rFonts w:cs="Calibri"/>
              </w:rPr>
              <w:t>f) Expanding the protected area aquatic ecosystem</w:t>
            </w:r>
          </w:p>
          <w:p w:rsidR="009511DC" w:rsidRPr="00955758" w:rsidRDefault="009511DC" w:rsidP="009511DC">
            <w:pPr>
              <w:pStyle w:val="Default"/>
              <w:rPr>
                <w:rFonts w:ascii="Calibri" w:hAnsi="Calibri" w:cs="Calibri"/>
                <w:sz w:val="22"/>
                <w:szCs w:val="22"/>
              </w:rPr>
            </w:pPr>
            <w:r w:rsidRPr="00955758">
              <w:rPr>
                <w:rFonts w:ascii="Calibri" w:hAnsi="Calibri" w:cs="Calibri"/>
                <w:sz w:val="22"/>
                <w:szCs w:val="22"/>
              </w:rPr>
              <w:t xml:space="preserve">           - Project Document- Expanding the Protected Area System to incorporate </w:t>
            </w:r>
          </w:p>
          <w:p w:rsidR="009511DC" w:rsidRPr="00955758" w:rsidRDefault="009511DC" w:rsidP="009511DC">
            <w:pPr>
              <w:pStyle w:val="Default"/>
              <w:rPr>
                <w:rFonts w:ascii="Calibri" w:hAnsi="Calibri" w:cs="Calibri"/>
                <w:sz w:val="22"/>
                <w:szCs w:val="22"/>
              </w:rPr>
            </w:pPr>
            <w:r w:rsidRPr="00955758">
              <w:rPr>
                <w:rFonts w:ascii="Calibri" w:hAnsi="Calibri" w:cs="Calibri"/>
                <w:sz w:val="22"/>
                <w:szCs w:val="22"/>
              </w:rPr>
              <w:t xml:space="preserve">              Important Aquatic Ecosystems </w:t>
            </w:r>
          </w:p>
          <w:p w:rsidR="009511DC" w:rsidRPr="00955758" w:rsidRDefault="009511DC" w:rsidP="009511DC">
            <w:pPr>
              <w:pStyle w:val="Default"/>
              <w:rPr>
                <w:rFonts w:ascii="Calibri" w:hAnsi="Calibri" w:cs="Calibri"/>
                <w:sz w:val="8"/>
                <w:szCs w:val="22"/>
              </w:rPr>
            </w:pPr>
          </w:p>
        </w:tc>
      </w:tr>
      <w:tr w:rsidR="009511DC" w:rsidRPr="00A63566" w:rsidTr="009511DC">
        <w:tc>
          <w:tcPr>
            <w:tcW w:w="9576" w:type="dxa"/>
            <w:shd w:val="clear" w:color="auto" w:fill="EEECE1"/>
          </w:tcPr>
          <w:p w:rsidR="009511DC" w:rsidRPr="004F24C4" w:rsidRDefault="009511DC" w:rsidP="009511DC">
            <w:pPr>
              <w:spacing w:after="0" w:line="240" w:lineRule="auto"/>
              <w:rPr>
                <w:rFonts w:cs="Calibri"/>
              </w:rPr>
            </w:pPr>
            <w:r w:rsidRPr="004F24C4">
              <w:rPr>
                <w:rFonts w:cs="Calibri"/>
              </w:rPr>
              <w:t>g) Green Bric</w:t>
            </w:r>
            <w:r>
              <w:rPr>
                <w:rFonts w:cs="Calibri"/>
              </w:rPr>
              <w:t>k</w:t>
            </w:r>
            <w:r w:rsidRPr="004F24C4">
              <w:rPr>
                <w:rFonts w:cs="Calibri"/>
              </w:rPr>
              <w:t>s-I</w:t>
            </w:r>
            <w:r>
              <w:rPr>
                <w:rFonts w:cs="Calibri"/>
              </w:rPr>
              <w:t>K</w:t>
            </w:r>
            <w:r w:rsidRPr="004F24C4">
              <w:rPr>
                <w:rFonts w:cs="Calibri"/>
              </w:rPr>
              <w:t>EBMI</w:t>
            </w:r>
          </w:p>
          <w:p w:rsidR="009511DC" w:rsidRPr="004F24C4" w:rsidRDefault="009511DC" w:rsidP="009511DC">
            <w:pPr>
              <w:spacing w:after="0" w:line="240" w:lineRule="auto"/>
              <w:rPr>
                <w:rFonts w:cs="Calibri"/>
              </w:rPr>
            </w:pPr>
            <w:r w:rsidRPr="004F24C4">
              <w:rPr>
                <w:rFonts w:cs="Calibri"/>
              </w:rPr>
              <w:tab/>
              <w:t>- Signed Project Document Bric</w:t>
            </w:r>
            <w:r>
              <w:rPr>
                <w:rFonts w:cs="Calibri"/>
              </w:rPr>
              <w:t>k</w:t>
            </w:r>
            <w:r w:rsidRPr="004F24C4">
              <w:rPr>
                <w:rFonts w:cs="Calibri"/>
              </w:rPr>
              <w:t xml:space="preserve"> Ma</w:t>
            </w:r>
            <w:r>
              <w:rPr>
                <w:rFonts w:cs="Calibri"/>
              </w:rPr>
              <w:t>k</w:t>
            </w:r>
            <w:r w:rsidRPr="004F24C4">
              <w:rPr>
                <w:rFonts w:cs="Calibri"/>
              </w:rPr>
              <w:t>ing Industries</w:t>
            </w:r>
          </w:p>
          <w:p w:rsidR="009511DC" w:rsidRPr="004F24C4" w:rsidRDefault="009511DC" w:rsidP="009511DC">
            <w:pPr>
              <w:spacing w:after="0" w:line="240" w:lineRule="auto"/>
              <w:rPr>
                <w:rFonts w:cs="Calibri"/>
              </w:rPr>
            </w:pPr>
            <w:r w:rsidRPr="004F24C4">
              <w:rPr>
                <w:rFonts w:cs="Calibri"/>
              </w:rPr>
              <w:tab/>
              <w:t>- Annual Result Report 2012</w:t>
            </w:r>
          </w:p>
          <w:p w:rsidR="009511DC" w:rsidRPr="004F24C4" w:rsidRDefault="009511DC" w:rsidP="009511DC">
            <w:pPr>
              <w:spacing w:after="0" w:line="240" w:lineRule="auto"/>
              <w:rPr>
                <w:rFonts w:cs="Calibri"/>
              </w:rPr>
            </w:pPr>
            <w:r w:rsidRPr="004F24C4">
              <w:rPr>
                <w:rFonts w:cs="Calibri"/>
              </w:rPr>
              <w:tab/>
              <w:t>- Annual Progress Report 2011</w:t>
            </w:r>
            <w:r w:rsidRPr="004F24C4">
              <w:rPr>
                <w:rFonts w:cs="Calibri"/>
              </w:rPr>
              <w:tab/>
            </w:r>
          </w:p>
          <w:p w:rsidR="009511DC" w:rsidRPr="004F24C4" w:rsidRDefault="009511DC" w:rsidP="009511DC">
            <w:pPr>
              <w:spacing w:after="0" w:line="240" w:lineRule="auto"/>
              <w:rPr>
                <w:rFonts w:cs="Calibri"/>
              </w:rPr>
            </w:pPr>
            <w:r w:rsidRPr="004F24C4">
              <w:rPr>
                <w:rFonts w:cs="Calibri"/>
              </w:rPr>
              <w:tab/>
              <w:t>- Socio-Economic Baseline Study on Bric</w:t>
            </w:r>
            <w:r>
              <w:rPr>
                <w:rFonts w:cs="Calibri"/>
              </w:rPr>
              <w:t>k</w:t>
            </w:r>
            <w:r w:rsidRPr="004F24C4">
              <w:rPr>
                <w:rFonts w:cs="Calibri"/>
              </w:rPr>
              <w:t xml:space="preserve"> Ma</w:t>
            </w:r>
            <w:r>
              <w:rPr>
                <w:rFonts w:cs="Calibri"/>
              </w:rPr>
              <w:t>k</w:t>
            </w:r>
            <w:r w:rsidRPr="004F24C4">
              <w:rPr>
                <w:rFonts w:cs="Calibri"/>
              </w:rPr>
              <w:t>ing Industries (BMI) of Bangladesh</w:t>
            </w:r>
          </w:p>
          <w:p w:rsidR="009511DC" w:rsidRPr="004F24C4" w:rsidRDefault="009511DC" w:rsidP="009511DC">
            <w:pPr>
              <w:spacing w:after="0" w:line="240" w:lineRule="auto"/>
              <w:rPr>
                <w:rFonts w:cs="Calibri"/>
              </w:rPr>
            </w:pPr>
            <w:r w:rsidRPr="004F24C4">
              <w:rPr>
                <w:rFonts w:cs="Calibri"/>
              </w:rPr>
              <w:tab/>
              <w:t>- GENDER in Focus Completion Report 2014</w:t>
            </w:r>
          </w:p>
          <w:p w:rsidR="009511DC" w:rsidRPr="004F24C4" w:rsidRDefault="009511DC" w:rsidP="009511DC">
            <w:pPr>
              <w:spacing w:after="0" w:line="240" w:lineRule="auto"/>
              <w:rPr>
                <w:rFonts w:cs="Calibri"/>
              </w:rPr>
            </w:pPr>
            <w:r w:rsidRPr="004F24C4">
              <w:rPr>
                <w:rFonts w:cs="Calibri"/>
              </w:rPr>
              <w:tab/>
              <w:t>- Socio-Economic Profile, Profitability and Replicability Study on HH</w:t>
            </w:r>
            <w:r>
              <w:rPr>
                <w:rFonts w:cs="Calibri"/>
              </w:rPr>
              <w:t>K</w:t>
            </w:r>
            <w:r w:rsidRPr="004F24C4">
              <w:rPr>
                <w:rFonts w:cs="Calibri"/>
              </w:rPr>
              <w:t xml:space="preserve"> Demo Plants Report -2013</w:t>
            </w:r>
          </w:p>
          <w:p w:rsidR="009511DC" w:rsidRPr="004F24C4" w:rsidRDefault="009511DC" w:rsidP="009511DC">
            <w:pPr>
              <w:spacing w:after="0" w:line="240" w:lineRule="auto"/>
              <w:rPr>
                <w:rFonts w:cs="Calibri"/>
                <w:sz w:val="8"/>
              </w:rPr>
            </w:pPr>
          </w:p>
        </w:tc>
      </w:tr>
      <w:tr w:rsidR="009511DC" w:rsidRPr="00A63566" w:rsidTr="009511DC">
        <w:tc>
          <w:tcPr>
            <w:tcW w:w="9576" w:type="dxa"/>
            <w:shd w:val="clear" w:color="auto" w:fill="EEECE1"/>
          </w:tcPr>
          <w:p w:rsidR="009511DC" w:rsidRPr="004F24C4" w:rsidRDefault="009511DC" w:rsidP="009511DC">
            <w:pPr>
              <w:spacing w:after="0" w:line="240" w:lineRule="auto"/>
              <w:rPr>
                <w:rFonts w:cs="Calibri"/>
              </w:rPr>
            </w:pPr>
            <w:r w:rsidRPr="004F24C4">
              <w:rPr>
                <w:rFonts w:cs="Calibri"/>
              </w:rPr>
              <w:t>h) Poverty Environment Climate Mainstreaming (PECM)</w:t>
            </w:r>
          </w:p>
          <w:p w:rsidR="009511DC" w:rsidRPr="004F24C4" w:rsidRDefault="009511DC" w:rsidP="009511DC">
            <w:pPr>
              <w:spacing w:after="0" w:line="240" w:lineRule="auto"/>
              <w:rPr>
                <w:rFonts w:cs="Calibri"/>
              </w:rPr>
            </w:pPr>
            <w:r w:rsidRPr="004F24C4">
              <w:rPr>
                <w:rFonts w:cs="Calibri"/>
              </w:rPr>
              <w:tab/>
              <w:t>- Signed Project Document</w:t>
            </w:r>
          </w:p>
          <w:p w:rsidR="009511DC" w:rsidRPr="004F24C4" w:rsidRDefault="009511DC" w:rsidP="009511DC">
            <w:pPr>
              <w:spacing w:after="0" w:line="240" w:lineRule="auto"/>
              <w:rPr>
                <w:rFonts w:cs="Calibri"/>
              </w:rPr>
            </w:pPr>
            <w:r w:rsidRPr="004F24C4">
              <w:rPr>
                <w:rFonts w:cs="Calibri"/>
              </w:rPr>
              <w:tab/>
              <w:t>- UNDP Final Mid Term Evaluation report-2013</w:t>
            </w:r>
          </w:p>
          <w:p w:rsidR="009511DC" w:rsidRPr="004F24C4" w:rsidRDefault="009511DC" w:rsidP="009511DC">
            <w:pPr>
              <w:spacing w:after="0" w:line="240" w:lineRule="auto"/>
              <w:rPr>
                <w:rFonts w:cs="Calibri"/>
                <w:sz w:val="8"/>
              </w:rPr>
            </w:pPr>
          </w:p>
        </w:tc>
      </w:tr>
      <w:tr w:rsidR="009511DC" w:rsidRPr="00A63566" w:rsidTr="009511DC">
        <w:tc>
          <w:tcPr>
            <w:tcW w:w="9576" w:type="dxa"/>
            <w:shd w:val="clear" w:color="auto" w:fill="EEECE1"/>
          </w:tcPr>
          <w:p w:rsidR="009511DC" w:rsidRPr="004F24C4" w:rsidRDefault="009511DC" w:rsidP="009511DC">
            <w:pPr>
              <w:spacing w:after="0" w:line="240" w:lineRule="auto"/>
              <w:rPr>
                <w:rFonts w:cs="Calibri"/>
              </w:rPr>
            </w:pPr>
            <w:r w:rsidRPr="004F24C4">
              <w:rPr>
                <w:rFonts w:cs="Calibri"/>
              </w:rPr>
              <w:t>i) Support to implement REED+</w:t>
            </w:r>
          </w:p>
          <w:p w:rsidR="009511DC" w:rsidRPr="004F24C4" w:rsidRDefault="009511DC" w:rsidP="009511DC">
            <w:pPr>
              <w:spacing w:after="0" w:line="240" w:lineRule="auto"/>
              <w:rPr>
                <w:rFonts w:cs="Calibri"/>
              </w:rPr>
            </w:pPr>
            <w:r w:rsidRPr="004F24C4">
              <w:rPr>
                <w:rFonts w:cs="Calibri"/>
              </w:rPr>
              <w:tab/>
              <w:t>- Signed IP Bangladesh</w:t>
            </w:r>
          </w:p>
          <w:p w:rsidR="009511DC" w:rsidRPr="004F24C4" w:rsidRDefault="009511DC" w:rsidP="009511DC">
            <w:pPr>
              <w:spacing w:after="0" w:line="240" w:lineRule="auto"/>
              <w:rPr>
                <w:rFonts w:cs="Calibri"/>
              </w:rPr>
            </w:pPr>
            <w:r w:rsidRPr="004F24C4">
              <w:rPr>
                <w:rFonts w:cs="Calibri"/>
              </w:rPr>
              <w:tab/>
              <w:t>- Bangladesh REDD+ Readiness Roadmap 2012</w:t>
            </w:r>
          </w:p>
          <w:p w:rsidR="009511DC" w:rsidRPr="004F24C4" w:rsidRDefault="009511DC" w:rsidP="009511DC">
            <w:pPr>
              <w:spacing w:after="0" w:line="240" w:lineRule="auto"/>
              <w:rPr>
                <w:rFonts w:cs="Calibri"/>
                <w:sz w:val="8"/>
              </w:rPr>
            </w:pPr>
          </w:p>
        </w:tc>
      </w:tr>
      <w:tr w:rsidR="009511DC" w:rsidRPr="00A63566" w:rsidTr="009511DC">
        <w:tc>
          <w:tcPr>
            <w:tcW w:w="9576" w:type="dxa"/>
            <w:shd w:val="clear" w:color="auto" w:fill="EEECE1"/>
          </w:tcPr>
          <w:p w:rsidR="009511DC" w:rsidRPr="004F24C4" w:rsidRDefault="009511DC" w:rsidP="009511DC">
            <w:pPr>
              <w:spacing w:after="0" w:line="240" w:lineRule="auto"/>
              <w:rPr>
                <w:rFonts w:cs="Calibri"/>
              </w:rPr>
            </w:pPr>
            <w:r w:rsidRPr="004F24C4">
              <w:rPr>
                <w:rFonts w:cs="Calibri"/>
              </w:rPr>
              <w:t>j) Sustainable Environmental Governance Program</w:t>
            </w:r>
          </w:p>
          <w:p w:rsidR="009511DC" w:rsidRPr="004F24C4" w:rsidRDefault="009511DC" w:rsidP="009511DC">
            <w:pPr>
              <w:spacing w:after="0" w:line="240" w:lineRule="auto"/>
              <w:rPr>
                <w:rFonts w:cs="Calibri"/>
              </w:rPr>
            </w:pPr>
            <w:r w:rsidRPr="004F24C4">
              <w:rPr>
                <w:rFonts w:cs="Calibri"/>
              </w:rPr>
              <w:tab/>
              <w:t>- Signed IP SEGPP</w:t>
            </w:r>
          </w:p>
          <w:p w:rsidR="009511DC" w:rsidRPr="004F24C4" w:rsidRDefault="009511DC" w:rsidP="009511DC">
            <w:pPr>
              <w:spacing w:after="0" w:line="240" w:lineRule="auto"/>
              <w:rPr>
                <w:rFonts w:cs="Calibri"/>
                <w:sz w:val="8"/>
              </w:rPr>
            </w:pPr>
          </w:p>
        </w:tc>
      </w:tr>
      <w:tr w:rsidR="009511DC" w:rsidRPr="00A63566" w:rsidTr="009511DC">
        <w:trPr>
          <w:trHeight w:val="323"/>
        </w:trPr>
        <w:tc>
          <w:tcPr>
            <w:tcW w:w="9576" w:type="dxa"/>
            <w:shd w:val="clear" w:color="auto" w:fill="C6D9F1"/>
          </w:tcPr>
          <w:p w:rsidR="009511DC" w:rsidRPr="004F24C4" w:rsidRDefault="009511DC" w:rsidP="009511DC">
            <w:pPr>
              <w:spacing w:after="0" w:line="240" w:lineRule="auto"/>
              <w:rPr>
                <w:rFonts w:cs="Calibri"/>
                <w:b/>
              </w:rPr>
            </w:pPr>
            <w:r w:rsidRPr="004F24C4">
              <w:rPr>
                <w:rFonts w:cs="Calibri"/>
                <w:b/>
              </w:rPr>
              <w:lastRenderedPageBreak/>
              <w:t>5. UNDP &amp; UNDAF Documents</w:t>
            </w:r>
          </w:p>
        </w:tc>
      </w:tr>
      <w:tr w:rsidR="009511DC" w:rsidRPr="00A63566" w:rsidTr="009511DC">
        <w:tc>
          <w:tcPr>
            <w:tcW w:w="9576" w:type="dxa"/>
            <w:shd w:val="clear" w:color="auto" w:fill="EEECE1"/>
          </w:tcPr>
          <w:p w:rsidR="009511DC" w:rsidRPr="004F24C4" w:rsidRDefault="009511DC" w:rsidP="009511DC">
            <w:pPr>
              <w:spacing w:after="0" w:line="240" w:lineRule="auto"/>
              <w:rPr>
                <w:rFonts w:cs="Calibri"/>
              </w:rPr>
            </w:pPr>
            <w:r w:rsidRPr="004F24C4">
              <w:rPr>
                <w:rFonts w:cs="Calibri"/>
              </w:rPr>
              <w:t>- 2014 Final Annual Results Compact format</w:t>
            </w:r>
          </w:p>
          <w:p w:rsidR="009511DC" w:rsidRPr="004F24C4" w:rsidRDefault="009511DC" w:rsidP="009511DC">
            <w:pPr>
              <w:spacing w:after="0" w:line="240" w:lineRule="auto"/>
              <w:rPr>
                <w:rFonts w:cs="Calibri"/>
              </w:rPr>
            </w:pPr>
            <w:r w:rsidRPr="004F24C4">
              <w:rPr>
                <w:rFonts w:cs="Calibri"/>
              </w:rPr>
              <w:tab/>
              <w:t xml:space="preserve">-Assessment of Development Results-Bangladesh: Evaluation of UNDP </w:t>
            </w:r>
          </w:p>
          <w:p w:rsidR="009511DC" w:rsidRPr="004F24C4" w:rsidRDefault="009511DC" w:rsidP="009511DC">
            <w:pPr>
              <w:spacing w:after="0" w:line="240" w:lineRule="auto"/>
              <w:ind w:firstLine="720"/>
              <w:rPr>
                <w:rFonts w:cs="Calibri"/>
              </w:rPr>
            </w:pPr>
            <w:r w:rsidRPr="004F24C4">
              <w:rPr>
                <w:rFonts w:cs="Calibri"/>
              </w:rPr>
              <w:t xml:space="preserve"> Contribution 2011</w:t>
            </w:r>
          </w:p>
          <w:p w:rsidR="009511DC" w:rsidRPr="004F24C4" w:rsidRDefault="009511DC" w:rsidP="009511DC">
            <w:pPr>
              <w:spacing w:after="0" w:line="240" w:lineRule="auto"/>
              <w:ind w:firstLine="720"/>
              <w:rPr>
                <w:rFonts w:cs="Calibri"/>
              </w:rPr>
            </w:pPr>
            <w:r w:rsidRPr="004F24C4">
              <w:rPr>
                <w:rFonts w:cs="Calibri"/>
              </w:rPr>
              <w:t>- Country Programme Document - Bangladesh 2012-2016</w:t>
            </w:r>
          </w:p>
          <w:p w:rsidR="009511DC" w:rsidRPr="004F24C4" w:rsidRDefault="009511DC" w:rsidP="009511DC">
            <w:pPr>
              <w:spacing w:after="0" w:line="240" w:lineRule="auto"/>
              <w:ind w:firstLine="720"/>
              <w:rPr>
                <w:rFonts w:cs="Calibri"/>
              </w:rPr>
            </w:pPr>
            <w:r w:rsidRPr="004F24C4">
              <w:rPr>
                <w:rFonts w:cs="Calibri"/>
              </w:rPr>
              <w:t>- Empowered Lives Resilient Bangladesh – 2012</w:t>
            </w:r>
          </w:p>
          <w:p w:rsidR="009511DC" w:rsidRPr="00955758" w:rsidRDefault="009511DC" w:rsidP="009511DC">
            <w:pPr>
              <w:pStyle w:val="Default"/>
              <w:ind w:firstLine="720"/>
              <w:rPr>
                <w:rFonts w:ascii="Calibri" w:hAnsi="Calibri" w:cs="Calibri"/>
                <w:bCs/>
                <w:sz w:val="22"/>
                <w:szCs w:val="22"/>
              </w:rPr>
            </w:pPr>
            <w:r w:rsidRPr="00955758">
              <w:rPr>
                <w:rFonts w:ascii="Calibri" w:hAnsi="Calibri" w:cs="Calibri"/>
                <w:sz w:val="22"/>
                <w:szCs w:val="22"/>
              </w:rPr>
              <w:t xml:space="preserve">- </w:t>
            </w:r>
            <w:r w:rsidRPr="00955758">
              <w:rPr>
                <w:rFonts w:ascii="Calibri" w:hAnsi="Calibri" w:cs="Calibri"/>
                <w:bCs/>
                <w:sz w:val="22"/>
                <w:szCs w:val="22"/>
              </w:rPr>
              <w:t>Country Programme Evaluation Plan 2012-2016</w:t>
            </w:r>
          </w:p>
          <w:p w:rsidR="009511DC" w:rsidRPr="00955758" w:rsidRDefault="009511DC" w:rsidP="009511DC">
            <w:pPr>
              <w:pStyle w:val="Default"/>
              <w:ind w:firstLine="720"/>
              <w:rPr>
                <w:rFonts w:ascii="Calibri" w:hAnsi="Calibri" w:cs="Calibri"/>
                <w:bCs/>
                <w:sz w:val="22"/>
                <w:szCs w:val="22"/>
              </w:rPr>
            </w:pPr>
            <w:r w:rsidRPr="00955758">
              <w:rPr>
                <w:rFonts w:ascii="Calibri" w:hAnsi="Calibri" w:cs="Calibri"/>
                <w:bCs/>
                <w:sz w:val="22"/>
                <w:szCs w:val="22"/>
              </w:rPr>
              <w:t xml:space="preserve">-Bangladesh Final ROAR 2012 </w:t>
            </w:r>
          </w:p>
          <w:p w:rsidR="009511DC" w:rsidRPr="00955758" w:rsidRDefault="009511DC" w:rsidP="009511DC">
            <w:pPr>
              <w:pStyle w:val="Default"/>
              <w:ind w:firstLine="720"/>
              <w:rPr>
                <w:rFonts w:ascii="Calibri" w:hAnsi="Calibri" w:cs="Calibri"/>
                <w:bCs/>
                <w:sz w:val="22"/>
                <w:szCs w:val="22"/>
              </w:rPr>
            </w:pPr>
            <w:r w:rsidRPr="00955758">
              <w:rPr>
                <w:rFonts w:ascii="Calibri" w:hAnsi="Calibri" w:cs="Calibri"/>
                <w:bCs/>
                <w:sz w:val="22"/>
                <w:szCs w:val="22"/>
              </w:rPr>
              <w:t>- Bangladesh Final ROAR 2013</w:t>
            </w:r>
          </w:p>
          <w:p w:rsidR="009511DC" w:rsidRPr="00955758" w:rsidRDefault="009511DC" w:rsidP="009511DC">
            <w:pPr>
              <w:pStyle w:val="Default"/>
              <w:ind w:firstLine="720"/>
              <w:rPr>
                <w:rFonts w:ascii="Calibri" w:hAnsi="Calibri" w:cs="Calibri"/>
                <w:bCs/>
                <w:sz w:val="22"/>
                <w:szCs w:val="22"/>
              </w:rPr>
            </w:pPr>
            <w:r w:rsidRPr="00955758">
              <w:rPr>
                <w:rFonts w:ascii="Calibri" w:hAnsi="Calibri" w:cs="Calibri"/>
                <w:bCs/>
                <w:sz w:val="22"/>
                <w:szCs w:val="22"/>
              </w:rPr>
              <w:t>-Report on the Post-2015 Development Agenda for Bangladesh-2013</w:t>
            </w:r>
          </w:p>
          <w:p w:rsidR="009511DC" w:rsidRPr="00955758" w:rsidRDefault="009511DC" w:rsidP="009511DC">
            <w:pPr>
              <w:pStyle w:val="Default"/>
              <w:ind w:firstLine="720"/>
              <w:rPr>
                <w:rFonts w:ascii="Calibri" w:hAnsi="Calibri" w:cs="Calibri"/>
                <w:bCs/>
                <w:sz w:val="22"/>
                <w:szCs w:val="22"/>
              </w:rPr>
            </w:pPr>
            <w:r w:rsidRPr="00955758">
              <w:rPr>
                <w:rFonts w:ascii="Calibri" w:hAnsi="Calibri" w:cs="Calibri"/>
                <w:bCs/>
                <w:sz w:val="22"/>
                <w:szCs w:val="22"/>
              </w:rPr>
              <w:t>-Resilient Bangladesh: UNDP Bangladesh Annual Report 2013/2014</w:t>
            </w:r>
          </w:p>
          <w:p w:rsidR="009511DC" w:rsidRPr="00955758" w:rsidRDefault="009511DC" w:rsidP="009511DC">
            <w:pPr>
              <w:pStyle w:val="Default"/>
              <w:ind w:firstLine="720"/>
              <w:rPr>
                <w:rFonts w:ascii="Calibri" w:hAnsi="Calibri" w:cs="Calibri"/>
                <w:bCs/>
                <w:sz w:val="22"/>
                <w:szCs w:val="22"/>
              </w:rPr>
            </w:pPr>
            <w:r w:rsidRPr="00955758">
              <w:rPr>
                <w:rFonts w:ascii="Calibri" w:hAnsi="Calibri" w:cs="Calibri"/>
                <w:bCs/>
                <w:sz w:val="22"/>
                <w:szCs w:val="22"/>
              </w:rPr>
              <w:t>-UNDAF for Bangladesh 2012-2016</w:t>
            </w:r>
          </w:p>
          <w:p w:rsidR="009511DC" w:rsidRPr="00955758" w:rsidRDefault="009511DC" w:rsidP="009511DC">
            <w:pPr>
              <w:pStyle w:val="Default"/>
              <w:ind w:firstLine="720"/>
              <w:rPr>
                <w:rFonts w:ascii="Calibri" w:hAnsi="Calibri" w:cs="Calibri"/>
                <w:bCs/>
                <w:sz w:val="22"/>
                <w:szCs w:val="22"/>
              </w:rPr>
            </w:pPr>
            <w:r w:rsidRPr="00955758">
              <w:rPr>
                <w:rFonts w:ascii="Calibri" w:hAnsi="Calibri" w:cs="Calibri"/>
                <w:bCs/>
                <w:sz w:val="22"/>
                <w:szCs w:val="22"/>
              </w:rPr>
              <w:t>-UNDAF Action Plan 2012-2016 for Bangladesh</w:t>
            </w:r>
          </w:p>
          <w:p w:rsidR="009511DC" w:rsidRPr="00955758" w:rsidRDefault="009511DC" w:rsidP="009511DC">
            <w:pPr>
              <w:pStyle w:val="Default"/>
              <w:ind w:firstLine="720"/>
              <w:rPr>
                <w:rFonts w:ascii="Calibri" w:hAnsi="Calibri" w:cs="Calibri"/>
                <w:bCs/>
                <w:sz w:val="22"/>
                <w:szCs w:val="22"/>
              </w:rPr>
            </w:pPr>
            <w:r w:rsidRPr="00955758">
              <w:rPr>
                <w:rFonts w:ascii="Calibri" w:hAnsi="Calibri" w:cs="Calibri"/>
                <w:bCs/>
                <w:sz w:val="22"/>
                <w:szCs w:val="22"/>
              </w:rPr>
              <w:t>-UNDAF Bangladesh Progress Report-2012</w:t>
            </w:r>
          </w:p>
          <w:p w:rsidR="009511DC" w:rsidRDefault="009511DC" w:rsidP="009511DC">
            <w:pPr>
              <w:pStyle w:val="Default"/>
              <w:ind w:firstLine="720"/>
              <w:rPr>
                <w:rFonts w:ascii="Calibri" w:hAnsi="Calibri" w:cs="Calibri"/>
                <w:bCs/>
                <w:sz w:val="22"/>
                <w:szCs w:val="22"/>
              </w:rPr>
            </w:pPr>
            <w:r w:rsidRPr="00955758">
              <w:rPr>
                <w:rFonts w:ascii="Calibri" w:hAnsi="Calibri" w:cs="Calibri"/>
                <w:bCs/>
                <w:sz w:val="22"/>
                <w:szCs w:val="22"/>
              </w:rPr>
              <w:t>-Changing with the World: UNDP Strategic Plan 2014-2017</w:t>
            </w:r>
          </w:p>
          <w:p w:rsidR="009511DC" w:rsidRPr="00955758" w:rsidRDefault="009511DC" w:rsidP="009511DC">
            <w:pPr>
              <w:pStyle w:val="Default"/>
              <w:ind w:firstLine="720"/>
              <w:rPr>
                <w:rFonts w:ascii="Calibri" w:hAnsi="Calibri" w:cs="Calibri"/>
                <w:bCs/>
                <w:sz w:val="22"/>
                <w:szCs w:val="22"/>
              </w:rPr>
            </w:pPr>
            <w:r>
              <w:rPr>
                <w:rFonts w:ascii="Calibri" w:hAnsi="Calibri" w:cs="Calibri"/>
                <w:bCs/>
                <w:sz w:val="22"/>
                <w:szCs w:val="22"/>
              </w:rPr>
              <w:t>- Results Oriented Annual Reporting (ROAR) 2014</w:t>
            </w:r>
          </w:p>
          <w:p w:rsidR="009511DC" w:rsidRPr="004F24C4" w:rsidRDefault="009511DC" w:rsidP="009511DC">
            <w:pPr>
              <w:spacing w:after="0" w:line="240" w:lineRule="auto"/>
              <w:rPr>
                <w:rFonts w:cs="Calibri"/>
                <w:b/>
              </w:rPr>
            </w:pPr>
          </w:p>
        </w:tc>
      </w:tr>
    </w:tbl>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Default="009511DC" w:rsidP="005F5DC3">
      <w:pPr>
        <w:tabs>
          <w:tab w:val="left" w:pos="2595"/>
        </w:tabs>
        <w:rPr>
          <w:rFonts w:asciiTheme="minorHAnsi" w:hAnsiTheme="minorHAnsi"/>
        </w:rPr>
      </w:pPr>
    </w:p>
    <w:p w:rsidR="009511DC" w:rsidRPr="00D94753" w:rsidRDefault="009511DC" w:rsidP="009511DC">
      <w:pPr>
        <w:autoSpaceDE w:val="0"/>
        <w:autoSpaceDN w:val="0"/>
        <w:adjustRightInd w:val="0"/>
        <w:jc w:val="center"/>
        <w:rPr>
          <w:rFonts w:cstheme="minorHAnsi"/>
          <w:b/>
          <w:bCs/>
        </w:rPr>
      </w:pPr>
      <w:r>
        <w:rPr>
          <w:rFonts w:cstheme="minorHAnsi"/>
          <w:b/>
          <w:bCs/>
        </w:rPr>
        <w:lastRenderedPageBreak/>
        <w:t>Annex VI:</w:t>
      </w:r>
      <w:r w:rsidRPr="00D94753">
        <w:rPr>
          <w:rFonts w:cstheme="minorHAnsi"/>
          <w:b/>
          <w:bCs/>
        </w:rPr>
        <w:t xml:space="preserve"> Macroeconomic Performance</w:t>
      </w:r>
      <w:r>
        <w:rPr>
          <w:rFonts w:cstheme="minorHAnsi"/>
          <w:b/>
          <w:bCs/>
        </w:rPr>
        <w:t xml:space="preserve"> by Development Indicators,</w:t>
      </w:r>
      <w:r w:rsidRPr="00D94753">
        <w:rPr>
          <w:rFonts w:cstheme="minorHAnsi"/>
          <w:b/>
          <w:bCs/>
        </w:rPr>
        <w:t xml:space="preserve"> Bangladesh</w:t>
      </w:r>
      <w:r>
        <w:rPr>
          <w:rFonts w:cstheme="minorHAnsi"/>
          <w:b/>
          <w:bCs/>
        </w:rPr>
        <w:t>, 2000-2014</w:t>
      </w:r>
    </w:p>
    <w:p w:rsidR="009511DC" w:rsidRDefault="009511DC" w:rsidP="005E0C65">
      <w:pPr>
        <w:autoSpaceDE w:val="0"/>
        <w:autoSpaceDN w:val="0"/>
        <w:adjustRightInd w:val="0"/>
        <w:spacing w:line="240" w:lineRule="auto"/>
        <w:jc w:val="both"/>
        <w:rPr>
          <w:rFonts w:cstheme="minorHAnsi"/>
        </w:rPr>
      </w:pPr>
      <w:r w:rsidRPr="00D94753">
        <w:rPr>
          <w:rFonts w:cstheme="minorHAnsi"/>
          <w:bCs/>
        </w:rPr>
        <w:t>The purpose of this review is to ma</w:t>
      </w:r>
      <w:r>
        <w:rPr>
          <w:rFonts w:cstheme="minorHAnsi"/>
          <w:bCs/>
        </w:rPr>
        <w:t xml:space="preserve">ke an assessment ofthe </w:t>
      </w:r>
      <w:r w:rsidRPr="00D94753">
        <w:rPr>
          <w:rFonts w:cstheme="minorHAnsi"/>
          <w:bCs/>
        </w:rPr>
        <w:t>macroeconomic performan</w:t>
      </w:r>
      <w:r>
        <w:rPr>
          <w:rFonts w:cstheme="minorHAnsi"/>
          <w:bCs/>
        </w:rPr>
        <w:t>ce of Bangladesh (2010-2014) (In this analysis, ‘all years’</w:t>
      </w:r>
      <w:r w:rsidRPr="00D94753">
        <w:rPr>
          <w:rFonts w:cstheme="minorHAnsi"/>
          <w:bCs/>
        </w:rPr>
        <w:t xml:space="preserve"> refer to corresponding financial years). Where feasible, a comparative analysis of the performance between two distinct periods, 2000-10 and 2010-14 </w:t>
      </w:r>
      <w:r>
        <w:rPr>
          <w:rFonts w:cstheme="minorHAnsi"/>
          <w:bCs/>
        </w:rPr>
        <w:t>was carried out</w:t>
      </w:r>
      <w:r w:rsidRPr="00D94753">
        <w:rPr>
          <w:rFonts w:cstheme="minorHAnsi"/>
          <w:bCs/>
        </w:rPr>
        <w:t xml:space="preserve">. Incidentally, the reference period for this review nearly coincides with the period for Sixth Five Year Plan - SFYP (2011-15). The historical sizes of growth indicators such as GDP, Savings and Investment for up to 2014 are shown in Tables </w:t>
      </w:r>
      <w:r>
        <w:rPr>
          <w:rFonts w:cstheme="minorHAnsi"/>
          <w:bCs/>
        </w:rPr>
        <w:t>VI.</w:t>
      </w:r>
      <w:r w:rsidRPr="00D94753">
        <w:rPr>
          <w:rFonts w:cstheme="minorHAnsi"/>
          <w:bCs/>
        </w:rPr>
        <w:t xml:space="preserve">1 and </w:t>
      </w:r>
      <w:r>
        <w:rPr>
          <w:rFonts w:cstheme="minorHAnsi"/>
          <w:bCs/>
        </w:rPr>
        <w:t>VI.</w:t>
      </w:r>
      <w:r w:rsidRPr="00D94753">
        <w:rPr>
          <w:rFonts w:cstheme="minorHAnsi"/>
          <w:bCs/>
        </w:rPr>
        <w:t xml:space="preserve">2. </w:t>
      </w:r>
      <w:r>
        <w:rPr>
          <w:rFonts w:cstheme="minorHAnsi"/>
        </w:rPr>
        <w:t>Trend analyses of selected macro</w:t>
      </w:r>
      <w:r w:rsidRPr="00D94753">
        <w:rPr>
          <w:rFonts w:cstheme="minorHAnsi"/>
        </w:rPr>
        <w:t>economic indicators between two periods</w:t>
      </w:r>
      <w:r>
        <w:rPr>
          <w:rFonts w:cstheme="minorHAnsi"/>
        </w:rPr>
        <w:t>,</w:t>
      </w:r>
      <w:r w:rsidRPr="00D94753">
        <w:rPr>
          <w:rFonts w:cstheme="minorHAnsi"/>
        </w:rPr>
        <w:t xml:space="preserve"> 2000-10 and 2010-14 are shown in Table </w:t>
      </w:r>
      <w:r>
        <w:rPr>
          <w:rFonts w:cstheme="minorHAnsi"/>
        </w:rPr>
        <w:t>VI.</w:t>
      </w:r>
      <w:r w:rsidRPr="00D94753">
        <w:rPr>
          <w:rFonts w:cstheme="minorHAnsi"/>
        </w:rPr>
        <w:t xml:space="preserve">3.  The indicators included are GDP, per capita GDP, Investment (Public and Private), Savings, Human Poverty Index (HPI), Human Development Indices, </w:t>
      </w:r>
      <w:r>
        <w:rPr>
          <w:rFonts w:cstheme="minorHAnsi"/>
        </w:rPr>
        <w:t xml:space="preserve">and </w:t>
      </w:r>
      <w:r w:rsidRPr="00D94753">
        <w:rPr>
          <w:rFonts w:cstheme="minorHAnsi"/>
        </w:rPr>
        <w:t xml:space="preserve">Enrolment </w:t>
      </w:r>
      <w:r>
        <w:rPr>
          <w:rFonts w:cstheme="minorHAnsi"/>
        </w:rPr>
        <w:t xml:space="preserve">in schools </w:t>
      </w:r>
      <w:r w:rsidRPr="00D94753">
        <w:rPr>
          <w:rFonts w:cstheme="minorHAnsi"/>
        </w:rPr>
        <w:t>(Primary and Secondary)</w:t>
      </w:r>
      <w:r>
        <w:rPr>
          <w:rFonts w:cstheme="minorHAnsi"/>
        </w:rPr>
        <w:t>.</w:t>
      </w:r>
      <w:r w:rsidRPr="00D94753">
        <w:rPr>
          <w:rFonts w:cstheme="minorHAnsi"/>
        </w:rPr>
        <w:t xml:space="preserve"> The a</w:t>
      </w:r>
      <w:r>
        <w:rPr>
          <w:rFonts w:cstheme="minorHAnsi"/>
        </w:rPr>
        <w:t xml:space="preserve">nalysis could not be made comprehensive in areas </w:t>
      </w:r>
      <w:r w:rsidRPr="00D94753">
        <w:rPr>
          <w:rFonts w:cstheme="minorHAnsi"/>
        </w:rPr>
        <w:t xml:space="preserve">where data </w:t>
      </w:r>
      <w:r>
        <w:rPr>
          <w:rFonts w:cstheme="minorHAnsi"/>
        </w:rPr>
        <w:t>were not available or</w:t>
      </w:r>
      <w:r w:rsidRPr="00D94753">
        <w:rPr>
          <w:rFonts w:cstheme="minorHAnsi"/>
        </w:rPr>
        <w:t xml:space="preserve"> yet to be made available. </w:t>
      </w:r>
    </w:p>
    <w:p w:rsidR="005E0C65" w:rsidRPr="008341FF" w:rsidRDefault="005E0C65" w:rsidP="005E0C65">
      <w:pPr>
        <w:autoSpaceDE w:val="0"/>
        <w:autoSpaceDN w:val="0"/>
        <w:adjustRightInd w:val="0"/>
        <w:spacing w:line="240" w:lineRule="auto"/>
        <w:jc w:val="both"/>
        <w:rPr>
          <w:rFonts w:cstheme="minorHAnsi"/>
          <w:bCs/>
        </w:rPr>
      </w:pPr>
    </w:p>
    <w:p w:rsidR="009511DC" w:rsidRPr="00A247CD" w:rsidRDefault="009511DC" w:rsidP="009511DC">
      <w:pPr>
        <w:autoSpaceDE w:val="0"/>
        <w:autoSpaceDN w:val="0"/>
        <w:adjustRightInd w:val="0"/>
        <w:jc w:val="both"/>
        <w:rPr>
          <w:rFonts w:cstheme="minorHAnsi"/>
          <w:b/>
        </w:rPr>
      </w:pPr>
      <w:r w:rsidRPr="00A247CD">
        <w:rPr>
          <w:rFonts w:cstheme="minorHAnsi"/>
          <w:b/>
        </w:rPr>
        <w:t>Table VI.1: GDP, Savings and Investment in Bangladesh, 2010-2014.</w:t>
      </w:r>
    </w:p>
    <w:tbl>
      <w:tblPr>
        <w:tblW w:w="5448"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81"/>
        <w:gridCol w:w="1049"/>
        <w:gridCol w:w="954"/>
        <w:gridCol w:w="1014"/>
        <w:gridCol w:w="896"/>
        <w:gridCol w:w="954"/>
        <w:gridCol w:w="1074"/>
        <w:gridCol w:w="781"/>
        <w:gridCol w:w="1010"/>
        <w:gridCol w:w="954"/>
        <w:gridCol w:w="958"/>
      </w:tblGrid>
      <w:tr w:rsidR="009511DC" w:rsidRPr="00D94753" w:rsidTr="009511DC">
        <w:trPr>
          <w:trHeight w:val="255"/>
        </w:trPr>
        <w:tc>
          <w:tcPr>
            <w:tcW w:w="330" w:type="pct"/>
            <w:vMerge w:val="restart"/>
            <w:shd w:val="clear" w:color="auto" w:fill="auto"/>
            <w:noWrap/>
          </w:tcPr>
          <w:p w:rsidR="009511DC" w:rsidRPr="00A247CD" w:rsidRDefault="009511DC" w:rsidP="009511DC">
            <w:pPr>
              <w:spacing w:after="0" w:line="240" w:lineRule="auto"/>
              <w:jc w:val="both"/>
              <w:rPr>
                <w:rFonts w:cstheme="minorHAnsi"/>
                <w:b/>
              </w:rPr>
            </w:pPr>
            <w:r w:rsidRPr="00A247CD">
              <w:rPr>
                <w:rFonts w:cstheme="minorHAnsi"/>
                <w:b/>
              </w:rPr>
              <w:t>Fiscalyear</w:t>
            </w:r>
          </w:p>
        </w:tc>
        <w:tc>
          <w:tcPr>
            <w:tcW w:w="4670" w:type="pct"/>
            <w:gridSpan w:val="10"/>
            <w:shd w:val="clear" w:color="auto" w:fill="auto"/>
            <w:noWrap/>
            <w:vAlign w:val="bottom"/>
          </w:tcPr>
          <w:p w:rsidR="009511DC" w:rsidRPr="00A247CD" w:rsidRDefault="009511DC" w:rsidP="009511DC">
            <w:pPr>
              <w:spacing w:after="0" w:line="240" w:lineRule="auto"/>
              <w:jc w:val="both"/>
              <w:rPr>
                <w:rFonts w:cstheme="minorHAnsi"/>
                <w:b/>
              </w:rPr>
            </w:pPr>
            <w:r w:rsidRPr="00A247CD">
              <w:rPr>
                <w:rFonts w:cstheme="minorHAnsi"/>
                <w:b/>
              </w:rPr>
              <w:t>Crore Tk</w:t>
            </w:r>
          </w:p>
        </w:tc>
      </w:tr>
      <w:tr w:rsidR="009511DC" w:rsidRPr="00D94753" w:rsidTr="009511DC">
        <w:trPr>
          <w:trHeight w:val="255"/>
        </w:trPr>
        <w:tc>
          <w:tcPr>
            <w:tcW w:w="330" w:type="pct"/>
            <w:vMerge/>
            <w:shd w:val="clear" w:color="auto" w:fill="auto"/>
            <w:noWrap/>
            <w:vAlign w:val="bottom"/>
          </w:tcPr>
          <w:p w:rsidR="009511DC" w:rsidRPr="00A247CD" w:rsidRDefault="009511DC" w:rsidP="009511DC">
            <w:pPr>
              <w:spacing w:after="0" w:line="240" w:lineRule="auto"/>
              <w:jc w:val="both"/>
              <w:rPr>
                <w:rFonts w:cstheme="minorHAnsi"/>
                <w:b/>
              </w:rPr>
            </w:pPr>
            <w:bookmarkStart w:id="2" w:name="_Hlk410810388"/>
          </w:p>
        </w:tc>
        <w:tc>
          <w:tcPr>
            <w:tcW w:w="508" w:type="pct"/>
            <w:shd w:val="clear" w:color="auto" w:fill="auto"/>
            <w:noWrap/>
          </w:tcPr>
          <w:p w:rsidR="009511DC" w:rsidRPr="00A247CD" w:rsidRDefault="009511DC" w:rsidP="009511DC">
            <w:pPr>
              <w:spacing w:after="0" w:line="240" w:lineRule="auto"/>
              <w:jc w:val="both"/>
              <w:rPr>
                <w:rFonts w:cstheme="minorHAnsi"/>
                <w:b/>
                <w:sz w:val="20"/>
                <w:szCs w:val="20"/>
              </w:rPr>
            </w:pPr>
            <w:r w:rsidRPr="00A247CD">
              <w:rPr>
                <w:rFonts w:cstheme="minorHAnsi"/>
                <w:b/>
                <w:sz w:val="20"/>
                <w:szCs w:val="20"/>
              </w:rPr>
              <w:t>GDP</w:t>
            </w:r>
          </w:p>
          <w:p w:rsidR="009511DC" w:rsidRPr="00A247CD" w:rsidRDefault="009511DC" w:rsidP="009511DC">
            <w:pPr>
              <w:spacing w:after="0" w:line="240" w:lineRule="auto"/>
              <w:jc w:val="both"/>
              <w:rPr>
                <w:rFonts w:cstheme="minorHAnsi"/>
                <w:b/>
                <w:sz w:val="20"/>
                <w:szCs w:val="20"/>
              </w:rPr>
            </w:pPr>
            <w:r w:rsidRPr="00A247CD">
              <w:rPr>
                <w:rFonts w:cstheme="minorHAnsi"/>
                <w:b/>
                <w:sz w:val="20"/>
                <w:szCs w:val="20"/>
              </w:rPr>
              <w:t>Market P</w:t>
            </w:r>
          </w:p>
        </w:tc>
        <w:tc>
          <w:tcPr>
            <w:tcW w:w="462" w:type="pct"/>
            <w:shd w:val="clear" w:color="auto" w:fill="auto"/>
            <w:noWrap/>
          </w:tcPr>
          <w:p w:rsidR="009511DC" w:rsidRPr="00A247CD" w:rsidRDefault="009511DC" w:rsidP="009511DC">
            <w:pPr>
              <w:spacing w:after="0" w:line="240" w:lineRule="auto"/>
              <w:jc w:val="both"/>
              <w:rPr>
                <w:rFonts w:cstheme="minorHAnsi"/>
                <w:b/>
                <w:sz w:val="20"/>
                <w:szCs w:val="20"/>
              </w:rPr>
            </w:pPr>
            <w:r w:rsidRPr="00A247CD">
              <w:rPr>
                <w:rFonts w:cstheme="minorHAnsi"/>
                <w:b/>
                <w:sz w:val="20"/>
                <w:szCs w:val="20"/>
              </w:rPr>
              <w:t>GDP</w:t>
            </w:r>
          </w:p>
          <w:p w:rsidR="009511DC" w:rsidRPr="00A247CD" w:rsidRDefault="009511DC" w:rsidP="009511DC">
            <w:pPr>
              <w:spacing w:after="0" w:line="240" w:lineRule="auto"/>
              <w:jc w:val="both"/>
              <w:rPr>
                <w:rFonts w:cstheme="minorHAnsi"/>
                <w:b/>
                <w:sz w:val="20"/>
                <w:szCs w:val="20"/>
              </w:rPr>
            </w:pPr>
            <w:r w:rsidRPr="00A247CD">
              <w:rPr>
                <w:rFonts w:cstheme="minorHAnsi"/>
                <w:b/>
                <w:sz w:val="20"/>
                <w:szCs w:val="20"/>
              </w:rPr>
              <w:t xml:space="preserve">Constant P </w:t>
            </w:r>
          </w:p>
        </w:tc>
        <w:tc>
          <w:tcPr>
            <w:tcW w:w="491" w:type="pct"/>
            <w:shd w:val="clear" w:color="auto" w:fill="auto"/>
            <w:noWrap/>
          </w:tcPr>
          <w:p w:rsidR="009511DC" w:rsidRPr="00A247CD" w:rsidRDefault="009511DC" w:rsidP="009511DC">
            <w:pPr>
              <w:spacing w:after="0" w:line="240" w:lineRule="auto"/>
              <w:jc w:val="both"/>
              <w:rPr>
                <w:rFonts w:cstheme="minorHAnsi"/>
                <w:b/>
                <w:sz w:val="20"/>
                <w:szCs w:val="20"/>
              </w:rPr>
            </w:pPr>
            <w:r w:rsidRPr="00A247CD">
              <w:rPr>
                <w:rFonts w:cstheme="minorHAnsi"/>
                <w:b/>
                <w:sz w:val="20"/>
                <w:szCs w:val="20"/>
              </w:rPr>
              <w:t>GNI</w:t>
            </w:r>
          </w:p>
          <w:p w:rsidR="009511DC" w:rsidRPr="00A247CD" w:rsidRDefault="009511DC" w:rsidP="009511DC">
            <w:pPr>
              <w:spacing w:after="0" w:line="240" w:lineRule="auto"/>
              <w:jc w:val="both"/>
              <w:rPr>
                <w:rFonts w:cstheme="minorHAnsi"/>
                <w:b/>
                <w:sz w:val="20"/>
                <w:szCs w:val="20"/>
              </w:rPr>
            </w:pPr>
            <w:r w:rsidRPr="00A247CD">
              <w:rPr>
                <w:rFonts w:cstheme="minorHAnsi"/>
                <w:b/>
                <w:sz w:val="20"/>
                <w:szCs w:val="20"/>
              </w:rPr>
              <w:t>Current P</w:t>
            </w:r>
          </w:p>
        </w:tc>
        <w:tc>
          <w:tcPr>
            <w:tcW w:w="434" w:type="pct"/>
            <w:shd w:val="clear" w:color="auto" w:fill="auto"/>
          </w:tcPr>
          <w:p w:rsidR="009511DC" w:rsidRPr="00A247CD" w:rsidRDefault="009511DC" w:rsidP="009511DC">
            <w:pPr>
              <w:spacing w:after="0" w:line="240" w:lineRule="auto"/>
              <w:jc w:val="both"/>
              <w:rPr>
                <w:rFonts w:cstheme="minorHAnsi"/>
                <w:b/>
                <w:sz w:val="20"/>
                <w:szCs w:val="20"/>
              </w:rPr>
            </w:pPr>
            <w:r w:rsidRPr="00A247CD">
              <w:rPr>
                <w:rFonts w:cstheme="minorHAnsi"/>
                <w:b/>
                <w:sz w:val="20"/>
                <w:szCs w:val="20"/>
              </w:rPr>
              <w:t>Per Capita</w:t>
            </w:r>
          </w:p>
          <w:p w:rsidR="009511DC" w:rsidRPr="00A247CD" w:rsidRDefault="009511DC" w:rsidP="009511DC">
            <w:pPr>
              <w:spacing w:after="0" w:line="240" w:lineRule="auto"/>
              <w:jc w:val="both"/>
              <w:rPr>
                <w:rFonts w:cstheme="minorHAnsi"/>
                <w:b/>
                <w:sz w:val="20"/>
                <w:szCs w:val="20"/>
              </w:rPr>
            </w:pPr>
            <w:r w:rsidRPr="00A247CD">
              <w:rPr>
                <w:rFonts w:cstheme="minorHAnsi"/>
                <w:b/>
                <w:sz w:val="20"/>
                <w:szCs w:val="20"/>
              </w:rPr>
              <w:t>Market P</w:t>
            </w:r>
          </w:p>
        </w:tc>
        <w:tc>
          <w:tcPr>
            <w:tcW w:w="462" w:type="pct"/>
            <w:shd w:val="clear" w:color="auto" w:fill="auto"/>
          </w:tcPr>
          <w:p w:rsidR="009511DC" w:rsidRPr="00A247CD" w:rsidRDefault="009511DC" w:rsidP="009511DC">
            <w:pPr>
              <w:spacing w:after="0" w:line="240" w:lineRule="auto"/>
              <w:jc w:val="both"/>
              <w:rPr>
                <w:rFonts w:cstheme="minorHAnsi"/>
                <w:b/>
                <w:sz w:val="20"/>
                <w:szCs w:val="20"/>
              </w:rPr>
            </w:pPr>
            <w:r w:rsidRPr="00A247CD">
              <w:rPr>
                <w:rFonts w:cstheme="minorHAnsi"/>
                <w:b/>
                <w:sz w:val="20"/>
                <w:szCs w:val="20"/>
              </w:rPr>
              <w:t>Per Capita</w:t>
            </w:r>
          </w:p>
          <w:p w:rsidR="009511DC" w:rsidRPr="00A247CD" w:rsidRDefault="009511DC" w:rsidP="009511DC">
            <w:pPr>
              <w:spacing w:after="0" w:line="240" w:lineRule="auto"/>
              <w:jc w:val="both"/>
              <w:rPr>
                <w:rFonts w:cstheme="minorHAnsi"/>
                <w:b/>
                <w:sz w:val="20"/>
                <w:szCs w:val="20"/>
              </w:rPr>
            </w:pPr>
            <w:r w:rsidRPr="00A247CD">
              <w:rPr>
                <w:rFonts w:cstheme="minorHAnsi"/>
                <w:b/>
                <w:sz w:val="20"/>
                <w:szCs w:val="20"/>
              </w:rPr>
              <w:t>Constant P</w:t>
            </w:r>
          </w:p>
        </w:tc>
        <w:tc>
          <w:tcPr>
            <w:tcW w:w="520" w:type="pct"/>
            <w:shd w:val="clear" w:color="auto" w:fill="auto"/>
            <w:noWrap/>
          </w:tcPr>
          <w:p w:rsidR="009511DC" w:rsidRPr="00A247CD" w:rsidRDefault="009511DC" w:rsidP="009511DC">
            <w:pPr>
              <w:spacing w:after="0" w:line="240" w:lineRule="auto"/>
              <w:jc w:val="both"/>
              <w:rPr>
                <w:rFonts w:cstheme="minorHAnsi"/>
                <w:b/>
                <w:sz w:val="20"/>
                <w:szCs w:val="20"/>
              </w:rPr>
            </w:pPr>
            <w:r w:rsidRPr="00A247CD">
              <w:rPr>
                <w:rFonts w:cstheme="minorHAnsi"/>
                <w:b/>
                <w:sz w:val="20"/>
                <w:szCs w:val="20"/>
              </w:rPr>
              <w:t>Investm</w:t>
            </w:r>
            <w:r w:rsidR="007667CF">
              <w:rPr>
                <w:rFonts w:cstheme="minorHAnsi"/>
                <w:b/>
                <w:sz w:val="20"/>
                <w:szCs w:val="20"/>
              </w:rPr>
              <w:t>e</w:t>
            </w:r>
            <w:r w:rsidRPr="00A247CD">
              <w:rPr>
                <w:rFonts w:cstheme="minorHAnsi"/>
                <w:b/>
                <w:sz w:val="20"/>
                <w:szCs w:val="20"/>
              </w:rPr>
              <w:t>nt</w:t>
            </w:r>
          </w:p>
          <w:p w:rsidR="009511DC" w:rsidRPr="00A247CD" w:rsidRDefault="009511DC" w:rsidP="009511DC">
            <w:pPr>
              <w:spacing w:after="0" w:line="240" w:lineRule="auto"/>
              <w:jc w:val="both"/>
              <w:rPr>
                <w:rFonts w:cstheme="minorHAnsi"/>
                <w:b/>
                <w:sz w:val="20"/>
                <w:szCs w:val="20"/>
              </w:rPr>
            </w:pPr>
          </w:p>
        </w:tc>
        <w:tc>
          <w:tcPr>
            <w:tcW w:w="378" w:type="pct"/>
            <w:shd w:val="clear" w:color="auto" w:fill="auto"/>
            <w:noWrap/>
          </w:tcPr>
          <w:p w:rsidR="009511DC" w:rsidRPr="00A247CD" w:rsidRDefault="009511DC" w:rsidP="009511DC">
            <w:pPr>
              <w:spacing w:after="0" w:line="240" w:lineRule="auto"/>
              <w:jc w:val="both"/>
              <w:rPr>
                <w:rFonts w:cstheme="minorHAnsi"/>
                <w:b/>
                <w:sz w:val="20"/>
                <w:szCs w:val="20"/>
              </w:rPr>
            </w:pPr>
            <w:r w:rsidRPr="00A247CD">
              <w:rPr>
                <w:rFonts w:cstheme="minorHAnsi"/>
                <w:b/>
                <w:sz w:val="20"/>
                <w:szCs w:val="20"/>
              </w:rPr>
              <w:t>Public</w:t>
            </w:r>
          </w:p>
          <w:p w:rsidR="009511DC" w:rsidRPr="00A247CD" w:rsidRDefault="009511DC" w:rsidP="009511DC">
            <w:pPr>
              <w:spacing w:after="0" w:line="240" w:lineRule="auto"/>
              <w:jc w:val="both"/>
              <w:rPr>
                <w:rFonts w:cstheme="minorHAnsi"/>
                <w:b/>
                <w:sz w:val="20"/>
                <w:szCs w:val="20"/>
              </w:rPr>
            </w:pPr>
            <w:r w:rsidRPr="00A247CD">
              <w:rPr>
                <w:rFonts w:cstheme="minorHAnsi"/>
                <w:b/>
                <w:sz w:val="20"/>
                <w:szCs w:val="20"/>
              </w:rPr>
              <w:t>Inves-tment</w:t>
            </w:r>
          </w:p>
        </w:tc>
        <w:tc>
          <w:tcPr>
            <w:tcW w:w="489" w:type="pct"/>
            <w:shd w:val="clear" w:color="auto" w:fill="auto"/>
            <w:noWrap/>
          </w:tcPr>
          <w:p w:rsidR="009511DC" w:rsidRPr="00A247CD" w:rsidRDefault="009511DC" w:rsidP="009511DC">
            <w:pPr>
              <w:spacing w:after="0" w:line="240" w:lineRule="auto"/>
              <w:jc w:val="both"/>
              <w:rPr>
                <w:rFonts w:cstheme="minorHAnsi"/>
                <w:b/>
                <w:sz w:val="20"/>
                <w:szCs w:val="20"/>
              </w:rPr>
            </w:pPr>
            <w:r w:rsidRPr="00A247CD">
              <w:rPr>
                <w:rFonts w:cstheme="minorHAnsi"/>
                <w:b/>
                <w:sz w:val="20"/>
                <w:szCs w:val="20"/>
              </w:rPr>
              <w:t>Private</w:t>
            </w:r>
          </w:p>
          <w:p w:rsidR="009511DC" w:rsidRPr="00A247CD" w:rsidRDefault="009511DC" w:rsidP="009511DC">
            <w:pPr>
              <w:spacing w:after="0" w:line="240" w:lineRule="auto"/>
              <w:jc w:val="both"/>
              <w:rPr>
                <w:rFonts w:cstheme="minorHAnsi"/>
                <w:b/>
                <w:sz w:val="20"/>
                <w:szCs w:val="20"/>
              </w:rPr>
            </w:pPr>
            <w:r w:rsidRPr="00A247CD">
              <w:rPr>
                <w:rFonts w:cstheme="minorHAnsi"/>
                <w:b/>
                <w:sz w:val="20"/>
                <w:szCs w:val="20"/>
              </w:rPr>
              <w:t>Invest-ment</w:t>
            </w:r>
          </w:p>
        </w:tc>
        <w:tc>
          <w:tcPr>
            <w:tcW w:w="462" w:type="pct"/>
            <w:shd w:val="clear" w:color="auto" w:fill="auto"/>
            <w:noWrap/>
          </w:tcPr>
          <w:p w:rsidR="009511DC" w:rsidRPr="00A247CD" w:rsidRDefault="009511DC" w:rsidP="009511DC">
            <w:pPr>
              <w:spacing w:after="0" w:line="240" w:lineRule="auto"/>
              <w:jc w:val="both"/>
              <w:rPr>
                <w:rFonts w:cstheme="minorHAnsi"/>
                <w:b/>
                <w:sz w:val="20"/>
                <w:szCs w:val="20"/>
              </w:rPr>
            </w:pPr>
            <w:r w:rsidRPr="00A247CD">
              <w:rPr>
                <w:rFonts w:cstheme="minorHAnsi"/>
                <w:b/>
                <w:sz w:val="20"/>
                <w:szCs w:val="20"/>
              </w:rPr>
              <w:t xml:space="preserve">Domestic </w:t>
            </w:r>
          </w:p>
          <w:p w:rsidR="009511DC" w:rsidRPr="00A247CD" w:rsidRDefault="009511DC" w:rsidP="009511DC">
            <w:pPr>
              <w:spacing w:after="0" w:line="240" w:lineRule="auto"/>
              <w:jc w:val="both"/>
              <w:rPr>
                <w:rFonts w:cstheme="minorHAnsi"/>
                <w:b/>
                <w:sz w:val="20"/>
                <w:szCs w:val="20"/>
              </w:rPr>
            </w:pPr>
            <w:r w:rsidRPr="00A247CD">
              <w:rPr>
                <w:rFonts w:cstheme="minorHAnsi"/>
                <w:b/>
                <w:sz w:val="20"/>
                <w:szCs w:val="20"/>
              </w:rPr>
              <w:t>saving</w:t>
            </w:r>
          </w:p>
        </w:tc>
        <w:tc>
          <w:tcPr>
            <w:tcW w:w="464" w:type="pct"/>
            <w:shd w:val="clear" w:color="auto" w:fill="auto"/>
            <w:noWrap/>
          </w:tcPr>
          <w:p w:rsidR="009511DC" w:rsidRPr="00A247CD" w:rsidRDefault="009511DC" w:rsidP="009511DC">
            <w:pPr>
              <w:spacing w:after="0" w:line="240" w:lineRule="auto"/>
              <w:jc w:val="both"/>
              <w:rPr>
                <w:rFonts w:cstheme="minorHAnsi"/>
                <w:b/>
                <w:sz w:val="20"/>
                <w:szCs w:val="20"/>
              </w:rPr>
            </w:pPr>
            <w:r w:rsidRPr="00A247CD">
              <w:rPr>
                <w:rFonts w:cstheme="minorHAnsi"/>
                <w:b/>
                <w:sz w:val="20"/>
                <w:szCs w:val="20"/>
              </w:rPr>
              <w:t xml:space="preserve">National </w:t>
            </w:r>
          </w:p>
          <w:p w:rsidR="009511DC" w:rsidRPr="00A247CD" w:rsidRDefault="009511DC" w:rsidP="009511DC">
            <w:pPr>
              <w:spacing w:after="0" w:line="240" w:lineRule="auto"/>
              <w:jc w:val="both"/>
              <w:rPr>
                <w:rFonts w:cstheme="minorHAnsi"/>
                <w:b/>
                <w:sz w:val="20"/>
                <w:szCs w:val="20"/>
              </w:rPr>
            </w:pPr>
            <w:r w:rsidRPr="00A247CD">
              <w:rPr>
                <w:rFonts w:cstheme="minorHAnsi"/>
                <w:b/>
                <w:sz w:val="20"/>
                <w:szCs w:val="20"/>
              </w:rPr>
              <w:t>Saving (Incl remittance)</w:t>
            </w:r>
          </w:p>
        </w:tc>
      </w:tr>
      <w:bookmarkEnd w:id="2"/>
      <w:tr w:rsidR="009511DC" w:rsidRPr="00D94753" w:rsidTr="009511DC">
        <w:trPr>
          <w:trHeight w:val="255"/>
        </w:trPr>
        <w:tc>
          <w:tcPr>
            <w:tcW w:w="330" w:type="pct"/>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2000</w:t>
            </w:r>
          </w:p>
        </w:tc>
        <w:tc>
          <w:tcPr>
            <w:tcW w:w="50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237086</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204930</w:t>
            </w:r>
          </w:p>
        </w:tc>
        <w:tc>
          <w:tcPr>
            <w:tcW w:w="491"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245799</w:t>
            </w:r>
          </w:p>
        </w:tc>
        <w:tc>
          <w:tcPr>
            <w:tcW w:w="434"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18508</w:t>
            </w:r>
          </w:p>
        </w:tc>
        <w:tc>
          <w:tcPr>
            <w:tcW w:w="462"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15998</w:t>
            </w:r>
          </w:p>
        </w:tc>
        <w:tc>
          <w:tcPr>
            <w:tcW w:w="520"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54590</w:t>
            </w:r>
          </w:p>
        </w:tc>
        <w:tc>
          <w:tcPr>
            <w:tcW w:w="37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17570</w:t>
            </w:r>
          </w:p>
        </w:tc>
        <w:tc>
          <w:tcPr>
            <w:tcW w:w="489"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37010</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42394</w:t>
            </w:r>
          </w:p>
        </w:tc>
        <w:tc>
          <w:tcPr>
            <w:tcW w:w="464"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54761</w:t>
            </w:r>
          </w:p>
        </w:tc>
      </w:tr>
      <w:tr w:rsidR="009511DC" w:rsidRPr="00D94753" w:rsidTr="009511DC">
        <w:trPr>
          <w:trHeight w:val="255"/>
        </w:trPr>
        <w:tc>
          <w:tcPr>
            <w:tcW w:w="330" w:type="pct"/>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2001</w:t>
            </w:r>
          </w:p>
        </w:tc>
        <w:tc>
          <w:tcPr>
            <w:tcW w:w="50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253546</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215735</w:t>
            </w:r>
          </w:p>
        </w:tc>
        <w:tc>
          <w:tcPr>
            <w:tcW w:w="491"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262388</w:t>
            </w:r>
          </w:p>
        </w:tc>
        <w:tc>
          <w:tcPr>
            <w:tcW w:w="434"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19519</w:t>
            </w:r>
          </w:p>
        </w:tc>
        <w:tc>
          <w:tcPr>
            <w:tcW w:w="462"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16608</w:t>
            </w:r>
          </w:p>
        </w:tc>
        <w:tc>
          <w:tcPr>
            <w:tcW w:w="520"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58540</w:t>
            </w:r>
          </w:p>
        </w:tc>
        <w:tc>
          <w:tcPr>
            <w:tcW w:w="37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18380</w:t>
            </w:r>
          </w:p>
        </w:tc>
        <w:tc>
          <w:tcPr>
            <w:tcW w:w="489"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40150</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45628</w:t>
            </w:r>
          </w:p>
        </w:tc>
        <w:tc>
          <w:tcPr>
            <w:tcW w:w="464"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56809</w:t>
            </w:r>
          </w:p>
        </w:tc>
      </w:tr>
      <w:tr w:rsidR="009511DC" w:rsidRPr="00D94753" w:rsidTr="009511DC">
        <w:trPr>
          <w:trHeight w:val="255"/>
        </w:trPr>
        <w:tc>
          <w:tcPr>
            <w:tcW w:w="330" w:type="pct"/>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2002</w:t>
            </w:r>
          </w:p>
        </w:tc>
        <w:tc>
          <w:tcPr>
            <w:tcW w:w="50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273201</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225261</w:t>
            </w:r>
          </w:p>
        </w:tc>
        <w:tc>
          <w:tcPr>
            <w:tcW w:w="491"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285744</w:t>
            </w:r>
          </w:p>
        </w:tc>
        <w:tc>
          <w:tcPr>
            <w:tcW w:w="434"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20760</w:t>
            </w:r>
          </w:p>
        </w:tc>
        <w:tc>
          <w:tcPr>
            <w:tcW w:w="462"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17117</w:t>
            </w:r>
          </w:p>
        </w:tc>
        <w:tc>
          <w:tcPr>
            <w:tcW w:w="520"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63240</w:t>
            </w:r>
          </w:p>
        </w:tc>
        <w:tc>
          <w:tcPr>
            <w:tcW w:w="37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17400</w:t>
            </w:r>
          </w:p>
        </w:tc>
        <w:tc>
          <w:tcPr>
            <w:tcW w:w="489"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45840</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49605</w:t>
            </w:r>
          </w:p>
        </w:tc>
        <w:tc>
          <w:tcPr>
            <w:tcW w:w="464"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64038</w:t>
            </w:r>
          </w:p>
        </w:tc>
      </w:tr>
      <w:tr w:rsidR="009511DC" w:rsidRPr="00D94753" w:rsidTr="009511DC">
        <w:trPr>
          <w:trHeight w:val="255"/>
        </w:trPr>
        <w:tc>
          <w:tcPr>
            <w:tcW w:w="330" w:type="pct"/>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2003</w:t>
            </w:r>
          </w:p>
        </w:tc>
        <w:tc>
          <w:tcPr>
            <w:tcW w:w="50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300580</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237101</w:t>
            </w:r>
          </w:p>
        </w:tc>
        <w:tc>
          <w:tcPr>
            <w:tcW w:w="491"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317163</w:t>
            </w:r>
          </w:p>
        </w:tc>
        <w:tc>
          <w:tcPr>
            <w:tcW w:w="434"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22532</w:t>
            </w:r>
          </w:p>
        </w:tc>
        <w:tc>
          <w:tcPr>
            <w:tcW w:w="462"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17774</w:t>
            </w:r>
          </w:p>
        </w:tc>
        <w:tc>
          <w:tcPr>
            <w:tcW w:w="520"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70350</w:t>
            </w:r>
          </w:p>
        </w:tc>
        <w:tc>
          <w:tcPr>
            <w:tcW w:w="37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18630</w:t>
            </w:r>
          </w:p>
        </w:tc>
        <w:tc>
          <w:tcPr>
            <w:tcW w:w="489"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51720</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56010</w:t>
            </w:r>
          </w:p>
        </w:tc>
        <w:tc>
          <w:tcPr>
            <w:tcW w:w="464"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74752</w:t>
            </w:r>
          </w:p>
        </w:tc>
      </w:tr>
      <w:tr w:rsidR="009511DC" w:rsidRPr="00D94753" w:rsidTr="009511DC">
        <w:trPr>
          <w:trHeight w:val="255"/>
        </w:trPr>
        <w:tc>
          <w:tcPr>
            <w:tcW w:w="330" w:type="pct"/>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2004</w:t>
            </w:r>
          </w:p>
        </w:tc>
        <w:tc>
          <w:tcPr>
            <w:tcW w:w="50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332973</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251968</w:t>
            </w:r>
          </w:p>
        </w:tc>
        <w:tc>
          <w:tcPr>
            <w:tcW w:w="491"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350526</w:t>
            </w:r>
          </w:p>
        </w:tc>
        <w:tc>
          <w:tcPr>
            <w:tcW w:w="434"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24628</w:t>
            </w:r>
          </w:p>
        </w:tc>
        <w:tc>
          <w:tcPr>
            <w:tcW w:w="462"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18637</w:t>
            </w:r>
          </w:p>
        </w:tc>
        <w:tc>
          <w:tcPr>
            <w:tcW w:w="520"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79990</w:t>
            </w:r>
          </w:p>
        </w:tc>
        <w:tc>
          <w:tcPr>
            <w:tcW w:w="37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20620</w:t>
            </w:r>
          </w:p>
        </w:tc>
        <w:tc>
          <w:tcPr>
            <w:tcW w:w="489"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59370</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65046</w:t>
            </w:r>
          </w:p>
        </w:tc>
        <w:tc>
          <w:tcPr>
            <w:tcW w:w="464"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84719</w:t>
            </w:r>
          </w:p>
        </w:tc>
      </w:tr>
      <w:tr w:rsidR="009511DC" w:rsidRPr="00D94753" w:rsidTr="009511DC">
        <w:trPr>
          <w:trHeight w:val="255"/>
        </w:trPr>
        <w:tc>
          <w:tcPr>
            <w:tcW w:w="330" w:type="pct"/>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2005</w:t>
            </w:r>
          </w:p>
        </w:tc>
        <w:tc>
          <w:tcPr>
            <w:tcW w:w="50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370707</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266974</w:t>
            </w:r>
          </w:p>
        </w:tc>
        <w:tc>
          <w:tcPr>
            <w:tcW w:w="491"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389635</w:t>
            </w:r>
          </w:p>
        </w:tc>
        <w:tc>
          <w:tcPr>
            <w:tcW w:w="434"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27059</w:t>
            </w:r>
          </w:p>
        </w:tc>
        <w:tc>
          <w:tcPr>
            <w:tcW w:w="462"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19487</w:t>
            </w:r>
          </w:p>
        </w:tc>
        <w:tc>
          <w:tcPr>
            <w:tcW w:w="520"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90920</w:t>
            </w:r>
          </w:p>
        </w:tc>
        <w:tc>
          <w:tcPr>
            <w:tcW w:w="37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23010</w:t>
            </w:r>
          </w:p>
        </w:tc>
        <w:tc>
          <w:tcPr>
            <w:tcW w:w="489"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67920</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74195</w:t>
            </w:r>
          </w:p>
        </w:tc>
        <w:tc>
          <w:tcPr>
            <w:tcW w:w="464"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95804</w:t>
            </w:r>
          </w:p>
        </w:tc>
      </w:tr>
      <w:tr w:rsidR="009511DC" w:rsidRPr="00D94753" w:rsidTr="009511DC">
        <w:trPr>
          <w:trHeight w:val="255"/>
        </w:trPr>
        <w:tc>
          <w:tcPr>
            <w:tcW w:w="330" w:type="pct"/>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2006</w:t>
            </w:r>
          </w:p>
        </w:tc>
        <w:tc>
          <w:tcPr>
            <w:tcW w:w="50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415728</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284673</w:t>
            </w:r>
          </w:p>
        </w:tc>
        <w:tc>
          <w:tcPr>
            <w:tcW w:w="491"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442935</w:t>
            </w:r>
          </w:p>
        </w:tc>
        <w:tc>
          <w:tcPr>
            <w:tcW w:w="434"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29952</w:t>
            </w:r>
          </w:p>
        </w:tc>
        <w:tc>
          <w:tcPr>
            <w:tcW w:w="462"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20510</w:t>
            </w:r>
          </w:p>
        </w:tc>
        <w:tc>
          <w:tcPr>
            <w:tcW w:w="520"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102480</w:t>
            </w:r>
          </w:p>
        </w:tc>
        <w:tc>
          <w:tcPr>
            <w:tcW w:w="37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24930</w:t>
            </w:r>
          </w:p>
        </w:tc>
        <w:tc>
          <w:tcPr>
            <w:tcW w:w="489"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77550</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84176</w:t>
            </w:r>
          </w:p>
        </w:tc>
        <w:tc>
          <w:tcPr>
            <w:tcW w:w="464"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115036</w:t>
            </w:r>
          </w:p>
        </w:tc>
      </w:tr>
      <w:tr w:rsidR="009511DC" w:rsidRPr="00D94753" w:rsidTr="009511DC">
        <w:trPr>
          <w:trHeight w:val="255"/>
        </w:trPr>
        <w:tc>
          <w:tcPr>
            <w:tcW w:w="330" w:type="pct"/>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2007</w:t>
            </w:r>
          </w:p>
        </w:tc>
        <w:tc>
          <w:tcPr>
            <w:tcW w:w="50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472477</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302971</w:t>
            </w:r>
          </w:p>
        </w:tc>
        <w:tc>
          <w:tcPr>
            <w:tcW w:w="491"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507752</w:t>
            </w:r>
          </w:p>
        </w:tc>
        <w:tc>
          <w:tcPr>
            <w:tcW w:w="434"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33604</w:t>
            </w:r>
          </w:p>
        </w:tc>
        <w:tc>
          <w:tcPr>
            <w:tcW w:w="462"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21548</w:t>
            </w:r>
          </w:p>
        </w:tc>
        <w:tc>
          <w:tcPr>
            <w:tcW w:w="520"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115590</w:t>
            </w:r>
          </w:p>
        </w:tc>
        <w:tc>
          <w:tcPr>
            <w:tcW w:w="37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25730</w:t>
            </w:r>
          </w:p>
        </w:tc>
        <w:tc>
          <w:tcPr>
            <w:tcW w:w="489"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89860</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96160</w:t>
            </w:r>
          </w:p>
        </w:tc>
        <w:tc>
          <w:tcPr>
            <w:tcW w:w="464"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135424</w:t>
            </w:r>
          </w:p>
        </w:tc>
      </w:tr>
      <w:tr w:rsidR="009511DC" w:rsidRPr="00D94753" w:rsidTr="009511DC">
        <w:trPr>
          <w:trHeight w:val="255"/>
        </w:trPr>
        <w:tc>
          <w:tcPr>
            <w:tcW w:w="330" w:type="pct"/>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2008</w:t>
            </w:r>
          </w:p>
        </w:tc>
        <w:tc>
          <w:tcPr>
            <w:tcW w:w="50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545822</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321726</w:t>
            </w:r>
          </w:p>
        </w:tc>
        <w:tc>
          <w:tcPr>
            <w:tcW w:w="491"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594212</w:t>
            </w:r>
          </w:p>
        </w:tc>
        <w:tc>
          <w:tcPr>
            <w:tcW w:w="434"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38330</w:t>
            </w:r>
          </w:p>
        </w:tc>
        <w:tc>
          <w:tcPr>
            <w:tcW w:w="462"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22593</w:t>
            </w:r>
          </w:p>
        </w:tc>
        <w:tc>
          <w:tcPr>
            <w:tcW w:w="520"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132130</w:t>
            </w:r>
          </w:p>
        </w:tc>
        <w:tc>
          <w:tcPr>
            <w:tcW w:w="37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27040</w:t>
            </w:r>
          </w:p>
        </w:tc>
        <w:tc>
          <w:tcPr>
            <w:tcW w:w="489"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105090</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110851</w:t>
            </w:r>
          </w:p>
        </w:tc>
        <w:tc>
          <w:tcPr>
            <w:tcW w:w="464"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164912</w:t>
            </w:r>
          </w:p>
        </w:tc>
      </w:tr>
      <w:tr w:rsidR="009511DC" w:rsidRPr="00D94753" w:rsidTr="009511DC">
        <w:trPr>
          <w:trHeight w:val="255"/>
        </w:trPr>
        <w:tc>
          <w:tcPr>
            <w:tcW w:w="330" w:type="pct"/>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2009</w:t>
            </w:r>
          </w:p>
        </w:tc>
        <w:tc>
          <w:tcPr>
            <w:tcW w:w="50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614795</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340197</w:t>
            </w:r>
          </w:p>
        </w:tc>
        <w:tc>
          <w:tcPr>
            <w:tcW w:w="491"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670696</w:t>
            </w:r>
          </w:p>
        </w:tc>
        <w:tc>
          <w:tcPr>
            <w:tcW w:w="434"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42635</w:t>
            </w:r>
          </w:p>
        </w:tc>
        <w:tc>
          <w:tcPr>
            <w:tcW w:w="462"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23592</w:t>
            </w:r>
          </w:p>
        </w:tc>
        <w:tc>
          <w:tcPr>
            <w:tcW w:w="520"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149840</w:t>
            </w:r>
          </w:p>
        </w:tc>
        <w:tc>
          <w:tcPr>
            <w:tcW w:w="37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28900</w:t>
            </w:r>
          </w:p>
        </w:tc>
        <w:tc>
          <w:tcPr>
            <w:tcW w:w="489"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120940</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123504</w:t>
            </w:r>
          </w:p>
        </w:tc>
        <w:tc>
          <w:tcPr>
            <w:tcW w:w="464"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181812</w:t>
            </w:r>
          </w:p>
        </w:tc>
      </w:tr>
      <w:tr w:rsidR="009511DC" w:rsidRPr="00D94753" w:rsidTr="009511DC">
        <w:trPr>
          <w:trHeight w:val="255"/>
        </w:trPr>
        <w:tc>
          <w:tcPr>
            <w:tcW w:w="330" w:type="pct"/>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2010</w:t>
            </w:r>
          </w:p>
        </w:tc>
        <w:tc>
          <w:tcPr>
            <w:tcW w:w="50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694324</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360845</w:t>
            </w:r>
          </w:p>
        </w:tc>
        <w:tc>
          <w:tcPr>
            <w:tcW w:w="491"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758928</w:t>
            </w:r>
          </w:p>
        </w:tc>
        <w:tc>
          <w:tcPr>
            <w:tcW w:w="434"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47524</w:t>
            </w:r>
          </w:p>
        </w:tc>
        <w:tc>
          <w:tcPr>
            <w:tcW w:w="462"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24698</w:t>
            </w:r>
          </w:p>
        </w:tc>
        <w:tc>
          <w:tcPr>
            <w:tcW w:w="520"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169510</w:t>
            </w:r>
          </w:p>
        </w:tc>
        <w:tc>
          <w:tcPr>
            <w:tcW w:w="37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34820</w:t>
            </w:r>
          </w:p>
        </w:tc>
        <w:tc>
          <w:tcPr>
            <w:tcW w:w="489"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134690</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139553</w:t>
            </w:r>
          </w:p>
        </w:tc>
        <w:tc>
          <w:tcPr>
            <w:tcW w:w="464"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208405</w:t>
            </w:r>
          </w:p>
        </w:tc>
      </w:tr>
      <w:tr w:rsidR="009511DC" w:rsidRPr="00D94753" w:rsidTr="009511DC">
        <w:trPr>
          <w:trHeight w:val="255"/>
        </w:trPr>
        <w:tc>
          <w:tcPr>
            <w:tcW w:w="330" w:type="pct"/>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2011</w:t>
            </w:r>
          </w:p>
        </w:tc>
        <w:tc>
          <w:tcPr>
            <w:tcW w:w="50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796704</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385050</w:t>
            </w:r>
          </w:p>
        </w:tc>
        <w:tc>
          <w:tcPr>
            <w:tcW w:w="491"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869217</w:t>
            </w:r>
          </w:p>
        </w:tc>
        <w:tc>
          <w:tcPr>
            <w:tcW w:w="434"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53868</w:t>
            </w:r>
          </w:p>
        </w:tc>
        <w:tc>
          <w:tcPr>
            <w:tcW w:w="462"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26034</w:t>
            </w:r>
          </w:p>
        </w:tc>
        <w:tc>
          <w:tcPr>
            <w:tcW w:w="520"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200380</w:t>
            </w:r>
          </w:p>
        </w:tc>
        <w:tc>
          <w:tcPr>
            <w:tcW w:w="37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44934</w:t>
            </w:r>
          </w:p>
        </w:tc>
        <w:tc>
          <w:tcPr>
            <w:tcW w:w="489"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155440</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154280</w:t>
            </w:r>
          </w:p>
        </w:tc>
        <w:tc>
          <w:tcPr>
            <w:tcW w:w="464"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223653</w:t>
            </w:r>
          </w:p>
        </w:tc>
      </w:tr>
      <w:tr w:rsidR="009511DC" w:rsidRPr="00D94753" w:rsidTr="009511DC">
        <w:trPr>
          <w:trHeight w:val="255"/>
        </w:trPr>
        <w:tc>
          <w:tcPr>
            <w:tcW w:w="330" w:type="pct"/>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2012</w:t>
            </w:r>
          </w:p>
        </w:tc>
        <w:tc>
          <w:tcPr>
            <w:tcW w:w="50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918141</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409053</w:t>
            </w:r>
          </w:p>
        </w:tc>
        <w:tc>
          <w:tcPr>
            <w:tcW w:w="491"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1007443</w:t>
            </w:r>
          </w:p>
        </w:tc>
        <w:tc>
          <w:tcPr>
            <w:tcW w:w="434"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60563</w:t>
            </w:r>
          </w:p>
        </w:tc>
        <w:tc>
          <w:tcPr>
            <w:tcW w:w="462"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26982</w:t>
            </w:r>
          </w:p>
        </w:tc>
        <w:tc>
          <w:tcPr>
            <w:tcW w:w="520"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243690</w:t>
            </w:r>
          </w:p>
        </w:tc>
        <w:tc>
          <w:tcPr>
            <w:tcW w:w="37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59660</w:t>
            </w:r>
          </w:p>
        </w:tc>
        <w:tc>
          <w:tcPr>
            <w:tcW w:w="489"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184040</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223954</w:t>
            </w:r>
          </w:p>
        </w:tc>
        <w:tc>
          <w:tcPr>
            <w:tcW w:w="464"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315047</w:t>
            </w:r>
          </w:p>
        </w:tc>
      </w:tr>
      <w:tr w:rsidR="009511DC" w:rsidRPr="00D94753" w:rsidTr="009511DC">
        <w:trPr>
          <w:trHeight w:val="255"/>
        </w:trPr>
        <w:tc>
          <w:tcPr>
            <w:tcW w:w="330" w:type="pct"/>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2013</w:t>
            </w:r>
          </w:p>
        </w:tc>
        <w:tc>
          <w:tcPr>
            <w:tcW w:w="50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1037987</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433720</w:t>
            </w:r>
          </w:p>
        </w:tc>
        <w:tc>
          <w:tcPr>
            <w:tcW w:w="491"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1142479</w:t>
            </w:r>
          </w:p>
        </w:tc>
        <w:tc>
          <w:tcPr>
            <w:tcW w:w="434"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67577</w:t>
            </w:r>
          </w:p>
        </w:tc>
        <w:tc>
          <w:tcPr>
            <w:tcW w:w="462"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28237</w:t>
            </w:r>
          </w:p>
        </w:tc>
        <w:tc>
          <w:tcPr>
            <w:tcW w:w="520"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276810</w:t>
            </w:r>
          </w:p>
        </w:tc>
        <w:tc>
          <w:tcPr>
            <w:tcW w:w="37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81490</w:t>
            </w:r>
          </w:p>
        </w:tc>
        <w:tc>
          <w:tcPr>
            <w:tcW w:w="489"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197130</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264196</w:t>
            </w:r>
          </w:p>
        </w:tc>
        <w:tc>
          <w:tcPr>
            <w:tcW w:w="464"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366000</w:t>
            </w:r>
          </w:p>
        </w:tc>
      </w:tr>
      <w:tr w:rsidR="009511DC" w:rsidRPr="00D94753" w:rsidTr="009511DC">
        <w:trPr>
          <w:trHeight w:val="255"/>
        </w:trPr>
        <w:tc>
          <w:tcPr>
            <w:tcW w:w="330" w:type="pct"/>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2014</w:t>
            </w:r>
          </w:p>
        </w:tc>
        <w:tc>
          <w:tcPr>
            <w:tcW w:w="50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1169581</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460170</w:t>
            </w:r>
          </w:p>
        </w:tc>
        <w:tc>
          <w:tcPr>
            <w:tcW w:w="491"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1270883</w:t>
            </w:r>
          </w:p>
        </w:tc>
        <w:tc>
          <w:tcPr>
            <w:tcW w:w="434"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75069</w:t>
            </w:r>
          </w:p>
        </w:tc>
        <w:tc>
          <w:tcPr>
            <w:tcW w:w="462" w:type="pct"/>
            <w:shd w:val="clear" w:color="auto" w:fill="auto"/>
          </w:tcPr>
          <w:p w:rsidR="009511DC" w:rsidRPr="00D94753" w:rsidRDefault="009511DC" w:rsidP="009511DC">
            <w:pPr>
              <w:spacing w:after="0" w:line="240" w:lineRule="auto"/>
              <w:jc w:val="both"/>
              <w:rPr>
                <w:rFonts w:cstheme="minorHAnsi"/>
              </w:rPr>
            </w:pPr>
            <w:r w:rsidRPr="00D94753">
              <w:rPr>
                <w:rFonts w:cstheme="minorHAnsi"/>
              </w:rPr>
              <w:t>29536</w:t>
            </w:r>
          </w:p>
        </w:tc>
        <w:tc>
          <w:tcPr>
            <w:tcW w:w="520"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316673</w:t>
            </w:r>
          </w:p>
        </w:tc>
        <w:tc>
          <w:tcPr>
            <w:tcW w:w="378"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80775</w:t>
            </w:r>
          </w:p>
        </w:tc>
        <w:tc>
          <w:tcPr>
            <w:tcW w:w="489"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236097</w:t>
            </w:r>
          </w:p>
        </w:tc>
        <w:tc>
          <w:tcPr>
            <w:tcW w:w="462"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316490</w:t>
            </w:r>
          </w:p>
        </w:tc>
        <w:tc>
          <w:tcPr>
            <w:tcW w:w="464" w:type="pct"/>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412613</w:t>
            </w:r>
          </w:p>
        </w:tc>
      </w:tr>
    </w:tbl>
    <w:p w:rsidR="009511DC" w:rsidRPr="00D94753" w:rsidRDefault="009511DC" w:rsidP="009511DC">
      <w:pPr>
        <w:spacing w:line="240" w:lineRule="auto"/>
        <w:jc w:val="both"/>
        <w:rPr>
          <w:rFonts w:cstheme="minorHAnsi"/>
        </w:rPr>
      </w:pPr>
      <w:r>
        <w:rPr>
          <w:rFonts w:cstheme="minorHAnsi"/>
        </w:rPr>
        <w:t xml:space="preserve">Sources: </w:t>
      </w:r>
      <w:r w:rsidRPr="00D94753">
        <w:rPr>
          <w:rFonts w:cstheme="minorHAnsi"/>
        </w:rPr>
        <w:t>Statistical Year Boo</w:t>
      </w:r>
      <w:r>
        <w:rPr>
          <w:rFonts w:cstheme="minorHAnsi"/>
        </w:rPr>
        <w:t>k</w:t>
      </w:r>
      <w:r w:rsidRPr="00D94753">
        <w:rPr>
          <w:rFonts w:cstheme="minorHAnsi"/>
        </w:rPr>
        <w:t>s (Various Years); Bangladesh Economic Review</w:t>
      </w:r>
      <w:r>
        <w:rPr>
          <w:rFonts w:cstheme="minorHAnsi"/>
        </w:rPr>
        <w:t xml:space="preserve"> (Various Years); UNDP. 2014. </w:t>
      </w:r>
      <w:r w:rsidRPr="00D94753">
        <w:rPr>
          <w:rFonts w:cstheme="minorHAnsi"/>
        </w:rPr>
        <w:t>Human Development Review</w:t>
      </w:r>
      <w:r>
        <w:rPr>
          <w:rFonts w:cstheme="minorHAnsi"/>
        </w:rPr>
        <w:t xml:space="preserve"> 2014.</w:t>
      </w:r>
    </w:p>
    <w:p w:rsidR="009511DC" w:rsidRDefault="009511DC" w:rsidP="009511DC">
      <w:pPr>
        <w:jc w:val="both"/>
        <w:rPr>
          <w:rFonts w:cstheme="minorHAnsi"/>
        </w:rPr>
      </w:pPr>
    </w:p>
    <w:p w:rsidR="009511DC" w:rsidRDefault="009511DC" w:rsidP="009511DC">
      <w:pPr>
        <w:jc w:val="both"/>
        <w:rPr>
          <w:rFonts w:cstheme="minorHAnsi"/>
        </w:rPr>
      </w:pPr>
    </w:p>
    <w:p w:rsidR="009511DC" w:rsidRDefault="009511DC" w:rsidP="009511DC">
      <w:pPr>
        <w:jc w:val="both"/>
        <w:rPr>
          <w:rFonts w:cstheme="minorHAnsi"/>
        </w:rPr>
      </w:pPr>
    </w:p>
    <w:p w:rsidR="009511DC" w:rsidRDefault="009511DC" w:rsidP="009511DC">
      <w:pPr>
        <w:jc w:val="both"/>
        <w:rPr>
          <w:rFonts w:cstheme="minorHAnsi"/>
        </w:rPr>
      </w:pPr>
    </w:p>
    <w:p w:rsidR="009511DC" w:rsidRPr="00D94753" w:rsidRDefault="009511DC" w:rsidP="009511DC">
      <w:pPr>
        <w:jc w:val="both"/>
        <w:rPr>
          <w:rFonts w:cstheme="minorHAnsi"/>
        </w:rPr>
      </w:pPr>
      <w:r w:rsidRPr="00D94753">
        <w:rPr>
          <w:rFonts w:cstheme="minorHAnsi"/>
        </w:rPr>
        <w:lastRenderedPageBreak/>
        <w:t xml:space="preserve">Table </w:t>
      </w:r>
      <w:r>
        <w:rPr>
          <w:rFonts w:cstheme="minorHAnsi"/>
        </w:rPr>
        <w:t>VI.</w:t>
      </w:r>
      <w:r w:rsidRPr="00D94753">
        <w:rPr>
          <w:rFonts w:cstheme="minorHAnsi"/>
        </w:rPr>
        <w:t xml:space="preserve">1 (Contd) </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16"/>
        <w:gridCol w:w="1181"/>
        <w:gridCol w:w="1181"/>
        <w:gridCol w:w="1181"/>
        <w:gridCol w:w="1181"/>
        <w:gridCol w:w="1181"/>
        <w:gridCol w:w="1347"/>
        <w:gridCol w:w="1260"/>
      </w:tblGrid>
      <w:tr w:rsidR="009511DC" w:rsidRPr="00D94753" w:rsidTr="009511DC">
        <w:trPr>
          <w:trHeight w:val="685"/>
        </w:trPr>
        <w:tc>
          <w:tcPr>
            <w:tcW w:w="816" w:type="dxa"/>
          </w:tcPr>
          <w:p w:rsidR="009511DC" w:rsidRPr="003E156E" w:rsidRDefault="009511DC" w:rsidP="009511DC">
            <w:pPr>
              <w:spacing w:after="0" w:line="240" w:lineRule="auto"/>
              <w:jc w:val="both"/>
              <w:rPr>
                <w:rFonts w:cstheme="minorHAnsi"/>
                <w:b/>
              </w:rPr>
            </w:pPr>
            <w:r w:rsidRPr="003E156E">
              <w:rPr>
                <w:rFonts w:cstheme="minorHAnsi"/>
                <w:b/>
              </w:rPr>
              <w:t>Fiscal year</w:t>
            </w:r>
          </w:p>
        </w:tc>
        <w:tc>
          <w:tcPr>
            <w:tcW w:w="1181" w:type="dxa"/>
          </w:tcPr>
          <w:p w:rsidR="009511DC" w:rsidRPr="003E156E" w:rsidRDefault="009511DC" w:rsidP="009511DC">
            <w:pPr>
              <w:autoSpaceDE w:val="0"/>
              <w:autoSpaceDN w:val="0"/>
              <w:adjustRightInd w:val="0"/>
              <w:spacing w:after="0" w:line="240" w:lineRule="auto"/>
              <w:jc w:val="both"/>
              <w:rPr>
                <w:rFonts w:cstheme="minorHAnsi"/>
                <w:b/>
              </w:rPr>
            </w:pPr>
            <w:r w:rsidRPr="003E156E">
              <w:rPr>
                <w:rFonts w:cstheme="minorHAnsi"/>
                <w:b/>
              </w:rPr>
              <w:t>Growth rate of GDP</w:t>
            </w:r>
          </w:p>
          <w:p w:rsidR="009511DC" w:rsidRPr="003E156E" w:rsidRDefault="009511DC" w:rsidP="009511DC">
            <w:pPr>
              <w:spacing w:after="0" w:line="240" w:lineRule="auto"/>
              <w:jc w:val="both"/>
              <w:rPr>
                <w:rFonts w:cstheme="minorHAnsi"/>
                <w:b/>
              </w:rPr>
            </w:pPr>
            <w:r w:rsidRPr="003E156E">
              <w:rPr>
                <w:rFonts w:cstheme="minorHAnsi"/>
                <w:b/>
              </w:rPr>
              <w:t>Market P (%)</w:t>
            </w:r>
          </w:p>
        </w:tc>
        <w:tc>
          <w:tcPr>
            <w:tcW w:w="1181" w:type="dxa"/>
          </w:tcPr>
          <w:p w:rsidR="009511DC" w:rsidRPr="003E156E" w:rsidRDefault="009511DC" w:rsidP="009511DC">
            <w:pPr>
              <w:spacing w:after="0" w:line="240" w:lineRule="auto"/>
              <w:jc w:val="both"/>
              <w:rPr>
                <w:rFonts w:cstheme="minorHAnsi"/>
                <w:b/>
              </w:rPr>
            </w:pPr>
            <w:r w:rsidRPr="003E156E">
              <w:rPr>
                <w:rFonts w:cstheme="minorHAnsi"/>
                <w:b/>
              </w:rPr>
              <w:t>Growth rate of GDP constant P (%)</w:t>
            </w:r>
          </w:p>
        </w:tc>
        <w:tc>
          <w:tcPr>
            <w:tcW w:w="1181" w:type="dxa"/>
          </w:tcPr>
          <w:p w:rsidR="009511DC" w:rsidRPr="003E156E" w:rsidRDefault="009511DC" w:rsidP="009511DC">
            <w:pPr>
              <w:spacing w:after="0" w:line="240" w:lineRule="auto"/>
              <w:jc w:val="both"/>
              <w:rPr>
                <w:rFonts w:cstheme="minorHAnsi"/>
                <w:b/>
              </w:rPr>
            </w:pPr>
            <w:r w:rsidRPr="003E156E">
              <w:rPr>
                <w:rFonts w:cstheme="minorHAnsi"/>
                <w:b/>
              </w:rPr>
              <w:t>Investment</w:t>
            </w:r>
          </w:p>
          <w:p w:rsidR="009511DC" w:rsidRPr="003E156E" w:rsidRDefault="009511DC" w:rsidP="009511DC">
            <w:pPr>
              <w:spacing w:after="0" w:line="240" w:lineRule="auto"/>
              <w:jc w:val="both"/>
              <w:rPr>
                <w:rFonts w:cstheme="minorHAnsi"/>
                <w:b/>
              </w:rPr>
            </w:pPr>
            <w:r w:rsidRPr="003E156E">
              <w:rPr>
                <w:rFonts w:cstheme="minorHAnsi"/>
                <w:b/>
              </w:rPr>
              <w:t>as % of GDP</w:t>
            </w:r>
          </w:p>
        </w:tc>
        <w:tc>
          <w:tcPr>
            <w:tcW w:w="1181" w:type="dxa"/>
          </w:tcPr>
          <w:p w:rsidR="009511DC" w:rsidRPr="003E156E" w:rsidRDefault="009511DC" w:rsidP="009511DC">
            <w:pPr>
              <w:spacing w:after="0" w:line="240" w:lineRule="auto"/>
              <w:jc w:val="both"/>
              <w:rPr>
                <w:rFonts w:cstheme="minorHAnsi"/>
                <w:b/>
              </w:rPr>
            </w:pPr>
            <w:r w:rsidRPr="003E156E">
              <w:rPr>
                <w:rFonts w:cstheme="minorHAnsi"/>
                <w:b/>
              </w:rPr>
              <w:t>Public investment as % of GDP</w:t>
            </w:r>
          </w:p>
        </w:tc>
        <w:tc>
          <w:tcPr>
            <w:tcW w:w="1181" w:type="dxa"/>
          </w:tcPr>
          <w:p w:rsidR="009511DC" w:rsidRPr="003E156E" w:rsidRDefault="009511DC" w:rsidP="009511DC">
            <w:pPr>
              <w:spacing w:after="0" w:line="240" w:lineRule="auto"/>
              <w:jc w:val="both"/>
              <w:rPr>
                <w:rFonts w:cstheme="minorHAnsi"/>
                <w:b/>
              </w:rPr>
            </w:pPr>
            <w:r w:rsidRPr="003E156E">
              <w:rPr>
                <w:rFonts w:cstheme="minorHAnsi"/>
                <w:b/>
              </w:rPr>
              <w:t>Private</w:t>
            </w:r>
          </w:p>
          <w:p w:rsidR="009511DC" w:rsidRPr="003E156E" w:rsidRDefault="009511DC" w:rsidP="009511DC">
            <w:pPr>
              <w:spacing w:after="0" w:line="240" w:lineRule="auto"/>
              <w:jc w:val="both"/>
              <w:rPr>
                <w:rFonts w:cstheme="minorHAnsi"/>
                <w:b/>
              </w:rPr>
            </w:pPr>
            <w:r w:rsidRPr="003E156E">
              <w:rPr>
                <w:rFonts w:cstheme="minorHAnsi"/>
                <w:b/>
              </w:rPr>
              <w:t>investment as % of GDP</w:t>
            </w:r>
          </w:p>
        </w:tc>
        <w:tc>
          <w:tcPr>
            <w:tcW w:w="1347" w:type="dxa"/>
          </w:tcPr>
          <w:p w:rsidR="009511DC" w:rsidRPr="003E156E" w:rsidRDefault="009511DC" w:rsidP="009511DC">
            <w:pPr>
              <w:spacing w:after="0" w:line="240" w:lineRule="auto"/>
              <w:jc w:val="both"/>
              <w:rPr>
                <w:rFonts w:cstheme="minorHAnsi"/>
                <w:b/>
              </w:rPr>
            </w:pPr>
            <w:r w:rsidRPr="003E156E">
              <w:rPr>
                <w:rFonts w:cstheme="minorHAnsi"/>
                <w:b/>
              </w:rPr>
              <w:t xml:space="preserve">Domestic </w:t>
            </w:r>
          </w:p>
          <w:p w:rsidR="009511DC" w:rsidRPr="003E156E" w:rsidRDefault="009511DC" w:rsidP="009511DC">
            <w:pPr>
              <w:spacing w:after="0" w:line="240" w:lineRule="auto"/>
              <w:jc w:val="both"/>
              <w:rPr>
                <w:rFonts w:cstheme="minorHAnsi"/>
                <w:b/>
              </w:rPr>
            </w:pPr>
            <w:r w:rsidRPr="003E156E">
              <w:rPr>
                <w:rFonts w:cstheme="minorHAnsi"/>
                <w:b/>
              </w:rPr>
              <w:t>savings</w:t>
            </w:r>
          </w:p>
          <w:p w:rsidR="009511DC" w:rsidRPr="003E156E" w:rsidRDefault="009511DC" w:rsidP="009511DC">
            <w:pPr>
              <w:spacing w:after="0" w:line="240" w:lineRule="auto"/>
              <w:jc w:val="both"/>
              <w:rPr>
                <w:rFonts w:cstheme="minorHAnsi"/>
                <w:b/>
              </w:rPr>
            </w:pPr>
            <w:r w:rsidRPr="003E156E">
              <w:rPr>
                <w:rFonts w:cstheme="minorHAnsi"/>
                <w:b/>
              </w:rPr>
              <w:t>as % of GDP</w:t>
            </w:r>
          </w:p>
        </w:tc>
        <w:tc>
          <w:tcPr>
            <w:tcW w:w="1260" w:type="dxa"/>
          </w:tcPr>
          <w:p w:rsidR="009511DC" w:rsidRPr="003E156E" w:rsidRDefault="009511DC" w:rsidP="009511DC">
            <w:pPr>
              <w:spacing w:after="0" w:line="240" w:lineRule="auto"/>
              <w:jc w:val="both"/>
              <w:rPr>
                <w:rFonts w:cstheme="minorHAnsi"/>
                <w:b/>
              </w:rPr>
            </w:pPr>
            <w:r w:rsidRPr="003E156E">
              <w:rPr>
                <w:rFonts w:cstheme="minorHAnsi"/>
                <w:b/>
              </w:rPr>
              <w:t xml:space="preserve">National </w:t>
            </w:r>
          </w:p>
          <w:p w:rsidR="009511DC" w:rsidRPr="003E156E" w:rsidRDefault="009511DC" w:rsidP="009511DC">
            <w:pPr>
              <w:spacing w:after="0" w:line="240" w:lineRule="auto"/>
              <w:jc w:val="both"/>
              <w:rPr>
                <w:rFonts w:cstheme="minorHAnsi"/>
                <w:b/>
              </w:rPr>
            </w:pPr>
            <w:r w:rsidRPr="003E156E">
              <w:rPr>
                <w:rFonts w:cstheme="minorHAnsi"/>
                <w:b/>
              </w:rPr>
              <w:t>savings</w:t>
            </w:r>
          </w:p>
          <w:p w:rsidR="009511DC" w:rsidRPr="003E156E" w:rsidRDefault="009511DC" w:rsidP="009511DC">
            <w:pPr>
              <w:spacing w:after="0" w:line="240" w:lineRule="auto"/>
              <w:jc w:val="both"/>
              <w:rPr>
                <w:rFonts w:cstheme="minorHAnsi"/>
                <w:b/>
              </w:rPr>
            </w:pPr>
            <w:r w:rsidRPr="003E156E">
              <w:rPr>
                <w:rFonts w:cstheme="minorHAnsi"/>
                <w:b/>
              </w:rPr>
              <w:t>as % of GDP</w:t>
            </w:r>
          </w:p>
        </w:tc>
      </w:tr>
      <w:tr w:rsidR="009511DC" w:rsidRPr="00D94753" w:rsidTr="009511DC">
        <w:trPr>
          <w:trHeight w:val="255"/>
        </w:trPr>
        <w:tc>
          <w:tcPr>
            <w:tcW w:w="816" w:type="dxa"/>
          </w:tcPr>
          <w:p w:rsidR="009511DC" w:rsidRPr="00D94753" w:rsidRDefault="009511DC" w:rsidP="009511DC">
            <w:pPr>
              <w:spacing w:after="0" w:line="240" w:lineRule="auto"/>
              <w:jc w:val="both"/>
              <w:rPr>
                <w:rFonts w:cstheme="minorHAnsi"/>
              </w:rPr>
            </w:pPr>
            <w:r w:rsidRPr="00D94753">
              <w:rPr>
                <w:rFonts w:cstheme="minorHAnsi"/>
              </w:rPr>
              <w:t>2000</w:t>
            </w:r>
          </w:p>
        </w:tc>
        <w:tc>
          <w:tcPr>
            <w:tcW w:w="1181" w:type="dxa"/>
          </w:tcPr>
          <w:p w:rsidR="009511DC" w:rsidRPr="00D94753" w:rsidRDefault="009511DC" w:rsidP="009511DC">
            <w:pPr>
              <w:spacing w:after="0" w:line="240" w:lineRule="auto"/>
              <w:jc w:val="both"/>
              <w:rPr>
                <w:rFonts w:cstheme="minorHAnsi"/>
              </w:rPr>
            </w:pPr>
          </w:p>
        </w:tc>
        <w:tc>
          <w:tcPr>
            <w:tcW w:w="1181" w:type="dxa"/>
          </w:tcPr>
          <w:p w:rsidR="009511DC" w:rsidRPr="00D94753" w:rsidRDefault="009511DC" w:rsidP="009511DC">
            <w:pPr>
              <w:spacing w:after="0" w:line="240" w:lineRule="auto"/>
              <w:jc w:val="both"/>
              <w:rPr>
                <w:rFonts w:cstheme="minorHAnsi"/>
              </w:rPr>
            </w:pPr>
          </w:p>
        </w:tc>
        <w:tc>
          <w:tcPr>
            <w:tcW w:w="1181" w:type="dxa"/>
          </w:tcPr>
          <w:p w:rsidR="009511DC" w:rsidRPr="00D94753" w:rsidRDefault="009511DC" w:rsidP="009511DC">
            <w:pPr>
              <w:spacing w:after="0" w:line="240" w:lineRule="auto"/>
              <w:jc w:val="both"/>
              <w:rPr>
                <w:rFonts w:cstheme="minorHAnsi"/>
              </w:rPr>
            </w:pPr>
            <w:r w:rsidRPr="00D94753">
              <w:rPr>
                <w:rFonts w:cstheme="minorHAnsi"/>
              </w:rPr>
              <w:t>23.03</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7.41</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15.61</w:t>
            </w:r>
          </w:p>
        </w:tc>
        <w:tc>
          <w:tcPr>
            <w:tcW w:w="1347" w:type="dxa"/>
          </w:tcPr>
          <w:p w:rsidR="009511DC" w:rsidRPr="00D94753" w:rsidRDefault="009511DC" w:rsidP="009511DC">
            <w:pPr>
              <w:spacing w:after="0" w:line="240" w:lineRule="auto"/>
              <w:jc w:val="both"/>
              <w:rPr>
                <w:rFonts w:cstheme="minorHAnsi"/>
              </w:rPr>
            </w:pPr>
            <w:r w:rsidRPr="00D94753">
              <w:rPr>
                <w:rFonts w:cstheme="minorHAnsi"/>
              </w:rPr>
              <w:t>17.88</w:t>
            </w:r>
          </w:p>
        </w:tc>
        <w:tc>
          <w:tcPr>
            <w:tcW w:w="1260" w:type="dxa"/>
          </w:tcPr>
          <w:p w:rsidR="009511DC" w:rsidRPr="00D94753" w:rsidRDefault="009511DC" w:rsidP="009511DC">
            <w:pPr>
              <w:spacing w:after="0" w:line="240" w:lineRule="auto"/>
              <w:jc w:val="both"/>
              <w:rPr>
                <w:rFonts w:cstheme="minorHAnsi"/>
              </w:rPr>
            </w:pPr>
            <w:r w:rsidRPr="00D94753">
              <w:rPr>
                <w:rFonts w:cstheme="minorHAnsi"/>
              </w:rPr>
              <w:t>23.10</w:t>
            </w:r>
          </w:p>
        </w:tc>
      </w:tr>
      <w:tr w:rsidR="009511DC" w:rsidRPr="00D94753" w:rsidTr="009511DC">
        <w:trPr>
          <w:trHeight w:val="255"/>
        </w:trPr>
        <w:tc>
          <w:tcPr>
            <w:tcW w:w="816" w:type="dxa"/>
          </w:tcPr>
          <w:p w:rsidR="009511DC" w:rsidRPr="00D94753" w:rsidRDefault="009511DC" w:rsidP="009511DC">
            <w:pPr>
              <w:spacing w:after="0" w:line="240" w:lineRule="auto"/>
              <w:jc w:val="both"/>
              <w:rPr>
                <w:rFonts w:cstheme="minorHAnsi"/>
              </w:rPr>
            </w:pPr>
            <w:r w:rsidRPr="00D94753">
              <w:rPr>
                <w:rFonts w:cstheme="minorHAnsi"/>
              </w:rPr>
              <w:t>2001</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7.91</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5.94</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23.09</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7.25</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15.84</w:t>
            </w:r>
          </w:p>
        </w:tc>
        <w:tc>
          <w:tcPr>
            <w:tcW w:w="1347" w:type="dxa"/>
          </w:tcPr>
          <w:p w:rsidR="009511DC" w:rsidRPr="00D94753" w:rsidRDefault="009511DC" w:rsidP="009511DC">
            <w:pPr>
              <w:spacing w:after="0" w:line="240" w:lineRule="auto"/>
              <w:jc w:val="both"/>
              <w:rPr>
                <w:rFonts w:cstheme="minorHAnsi"/>
              </w:rPr>
            </w:pPr>
            <w:r w:rsidRPr="00D94753">
              <w:rPr>
                <w:rFonts w:cstheme="minorHAnsi"/>
              </w:rPr>
              <w:t>18.00</w:t>
            </w:r>
          </w:p>
        </w:tc>
        <w:tc>
          <w:tcPr>
            <w:tcW w:w="1260" w:type="dxa"/>
          </w:tcPr>
          <w:p w:rsidR="009511DC" w:rsidRPr="00D94753" w:rsidRDefault="009511DC" w:rsidP="009511DC">
            <w:pPr>
              <w:spacing w:after="0" w:line="240" w:lineRule="auto"/>
              <w:jc w:val="both"/>
              <w:rPr>
                <w:rFonts w:cstheme="minorHAnsi"/>
              </w:rPr>
            </w:pPr>
            <w:r w:rsidRPr="00D94753">
              <w:rPr>
                <w:rFonts w:cstheme="minorHAnsi"/>
              </w:rPr>
              <w:t>22.41</w:t>
            </w:r>
          </w:p>
        </w:tc>
      </w:tr>
      <w:tr w:rsidR="009511DC" w:rsidRPr="00D94753" w:rsidTr="009511DC">
        <w:trPr>
          <w:trHeight w:val="255"/>
        </w:trPr>
        <w:tc>
          <w:tcPr>
            <w:tcW w:w="816" w:type="dxa"/>
          </w:tcPr>
          <w:p w:rsidR="009511DC" w:rsidRPr="00D94753" w:rsidRDefault="009511DC" w:rsidP="009511DC">
            <w:pPr>
              <w:spacing w:after="0" w:line="240" w:lineRule="auto"/>
              <w:jc w:val="both"/>
              <w:rPr>
                <w:rFonts w:cstheme="minorHAnsi"/>
              </w:rPr>
            </w:pPr>
            <w:r w:rsidRPr="00D94753">
              <w:rPr>
                <w:rFonts w:cstheme="minorHAnsi"/>
              </w:rPr>
              <w:t>2002</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6.94</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5.30</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23.15</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6.37</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16.78</w:t>
            </w:r>
          </w:p>
        </w:tc>
        <w:tc>
          <w:tcPr>
            <w:tcW w:w="1347" w:type="dxa"/>
          </w:tcPr>
          <w:p w:rsidR="009511DC" w:rsidRPr="00D94753" w:rsidRDefault="009511DC" w:rsidP="009511DC">
            <w:pPr>
              <w:spacing w:after="0" w:line="240" w:lineRule="auto"/>
              <w:jc w:val="both"/>
              <w:rPr>
                <w:rFonts w:cstheme="minorHAnsi"/>
              </w:rPr>
            </w:pPr>
            <w:r w:rsidRPr="00D94753">
              <w:rPr>
                <w:rFonts w:cstheme="minorHAnsi"/>
              </w:rPr>
              <w:t>18.16</w:t>
            </w:r>
          </w:p>
        </w:tc>
        <w:tc>
          <w:tcPr>
            <w:tcW w:w="1260" w:type="dxa"/>
          </w:tcPr>
          <w:p w:rsidR="009511DC" w:rsidRPr="00D94753" w:rsidRDefault="009511DC" w:rsidP="009511DC">
            <w:pPr>
              <w:spacing w:after="0" w:line="240" w:lineRule="auto"/>
              <w:jc w:val="both"/>
              <w:rPr>
                <w:rFonts w:cstheme="minorHAnsi"/>
              </w:rPr>
            </w:pPr>
            <w:r w:rsidRPr="00D94753">
              <w:rPr>
                <w:rFonts w:cstheme="minorHAnsi"/>
              </w:rPr>
              <w:t>23.44</w:t>
            </w:r>
          </w:p>
        </w:tc>
      </w:tr>
      <w:tr w:rsidR="009511DC" w:rsidRPr="00D94753" w:rsidTr="009511DC">
        <w:trPr>
          <w:trHeight w:val="255"/>
        </w:trPr>
        <w:tc>
          <w:tcPr>
            <w:tcW w:w="816" w:type="dxa"/>
          </w:tcPr>
          <w:p w:rsidR="009511DC" w:rsidRPr="00D94753" w:rsidRDefault="009511DC" w:rsidP="009511DC">
            <w:pPr>
              <w:spacing w:after="0" w:line="240" w:lineRule="auto"/>
              <w:jc w:val="both"/>
              <w:rPr>
                <w:rFonts w:cstheme="minorHAnsi"/>
              </w:rPr>
            </w:pPr>
            <w:r w:rsidRPr="00D94753">
              <w:rPr>
                <w:rFonts w:cstheme="minorHAnsi"/>
              </w:rPr>
              <w:t>2003</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7.75</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4.40</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23.40</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6.20</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17.21</w:t>
            </w:r>
          </w:p>
        </w:tc>
        <w:tc>
          <w:tcPr>
            <w:tcW w:w="1347" w:type="dxa"/>
          </w:tcPr>
          <w:p w:rsidR="009511DC" w:rsidRPr="00D94753" w:rsidRDefault="009511DC" w:rsidP="009511DC">
            <w:pPr>
              <w:spacing w:after="0" w:line="240" w:lineRule="auto"/>
              <w:jc w:val="both"/>
              <w:rPr>
                <w:rFonts w:cstheme="minorHAnsi"/>
              </w:rPr>
            </w:pPr>
            <w:r w:rsidRPr="00D94753">
              <w:rPr>
                <w:rFonts w:cstheme="minorHAnsi"/>
              </w:rPr>
              <w:t>18.63</w:t>
            </w:r>
          </w:p>
        </w:tc>
        <w:tc>
          <w:tcPr>
            <w:tcW w:w="1260" w:type="dxa"/>
          </w:tcPr>
          <w:p w:rsidR="009511DC" w:rsidRPr="00D94753" w:rsidRDefault="009511DC" w:rsidP="009511DC">
            <w:pPr>
              <w:spacing w:after="0" w:line="240" w:lineRule="auto"/>
              <w:jc w:val="both"/>
              <w:rPr>
                <w:rFonts w:cstheme="minorHAnsi"/>
              </w:rPr>
            </w:pPr>
            <w:r w:rsidRPr="00D94753">
              <w:rPr>
                <w:rFonts w:cstheme="minorHAnsi"/>
              </w:rPr>
              <w:t>24.87</w:t>
            </w:r>
          </w:p>
        </w:tc>
      </w:tr>
      <w:tr w:rsidR="009511DC" w:rsidRPr="00D94753" w:rsidTr="009511DC">
        <w:trPr>
          <w:trHeight w:val="255"/>
        </w:trPr>
        <w:tc>
          <w:tcPr>
            <w:tcW w:w="816" w:type="dxa"/>
          </w:tcPr>
          <w:p w:rsidR="009511DC" w:rsidRPr="00D94753" w:rsidRDefault="009511DC" w:rsidP="009511DC">
            <w:pPr>
              <w:spacing w:after="0" w:line="240" w:lineRule="auto"/>
              <w:jc w:val="both"/>
              <w:rPr>
                <w:rFonts w:cstheme="minorHAnsi"/>
              </w:rPr>
            </w:pPr>
            <w:r w:rsidRPr="00D94753">
              <w:rPr>
                <w:rFonts w:cstheme="minorHAnsi"/>
              </w:rPr>
              <w:t>2004</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10.02</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5.30</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24.02</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6.19</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17.83</w:t>
            </w:r>
          </w:p>
        </w:tc>
        <w:tc>
          <w:tcPr>
            <w:tcW w:w="1347" w:type="dxa"/>
          </w:tcPr>
          <w:p w:rsidR="009511DC" w:rsidRPr="00D94753" w:rsidRDefault="009511DC" w:rsidP="009511DC">
            <w:pPr>
              <w:spacing w:after="0" w:line="240" w:lineRule="auto"/>
              <w:jc w:val="both"/>
              <w:rPr>
                <w:rFonts w:cstheme="minorHAnsi"/>
              </w:rPr>
            </w:pPr>
            <w:r w:rsidRPr="00D94753">
              <w:rPr>
                <w:rFonts w:cstheme="minorHAnsi"/>
              </w:rPr>
              <w:t>19.53</w:t>
            </w:r>
          </w:p>
        </w:tc>
        <w:tc>
          <w:tcPr>
            <w:tcW w:w="1260" w:type="dxa"/>
          </w:tcPr>
          <w:p w:rsidR="009511DC" w:rsidRPr="00D94753" w:rsidRDefault="009511DC" w:rsidP="009511DC">
            <w:pPr>
              <w:spacing w:after="0" w:line="240" w:lineRule="auto"/>
              <w:jc w:val="both"/>
              <w:rPr>
                <w:rFonts w:cstheme="minorHAnsi"/>
              </w:rPr>
            </w:pPr>
            <w:r w:rsidRPr="00D94753">
              <w:rPr>
                <w:rFonts w:cstheme="minorHAnsi"/>
              </w:rPr>
              <w:t>25.44</w:t>
            </w:r>
          </w:p>
        </w:tc>
      </w:tr>
      <w:tr w:rsidR="009511DC" w:rsidRPr="00D94753" w:rsidTr="009511DC">
        <w:trPr>
          <w:trHeight w:val="255"/>
        </w:trPr>
        <w:tc>
          <w:tcPr>
            <w:tcW w:w="816" w:type="dxa"/>
          </w:tcPr>
          <w:p w:rsidR="009511DC" w:rsidRPr="00D94753" w:rsidRDefault="009511DC" w:rsidP="009511DC">
            <w:pPr>
              <w:spacing w:after="0" w:line="240" w:lineRule="auto"/>
              <w:jc w:val="both"/>
              <w:rPr>
                <w:rFonts w:cstheme="minorHAnsi"/>
              </w:rPr>
            </w:pPr>
            <w:r w:rsidRPr="00D94753">
              <w:rPr>
                <w:rFonts w:cstheme="minorHAnsi"/>
              </w:rPr>
              <w:t>2005</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10.78</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6.30</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24.53</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6.21</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18.32</w:t>
            </w:r>
          </w:p>
        </w:tc>
        <w:tc>
          <w:tcPr>
            <w:tcW w:w="1347" w:type="dxa"/>
          </w:tcPr>
          <w:p w:rsidR="009511DC" w:rsidRPr="00D94753" w:rsidRDefault="009511DC" w:rsidP="009511DC">
            <w:pPr>
              <w:spacing w:after="0" w:line="240" w:lineRule="auto"/>
              <w:jc w:val="both"/>
              <w:rPr>
                <w:rFonts w:cstheme="minorHAnsi"/>
              </w:rPr>
            </w:pPr>
            <w:r w:rsidRPr="00D94753">
              <w:rPr>
                <w:rFonts w:cstheme="minorHAnsi"/>
              </w:rPr>
              <w:t>20.01</w:t>
            </w:r>
          </w:p>
        </w:tc>
        <w:tc>
          <w:tcPr>
            <w:tcW w:w="1260" w:type="dxa"/>
          </w:tcPr>
          <w:p w:rsidR="009511DC" w:rsidRPr="00D94753" w:rsidRDefault="009511DC" w:rsidP="009511DC">
            <w:pPr>
              <w:spacing w:after="0" w:line="240" w:lineRule="auto"/>
              <w:jc w:val="both"/>
              <w:rPr>
                <w:rFonts w:cstheme="minorHAnsi"/>
              </w:rPr>
            </w:pPr>
            <w:r w:rsidRPr="00D94753">
              <w:rPr>
                <w:rFonts w:cstheme="minorHAnsi"/>
              </w:rPr>
              <w:t>25.84</w:t>
            </w:r>
          </w:p>
        </w:tc>
      </w:tr>
      <w:tr w:rsidR="009511DC" w:rsidRPr="00D94753" w:rsidTr="009511DC">
        <w:trPr>
          <w:trHeight w:val="255"/>
        </w:trPr>
        <w:tc>
          <w:tcPr>
            <w:tcW w:w="816" w:type="dxa"/>
          </w:tcPr>
          <w:p w:rsidR="009511DC" w:rsidRPr="00D94753" w:rsidRDefault="009511DC" w:rsidP="009511DC">
            <w:pPr>
              <w:spacing w:after="0" w:line="240" w:lineRule="auto"/>
              <w:jc w:val="both"/>
              <w:rPr>
                <w:rFonts w:cstheme="minorHAnsi"/>
              </w:rPr>
            </w:pPr>
            <w:r w:rsidRPr="00D94753">
              <w:rPr>
                <w:rFonts w:cstheme="minorHAnsi"/>
              </w:rPr>
              <w:t>2006</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11.33</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6.00</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24.65</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6.00</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18.65</w:t>
            </w:r>
          </w:p>
        </w:tc>
        <w:tc>
          <w:tcPr>
            <w:tcW w:w="1347" w:type="dxa"/>
          </w:tcPr>
          <w:p w:rsidR="009511DC" w:rsidRPr="00D94753" w:rsidRDefault="009511DC" w:rsidP="009511DC">
            <w:pPr>
              <w:spacing w:after="0" w:line="240" w:lineRule="auto"/>
              <w:jc w:val="both"/>
              <w:rPr>
                <w:rFonts w:cstheme="minorHAnsi"/>
              </w:rPr>
            </w:pPr>
            <w:r w:rsidRPr="00D94753">
              <w:rPr>
                <w:rFonts w:cstheme="minorHAnsi"/>
              </w:rPr>
              <w:t>20.25</w:t>
            </w:r>
          </w:p>
        </w:tc>
        <w:tc>
          <w:tcPr>
            <w:tcW w:w="1260" w:type="dxa"/>
          </w:tcPr>
          <w:p w:rsidR="009511DC" w:rsidRPr="00D94753" w:rsidRDefault="009511DC" w:rsidP="009511DC">
            <w:pPr>
              <w:spacing w:after="0" w:line="240" w:lineRule="auto"/>
              <w:jc w:val="both"/>
              <w:rPr>
                <w:rFonts w:cstheme="minorHAnsi"/>
              </w:rPr>
            </w:pPr>
            <w:r w:rsidRPr="00D94753">
              <w:rPr>
                <w:rFonts w:cstheme="minorHAnsi"/>
              </w:rPr>
              <w:t>27.67</w:t>
            </w:r>
          </w:p>
        </w:tc>
      </w:tr>
      <w:tr w:rsidR="009511DC" w:rsidRPr="00D94753" w:rsidTr="009511DC">
        <w:trPr>
          <w:trHeight w:val="255"/>
        </w:trPr>
        <w:tc>
          <w:tcPr>
            <w:tcW w:w="816" w:type="dxa"/>
          </w:tcPr>
          <w:p w:rsidR="009511DC" w:rsidRPr="00D94753" w:rsidRDefault="009511DC" w:rsidP="009511DC">
            <w:pPr>
              <w:spacing w:after="0" w:line="240" w:lineRule="auto"/>
              <w:jc w:val="both"/>
              <w:rPr>
                <w:rFonts w:cstheme="minorHAnsi"/>
              </w:rPr>
            </w:pPr>
            <w:r w:rsidRPr="00D94753">
              <w:rPr>
                <w:rFonts w:cstheme="minorHAnsi"/>
              </w:rPr>
              <w:t>2007</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12.14</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6.60</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24.46</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5.45</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19.02</w:t>
            </w:r>
          </w:p>
        </w:tc>
        <w:tc>
          <w:tcPr>
            <w:tcW w:w="1347" w:type="dxa"/>
          </w:tcPr>
          <w:p w:rsidR="009511DC" w:rsidRPr="00D94753" w:rsidRDefault="009511DC" w:rsidP="009511DC">
            <w:pPr>
              <w:spacing w:after="0" w:line="240" w:lineRule="auto"/>
              <w:jc w:val="both"/>
              <w:rPr>
                <w:rFonts w:cstheme="minorHAnsi"/>
              </w:rPr>
            </w:pPr>
            <w:r w:rsidRPr="00D94753">
              <w:rPr>
                <w:rFonts w:cstheme="minorHAnsi"/>
              </w:rPr>
              <w:t>20.35</w:t>
            </w:r>
          </w:p>
        </w:tc>
        <w:tc>
          <w:tcPr>
            <w:tcW w:w="1260" w:type="dxa"/>
          </w:tcPr>
          <w:p w:rsidR="009511DC" w:rsidRPr="00D94753" w:rsidRDefault="009511DC" w:rsidP="009511DC">
            <w:pPr>
              <w:spacing w:after="0" w:line="240" w:lineRule="auto"/>
              <w:jc w:val="both"/>
              <w:rPr>
                <w:rFonts w:cstheme="minorHAnsi"/>
              </w:rPr>
            </w:pPr>
            <w:r w:rsidRPr="00D94753">
              <w:rPr>
                <w:rFonts w:cstheme="minorHAnsi"/>
              </w:rPr>
              <w:t>28.66</w:t>
            </w:r>
          </w:p>
        </w:tc>
      </w:tr>
      <w:tr w:rsidR="009511DC" w:rsidRPr="00D94753" w:rsidTr="009511DC">
        <w:trPr>
          <w:trHeight w:val="255"/>
        </w:trPr>
        <w:tc>
          <w:tcPr>
            <w:tcW w:w="816" w:type="dxa"/>
          </w:tcPr>
          <w:p w:rsidR="009511DC" w:rsidRPr="00D94753" w:rsidRDefault="009511DC" w:rsidP="009511DC">
            <w:pPr>
              <w:spacing w:after="0" w:line="240" w:lineRule="auto"/>
              <w:jc w:val="both"/>
              <w:rPr>
                <w:rFonts w:cstheme="minorHAnsi"/>
              </w:rPr>
            </w:pPr>
            <w:r w:rsidRPr="00D94753">
              <w:rPr>
                <w:rFonts w:cstheme="minorHAnsi"/>
              </w:rPr>
              <w:t>2008</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13.65</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6.40</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24.21</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4.95</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19.25</w:t>
            </w:r>
          </w:p>
        </w:tc>
        <w:tc>
          <w:tcPr>
            <w:tcW w:w="1347" w:type="dxa"/>
          </w:tcPr>
          <w:p w:rsidR="009511DC" w:rsidRPr="00D94753" w:rsidRDefault="009511DC" w:rsidP="009511DC">
            <w:pPr>
              <w:spacing w:after="0" w:line="240" w:lineRule="auto"/>
              <w:jc w:val="both"/>
              <w:rPr>
                <w:rFonts w:cstheme="minorHAnsi"/>
              </w:rPr>
            </w:pPr>
            <w:r w:rsidRPr="00D94753">
              <w:rPr>
                <w:rFonts w:cstheme="minorHAnsi"/>
              </w:rPr>
              <w:t>20.31</w:t>
            </w:r>
          </w:p>
        </w:tc>
        <w:tc>
          <w:tcPr>
            <w:tcW w:w="1260" w:type="dxa"/>
          </w:tcPr>
          <w:p w:rsidR="009511DC" w:rsidRPr="00D94753" w:rsidRDefault="009511DC" w:rsidP="009511DC">
            <w:pPr>
              <w:spacing w:after="0" w:line="240" w:lineRule="auto"/>
              <w:jc w:val="both"/>
              <w:rPr>
                <w:rFonts w:cstheme="minorHAnsi"/>
              </w:rPr>
            </w:pPr>
            <w:r w:rsidRPr="00D94753">
              <w:rPr>
                <w:rFonts w:cstheme="minorHAnsi"/>
              </w:rPr>
              <w:t>30.21</w:t>
            </w:r>
          </w:p>
        </w:tc>
      </w:tr>
      <w:tr w:rsidR="009511DC" w:rsidRPr="00D94753" w:rsidTr="009511DC">
        <w:trPr>
          <w:trHeight w:val="255"/>
        </w:trPr>
        <w:tc>
          <w:tcPr>
            <w:tcW w:w="816" w:type="dxa"/>
          </w:tcPr>
          <w:p w:rsidR="009511DC" w:rsidRPr="00D94753" w:rsidRDefault="009511DC" w:rsidP="009511DC">
            <w:pPr>
              <w:spacing w:after="0" w:line="240" w:lineRule="auto"/>
              <w:jc w:val="both"/>
              <w:rPr>
                <w:rFonts w:cstheme="minorHAnsi"/>
              </w:rPr>
            </w:pPr>
            <w:r w:rsidRPr="00D94753">
              <w:rPr>
                <w:rFonts w:cstheme="minorHAnsi"/>
              </w:rPr>
              <w:t>2009</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15.52</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6.20</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24.37</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4.70</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19.67</w:t>
            </w:r>
          </w:p>
        </w:tc>
        <w:tc>
          <w:tcPr>
            <w:tcW w:w="1347" w:type="dxa"/>
          </w:tcPr>
          <w:p w:rsidR="009511DC" w:rsidRPr="00D94753" w:rsidRDefault="009511DC" w:rsidP="009511DC">
            <w:pPr>
              <w:spacing w:after="0" w:line="240" w:lineRule="auto"/>
              <w:jc w:val="both"/>
              <w:rPr>
                <w:rFonts w:cstheme="minorHAnsi"/>
              </w:rPr>
            </w:pPr>
            <w:r w:rsidRPr="00D94753">
              <w:rPr>
                <w:rFonts w:cstheme="minorHAnsi"/>
              </w:rPr>
              <w:t>20.09</w:t>
            </w:r>
          </w:p>
        </w:tc>
        <w:tc>
          <w:tcPr>
            <w:tcW w:w="1260" w:type="dxa"/>
          </w:tcPr>
          <w:p w:rsidR="009511DC" w:rsidRPr="00D94753" w:rsidRDefault="009511DC" w:rsidP="009511DC">
            <w:pPr>
              <w:spacing w:after="0" w:line="240" w:lineRule="auto"/>
              <w:jc w:val="both"/>
              <w:rPr>
                <w:rFonts w:cstheme="minorHAnsi"/>
              </w:rPr>
            </w:pPr>
            <w:r w:rsidRPr="00D94753">
              <w:rPr>
                <w:rFonts w:cstheme="minorHAnsi"/>
              </w:rPr>
              <w:t>29.57</w:t>
            </w:r>
          </w:p>
        </w:tc>
      </w:tr>
      <w:tr w:rsidR="009511DC" w:rsidRPr="00D94753" w:rsidTr="009511DC">
        <w:trPr>
          <w:trHeight w:val="255"/>
        </w:trPr>
        <w:tc>
          <w:tcPr>
            <w:tcW w:w="816" w:type="dxa"/>
          </w:tcPr>
          <w:p w:rsidR="009511DC" w:rsidRPr="00D94753" w:rsidRDefault="009511DC" w:rsidP="009511DC">
            <w:pPr>
              <w:spacing w:after="0" w:line="240" w:lineRule="auto"/>
              <w:jc w:val="both"/>
              <w:rPr>
                <w:rFonts w:cstheme="minorHAnsi"/>
              </w:rPr>
            </w:pPr>
            <w:r w:rsidRPr="00D94753">
              <w:rPr>
                <w:rFonts w:cstheme="minorHAnsi"/>
              </w:rPr>
              <w:t>2010</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12.64</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5.70</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24.41</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5.01</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19.40</w:t>
            </w:r>
          </w:p>
        </w:tc>
        <w:tc>
          <w:tcPr>
            <w:tcW w:w="1347" w:type="dxa"/>
          </w:tcPr>
          <w:p w:rsidR="009511DC" w:rsidRPr="00D94753" w:rsidRDefault="009511DC" w:rsidP="009511DC">
            <w:pPr>
              <w:spacing w:after="0" w:line="240" w:lineRule="auto"/>
              <w:jc w:val="both"/>
              <w:rPr>
                <w:rFonts w:cstheme="minorHAnsi"/>
              </w:rPr>
            </w:pPr>
            <w:r w:rsidRPr="00D94753">
              <w:rPr>
                <w:rFonts w:cstheme="minorHAnsi"/>
              </w:rPr>
              <w:t>20.10</w:t>
            </w:r>
          </w:p>
        </w:tc>
        <w:tc>
          <w:tcPr>
            <w:tcW w:w="1260" w:type="dxa"/>
          </w:tcPr>
          <w:p w:rsidR="009511DC" w:rsidRPr="00D94753" w:rsidRDefault="009511DC" w:rsidP="009511DC">
            <w:pPr>
              <w:spacing w:after="0" w:line="240" w:lineRule="auto"/>
              <w:jc w:val="both"/>
              <w:rPr>
                <w:rFonts w:cstheme="minorHAnsi"/>
              </w:rPr>
            </w:pPr>
            <w:r w:rsidRPr="00D94753">
              <w:rPr>
                <w:rFonts w:cstheme="minorHAnsi"/>
              </w:rPr>
              <w:t>30.02</w:t>
            </w:r>
          </w:p>
        </w:tc>
      </w:tr>
      <w:tr w:rsidR="009511DC" w:rsidRPr="00D94753" w:rsidTr="009511DC">
        <w:trPr>
          <w:trHeight w:val="255"/>
        </w:trPr>
        <w:tc>
          <w:tcPr>
            <w:tcW w:w="816" w:type="dxa"/>
          </w:tcPr>
          <w:p w:rsidR="009511DC" w:rsidRPr="00D94753" w:rsidRDefault="009511DC" w:rsidP="009511DC">
            <w:pPr>
              <w:spacing w:after="0" w:line="240" w:lineRule="auto"/>
              <w:jc w:val="both"/>
              <w:rPr>
                <w:rFonts w:cstheme="minorHAnsi"/>
              </w:rPr>
            </w:pPr>
            <w:r w:rsidRPr="00D94753">
              <w:rPr>
                <w:rFonts w:cstheme="minorHAnsi"/>
              </w:rPr>
              <w:t>2011</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12.94</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6.10</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25.15</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5.64</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19.51</w:t>
            </w:r>
          </w:p>
        </w:tc>
        <w:tc>
          <w:tcPr>
            <w:tcW w:w="1347" w:type="dxa"/>
          </w:tcPr>
          <w:p w:rsidR="009511DC" w:rsidRPr="00D94753" w:rsidRDefault="009511DC" w:rsidP="009511DC">
            <w:pPr>
              <w:spacing w:after="0" w:line="240" w:lineRule="auto"/>
              <w:jc w:val="both"/>
              <w:rPr>
                <w:rFonts w:cstheme="minorHAnsi"/>
              </w:rPr>
            </w:pPr>
            <w:r w:rsidRPr="00D94753">
              <w:rPr>
                <w:rFonts w:cstheme="minorHAnsi"/>
              </w:rPr>
              <w:t>19.36</w:t>
            </w:r>
          </w:p>
        </w:tc>
        <w:tc>
          <w:tcPr>
            <w:tcW w:w="1260" w:type="dxa"/>
          </w:tcPr>
          <w:p w:rsidR="009511DC" w:rsidRPr="00D94753" w:rsidRDefault="009511DC" w:rsidP="009511DC">
            <w:pPr>
              <w:spacing w:after="0" w:line="240" w:lineRule="auto"/>
              <w:jc w:val="both"/>
              <w:rPr>
                <w:rFonts w:cstheme="minorHAnsi"/>
              </w:rPr>
            </w:pPr>
            <w:r w:rsidRPr="00D94753">
              <w:rPr>
                <w:rFonts w:cstheme="minorHAnsi"/>
              </w:rPr>
              <w:t>28.07</w:t>
            </w:r>
          </w:p>
        </w:tc>
      </w:tr>
      <w:tr w:rsidR="009511DC" w:rsidRPr="00D94753" w:rsidTr="009511DC">
        <w:trPr>
          <w:trHeight w:val="255"/>
        </w:trPr>
        <w:tc>
          <w:tcPr>
            <w:tcW w:w="816" w:type="dxa"/>
          </w:tcPr>
          <w:p w:rsidR="009511DC" w:rsidRPr="00D94753" w:rsidRDefault="009511DC" w:rsidP="009511DC">
            <w:pPr>
              <w:spacing w:after="0" w:line="240" w:lineRule="auto"/>
              <w:jc w:val="both"/>
              <w:rPr>
                <w:rFonts w:cstheme="minorHAnsi"/>
              </w:rPr>
            </w:pPr>
            <w:r w:rsidRPr="00D94753">
              <w:rPr>
                <w:rFonts w:cstheme="minorHAnsi"/>
              </w:rPr>
              <w:t>2012</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14.75</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6.70</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26.54</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6.50</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20.04</w:t>
            </w:r>
          </w:p>
        </w:tc>
        <w:tc>
          <w:tcPr>
            <w:tcW w:w="1347" w:type="dxa"/>
          </w:tcPr>
          <w:p w:rsidR="009511DC" w:rsidRPr="00D94753" w:rsidRDefault="009511DC" w:rsidP="009511DC">
            <w:pPr>
              <w:spacing w:after="0" w:line="240" w:lineRule="auto"/>
              <w:jc w:val="both"/>
              <w:rPr>
                <w:rFonts w:cstheme="minorHAnsi"/>
              </w:rPr>
            </w:pPr>
            <w:r w:rsidRPr="00D94753">
              <w:rPr>
                <w:rFonts w:cstheme="minorHAnsi"/>
              </w:rPr>
              <w:t>24.39</w:t>
            </w:r>
          </w:p>
        </w:tc>
        <w:tc>
          <w:tcPr>
            <w:tcW w:w="1260" w:type="dxa"/>
          </w:tcPr>
          <w:p w:rsidR="009511DC" w:rsidRPr="00D94753" w:rsidRDefault="009511DC" w:rsidP="009511DC">
            <w:pPr>
              <w:spacing w:after="0" w:line="240" w:lineRule="auto"/>
              <w:jc w:val="both"/>
              <w:rPr>
                <w:rFonts w:cstheme="minorHAnsi"/>
              </w:rPr>
            </w:pPr>
            <w:r w:rsidRPr="00D94753">
              <w:rPr>
                <w:rFonts w:cstheme="minorHAnsi"/>
              </w:rPr>
              <w:t>34.31</w:t>
            </w:r>
          </w:p>
        </w:tc>
      </w:tr>
      <w:tr w:rsidR="009511DC" w:rsidRPr="00D94753" w:rsidTr="009511DC">
        <w:trPr>
          <w:trHeight w:val="255"/>
        </w:trPr>
        <w:tc>
          <w:tcPr>
            <w:tcW w:w="816" w:type="dxa"/>
          </w:tcPr>
          <w:p w:rsidR="009511DC" w:rsidRPr="00D94753" w:rsidRDefault="009511DC" w:rsidP="009511DC">
            <w:pPr>
              <w:spacing w:after="0" w:line="240" w:lineRule="auto"/>
              <w:jc w:val="both"/>
              <w:rPr>
                <w:rFonts w:cstheme="minorHAnsi"/>
              </w:rPr>
            </w:pPr>
            <w:r w:rsidRPr="00D94753">
              <w:rPr>
                <w:rFonts w:cstheme="minorHAnsi"/>
              </w:rPr>
              <w:t>2013</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15.24</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6.20</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26.67</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7.85</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18.99</w:t>
            </w:r>
          </w:p>
        </w:tc>
        <w:tc>
          <w:tcPr>
            <w:tcW w:w="1347" w:type="dxa"/>
          </w:tcPr>
          <w:p w:rsidR="009511DC" w:rsidRPr="00D94753" w:rsidRDefault="009511DC" w:rsidP="009511DC">
            <w:pPr>
              <w:spacing w:after="0" w:line="240" w:lineRule="auto"/>
              <w:jc w:val="both"/>
              <w:rPr>
                <w:rFonts w:cstheme="minorHAnsi"/>
              </w:rPr>
            </w:pPr>
            <w:r w:rsidRPr="00D94753">
              <w:rPr>
                <w:rFonts w:cstheme="minorHAnsi"/>
              </w:rPr>
              <w:t>25.45</w:t>
            </w:r>
          </w:p>
        </w:tc>
        <w:tc>
          <w:tcPr>
            <w:tcW w:w="1260" w:type="dxa"/>
          </w:tcPr>
          <w:p w:rsidR="009511DC" w:rsidRPr="00D94753" w:rsidRDefault="009511DC" w:rsidP="009511DC">
            <w:pPr>
              <w:spacing w:after="0" w:line="240" w:lineRule="auto"/>
              <w:jc w:val="both"/>
              <w:rPr>
                <w:rFonts w:cstheme="minorHAnsi"/>
              </w:rPr>
            </w:pPr>
            <w:r w:rsidRPr="00D94753">
              <w:rPr>
                <w:rFonts w:cstheme="minorHAnsi"/>
              </w:rPr>
              <w:t>35.26</w:t>
            </w:r>
          </w:p>
        </w:tc>
      </w:tr>
      <w:tr w:rsidR="009511DC" w:rsidRPr="00D94753" w:rsidTr="009511DC">
        <w:trPr>
          <w:trHeight w:val="255"/>
        </w:trPr>
        <w:tc>
          <w:tcPr>
            <w:tcW w:w="816" w:type="dxa"/>
          </w:tcPr>
          <w:p w:rsidR="009511DC" w:rsidRPr="00D94753" w:rsidRDefault="009511DC" w:rsidP="009511DC">
            <w:pPr>
              <w:spacing w:after="0" w:line="240" w:lineRule="auto"/>
              <w:jc w:val="both"/>
              <w:rPr>
                <w:rFonts w:cstheme="minorHAnsi"/>
              </w:rPr>
            </w:pPr>
            <w:r w:rsidRPr="00D94753">
              <w:rPr>
                <w:rFonts w:cstheme="minorHAnsi"/>
              </w:rPr>
              <w:t>2014</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13.05</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6.03</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27.08</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6.91</w:t>
            </w:r>
          </w:p>
        </w:tc>
        <w:tc>
          <w:tcPr>
            <w:tcW w:w="1181" w:type="dxa"/>
          </w:tcPr>
          <w:p w:rsidR="009511DC" w:rsidRPr="00D94753" w:rsidRDefault="009511DC" w:rsidP="009511DC">
            <w:pPr>
              <w:spacing w:after="0" w:line="240" w:lineRule="auto"/>
              <w:jc w:val="both"/>
              <w:rPr>
                <w:rFonts w:cstheme="minorHAnsi"/>
              </w:rPr>
            </w:pPr>
            <w:r w:rsidRPr="00D94753">
              <w:rPr>
                <w:rFonts w:cstheme="minorHAnsi"/>
              </w:rPr>
              <w:t>20.19</w:t>
            </w:r>
          </w:p>
        </w:tc>
        <w:tc>
          <w:tcPr>
            <w:tcW w:w="1347" w:type="dxa"/>
          </w:tcPr>
          <w:p w:rsidR="009511DC" w:rsidRPr="00D94753" w:rsidRDefault="009511DC" w:rsidP="009511DC">
            <w:pPr>
              <w:spacing w:after="0" w:line="240" w:lineRule="auto"/>
              <w:jc w:val="both"/>
              <w:rPr>
                <w:rFonts w:cstheme="minorHAnsi"/>
              </w:rPr>
            </w:pPr>
            <w:r w:rsidRPr="00D94753">
              <w:rPr>
                <w:rFonts w:cstheme="minorHAnsi"/>
              </w:rPr>
              <w:t>27.06</w:t>
            </w:r>
          </w:p>
        </w:tc>
        <w:tc>
          <w:tcPr>
            <w:tcW w:w="1260" w:type="dxa"/>
          </w:tcPr>
          <w:p w:rsidR="009511DC" w:rsidRPr="00D94753" w:rsidRDefault="009511DC" w:rsidP="009511DC">
            <w:pPr>
              <w:spacing w:after="0" w:line="240" w:lineRule="auto"/>
              <w:jc w:val="both"/>
              <w:rPr>
                <w:rFonts w:cstheme="minorHAnsi"/>
              </w:rPr>
            </w:pPr>
            <w:r w:rsidRPr="00D94753">
              <w:rPr>
                <w:rFonts w:cstheme="minorHAnsi"/>
              </w:rPr>
              <w:t>35.28</w:t>
            </w:r>
          </w:p>
        </w:tc>
      </w:tr>
    </w:tbl>
    <w:p w:rsidR="009511DC" w:rsidRPr="00D94753" w:rsidRDefault="009511DC" w:rsidP="009511DC">
      <w:pPr>
        <w:jc w:val="both"/>
        <w:rPr>
          <w:rFonts w:cstheme="minorHAnsi"/>
        </w:rPr>
      </w:pPr>
    </w:p>
    <w:p w:rsidR="009511DC" w:rsidRPr="003E156E" w:rsidRDefault="00B51C85" w:rsidP="009511DC">
      <w:pPr>
        <w:jc w:val="both"/>
        <w:rPr>
          <w:rFonts w:cstheme="minorHAnsi"/>
          <w:b/>
        </w:rPr>
      </w:pPr>
      <w:r>
        <w:rPr>
          <w:rFonts w:cstheme="minorHAnsi"/>
          <w:b/>
        </w:rPr>
        <w:t>Table VI.2</w:t>
      </w:r>
      <w:r w:rsidR="009511DC" w:rsidRPr="003E156E">
        <w:rPr>
          <w:rFonts w:cstheme="minorHAnsi"/>
          <w:b/>
        </w:rPr>
        <w:t>: Human Development Indices for Bangladesh, 2010-2014.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78"/>
        <w:gridCol w:w="1260"/>
        <w:gridCol w:w="1260"/>
        <w:gridCol w:w="1080"/>
        <w:gridCol w:w="1080"/>
        <w:gridCol w:w="1080"/>
        <w:gridCol w:w="1080"/>
      </w:tblGrid>
      <w:tr w:rsidR="009511DC" w:rsidRPr="00D94753" w:rsidTr="009511DC">
        <w:trPr>
          <w:trHeight w:val="520"/>
        </w:trPr>
        <w:tc>
          <w:tcPr>
            <w:tcW w:w="778" w:type="dxa"/>
          </w:tcPr>
          <w:p w:rsidR="009511DC" w:rsidRPr="003E156E" w:rsidRDefault="009511DC" w:rsidP="009511DC">
            <w:pPr>
              <w:spacing w:after="0" w:line="240" w:lineRule="auto"/>
              <w:jc w:val="both"/>
              <w:rPr>
                <w:rFonts w:cstheme="minorHAnsi"/>
                <w:b/>
              </w:rPr>
            </w:pPr>
            <w:r w:rsidRPr="003E156E">
              <w:rPr>
                <w:rFonts w:cstheme="minorHAnsi"/>
                <w:b/>
              </w:rPr>
              <w:t>Fiscal</w:t>
            </w:r>
          </w:p>
          <w:p w:rsidR="009511DC" w:rsidRPr="003E156E" w:rsidRDefault="009511DC" w:rsidP="009511DC">
            <w:pPr>
              <w:spacing w:after="0" w:line="240" w:lineRule="auto"/>
              <w:jc w:val="both"/>
              <w:rPr>
                <w:rFonts w:cstheme="minorHAnsi"/>
                <w:b/>
              </w:rPr>
            </w:pPr>
            <w:r w:rsidRPr="003E156E">
              <w:rPr>
                <w:rFonts w:cstheme="minorHAnsi"/>
                <w:b/>
              </w:rPr>
              <w:t>year</w:t>
            </w:r>
          </w:p>
        </w:tc>
        <w:tc>
          <w:tcPr>
            <w:tcW w:w="1260" w:type="dxa"/>
            <w:shd w:val="clear" w:color="auto" w:fill="auto"/>
            <w:noWrap/>
          </w:tcPr>
          <w:p w:rsidR="009511DC" w:rsidRPr="003E156E" w:rsidRDefault="009511DC" w:rsidP="009511DC">
            <w:pPr>
              <w:spacing w:after="0" w:line="240" w:lineRule="auto"/>
              <w:jc w:val="both"/>
              <w:rPr>
                <w:rFonts w:cstheme="minorHAnsi"/>
                <w:b/>
              </w:rPr>
            </w:pPr>
            <w:r w:rsidRPr="003E156E">
              <w:rPr>
                <w:rFonts w:cstheme="minorHAnsi"/>
                <w:b/>
              </w:rPr>
              <w:t>Primary</w:t>
            </w:r>
          </w:p>
          <w:p w:rsidR="009511DC" w:rsidRPr="003E156E" w:rsidRDefault="009511DC" w:rsidP="009511DC">
            <w:pPr>
              <w:spacing w:after="0" w:line="240" w:lineRule="auto"/>
              <w:jc w:val="both"/>
              <w:rPr>
                <w:rFonts w:cstheme="minorHAnsi"/>
                <w:b/>
              </w:rPr>
            </w:pPr>
            <w:r w:rsidRPr="003E156E">
              <w:rPr>
                <w:rFonts w:cstheme="minorHAnsi"/>
                <w:b/>
              </w:rPr>
              <w:t>enrolment</w:t>
            </w:r>
          </w:p>
        </w:tc>
        <w:tc>
          <w:tcPr>
            <w:tcW w:w="1260" w:type="dxa"/>
            <w:shd w:val="clear" w:color="auto" w:fill="auto"/>
            <w:noWrap/>
          </w:tcPr>
          <w:p w:rsidR="009511DC" w:rsidRPr="003E156E" w:rsidRDefault="009511DC" w:rsidP="009511DC">
            <w:pPr>
              <w:spacing w:after="0" w:line="240" w:lineRule="auto"/>
              <w:jc w:val="both"/>
              <w:rPr>
                <w:rFonts w:cstheme="minorHAnsi"/>
                <w:b/>
              </w:rPr>
            </w:pPr>
            <w:r w:rsidRPr="003E156E">
              <w:rPr>
                <w:rFonts w:cstheme="minorHAnsi"/>
                <w:b/>
              </w:rPr>
              <w:t>Secondary</w:t>
            </w:r>
          </w:p>
          <w:p w:rsidR="009511DC" w:rsidRPr="003E156E" w:rsidRDefault="009511DC" w:rsidP="009511DC">
            <w:pPr>
              <w:spacing w:after="0" w:line="240" w:lineRule="auto"/>
              <w:jc w:val="both"/>
              <w:rPr>
                <w:rFonts w:cstheme="minorHAnsi"/>
                <w:b/>
              </w:rPr>
            </w:pPr>
            <w:r w:rsidRPr="003E156E">
              <w:rPr>
                <w:rFonts w:cstheme="minorHAnsi"/>
                <w:b/>
              </w:rPr>
              <w:t>enrolment</w:t>
            </w:r>
          </w:p>
        </w:tc>
        <w:tc>
          <w:tcPr>
            <w:tcW w:w="1080" w:type="dxa"/>
            <w:shd w:val="clear" w:color="auto" w:fill="auto"/>
            <w:noWrap/>
          </w:tcPr>
          <w:p w:rsidR="009511DC" w:rsidRPr="003E156E" w:rsidRDefault="009511DC" w:rsidP="009511DC">
            <w:pPr>
              <w:spacing w:after="0" w:line="240" w:lineRule="auto"/>
              <w:jc w:val="both"/>
              <w:rPr>
                <w:rFonts w:cstheme="minorHAnsi"/>
                <w:b/>
              </w:rPr>
            </w:pPr>
            <w:r w:rsidRPr="003E156E">
              <w:rPr>
                <w:rFonts w:cstheme="minorHAnsi"/>
                <w:b/>
              </w:rPr>
              <w:t>Sanitation access</w:t>
            </w:r>
          </w:p>
        </w:tc>
        <w:tc>
          <w:tcPr>
            <w:tcW w:w="1080" w:type="dxa"/>
            <w:shd w:val="clear" w:color="auto" w:fill="auto"/>
            <w:noWrap/>
          </w:tcPr>
          <w:p w:rsidR="009511DC" w:rsidRPr="003E156E" w:rsidRDefault="009511DC" w:rsidP="009511DC">
            <w:pPr>
              <w:tabs>
                <w:tab w:val="left" w:pos="616"/>
              </w:tabs>
              <w:spacing w:after="0" w:line="240" w:lineRule="auto"/>
              <w:jc w:val="both"/>
              <w:rPr>
                <w:rFonts w:cstheme="minorHAnsi"/>
                <w:b/>
              </w:rPr>
            </w:pPr>
            <w:r w:rsidRPr="003E156E">
              <w:rPr>
                <w:rFonts w:cstheme="minorHAnsi"/>
                <w:b/>
              </w:rPr>
              <w:t xml:space="preserve">Water </w:t>
            </w:r>
          </w:p>
          <w:p w:rsidR="009511DC" w:rsidRPr="003E156E" w:rsidRDefault="009511DC" w:rsidP="009511DC">
            <w:pPr>
              <w:tabs>
                <w:tab w:val="left" w:pos="616"/>
              </w:tabs>
              <w:spacing w:after="0" w:line="240" w:lineRule="auto"/>
              <w:jc w:val="both"/>
              <w:rPr>
                <w:rFonts w:cstheme="minorHAnsi"/>
                <w:b/>
              </w:rPr>
            </w:pPr>
            <w:r w:rsidRPr="003E156E">
              <w:rPr>
                <w:rFonts w:cstheme="minorHAnsi"/>
                <w:b/>
              </w:rPr>
              <w:t>access</w:t>
            </w:r>
          </w:p>
        </w:tc>
        <w:tc>
          <w:tcPr>
            <w:tcW w:w="1080" w:type="dxa"/>
          </w:tcPr>
          <w:p w:rsidR="009511DC" w:rsidRPr="003E156E" w:rsidRDefault="009511DC" w:rsidP="009511DC">
            <w:pPr>
              <w:spacing w:after="0" w:line="240" w:lineRule="auto"/>
              <w:jc w:val="both"/>
              <w:rPr>
                <w:rFonts w:cstheme="minorHAnsi"/>
                <w:b/>
              </w:rPr>
            </w:pPr>
            <w:r w:rsidRPr="003E156E">
              <w:rPr>
                <w:rFonts w:cstheme="minorHAnsi"/>
                <w:b/>
              </w:rPr>
              <w:t>HPI</w:t>
            </w:r>
          </w:p>
        </w:tc>
        <w:tc>
          <w:tcPr>
            <w:tcW w:w="1080" w:type="dxa"/>
          </w:tcPr>
          <w:p w:rsidR="009511DC" w:rsidRPr="003E156E" w:rsidRDefault="009511DC" w:rsidP="009511DC">
            <w:pPr>
              <w:spacing w:after="0" w:line="240" w:lineRule="auto"/>
              <w:jc w:val="both"/>
              <w:rPr>
                <w:rFonts w:cstheme="minorHAnsi"/>
                <w:b/>
              </w:rPr>
            </w:pPr>
            <w:r w:rsidRPr="003E156E">
              <w:rPr>
                <w:rFonts w:cstheme="minorHAnsi"/>
                <w:b/>
              </w:rPr>
              <w:t>HDI</w:t>
            </w:r>
          </w:p>
        </w:tc>
      </w:tr>
      <w:tr w:rsidR="009511DC" w:rsidRPr="00D94753" w:rsidTr="009511DC">
        <w:trPr>
          <w:trHeight w:val="255"/>
        </w:trPr>
        <w:tc>
          <w:tcPr>
            <w:tcW w:w="778" w:type="dxa"/>
          </w:tcPr>
          <w:p w:rsidR="009511DC" w:rsidRPr="00D94753" w:rsidRDefault="009511DC" w:rsidP="009511DC">
            <w:pPr>
              <w:spacing w:after="0" w:line="240" w:lineRule="auto"/>
              <w:jc w:val="both"/>
              <w:rPr>
                <w:rFonts w:cstheme="minorHAnsi"/>
              </w:rPr>
            </w:pPr>
            <w:r w:rsidRPr="00D94753">
              <w:rPr>
                <w:rFonts w:cstheme="minorHAnsi"/>
              </w:rPr>
              <w:t>2000</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15766176</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7646885</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43.40</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96.50</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40.30</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.453</w:t>
            </w:r>
          </w:p>
        </w:tc>
      </w:tr>
      <w:tr w:rsidR="009511DC" w:rsidRPr="00D94753" w:rsidTr="009511DC">
        <w:trPr>
          <w:trHeight w:val="255"/>
        </w:trPr>
        <w:tc>
          <w:tcPr>
            <w:tcW w:w="778" w:type="dxa"/>
          </w:tcPr>
          <w:p w:rsidR="009511DC" w:rsidRPr="00D94753" w:rsidRDefault="009511DC" w:rsidP="009511DC">
            <w:pPr>
              <w:spacing w:after="0" w:line="240" w:lineRule="auto"/>
              <w:jc w:val="both"/>
              <w:rPr>
                <w:rFonts w:cstheme="minorHAnsi"/>
              </w:rPr>
            </w:pPr>
            <w:r w:rsidRPr="00D94753">
              <w:rPr>
                <w:rFonts w:cstheme="minorHAnsi"/>
              </w:rPr>
              <w:t>2001</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15784416</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7887010</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36.90</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90.70</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43.30</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.510</w:t>
            </w:r>
          </w:p>
        </w:tc>
      </w:tr>
      <w:tr w:rsidR="009511DC" w:rsidRPr="00D94753" w:rsidTr="009511DC">
        <w:trPr>
          <w:trHeight w:val="255"/>
        </w:trPr>
        <w:tc>
          <w:tcPr>
            <w:tcW w:w="778" w:type="dxa"/>
          </w:tcPr>
          <w:p w:rsidR="009511DC" w:rsidRPr="00D94753" w:rsidRDefault="009511DC" w:rsidP="009511DC">
            <w:pPr>
              <w:spacing w:after="0" w:line="240" w:lineRule="auto"/>
              <w:jc w:val="both"/>
              <w:rPr>
                <w:rFonts w:cstheme="minorHAnsi"/>
              </w:rPr>
            </w:pPr>
            <w:r w:rsidRPr="00D94753">
              <w:rPr>
                <w:rFonts w:cstheme="minorHAnsi"/>
              </w:rPr>
              <w:t>2002</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15570360</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8162134</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39.90</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96.70</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NA</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.509</w:t>
            </w:r>
          </w:p>
        </w:tc>
      </w:tr>
      <w:tr w:rsidR="009511DC" w:rsidRPr="00D94753" w:rsidTr="009511DC">
        <w:trPr>
          <w:trHeight w:val="255"/>
        </w:trPr>
        <w:tc>
          <w:tcPr>
            <w:tcW w:w="778" w:type="dxa"/>
          </w:tcPr>
          <w:p w:rsidR="009511DC" w:rsidRPr="00D94753" w:rsidRDefault="009511DC" w:rsidP="009511DC">
            <w:pPr>
              <w:spacing w:after="0" w:line="240" w:lineRule="auto"/>
              <w:jc w:val="both"/>
              <w:rPr>
                <w:rFonts w:cstheme="minorHAnsi"/>
              </w:rPr>
            </w:pPr>
            <w:r w:rsidRPr="00D94753">
              <w:rPr>
                <w:rFonts w:cstheme="minorHAnsi"/>
              </w:rPr>
              <w:t>2003</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15450013</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8126362</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42.50</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97.30</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NA</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.509</w:t>
            </w:r>
          </w:p>
        </w:tc>
      </w:tr>
      <w:tr w:rsidR="009511DC" w:rsidRPr="00D94753" w:rsidTr="009511DC">
        <w:trPr>
          <w:trHeight w:val="255"/>
        </w:trPr>
        <w:tc>
          <w:tcPr>
            <w:tcW w:w="778" w:type="dxa"/>
          </w:tcPr>
          <w:p w:rsidR="009511DC" w:rsidRPr="00D94753" w:rsidRDefault="009511DC" w:rsidP="009511DC">
            <w:pPr>
              <w:spacing w:after="0" w:line="240" w:lineRule="auto"/>
              <w:jc w:val="both"/>
              <w:rPr>
                <w:rFonts w:cstheme="minorHAnsi"/>
              </w:rPr>
            </w:pPr>
            <w:r w:rsidRPr="00D94753">
              <w:rPr>
                <w:rFonts w:cstheme="minorHAnsi"/>
              </w:rPr>
              <w:t>2004</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15245114</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7503247</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39.00</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97.40</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40.50</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.530</w:t>
            </w:r>
          </w:p>
        </w:tc>
      </w:tr>
      <w:tr w:rsidR="009511DC" w:rsidRPr="00D94753" w:rsidTr="009511DC">
        <w:trPr>
          <w:trHeight w:val="255"/>
        </w:trPr>
        <w:tc>
          <w:tcPr>
            <w:tcW w:w="778" w:type="dxa"/>
          </w:tcPr>
          <w:p w:rsidR="009511DC" w:rsidRPr="00D94753" w:rsidRDefault="009511DC" w:rsidP="009511DC">
            <w:pPr>
              <w:spacing w:after="0" w:line="240" w:lineRule="auto"/>
              <w:jc w:val="both"/>
              <w:rPr>
                <w:rFonts w:cstheme="minorHAnsi"/>
              </w:rPr>
            </w:pPr>
            <w:r w:rsidRPr="00D94753">
              <w:rPr>
                <w:rFonts w:cstheme="minorHAnsi"/>
              </w:rPr>
              <w:t>2005</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16225658</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7398552</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43.30</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97.80</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NA</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.494</w:t>
            </w:r>
          </w:p>
        </w:tc>
      </w:tr>
      <w:tr w:rsidR="009511DC" w:rsidRPr="00D94753" w:rsidTr="009511DC">
        <w:trPr>
          <w:trHeight w:val="255"/>
        </w:trPr>
        <w:tc>
          <w:tcPr>
            <w:tcW w:w="778" w:type="dxa"/>
          </w:tcPr>
          <w:p w:rsidR="009511DC" w:rsidRPr="00D94753" w:rsidRDefault="009511DC" w:rsidP="009511DC">
            <w:pPr>
              <w:spacing w:after="0" w:line="240" w:lineRule="auto"/>
              <w:jc w:val="both"/>
              <w:rPr>
                <w:rFonts w:cstheme="minorHAnsi"/>
              </w:rPr>
            </w:pPr>
            <w:r w:rsidRPr="00D94753">
              <w:rPr>
                <w:rFonts w:cstheme="minorHAnsi"/>
              </w:rPr>
              <w:t>2006</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16385847</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7419179</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45.00</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97.40</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44.20</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.440</w:t>
            </w:r>
          </w:p>
        </w:tc>
      </w:tr>
      <w:tr w:rsidR="009511DC" w:rsidRPr="00D94753" w:rsidTr="009511DC">
        <w:trPr>
          <w:trHeight w:val="255"/>
        </w:trPr>
        <w:tc>
          <w:tcPr>
            <w:tcW w:w="778" w:type="dxa"/>
          </w:tcPr>
          <w:p w:rsidR="009511DC" w:rsidRPr="00D94753" w:rsidRDefault="009511DC" w:rsidP="009511DC">
            <w:pPr>
              <w:spacing w:after="0" w:line="240" w:lineRule="auto"/>
              <w:jc w:val="both"/>
              <w:rPr>
                <w:rFonts w:cstheme="minorHAnsi"/>
              </w:rPr>
            </w:pPr>
            <w:r w:rsidRPr="00D94753">
              <w:rPr>
                <w:rFonts w:cstheme="minorHAnsi"/>
              </w:rPr>
              <w:t>2007</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16312907</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7119464</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61.20</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97.80</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40.50</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.450</w:t>
            </w:r>
          </w:p>
        </w:tc>
      </w:tr>
      <w:tr w:rsidR="009511DC" w:rsidRPr="00D94753" w:rsidTr="009511DC">
        <w:trPr>
          <w:trHeight w:val="255"/>
        </w:trPr>
        <w:tc>
          <w:tcPr>
            <w:tcW w:w="778" w:type="dxa"/>
          </w:tcPr>
          <w:p w:rsidR="009511DC" w:rsidRPr="00D94753" w:rsidRDefault="009511DC" w:rsidP="009511DC">
            <w:pPr>
              <w:spacing w:after="0" w:line="240" w:lineRule="auto"/>
              <w:jc w:val="both"/>
              <w:rPr>
                <w:rFonts w:cstheme="minorHAnsi"/>
              </w:rPr>
            </w:pPr>
            <w:r w:rsidRPr="00D94753">
              <w:rPr>
                <w:rFonts w:cstheme="minorHAnsi"/>
              </w:rPr>
              <w:t>2008</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16001605</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6819748</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62.20</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98.30</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NA</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.460</w:t>
            </w:r>
          </w:p>
        </w:tc>
      </w:tr>
      <w:tr w:rsidR="009511DC" w:rsidRPr="00D94753" w:rsidTr="009511DC">
        <w:trPr>
          <w:trHeight w:val="255"/>
        </w:trPr>
        <w:tc>
          <w:tcPr>
            <w:tcW w:w="778" w:type="dxa"/>
          </w:tcPr>
          <w:p w:rsidR="009511DC" w:rsidRPr="00D94753" w:rsidRDefault="009511DC" w:rsidP="009511DC">
            <w:pPr>
              <w:spacing w:after="0" w:line="240" w:lineRule="auto"/>
              <w:jc w:val="both"/>
              <w:rPr>
                <w:rFonts w:cstheme="minorHAnsi"/>
              </w:rPr>
            </w:pPr>
            <w:r w:rsidRPr="00D94753">
              <w:rPr>
                <w:rFonts w:cstheme="minorHAnsi"/>
              </w:rPr>
              <w:t>2009</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16539363</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7356793</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62.70</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98.10</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NA</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.460</w:t>
            </w:r>
          </w:p>
        </w:tc>
      </w:tr>
      <w:tr w:rsidR="009511DC" w:rsidRPr="00D94753" w:rsidTr="009511DC">
        <w:trPr>
          <w:trHeight w:val="255"/>
        </w:trPr>
        <w:tc>
          <w:tcPr>
            <w:tcW w:w="778" w:type="dxa"/>
          </w:tcPr>
          <w:p w:rsidR="009511DC" w:rsidRPr="00D94753" w:rsidRDefault="009511DC" w:rsidP="009511DC">
            <w:pPr>
              <w:spacing w:after="0" w:line="240" w:lineRule="auto"/>
              <w:jc w:val="both"/>
              <w:rPr>
                <w:rFonts w:cstheme="minorHAnsi"/>
              </w:rPr>
            </w:pPr>
            <w:r w:rsidRPr="00D94753">
              <w:rPr>
                <w:rFonts w:cstheme="minorHAnsi"/>
              </w:rPr>
              <w:t>2010</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16957894</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7465774</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63.50</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98.10</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32.28</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.539</w:t>
            </w:r>
          </w:p>
        </w:tc>
      </w:tr>
      <w:tr w:rsidR="009511DC" w:rsidRPr="00D94753" w:rsidTr="009511DC">
        <w:trPr>
          <w:trHeight w:val="255"/>
        </w:trPr>
        <w:tc>
          <w:tcPr>
            <w:tcW w:w="778" w:type="dxa"/>
          </w:tcPr>
          <w:p w:rsidR="009511DC" w:rsidRPr="00D94753" w:rsidRDefault="009511DC" w:rsidP="009511DC">
            <w:pPr>
              <w:spacing w:after="0" w:line="240" w:lineRule="auto"/>
              <w:jc w:val="both"/>
              <w:rPr>
                <w:rFonts w:cstheme="minorHAnsi"/>
              </w:rPr>
            </w:pPr>
            <w:r w:rsidRPr="00D94753">
              <w:rPr>
                <w:rFonts w:cstheme="minorHAnsi"/>
              </w:rPr>
              <w:t>2011</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18432499</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7510218</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63.60</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98.20</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31.62</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.549</w:t>
            </w:r>
          </w:p>
        </w:tc>
      </w:tr>
      <w:tr w:rsidR="009511DC" w:rsidRPr="00D94753" w:rsidTr="009511DC">
        <w:trPr>
          <w:trHeight w:val="255"/>
        </w:trPr>
        <w:tc>
          <w:tcPr>
            <w:tcW w:w="778" w:type="dxa"/>
          </w:tcPr>
          <w:p w:rsidR="009511DC" w:rsidRPr="00D94753" w:rsidRDefault="009511DC" w:rsidP="009511DC">
            <w:pPr>
              <w:spacing w:after="0" w:line="240" w:lineRule="auto"/>
              <w:jc w:val="both"/>
              <w:rPr>
                <w:rFonts w:cstheme="minorHAnsi"/>
              </w:rPr>
            </w:pPr>
            <w:r w:rsidRPr="00D94753">
              <w:rPr>
                <w:rFonts w:cstheme="minorHAnsi"/>
              </w:rPr>
              <w:t>2012</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19003210</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7937235</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NA</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NA</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30.10</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.554</w:t>
            </w:r>
          </w:p>
        </w:tc>
      </w:tr>
      <w:tr w:rsidR="009511DC" w:rsidRPr="00D94753" w:rsidTr="009511DC">
        <w:trPr>
          <w:trHeight w:val="255"/>
        </w:trPr>
        <w:tc>
          <w:tcPr>
            <w:tcW w:w="778" w:type="dxa"/>
          </w:tcPr>
          <w:p w:rsidR="009511DC" w:rsidRPr="00D94753" w:rsidRDefault="009511DC" w:rsidP="009511DC">
            <w:pPr>
              <w:spacing w:after="0" w:line="240" w:lineRule="auto"/>
              <w:jc w:val="both"/>
              <w:rPr>
                <w:rFonts w:cstheme="minorHAnsi"/>
              </w:rPr>
            </w:pPr>
            <w:r w:rsidRPr="00D94753">
              <w:rPr>
                <w:rFonts w:cstheme="minorHAnsi"/>
              </w:rPr>
              <w:t>2013</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NA</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NA</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NA</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NA</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30.63</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.558</w:t>
            </w:r>
          </w:p>
        </w:tc>
      </w:tr>
      <w:tr w:rsidR="009511DC" w:rsidRPr="00D94753" w:rsidTr="009511DC">
        <w:trPr>
          <w:trHeight w:val="255"/>
        </w:trPr>
        <w:tc>
          <w:tcPr>
            <w:tcW w:w="778" w:type="dxa"/>
          </w:tcPr>
          <w:p w:rsidR="009511DC" w:rsidRPr="00D94753" w:rsidRDefault="009511DC" w:rsidP="009511DC">
            <w:pPr>
              <w:spacing w:after="0" w:line="240" w:lineRule="auto"/>
              <w:jc w:val="both"/>
              <w:rPr>
                <w:rFonts w:cstheme="minorHAnsi"/>
              </w:rPr>
            </w:pPr>
            <w:r w:rsidRPr="00D94753">
              <w:rPr>
                <w:rFonts w:cstheme="minorHAnsi"/>
              </w:rPr>
              <w:t>2014</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NA</w:t>
            </w:r>
          </w:p>
        </w:tc>
        <w:tc>
          <w:tcPr>
            <w:tcW w:w="126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NA</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NA</w:t>
            </w:r>
          </w:p>
        </w:tc>
        <w:tc>
          <w:tcPr>
            <w:tcW w:w="1080" w:type="dxa"/>
            <w:shd w:val="clear" w:color="auto" w:fill="auto"/>
            <w:noWrap/>
          </w:tcPr>
          <w:p w:rsidR="009511DC" w:rsidRPr="00D94753" w:rsidRDefault="009511DC" w:rsidP="009511DC">
            <w:pPr>
              <w:spacing w:after="0" w:line="240" w:lineRule="auto"/>
              <w:jc w:val="both"/>
              <w:rPr>
                <w:rFonts w:cstheme="minorHAnsi"/>
              </w:rPr>
            </w:pPr>
            <w:r w:rsidRPr="00D94753">
              <w:rPr>
                <w:rFonts w:cstheme="minorHAnsi"/>
              </w:rPr>
              <w:t>NA</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30.15</w:t>
            </w:r>
          </w:p>
        </w:tc>
        <w:tc>
          <w:tcPr>
            <w:tcW w:w="1080" w:type="dxa"/>
          </w:tcPr>
          <w:p w:rsidR="009511DC" w:rsidRPr="00D94753" w:rsidRDefault="009511DC" w:rsidP="009511DC">
            <w:pPr>
              <w:spacing w:after="0" w:line="240" w:lineRule="auto"/>
              <w:jc w:val="both"/>
              <w:rPr>
                <w:rFonts w:cstheme="minorHAnsi"/>
              </w:rPr>
            </w:pPr>
            <w:r w:rsidRPr="00D94753">
              <w:rPr>
                <w:rFonts w:cstheme="minorHAnsi"/>
              </w:rPr>
              <w:t>.624</w:t>
            </w:r>
          </w:p>
        </w:tc>
      </w:tr>
    </w:tbl>
    <w:p w:rsidR="009511DC" w:rsidRDefault="009511DC" w:rsidP="009511DC">
      <w:pPr>
        <w:spacing w:after="0" w:line="240" w:lineRule="auto"/>
        <w:jc w:val="both"/>
        <w:rPr>
          <w:rFonts w:cstheme="minorHAnsi"/>
        </w:rPr>
      </w:pPr>
      <w:r>
        <w:rPr>
          <w:rFonts w:cstheme="minorHAnsi"/>
        </w:rPr>
        <w:t xml:space="preserve">Sources: </w:t>
      </w:r>
      <w:r w:rsidRPr="00D94753">
        <w:rPr>
          <w:rFonts w:cstheme="minorHAnsi"/>
        </w:rPr>
        <w:t>Statistical Year Boo</w:t>
      </w:r>
      <w:r>
        <w:rPr>
          <w:rFonts w:cstheme="minorHAnsi"/>
        </w:rPr>
        <w:t>k</w:t>
      </w:r>
      <w:r w:rsidRPr="00D94753">
        <w:rPr>
          <w:rFonts w:cstheme="minorHAnsi"/>
        </w:rPr>
        <w:t xml:space="preserve">s (Various Years); Bangladesh Economic Review (Various Years); </w:t>
      </w:r>
      <w:r>
        <w:rPr>
          <w:rFonts w:cstheme="minorHAnsi"/>
        </w:rPr>
        <w:t xml:space="preserve">UNDP. 2014. </w:t>
      </w:r>
      <w:r w:rsidRPr="00D94753">
        <w:rPr>
          <w:rFonts w:cstheme="minorHAnsi"/>
        </w:rPr>
        <w:t>Human Development Review</w:t>
      </w:r>
      <w:r>
        <w:rPr>
          <w:rFonts w:cstheme="minorHAnsi"/>
        </w:rPr>
        <w:t xml:space="preserve"> 2014.</w:t>
      </w:r>
    </w:p>
    <w:p w:rsidR="009511DC" w:rsidRPr="00D94753" w:rsidRDefault="009511DC" w:rsidP="009511DC">
      <w:pPr>
        <w:spacing w:after="0" w:line="240" w:lineRule="auto"/>
        <w:jc w:val="both"/>
        <w:rPr>
          <w:rFonts w:cstheme="minorHAnsi"/>
        </w:rPr>
      </w:pPr>
    </w:p>
    <w:p w:rsidR="009511DC" w:rsidRDefault="009511DC" w:rsidP="009511DC">
      <w:pPr>
        <w:jc w:val="both"/>
        <w:rPr>
          <w:rFonts w:cstheme="minorHAnsi"/>
          <w:b/>
        </w:rPr>
      </w:pPr>
    </w:p>
    <w:p w:rsidR="009511DC" w:rsidRPr="003E156E" w:rsidRDefault="009511DC" w:rsidP="009511DC">
      <w:pPr>
        <w:jc w:val="both"/>
        <w:rPr>
          <w:rFonts w:cstheme="minorHAnsi"/>
          <w:b/>
        </w:rPr>
      </w:pPr>
      <w:r w:rsidRPr="003E156E">
        <w:rPr>
          <w:rFonts w:cstheme="minorHAnsi"/>
          <w:b/>
        </w:rPr>
        <w:lastRenderedPageBreak/>
        <w:t>Table VI.3: Trend analysis of selected macroeconomic indicators between two periods</w:t>
      </w:r>
      <w:r>
        <w:rPr>
          <w:rFonts w:cstheme="minorHAnsi"/>
          <w:b/>
        </w:rPr>
        <w:t>,</w:t>
      </w:r>
      <w:r w:rsidRPr="003E156E">
        <w:rPr>
          <w:rFonts w:cstheme="minorHAnsi"/>
          <w:b/>
        </w:rPr>
        <w:t xml:space="preserve"> 2000-10 and 2010-14</w:t>
      </w:r>
      <w:r>
        <w:rPr>
          <w:rFonts w:cstheme="minorHAnsi"/>
          <w:b/>
        </w:rPr>
        <w:t>, Bangladesh</w:t>
      </w:r>
    </w:p>
    <w:tbl>
      <w:tblPr>
        <w:tblW w:w="73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2340"/>
        <w:gridCol w:w="2340"/>
      </w:tblGrid>
      <w:tr w:rsidR="009511DC" w:rsidRPr="00D94753" w:rsidTr="009511DC">
        <w:trPr>
          <w:trHeight w:val="255"/>
        </w:trPr>
        <w:tc>
          <w:tcPr>
            <w:tcW w:w="2715" w:type="dxa"/>
            <w:shd w:val="clear" w:color="auto" w:fill="auto"/>
            <w:noWrap/>
          </w:tcPr>
          <w:p w:rsidR="009511DC" w:rsidRPr="003E156E" w:rsidRDefault="009511DC" w:rsidP="009511DC">
            <w:pPr>
              <w:spacing w:after="0" w:line="240" w:lineRule="auto"/>
              <w:jc w:val="both"/>
              <w:rPr>
                <w:rFonts w:cstheme="minorHAnsi"/>
                <w:b/>
              </w:rPr>
            </w:pPr>
            <w:r w:rsidRPr="003E156E">
              <w:rPr>
                <w:rFonts w:cstheme="minorHAnsi"/>
                <w:b/>
              </w:rPr>
              <w:t>Variable</w:t>
            </w:r>
          </w:p>
        </w:tc>
        <w:tc>
          <w:tcPr>
            <w:tcW w:w="2340" w:type="dxa"/>
          </w:tcPr>
          <w:p w:rsidR="009511DC" w:rsidRPr="003E156E" w:rsidRDefault="009511DC" w:rsidP="009511DC">
            <w:pPr>
              <w:spacing w:after="0" w:line="240" w:lineRule="auto"/>
              <w:jc w:val="both"/>
              <w:rPr>
                <w:rFonts w:cstheme="minorHAnsi"/>
                <w:b/>
              </w:rPr>
            </w:pPr>
            <w:r w:rsidRPr="003E156E">
              <w:rPr>
                <w:rFonts w:cstheme="minorHAnsi"/>
                <w:b/>
              </w:rPr>
              <w:t>Trend (2000-10)</w:t>
            </w:r>
          </w:p>
        </w:tc>
        <w:tc>
          <w:tcPr>
            <w:tcW w:w="2340" w:type="dxa"/>
          </w:tcPr>
          <w:p w:rsidR="009511DC" w:rsidRPr="003E156E" w:rsidRDefault="009511DC" w:rsidP="009511DC">
            <w:pPr>
              <w:spacing w:after="0" w:line="240" w:lineRule="auto"/>
              <w:jc w:val="both"/>
              <w:rPr>
                <w:rFonts w:cstheme="minorHAnsi"/>
                <w:b/>
              </w:rPr>
            </w:pPr>
            <w:r w:rsidRPr="003E156E">
              <w:rPr>
                <w:rFonts w:cstheme="minorHAnsi"/>
                <w:b/>
              </w:rPr>
              <w:t>Trend (2010-14)</w:t>
            </w:r>
          </w:p>
        </w:tc>
      </w:tr>
      <w:tr w:rsidR="009511DC" w:rsidRPr="00D94753" w:rsidTr="009511DC">
        <w:trPr>
          <w:trHeight w:val="255"/>
        </w:trPr>
        <w:tc>
          <w:tcPr>
            <w:tcW w:w="2715" w:type="dxa"/>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GDP Mar</w:t>
            </w:r>
            <w:r>
              <w:rPr>
                <w:rFonts w:cstheme="minorHAnsi"/>
              </w:rPr>
              <w:t>k</w:t>
            </w:r>
            <w:r w:rsidRPr="00D94753">
              <w:rPr>
                <w:rFonts w:cstheme="minorHAnsi"/>
              </w:rPr>
              <w:t>et Price</w:t>
            </w:r>
          </w:p>
        </w:tc>
        <w:tc>
          <w:tcPr>
            <w:tcW w:w="2340" w:type="dxa"/>
          </w:tcPr>
          <w:p w:rsidR="009511DC" w:rsidRPr="00D94753" w:rsidRDefault="009511DC" w:rsidP="009511DC">
            <w:pPr>
              <w:spacing w:after="0" w:line="240" w:lineRule="auto"/>
              <w:jc w:val="both"/>
              <w:rPr>
                <w:rFonts w:cstheme="minorHAnsi"/>
                <w:color w:val="000000"/>
              </w:rPr>
            </w:pPr>
            <w:r w:rsidRPr="00D94753">
              <w:rPr>
                <w:rFonts w:cstheme="minorHAnsi"/>
                <w:color w:val="000000"/>
              </w:rPr>
              <w:t>.110</w:t>
            </w:r>
          </w:p>
        </w:tc>
        <w:tc>
          <w:tcPr>
            <w:tcW w:w="2340" w:type="dxa"/>
          </w:tcPr>
          <w:p w:rsidR="009511DC" w:rsidRPr="00D94753" w:rsidRDefault="009511DC" w:rsidP="009511DC">
            <w:pPr>
              <w:spacing w:after="0" w:line="240" w:lineRule="auto"/>
              <w:jc w:val="both"/>
              <w:rPr>
                <w:rFonts w:cstheme="minorHAnsi"/>
              </w:rPr>
            </w:pPr>
            <w:r w:rsidRPr="00D94753">
              <w:rPr>
                <w:rFonts w:cstheme="minorHAnsi"/>
                <w:color w:val="000000"/>
              </w:rPr>
              <w:t>.131</w:t>
            </w:r>
          </w:p>
        </w:tc>
      </w:tr>
      <w:tr w:rsidR="009511DC" w:rsidRPr="00D94753" w:rsidTr="009511DC">
        <w:trPr>
          <w:trHeight w:val="255"/>
        </w:trPr>
        <w:tc>
          <w:tcPr>
            <w:tcW w:w="2715" w:type="dxa"/>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GDP Constant (1995-96) Price</w:t>
            </w:r>
          </w:p>
        </w:tc>
        <w:tc>
          <w:tcPr>
            <w:tcW w:w="2340" w:type="dxa"/>
          </w:tcPr>
          <w:p w:rsidR="009511DC" w:rsidRPr="00D94753" w:rsidRDefault="009511DC" w:rsidP="009511DC">
            <w:pPr>
              <w:spacing w:after="0" w:line="240" w:lineRule="auto"/>
              <w:jc w:val="both"/>
              <w:rPr>
                <w:rFonts w:cstheme="minorHAnsi"/>
                <w:color w:val="000000"/>
              </w:rPr>
            </w:pPr>
            <w:r w:rsidRPr="00D94753">
              <w:rPr>
                <w:rFonts w:cstheme="minorHAnsi"/>
                <w:color w:val="000000"/>
              </w:rPr>
              <w:t>.058</w:t>
            </w:r>
          </w:p>
        </w:tc>
        <w:tc>
          <w:tcPr>
            <w:tcW w:w="2340" w:type="dxa"/>
          </w:tcPr>
          <w:p w:rsidR="009511DC" w:rsidRPr="00D94753" w:rsidRDefault="009511DC" w:rsidP="009511DC">
            <w:pPr>
              <w:spacing w:after="0" w:line="240" w:lineRule="auto"/>
              <w:jc w:val="both"/>
              <w:rPr>
                <w:rFonts w:cstheme="minorHAnsi"/>
              </w:rPr>
            </w:pPr>
            <w:r w:rsidRPr="00D94753">
              <w:rPr>
                <w:rFonts w:cstheme="minorHAnsi"/>
                <w:color w:val="000000"/>
              </w:rPr>
              <w:t>.061</w:t>
            </w:r>
          </w:p>
        </w:tc>
      </w:tr>
      <w:tr w:rsidR="009511DC" w:rsidRPr="00D94753" w:rsidTr="009511DC">
        <w:trPr>
          <w:trHeight w:val="255"/>
        </w:trPr>
        <w:tc>
          <w:tcPr>
            <w:tcW w:w="2715" w:type="dxa"/>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GNI Constant (1995-96) Price</w:t>
            </w:r>
          </w:p>
        </w:tc>
        <w:tc>
          <w:tcPr>
            <w:tcW w:w="2340" w:type="dxa"/>
          </w:tcPr>
          <w:p w:rsidR="009511DC" w:rsidRPr="00D94753" w:rsidRDefault="009511DC" w:rsidP="009511DC">
            <w:pPr>
              <w:spacing w:after="0" w:line="240" w:lineRule="auto"/>
              <w:jc w:val="both"/>
              <w:rPr>
                <w:rFonts w:cstheme="minorHAnsi"/>
                <w:color w:val="000000"/>
              </w:rPr>
            </w:pPr>
            <w:r w:rsidRPr="00D94753">
              <w:rPr>
                <w:rFonts w:cstheme="minorHAnsi"/>
                <w:color w:val="000000"/>
              </w:rPr>
              <w:t>.116</w:t>
            </w:r>
          </w:p>
        </w:tc>
        <w:tc>
          <w:tcPr>
            <w:tcW w:w="2340" w:type="dxa"/>
          </w:tcPr>
          <w:p w:rsidR="009511DC" w:rsidRPr="00D94753" w:rsidRDefault="009511DC" w:rsidP="009511DC">
            <w:pPr>
              <w:spacing w:after="0" w:line="240" w:lineRule="auto"/>
              <w:jc w:val="both"/>
              <w:rPr>
                <w:rFonts w:cstheme="minorHAnsi"/>
              </w:rPr>
            </w:pPr>
            <w:r w:rsidRPr="00D94753">
              <w:rPr>
                <w:rFonts w:cstheme="minorHAnsi"/>
                <w:color w:val="000000"/>
              </w:rPr>
              <w:t>.130</w:t>
            </w:r>
          </w:p>
        </w:tc>
      </w:tr>
      <w:tr w:rsidR="009511DC" w:rsidRPr="00D94753" w:rsidTr="009511DC">
        <w:trPr>
          <w:trHeight w:val="255"/>
        </w:trPr>
        <w:tc>
          <w:tcPr>
            <w:tcW w:w="2715" w:type="dxa"/>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Per Capita Mar</w:t>
            </w:r>
            <w:r>
              <w:rPr>
                <w:rFonts w:cstheme="minorHAnsi"/>
              </w:rPr>
              <w:t>k</w:t>
            </w:r>
            <w:r w:rsidRPr="00D94753">
              <w:rPr>
                <w:rFonts w:cstheme="minorHAnsi"/>
              </w:rPr>
              <w:t>et Price</w:t>
            </w:r>
          </w:p>
        </w:tc>
        <w:tc>
          <w:tcPr>
            <w:tcW w:w="2340" w:type="dxa"/>
          </w:tcPr>
          <w:p w:rsidR="009511DC" w:rsidRPr="00D94753" w:rsidRDefault="009511DC" w:rsidP="009511DC">
            <w:pPr>
              <w:spacing w:after="0" w:line="240" w:lineRule="auto"/>
              <w:jc w:val="both"/>
              <w:rPr>
                <w:rFonts w:cstheme="minorHAnsi"/>
                <w:color w:val="000000"/>
              </w:rPr>
            </w:pPr>
            <w:r w:rsidRPr="00D94753">
              <w:rPr>
                <w:rFonts w:cstheme="minorHAnsi"/>
                <w:color w:val="000000"/>
              </w:rPr>
              <w:t>.070</w:t>
            </w:r>
          </w:p>
        </w:tc>
        <w:tc>
          <w:tcPr>
            <w:tcW w:w="2340" w:type="dxa"/>
          </w:tcPr>
          <w:p w:rsidR="009511DC" w:rsidRPr="00D94753" w:rsidRDefault="009511DC" w:rsidP="009511DC">
            <w:pPr>
              <w:spacing w:after="0" w:line="240" w:lineRule="auto"/>
              <w:jc w:val="both"/>
              <w:rPr>
                <w:rFonts w:cstheme="minorHAnsi"/>
                <w:color w:val="000000"/>
              </w:rPr>
            </w:pPr>
            <w:r w:rsidRPr="00D94753">
              <w:rPr>
                <w:rFonts w:cstheme="minorHAnsi"/>
                <w:color w:val="000000"/>
              </w:rPr>
              <w:t>-.016</w:t>
            </w:r>
          </w:p>
        </w:tc>
      </w:tr>
      <w:tr w:rsidR="009511DC" w:rsidRPr="00D94753" w:rsidTr="009511DC">
        <w:trPr>
          <w:trHeight w:val="255"/>
        </w:trPr>
        <w:tc>
          <w:tcPr>
            <w:tcW w:w="2715" w:type="dxa"/>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Per Capita Constant rice</w:t>
            </w:r>
          </w:p>
        </w:tc>
        <w:tc>
          <w:tcPr>
            <w:tcW w:w="2340" w:type="dxa"/>
          </w:tcPr>
          <w:p w:rsidR="009511DC" w:rsidRPr="00D94753" w:rsidRDefault="009511DC" w:rsidP="009511DC">
            <w:pPr>
              <w:spacing w:after="0" w:line="240" w:lineRule="auto"/>
              <w:jc w:val="both"/>
              <w:rPr>
                <w:rFonts w:cstheme="minorHAnsi"/>
                <w:color w:val="000000"/>
              </w:rPr>
            </w:pPr>
            <w:r w:rsidRPr="00D94753">
              <w:rPr>
                <w:rFonts w:cstheme="minorHAnsi"/>
                <w:color w:val="000000"/>
              </w:rPr>
              <w:t>.017</w:t>
            </w:r>
          </w:p>
        </w:tc>
        <w:tc>
          <w:tcPr>
            <w:tcW w:w="2340" w:type="dxa"/>
          </w:tcPr>
          <w:p w:rsidR="009511DC" w:rsidRPr="00D94753" w:rsidRDefault="009511DC" w:rsidP="009511DC">
            <w:pPr>
              <w:spacing w:after="0" w:line="240" w:lineRule="auto"/>
              <w:jc w:val="both"/>
              <w:rPr>
                <w:rFonts w:cstheme="minorHAnsi"/>
                <w:color w:val="000000"/>
              </w:rPr>
            </w:pPr>
            <w:r w:rsidRPr="00D94753">
              <w:rPr>
                <w:rFonts w:cstheme="minorHAnsi"/>
                <w:color w:val="000000"/>
              </w:rPr>
              <w:t>-.010</w:t>
            </w:r>
          </w:p>
        </w:tc>
      </w:tr>
      <w:tr w:rsidR="009511DC" w:rsidRPr="00D94753" w:rsidTr="009511DC">
        <w:trPr>
          <w:trHeight w:val="255"/>
        </w:trPr>
        <w:tc>
          <w:tcPr>
            <w:tcW w:w="2715" w:type="dxa"/>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Domestic saving</w:t>
            </w:r>
          </w:p>
        </w:tc>
        <w:tc>
          <w:tcPr>
            <w:tcW w:w="2340" w:type="dxa"/>
          </w:tcPr>
          <w:p w:rsidR="009511DC" w:rsidRPr="00D94753" w:rsidRDefault="009511DC" w:rsidP="009511DC">
            <w:pPr>
              <w:spacing w:after="0" w:line="240" w:lineRule="auto"/>
              <w:jc w:val="both"/>
              <w:rPr>
                <w:rFonts w:cstheme="minorHAnsi"/>
                <w:color w:val="000000"/>
              </w:rPr>
            </w:pPr>
            <w:r w:rsidRPr="00D94753">
              <w:rPr>
                <w:rFonts w:cstheme="minorHAnsi"/>
                <w:color w:val="000000"/>
              </w:rPr>
              <w:t>.124</w:t>
            </w:r>
          </w:p>
        </w:tc>
        <w:tc>
          <w:tcPr>
            <w:tcW w:w="2340" w:type="dxa"/>
          </w:tcPr>
          <w:p w:rsidR="009511DC" w:rsidRPr="00D94753" w:rsidRDefault="009511DC" w:rsidP="009511DC">
            <w:pPr>
              <w:spacing w:after="0" w:line="240" w:lineRule="auto"/>
              <w:jc w:val="both"/>
              <w:rPr>
                <w:rFonts w:cstheme="minorHAnsi"/>
              </w:rPr>
            </w:pPr>
            <w:r w:rsidRPr="00D94753">
              <w:rPr>
                <w:rFonts w:cstheme="minorHAnsi"/>
                <w:color w:val="000000"/>
              </w:rPr>
              <w:t>.218</w:t>
            </w:r>
          </w:p>
        </w:tc>
      </w:tr>
      <w:tr w:rsidR="009511DC" w:rsidRPr="00D94753" w:rsidTr="009511DC">
        <w:trPr>
          <w:trHeight w:val="255"/>
        </w:trPr>
        <w:tc>
          <w:tcPr>
            <w:tcW w:w="2715" w:type="dxa"/>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National saving</w:t>
            </w:r>
          </w:p>
        </w:tc>
        <w:tc>
          <w:tcPr>
            <w:tcW w:w="2340" w:type="dxa"/>
          </w:tcPr>
          <w:p w:rsidR="009511DC" w:rsidRPr="00D94753" w:rsidRDefault="009511DC" w:rsidP="009511DC">
            <w:pPr>
              <w:spacing w:after="0" w:line="240" w:lineRule="auto"/>
              <w:jc w:val="both"/>
              <w:rPr>
                <w:rFonts w:cstheme="minorHAnsi"/>
                <w:color w:val="000000"/>
              </w:rPr>
            </w:pPr>
            <w:r w:rsidRPr="00D94753">
              <w:rPr>
                <w:rFonts w:cstheme="minorHAnsi"/>
                <w:color w:val="000000"/>
              </w:rPr>
              <w:t>.142</w:t>
            </w:r>
          </w:p>
        </w:tc>
        <w:tc>
          <w:tcPr>
            <w:tcW w:w="2340" w:type="dxa"/>
          </w:tcPr>
          <w:p w:rsidR="009511DC" w:rsidRPr="00D94753" w:rsidRDefault="009511DC" w:rsidP="009511DC">
            <w:pPr>
              <w:spacing w:after="0" w:line="240" w:lineRule="auto"/>
              <w:jc w:val="both"/>
              <w:rPr>
                <w:rFonts w:cstheme="minorHAnsi"/>
              </w:rPr>
            </w:pPr>
            <w:r w:rsidRPr="00D94753">
              <w:rPr>
                <w:rFonts w:cstheme="minorHAnsi"/>
                <w:color w:val="000000"/>
              </w:rPr>
              <w:t>.186</w:t>
            </w:r>
          </w:p>
        </w:tc>
      </w:tr>
      <w:tr w:rsidR="009511DC" w:rsidRPr="00D94753" w:rsidTr="009511DC">
        <w:trPr>
          <w:trHeight w:val="255"/>
        </w:trPr>
        <w:tc>
          <w:tcPr>
            <w:tcW w:w="2715" w:type="dxa"/>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All Investment</w:t>
            </w:r>
          </w:p>
        </w:tc>
        <w:tc>
          <w:tcPr>
            <w:tcW w:w="2340" w:type="dxa"/>
          </w:tcPr>
          <w:p w:rsidR="009511DC" w:rsidRPr="00D94753" w:rsidRDefault="009511DC" w:rsidP="009511DC">
            <w:pPr>
              <w:spacing w:after="0" w:line="240" w:lineRule="auto"/>
              <w:jc w:val="both"/>
              <w:rPr>
                <w:rFonts w:cstheme="minorHAnsi"/>
                <w:color w:val="000000"/>
              </w:rPr>
            </w:pPr>
            <w:r w:rsidRPr="00D94753">
              <w:rPr>
                <w:rFonts w:cstheme="minorHAnsi"/>
                <w:color w:val="000000"/>
              </w:rPr>
              <w:t>.117</w:t>
            </w:r>
          </w:p>
        </w:tc>
        <w:tc>
          <w:tcPr>
            <w:tcW w:w="2340" w:type="dxa"/>
          </w:tcPr>
          <w:p w:rsidR="009511DC" w:rsidRPr="00D94753" w:rsidRDefault="009511DC" w:rsidP="009511DC">
            <w:pPr>
              <w:spacing w:after="0" w:line="240" w:lineRule="auto"/>
              <w:jc w:val="both"/>
              <w:rPr>
                <w:rFonts w:cstheme="minorHAnsi"/>
              </w:rPr>
            </w:pPr>
            <w:r w:rsidRPr="00D94753">
              <w:rPr>
                <w:rFonts w:cstheme="minorHAnsi"/>
                <w:color w:val="000000"/>
              </w:rPr>
              <w:t>.157</w:t>
            </w:r>
          </w:p>
        </w:tc>
      </w:tr>
      <w:tr w:rsidR="009511DC" w:rsidRPr="00D94753" w:rsidTr="009511DC">
        <w:trPr>
          <w:trHeight w:val="255"/>
        </w:trPr>
        <w:tc>
          <w:tcPr>
            <w:tcW w:w="2715" w:type="dxa"/>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 xml:space="preserve">     Public</w:t>
            </w:r>
          </w:p>
        </w:tc>
        <w:tc>
          <w:tcPr>
            <w:tcW w:w="2340" w:type="dxa"/>
          </w:tcPr>
          <w:p w:rsidR="009511DC" w:rsidRPr="00D94753" w:rsidRDefault="009511DC" w:rsidP="009511DC">
            <w:pPr>
              <w:spacing w:after="0" w:line="240" w:lineRule="auto"/>
              <w:jc w:val="both"/>
              <w:rPr>
                <w:rFonts w:cstheme="minorHAnsi"/>
                <w:color w:val="000000"/>
              </w:rPr>
            </w:pPr>
            <w:r w:rsidRPr="00D94753">
              <w:rPr>
                <w:rFonts w:cstheme="minorHAnsi"/>
                <w:color w:val="000000"/>
              </w:rPr>
              <w:t>.067</w:t>
            </w:r>
          </w:p>
        </w:tc>
        <w:tc>
          <w:tcPr>
            <w:tcW w:w="2340" w:type="dxa"/>
          </w:tcPr>
          <w:p w:rsidR="009511DC" w:rsidRPr="00D94753" w:rsidRDefault="009511DC" w:rsidP="009511DC">
            <w:pPr>
              <w:spacing w:after="0" w:line="240" w:lineRule="auto"/>
              <w:jc w:val="both"/>
              <w:rPr>
                <w:rFonts w:cstheme="minorHAnsi"/>
              </w:rPr>
            </w:pPr>
            <w:r w:rsidRPr="00D94753">
              <w:rPr>
                <w:rFonts w:cstheme="minorHAnsi"/>
                <w:color w:val="000000"/>
              </w:rPr>
              <w:t>.228</w:t>
            </w:r>
          </w:p>
        </w:tc>
      </w:tr>
      <w:tr w:rsidR="009511DC" w:rsidRPr="00D94753" w:rsidTr="009511DC">
        <w:trPr>
          <w:trHeight w:val="255"/>
        </w:trPr>
        <w:tc>
          <w:tcPr>
            <w:tcW w:w="2715" w:type="dxa"/>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 xml:space="preserve">     Private</w:t>
            </w:r>
          </w:p>
        </w:tc>
        <w:tc>
          <w:tcPr>
            <w:tcW w:w="2340" w:type="dxa"/>
          </w:tcPr>
          <w:p w:rsidR="009511DC" w:rsidRPr="00D94753" w:rsidRDefault="009511DC" w:rsidP="009511DC">
            <w:pPr>
              <w:spacing w:after="0" w:line="240" w:lineRule="auto"/>
              <w:jc w:val="both"/>
              <w:rPr>
                <w:rFonts w:cstheme="minorHAnsi"/>
                <w:color w:val="000000"/>
              </w:rPr>
            </w:pPr>
            <w:r w:rsidRPr="00D94753">
              <w:rPr>
                <w:rFonts w:cstheme="minorHAnsi"/>
                <w:color w:val="000000"/>
              </w:rPr>
              <w:t>.134</w:t>
            </w:r>
          </w:p>
        </w:tc>
        <w:tc>
          <w:tcPr>
            <w:tcW w:w="2340" w:type="dxa"/>
          </w:tcPr>
          <w:p w:rsidR="009511DC" w:rsidRPr="00D94753" w:rsidRDefault="009511DC" w:rsidP="009511DC">
            <w:pPr>
              <w:spacing w:after="0" w:line="240" w:lineRule="auto"/>
              <w:jc w:val="both"/>
              <w:rPr>
                <w:rFonts w:cstheme="minorHAnsi"/>
              </w:rPr>
            </w:pPr>
            <w:r w:rsidRPr="00D94753">
              <w:rPr>
                <w:rFonts w:cstheme="minorHAnsi"/>
                <w:color w:val="000000"/>
              </w:rPr>
              <w:t>.136</w:t>
            </w:r>
          </w:p>
        </w:tc>
      </w:tr>
      <w:tr w:rsidR="009511DC" w:rsidRPr="00D94753" w:rsidTr="009511DC">
        <w:trPr>
          <w:trHeight w:val="255"/>
        </w:trPr>
        <w:tc>
          <w:tcPr>
            <w:tcW w:w="2715" w:type="dxa"/>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HPI</w:t>
            </w:r>
          </w:p>
        </w:tc>
        <w:tc>
          <w:tcPr>
            <w:tcW w:w="2340" w:type="dxa"/>
          </w:tcPr>
          <w:p w:rsidR="009511DC" w:rsidRPr="00D94753" w:rsidRDefault="009511DC" w:rsidP="009511DC">
            <w:pPr>
              <w:spacing w:after="0" w:line="240" w:lineRule="auto"/>
              <w:jc w:val="both"/>
              <w:rPr>
                <w:rFonts w:cstheme="minorHAnsi"/>
                <w:color w:val="000000"/>
              </w:rPr>
            </w:pPr>
            <w:r w:rsidRPr="00D94753">
              <w:rPr>
                <w:rFonts w:cstheme="minorHAnsi"/>
                <w:color w:val="000000"/>
              </w:rPr>
              <w:t>-.028</w:t>
            </w:r>
          </w:p>
        </w:tc>
        <w:tc>
          <w:tcPr>
            <w:tcW w:w="2340" w:type="dxa"/>
          </w:tcPr>
          <w:p w:rsidR="009511DC" w:rsidRPr="00D94753" w:rsidRDefault="009511DC" w:rsidP="009511DC">
            <w:pPr>
              <w:spacing w:after="0" w:line="240" w:lineRule="auto"/>
              <w:jc w:val="both"/>
              <w:rPr>
                <w:rFonts w:cstheme="minorHAnsi"/>
              </w:rPr>
            </w:pPr>
            <w:r w:rsidRPr="00D94753">
              <w:rPr>
                <w:rFonts w:cstheme="minorHAnsi"/>
                <w:color w:val="000000"/>
              </w:rPr>
              <w:t>-.017</w:t>
            </w:r>
          </w:p>
        </w:tc>
      </w:tr>
      <w:tr w:rsidR="009511DC" w:rsidRPr="00D94753" w:rsidTr="009511DC">
        <w:trPr>
          <w:trHeight w:val="255"/>
        </w:trPr>
        <w:tc>
          <w:tcPr>
            <w:tcW w:w="2715" w:type="dxa"/>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HDI</w:t>
            </w:r>
          </w:p>
        </w:tc>
        <w:tc>
          <w:tcPr>
            <w:tcW w:w="2340" w:type="dxa"/>
          </w:tcPr>
          <w:p w:rsidR="009511DC" w:rsidRPr="00D94753" w:rsidRDefault="009511DC" w:rsidP="009511DC">
            <w:pPr>
              <w:spacing w:after="0" w:line="240" w:lineRule="auto"/>
              <w:jc w:val="both"/>
              <w:rPr>
                <w:rFonts w:cstheme="minorHAnsi"/>
                <w:color w:val="000000"/>
              </w:rPr>
            </w:pPr>
            <w:r w:rsidRPr="00D94753">
              <w:rPr>
                <w:rFonts w:cstheme="minorHAnsi"/>
                <w:color w:val="000000"/>
              </w:rPr>
              <w:t>-.003</w:t>
            </w:r>
          </w:p>
        </w:tc>
        <w:tc>
          <w:tcPr>
            <w:tcW w:w="2340" w:type="dxa"/>
          </w:tcPr>
          <w:p w:rsidR="009511DC" w:rsidRPr="00D94753" w:rsidRDefault="009511DC" w:rsidP="009511DC">
            <w:pPr>
              <w:spacing w:after="0" w:line="240" w:lineRule="auto"/>
              <w:jc w:val="both"/>
              <w:rPr>
                <w:rFonts w:cstheme="minorHAnsi"/>
              </w:rPr>
            </w:pPr>
            <w:r w:rsidRPr="00D94753">
              <w:rPr>
                <w:rFonts w:cstheme="minorHAnsi"/>
                <w:color w:val="000000"/>
              </w:rPr>
              <w:t>.031</w:t>
            </w:r>
          </w:p>
        </w:tc>
      </w:tr>
      <w:tr w:rsidR="009511DC" w:rsidRPr="00D94753" w:rsidTr="009511DC">
        <w:trPr>
          <w:trHeight w:val="255"/>
        </w:trPr>
        <w:tc>
          <w:tcPr>
            <w:tcW w:w="2715" w:type="dxa"/>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Primary enrolment</w:t>
            </w:r>
          </w:p>
        </w:tc>
        <w:tc>
          <w:tcPr>
            <w:tcW w:w="2340" w:type="dxa"/>
          </w:tcPr>
          <w:p w:rsidR="009511DC" w:rsidRPr="00D94753" w:rsidRDefault="009511DC" w:rsidP="009511DC">
            <w:pPr>
              <w:spacing w:after="0" w:line="240" w:lineRule="auto"/>
              <w:jc w:val="both"/>
              <w:rPr>
                <w:rFonts w:cstheme="minorHAnsi"/>
                <w:color w:val="000000"/>
              </w:rPr>
            </w:pPr>
            <w:r w:rsidRPr="00D94753">
              <w:rPr>
                <w:rFonts w:cstheme="minorHAnsi"/>
                <w:color w:val="000000"/>
              </w:rPr>
              <w:t>.007</w:t>
            </w:r>
          </w:p>
        </w:tc>
        <w:tc>
          <w:tcPr>
            <w:tcW w:w="2340" w:type="dxa"/>
          </w:tcPr>
          <w:p w:rsidR="009511DC" w:rsidRPr="00D94753" w:rsidRDefault="009511DC" w:rsidP="009511DC">
            <w:pPr>
              <w:spacing w:after="0" w:line="240" w:lineRule="auto"/>
              <w:jc w:val="both"/>
              <w:rPr>
                <w:rFonts w:cstheme="minorHAnsi"/>
              </w:rPr>
            </w:pPr>
            <w:r w:rsidRPr="00D94753">
              <w:rPr>
                <w:rFonts w:cstheme="minorHAnsi"/>
                <w:color w:val="000000"/>
              </w:rPr>
              <w:t>.057</w:t>
            </w:r>
          </w:p>
        </w:tc>
      </w:tr>
      <w:tr w:rsidR="009511DC" w:rsidRPr="00D94753" w:rsidTr="009511DC">
        <w:trPr>
          <w:trHeight w:val="255"/>
        </w:trPr>
        <w:tc>
          <w:tcPr>
            <w:tcW w:w="2715" w:type="dxa"/>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Secondary enrolment</w:t>
            </w:r>
          </w:p>
        </w:tc>
        <w:tc>
          <w:tcPr>
            <w:tcW w:w="2340" w:type="dxa"/>
          </w:tcPr>
          <w:p w:rsidR="009511DC" w:rsidRPr="00D94753" w:rsidRDefault="009511DC" w:rsidP="009511DC">
            <w:pPr>
              <w:spacing w:after="0" w:line="240" w:lineRule="auto"/>
              <w:jc w:val="both"/>
              <w:rPr>
                <w:rFonts w:cstheme="minorHAnsi"/>
                <w:color w:val="000000"/>
              </w:rPr>
            </w:pPr>
            <w:r w:rsidRPr="00D94753">
              <w:rPr>
                <w:rFonts w:cstheme="minorHAnsi"/>
                <w:color w:val="000000"/>
              </w:rPr>
              <w:t>-.011</w:t>
            </w:r>
          </w:p>
        </w:tc>
        <w:tc>
          <w:tcPr>
            <w:tcW w:w="2340" w:type="dxa"/>
          </w:tcPr>
          <w:p w:rsidR="009511DC" w:rsidRPr="00D94753" w:rsidRDefault="009511DC" w:rsidP="009511DC">
            <w:pPr>
              <w:spacing w:after="0" w:line="240" w:lineRule="auto"/>
              <w:jc w:val="both"/>
              <w:rPr>
                <w:rFonts w:cstheme="minorHAnsi"/>
              </w:rPr>
            </w:pPr>
            <w:r w:rsidRPr="00D94753">
              <w:rPr>
                <w:rFonts w:cstheme="minorHAnsi"/>
                <w:color w:val="000000"/>
              </w:rPr>
              <w:t>.031</w:t>
            </w:r>
          </w:p>
        </w:tc>
      </w:tr>
      <w:tr w:rsidR="009511DC" w:rsidRPr="00D94753" w:rsidTr="009511DC">
        <w:trPr>
          <w:trHeight w:val="255"/>
        </w:trPr>
        <w:tc>
          <w:tcPr>
            <w:tcW w:w="2715" w:type="dxa"/>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Sanitary access</w:t>
            </w:r>
          </w:p>
        </w:tc>
        <w:tc>
          <w:tcPr>
            <w:tcW w:w="2340" w:type="dxa"/>
          </w:tcPr>
          <w:p w:rsidR="009511DC" w:rsidRPr="00D94753" w:rsidRDefault="009511DC" w:rsidP="009511DC">
            <w:pPr>
              <w:spacing w:after="0" w:line="240" w:lineRule="auto"/>
              <w:jc w:val="both"/>
              <w:rPr>
                <w:rFonts w:cstheme="minorHAnsi"/>
                <w:color w:val="000000"/>
              </w:rPr>
            </w:pPr>
            <w:r w:rsidRPr="00D94753">
              <w:rPr>
                <w:rFonts w:cstheme="minorHAnsi"/>
                <w:color w:val="000000"/>
              </w:rPr>
              <w:t>.057</w:t>
            </w:r>
          </w:p>
        </w:tc>
        <w:tc>
          <w:tcPr>
            <w:tcW w:w="2340" w:type="dxa"/>
          </w:tcPr>
          <w:p w:rsidR="009511DC" w:rsidRPr="00D94753" w:rsidRDefault="009511DC" w:rsidP="009511DC">
            <w:pPr>
              <w:spacing w:after="0" w:line="240" w:lineRule="auto"/>
              <w:jc w:val="both"/>
              <w:rPr>
                <w:rFonts w:cstheme="minorHAnsi"/>
              </w:rPr>
            </w:pPr>
            <w:r w:rsidRPr="00D94753">
              <w:rPr>
                <w:rFonts w:cstheme="minorHAnsi"/>
                <w:color w:val="000000"/>
              </w:rPr>
              <w:t>.002</w:t>
            </w:r>
          </w:p>
        </w:tc>
      </w:tr>
      <w:tr w:rsidR="009511DC" w:rsidRPr="00D94753" w:rsidTr="009511DC">
        <w:trPr>
          <w:trHeight w:val="255"/>
        </w:trPr>
        <w:tc>
          <w:tcPr>
            <w:tcW w:w="2715" w:type="dxa"/>
            <w:shd w:val="clear" w:color="auto" w:fill="auto"/>
            <w:noWrap/>
            <w:vAlign w:val="bottom"/>
          </w:tcPr>
          <w:p w:rsidR="009511DC" w:rsidRPr="00D94753" w:rsidRDefault="009511DC" w:rsidP="009511DC">
            <w:pPr>
              <w:spacing w:after="0" w:line="240" w:lineRule="auto"/>
              <w:jc w:val="both"/>
              <w:rPr>
                <w:rFonts w:cstheme="minorHAnsi"/>
              </w:rPr>
            </w:pPr>
            <w:r w:rsidRPr="00D94753">
              <w:rPr>
                <w:rFonts w:cstheme="minorHAnsi"/>
              </w:rPr>
              <w:t>Water access</w:t>
            </w:r>
          </w:p>
        </w:tc>
        <w:tc>
          <w:tcPr>
            <w:tcW w:w="2340" w:type="dxa"/>
          </w:tcPr>
          <w:p w:rsidR="009511DC" w:rsidRPr="00D94753" w:rsidRDefault="009511DC" w:rsidP="009511DC">
            <w:pPr>
              <w:spacing w:after="0" w:line="240" w:lineRule="auto"/>
              <w:jc w:val="both"/>
              <w:rPr>
                <w:rFonts w:cstheme="minorHAnsi"/>
                <w:color w:val="000000"/>
              </w:rPr>
            </w:pPr>
            <w:r w:rsidRPr="00D94753">
              <w:rPr>
                <w:rFonts w:cstheme="minorHAnsi"/>
                <w:color w:val="000000"/>
              </w:rPr>
              <w:t>.004</w:t>
            </w:r>
          </w:p>
        </w:tc>
        <w:tc>
          <w:tcPr>
            <w:tcW w:w="2340" w:type="dxa"/>
          </w:tcPr>
          <w:p w:rsidR="009511DC" w:rsidRPr="00D94753" w:rsidRDefault="009511DC" w:rsidP="009511DC">
            <w:pPr>
              <w:spacing w:after="0" w:line="240" w:lineRule="auto"/>
              <w:jc w:val="both"/>
              <w:rPr>
                <w:rFonts w:cstheme="minorHAnsi"/>
              </w:rPr>
            </w:pPr>
            <w:r w:rsidRPr="00D94753">
              <w:rPr>
                <w:rFonts w:cstheme="minorHAnsi"/>
                <w:color w:val="000000"/>
              </w:rPr>
              <w:t>.001</w:t>
            </w:r>
          </w:p>
        </w:tc>
      </w:tr>
    </w:tbl>
    <w:p w:rsidR="009511DC" w:rsidRPr="00D94753" w:rsidRDefault="009511DC" w:rsidP="009511DC">
      <w:pPr>
        <w:spacing w:after="0" w:line="240" w:lineRule="auto"/>
        <w:jc w:val="both"/>
        <w:rPr>
          <w:rFonts w:cstheme="minorHAnsi"/>
        </w:rPr>
      </w:pPr>
      <w:r>
        <w:rPr>
          <w:rFonts w:cstheme="minorHAnsi"/>
        </w:rPr>
        <w:t xml:space="preserve">Sources: </w:t>
      </w:r>
      <w:r w:rsidRPr="00D94753">
        <w:rPr>
          <w:rFonts w:cstheme="minorHAnsi"/>
        </w:rPr>
        <w:t>Statistical Year Boo</w:t>
      </w:r>
      <w:r>
        <w:rPr>
          <w:rFonts w:cstheme="minorHAnsi"/>
        </w:rPr>
        <w:t>k</w:t>
      </w:r>
      <w:r w:rsidRPr="00D94753">
        <w:rPr>
          <w:rFonts w:cstheme="minorHAnsi"/>
        </w:rPr>
        <w:t xml:space="preserve">s (Various Years); Bangladesh Economic Review (Various Years); </w:t>
      </w:r>
      <w:r>
        <w:rPr>
          <w:rFonts w:cstheme="minorHAnsi"/>
        </w:rPr>
        <w:t xml:space="preserve">UNDP. 2014. </w:t>
      </w:r>
      <w:r w:rsidRPr="00D94753">
        <w:rPr>
          <w:rFonts w:cstheme="minorHAnsi"/>
        </w:rPr>
        <w:t xml:space="preserve">Human </w:t>
      </w:r>
      <w:r>
        <w:rPr>
          <w:rFonts w:cstheme="minorHAnsi"/>
        </w:rPr>
        <w:t>Development Review 2014.</w:t>
      </w:r>
    </w:p>
    <w:p w:rsidR="009511DC" w:rsidRPr="00D94753" w:rsidRDefault="009511DC" w:rsidP="009511DC">
      <w:pPr>
        <w:autoSpaceDE w:val="0"/>
        <w:autoSpaceDN w:val="0"/>
        <w:adjustRightInd w:val="0"/>
        <w:spacing w:after="0" w:line="240" w:lineRule="auto"/>
        <w:jc w:val="both"/>
        <w:rPr>
          <w:rFonts w:cstheme="minorHAnsi"/>
          <w:b/>
          <w:bCs/>
        </w:rPr>
      </w:pPr>
    </w:p>
    <w:p w:rsidR="009511DC" w:rsidRPr="00D94753" w:rsidRDefault="009511DC" w:rsidP="005E0C65">
      <w:pPr>
        <w:autoSpaceDE w:val="0"/>
        <w:autoSpaceDN w:val="0"/>
        <w:adjustRightInd w:val="0"/>
        <w:spacing w:after="0" w:line="240" w:lineRule="auto"/>
        <w:jc w:val="both"/>
        <w:rPr>
          <w:rFonts w:cstheme="minorHAnsi"/>
          <w:b/>
          <w:bCs/>
        </w:rPr>
      </w:pPr>
      <w:r w:rsidRPr="00D94753">
        <w:rPr>
          <w:rFonts w:cstheme="minorHAnsi"/>
          <w:b/>
          <w:bCs/>
        </w:rPr>
        <w:t>Economic Growth</w:t>
      </w:r>
    </w:p>
    <w:p w:rsidR="009511DC" w:rsidRPr="00D94753" w:rsidRDefault="009511DC" w:rsidP="005E0C65">
      <w:pPr>
        <w:autoSpaceDE w:val="0"/>
        <w:autoSpaceDN w:val="0"/>
        <w:adjustRightInd w:val="0"/>
        <w:spacing w:after="0" w:line="240" w:lineRule="auto"/>
        <w:jc w:val="both"/>
        <w:rPr>
          <w:rFonts w:cstheme="minorHAnsi"/>
        </w:rPr>
      </w:pPr>
      <w:r w:rsidRPr="00D94753">
        <w:rPr>
          <w:rFonts w:cstheme="minorHAnsi"/>
        </w:rPr>
        <w:t>According to BBS, Bangladesh achieved 6.1 to 6.7 percent real GDP growths in 2010-11 and 2011-12</w:t>
      </w:r>
      <w:r>
        <w:rPr>
          <w:rFonts w:cstheme="minorHAnsi"/>
        </w:rPr>
        <w:t xml:space="preserve">; these were achieved </w:t>
      </w:r>
      <w:r w:rsidRPr="00D94753">
        <w:rPr>
          <w:rFonts w:cstheme="minorHAnsi"/>
        </w:rPr>
        <w:t xml:space="preserve">even </w:t>
      </w:r>
      <w:r>
        <w:rPr>
          <w:rFonts w:cstheme="minorHAnsi"/>
        </w:rPr>
        <w:t xml:space="preserve">though </w:t>
      </w:r>
      <w:r w:rsidRPr="00D94753">
        <w:rPr>
          <w:rFonts w:cstheme="minorHAnsi"/>
        </w:rPr>
        <w:t xml:space="preserve">the global financial </w:t>
      </w:r>
      <w:r>
        <w:rPr>
          <w:rFonts w:cstheme="minorHAnsi"/>
        </w:rPr>
        <w:t>market was facing serious challenges</w:t>
      </w:r>
      <w:r w:rsidRPr="00D94753">
        <w:rPr>
          <w:rFonts w:cstheme="minorHAnsi"/>
        </w:rPr>
        <w:t>. Howe</w:t>
      </w:r>
      <w:r>
        <w:rPr>
          <w:rFonts w:cstheme="minorHAnsi"/>
        </w:rPr>
        <w:t>ver, the growth rate declined</w:t>
      </w:r>
      <w:r w:rsidRPr="00D94753">
        <w:rPr>
          <w:rFonts w:cstheme="minorHAnsi"/>
        </w:rPr>
        <w:t xml:space="preserve"> to around 6 percent during 2012-14 although growth projections were set out in the Medium Term Macroeconomic Framewor</w:t>
      </w:r>
      <w:r>
        <w:rPr>
          <w:rFonts w:cstheme="minorHAnsi"/>
        </w:rPr>
        <w:t>k</w:t>
      </w:r>
      <w:r w:rsidRPr="00D94753">
        <w:rPr>
          <w:rFonts w:cstheme="minorHAnsi"/>
        </w:rPr>
        <w:t xml:space="preserve"> (MTMF) as around 7 percent for 2013-14. In comparison, the world economic growth has been around 3 to 3.6 percent around this period.  </w:t>
      </w:r>
    </w:p>
    <w:p w:rsidR="009511DC" w:rsidRPr="00D94753" w:rsidRDefault="009511DC" w:rsidP="005E0C65">
      <w:pPr>
        <w:autoSpaceDE w:val="0"/>
        <w:autoSpaceDN w:val="0"/>
        <w:adjustRightInd w:val="0"/>
        <w:spacing w:after="0" w:line="240" w:lineRule="auto"/>
        <w:jc w:val="both"/>
        <w:rPr>
          <w:rFonts w:cstheme="minorHAnsi"/>
        </w:rPr>
      </w:pPr>
    </w:p>
    <w:p w:rsidR="009511DC" w:rsidRPr="00D94753" w:rsidRDefault="009511DC" w:rsidP="005E0C65">
      <w:pPr>
        <w:autoSpaceDE w:val="0"/>
        <w:autoSpaceDN w:val="0"/>
        <w:adjustRightInd w:val="0"/>
        <w:spacing w:after="0" w:line="240" w:lineRule="auto"/>
        <w:jc w:val="both"/>
        <w:rPr>
          <w:rFonts w:cstheme="minorHAnsi"/>
          <w:iCs/>
        </w:rPr>
      </w:pPr>
      <w:r w:rsidRPr="00D94753">
        <w:rPr>
          <w:rFonts w:cstheme="minorHAnsi"/>
        </w:rPr>
        <w:t xml:space="preserve">Substantial growth in agriculture (around 3%), industry (around 10%) and service sector (around 6%) has contributed to the overall GDP growth. The </w:t>
      </w:r>
      <w:r w:rsidRPr="00D94753">
        <w:rPr>
          <w:rFonts w:cstheme="minorHAnsi"/>
          <w:iCs/>
        </w:rPr>
        <w:t>share of agriculture, industry and service sectors has been approximately 20, 30 and 50 percent</w:t>
      </w:r>
      <w:r>
        <w:rPr>
          <w:rFonts w:cstheme="minorHAnsi"/>
          <w:iCs/>
        </w:rPr>
        <w:t>,</w:t>
      </w:r>
      <w:r w:rsidRPr="00D94753">
        <w:rPr>
          <w:rFonts w:cstheme="minorHAnsi"/>
          <w:iCs/>
        </w:rPr>
        <w:t xml:space="preserve"> respectively.</w:t>
      </w:r>
    </w:p>
    <w:p w:rsidR="009511DC" w:rsidRPr="00D94753" w:rsidRDefault="009511DC" w:rsidP="005E0C65">
      <w:pPr>
        <w:autoSpaceDE w:val="0"/>
        <w:autoSpaceDN w:val="0"/>
        <w:adjustRightInd w:val="0"/>
        <w:spacing w:after="0" w:line="240" w:lineRule="auto"/>
        <w:jc w:val="both"/>
        <w:rPr>
          <w:rFonts w:cstheme="minorHAnsi"/>
        </w:rPr>
      </w:pPr>
    </w:p>
    <w:p w:rsidR="009511DC" w:rsidRPr="00D94753" w:rsidRDefault="009511DC" w:rsidP="005E0C65">
      <w:pPr>
        <w:autoSpaceDE w:val="0"/>
        <w:autoSpaceDN w:val="0"/>
        <w:adjustRightInd w:val="0"/>
        <w:spacing w:after="0" w:line="240" w:lineRule="auto"/>
        <w:jc w:val="both"/>
        <w:rPr>
          <w:rFonts w:cstheme="minorHAnsi"/>
        </w:rPr>
      </w:pPr>
      <w:r w:rsidRPr="00D94753">
        <w:rPr>
          <w:rFonts w:cstheme="minorHAnsi"/>
        </w:rPr>
        <w:t xml:space="preserve">In agriculture sector, there was a consistent positive growth over the last few years. </w:t>
      </w:r>
      <w:r>
        <w:rPr>
          <w:rFonts w:cstheme="minorHAnsi"/>
        </w:rPr>
        <w:t>Considerable</w:t>
      </w:r>
      <w:r w:rsidRPr="00D94753">
        <w:rPr>
          <w:rFonts w:cstheme="minorHAnsi"/>
        </w:rPr>
        <w:t xml:space="preserve"> government support such as subsidy, power supply for irrigation, flow of agricultural credit,</w:t>
      </w:r>
      <w:r>
        <w:rPr>
          <w:rFonts w:cstheme="minorHAnsi"/>
        </w:rPr>
        <w:t xml:space="preserve"> and the innovation of new varieties</w:t>
      </w:r>
      <w:r w:rsidRPr="00D94753">
        <w:rPr>
          <w:rFonts w:cstheme="minorHAnsi"/>
        </w:rPr>
        <w:t xml:space="preserve"> of salinity/weather tolerant seed</w:t>
      </w:r>
      <w:r>
        <w:rPr>
          <w:rFonts w:cstheme="minorHAnsi"/>
        </w:rPr>
        <w:t>s</w:t>
      </w:r>
      <w:r w:rsidRPr="00D94753">
        <w:rPr>
          <w:rFonts w:cstheme="minorHAnsi"/>
        </w:rPr>
        <w:t xml:space="preserve"> contributed significantly to achieving sustainable growth in </w:t>
      </w:r>
      <w:r>
        <w:rPr>
          <w:rFonts w:cstheme="minorHAnsi"/>
        </w:rPr>
        <w:t xml:space="preserve">the </w:t>
      </w:r>
      <w:r w:rsidRPr="00D94753">
        <w:rPr>
          <w:rFonts w:cstheme="minorHAnsi"/>
        </w:rPr>
        <w:t>agriculture sector.</w:t>
      </w:r>
    </w:p>
    <w:p w:rsidR="009511DC" w:rsidRPr="00D94753" w:rsidRDefault="009511DC" w:rsidP="005E0C65">
      <w:pPr>
        <w:autoSpaceDE w:val="0"/>
        <w:autoSpaceDN w:val="0"/>
        <w:adjustRightInd w:val="0"/>
        <w:spacing w:after="0" w:line="240" w:lineRule="auto"/>
        <w:jc w:val="both"/>
        <w:rPr>
          <w:rFonts w:cstheme="minorHAnsi"/>
        </w:rPr>
      </w:pPr>
    </w:p>
    <w:p w:rsidR="009511DC" w:rsidRPr="00D94753" w:rsidRDefault="009511DC" w:rsidP="005E0C65">
      <w:pPr>
        <w:autoSpaceDE w:val="0"/>
        <w:autoSpaceDN w:val="0"/>
        <w:adjustRightInd w:val="0"/>
        <w:spacing w:after="0" w:line="240" w:lineRule="auto"/>
        <w:jc w:val="both"/>
        <w:rPr>
          <w:rFonts w:cstheme="minorHAnsi"/>
        </w:rPr>
      </w:pPr>
      <w:r w:rsidRPr="00D94753">
        <w:rPr>
          <w:rFonts w:cstheme="minorHAnsi"/>
          <w:bCs/>
          <w:color w:val="000000"/>
        </w:rPr>
        <w:t>In absolute term</w:t>
      </w:r>
      <w:r>
        <w:rPr>
          <w:rFonts w:cstheme="minorHAnsi"/>
          <w:bCs/>
          <w:color w:val="000000"/>
        </w:rPr>
        <w:t>s</w:t>
      </w:r>
      <w:r w:rsidRPr="00D94753">
        <w:rPr>
          <w:rFonts w:cstheme="minorHAnsi"/>
          <w:bCs/>
          <w:color w:val="000000"/>
        </w:rPr>
        <w:t>, the real GDP (at constant 1995/96 price) was about T</w:t>
      </w:r>
      <w:r>
        <w:rPr>
          <w:rFonts w:cstheme="minorHAnsi"/>
          <w:bCs/>
          <w:color w:val="000000"/>
        </w:rPr>
        <w:t xml:space="preserve">k. </w:t>
      </w:r>
      <w:r w:rsidRPr="00D94753">
        <w:rPr>
          <w:rFonts w:cstheme="minorHAnsi"/>
          <w:bCs/>
          <w:color w:val="000000"/>
        </w:rPr>
        <w:t xml:space="preserve">3608 billion in 2010, which increased by about 1.3 times in 2014 (Table </w:t>
      </w:r>
      <w:r>
        <w:rPr>
          <w:rFonts w:cstheme="minorHAnsi"/>
          <w:bCs/>
          <w:color w:val="000000"/>
        </w:rPr>
        <w:t>VI.</w:t>
      </w:r>
      <w:r w:rsidRPr="00D94753">
        <w:rPr>
          <w:rFonts w:cstheme="minorHAnsi"/>
          <w:bCs/>
          <w:color w:val="000000"/>
        </w:rPr>
        <w:t xml:space="preserve">1). </w:t>
      </w:r>
      <w:r>
        <w:rPr>
          <w:rFonts w:cstheme="minorHAnsi"/>
          <w:bCs/>
          <w:color w:val="000000"/>
        </w:rPr>
        <w:t xml:space="preserve"> The </w:t>
      </w:r>
      <w:r>
        <w:rPr>
          <w:rFonts w:cstheme="minorHAnsi"/>
        </w:rPr>
        <w:t>p</w:t>
      </w:r>
      <w:r w:rsidRPr="00D94753">
        <w:rPr>
          <w:rFonts w:cstheme="minorHAnsi"/>
        </w:rPr>
        <w:t xml:space="preserve">er capita GDP (constant price) rate of increase was 1.7 percent during the period 2000-10 but it appears to have declined during the period 2010-14 by 1.0 percent (Table </w:t>
      </w:r>
      <w:r>
        <w:rPr>
          <w:rFonts w:cstheme="minorHAnsi"/>
        </w:rPr>
        <w:t>VI.</w:t>
      </w:r>
      <w:r w:rsidRPr="00D94753">
        <w:rPr>
          <w:rFonts w:cstheme="minorHAnsi"/>
        </w:rPr>
        <w:t xml:space="preserve">3).  </w:t>
      </w:r>
    </w:p>
    <w:p w:rsidR="009511DC" w:rsidRDefault="009511DC" w:rsidP="005E0C65">
      <w:pPr>
        <w:autoSpaceDE w:val="0"/>
        <w:autoSpaceDN w:val="0"/>
        <w:adjustRightInd w:val="0"/>
        <w:spacing w:after="0" w:line="240" w:lineRule="auto"/>
        <w:jc w:val="both"/>
        <w:rPr>
          <w:rFonts w:cstheme="minorHAnsi"/>
          <w:b/>
          <w:bCs/>
        </w:rPr>
      </w:pPr>
    </w:p>
    <w:p w:rsidR="009511DC" w:rsidRDefault="009511DC" w:rsidP="009511DC">
      <w:pPr>
        <w:autoSpaceDE w:val="0"/>
        <w:autoSpaceDN w:val="0"/>
        <w:adjustRightInd w:val="0"/>
        <w:spacing w:after="0" w:line="240" w:lineRule="auto"/>
        <w:jc w:val="both"/>
        <w:rPr>
          <w:rFonts w:cstheme="minorHAnsi"/>
          <w:b/>
          <w:bCs/>
        </w:rPr>
      </w:pPr>
    </w:p>
    <w:p w:rsidR="009511DC" w:rsidRPr="00D94753" w:rsidRDefault="009511DC" w:rsidP="005E0C65">
      <w:pPr>
        <w:autoSpaceDE w:val="0"/>
        <w:autoSpaceDN w:val="0"/>
        <w:adjustRightInd w:val="0"/>
        <w:spacing w:after="0" w:line="240" w:lineRule="auto"/>
        <w:jc w:val="both"/>
        <w:rPr>
          <w:rFonts w:cstheme="minorHAnsi"/>
          <w:b/>
          <w:bCs/>
        </w:rPr>
      </w:pPr>
      <w:r w:rsidRPr="00D94753">
        <w:rPr>
          <w:rFonts w:cstheme="minorHAnsi"/>
          <w:b/>
          <w:bCs/>
        </w:rPr>
        <w:lastRenderedPageBreak/>
        <w:t>Savings</w:t>
      </w:r>
    </w:p>
    <w:p w:rsidR="009511DC" w:rsidRDefault="009511DC" w:rsidP="005E0C65">
      <w:pPr>
        <w:autoSpaceDE w:val="0"/>
        <w:autoSpaceDN w:val="0"/>
        <w:adjustRightInd w:val="0"/>
        <w:spacing w:after="0" w:line="240" w:lineRule="auto"/>
        <w:jc w:val="both"/>
        <w:rPr>
          <w:rFonts w:cstheme="minorHAnsi"/>
        </w:rPr>
      </w:pPr>
      <w:r w:rsidRPr="00D94753">
        <w:rPr>
          <w:rFonts w:cstheme="minorHAnsi"/>
        </w:rPr>
        <w:t xml:space="preserve">On the savings front, Bangladesh </w:t>
      </w:r>
      <w:r>
        <w:rPr>
          <w:rFonts w:cstheme="minorHAnsi"/>
        </w:rPr>
        <w:t xml:space="preserve">has been </w:t>
      </w:r>
      <w:r w:rsidRPr="00D94753">
        <w:rPr>
          <w:rFonts w:cstheme="minorHAnsi"/>
        </w:rPr>
        <w:t>ma</w:t>
      </w:r>
      <w:r>
        <w:rPr>
          <w:rFonts w:cstheme="minorHAnsi"/>
        </w:rPr>
        <w:t>k</w:t>
      </w:r>
      <w:r w:rsidRPr="00D94753">
        <w:rPr>
          <w:rFonts w:cstheme="minorHAnsi"/>
        </w:rPr>
        <w:t>ing good progress</w:t>
      </w:r>
      <w:r>
        <w:rPr>
          <w:rFonts w:cstheme="minorHAnsi"/>
        </w:rPr>
        <w:t xml:space="preserve"> in recent years</w:t>
      </w:r>
      <w:r w:rsidRPr="00D94753">
        <w:rPr>
          <w:rFonts w:cstheme="minorHAnsi"/>
        </w:rPr>
        <w:t>. The domestic saving</w:t>
      </w:r>
      <w:r>
        <w:rPr>
          <w:rFonts w:cstheme="minorHAnsi"/>
        </w:rPr>
        <w:t>s</w:t>
      </w:r>
      <w:r w:rsidRPr="00D94753">
        <w:rPr>
          <w:rFonts w:cstheme="minorHAnsi"/>
        </w:rPr>
        <w:t xml:space="preserve"> rate (as a share of GDP) has been rising, benefiting from a supportive demographic transition</w:t>
      </w:r>
      <w:r>
        <w:rPr>
          <w:rFonts w:cstheme="minorHAnsi"/>
        </w:rPr>
        <w:t>,</w:t>
      </w:r>
      <w:r w:rsidRPr="00D94753">
        <w:rPr>
          <w:rFonts w:cstheme="minorHAnsi"/>
        </w:rPr>
        <w:t xml:space="preserve"> where the share of wor</w:t>
      </w:r>
      <w:r>
        <w:rPr>
          <w:rFonts w:cstheme="minorHAnsi"/>
        </w:rPr>
        <w:t>k</w:t>
      </w:r>
      <w:r w:rsidRPr="00D94753">
        <w:rPr>
          <w:rFonts w:cstheme="minorHAnsi"/>
        </w:rPr>
        <w:t xml:space="preserve">ing population has been steadily rising. </w:t>
      </w:r>
    </w:p>
    <w:p w:rsidR="009511DC" w:rsidRDefault="009511DC" w:rsidP="005E0C65">
      <w:pPr>
        <w:autoSpaceDE w:val="0"/>
        <w:autoSpaceDN w:val="0"/>
        <w:adjustRightInd w:val="0"/>
        <w:spacing w:after="0" w:line="240" w:lineRule="auto"/>
        <w:jc w:val="both"/>
        <w:rPr>
          <w:rFonts w:cstheme="minorHAnsi"/>
        </w:rPr>
      </w:pPr>
    </w:p>
    <w:p w:rsidR="009511DC" w:rsidRPr="00052E67" w:rsidRDefault="009511DC" w:rsidP="005E0C65">
      <w:pPr>
        <w:autoSpaceDE w:val="0"/>
        <w:autoSpaceDN w:val="0"/>
        <w:adjustRightInd w:val="0"/>
        <w:spacing w:line="240" w:lineRule="auto"/>
        <w:jc w:val="both"/>
        <w:rPr>
          <w:rFonts w:cstheme="minorHAnsi"/>
          <w:bCs/>
          <w:color w:val="000000"/>
        </w:rPr>
      </w:pPr>
      <w:r w:rsidRPr="00D94753">
        <w:rPr>
          <w:rFonts w:cstheme="minorHAnsi"/>
        </w:rPr>
        <w:t>Domestic savings gradually increased, from 20.1 percent of GDP in 2010 to 27.1 percent of GDP in 2014. B</w:t>
      </w:r>
      <w:r w:rsidRPr="00D94753">
        <w:rPr>
          <w:rFonts w:cstheme="minorHAnsi"/>
          <w:iCs/>
        </w:rPr>
        <w:t xml:space="preserve">ecause of positive growth in remittance inflows, national savings also increased to as high as 35.3 percent of GDP in 2014 from 30.0 percent of GDP in 2010 (Table </w:t>
      </w:r>
      <w:r>
        <w:rPr>
          <w:rFonts w:cstheme="minorHAnsi"/>
          <w:iCs/>
        </w:rPr>
        <w:t>VI.</w:t>
      </w:r>
      <w:r w:rsidRPr="00D94753">
        <w:rPr>
          <w:rFonts w:cstheme="minorHAnsi"/>
          <w:iCs/>
        </w:rPr>
        <w:t>1).</w:t>
      </w:r>
    </w:p>
    <w:p w:rsidR="009511DC" w:rsidRPr="00D94753" w:rsidRDefault="009511DC" w:rsidP="005E0C65">
      <w:pPr>
        <w:autoSpaceDE w:val="0"/>
        <w:autoSpaceDN w:val="0"/>
        <w:adjustRightInd w:val="0"/>
        <w:spacing w:after="0" w:line="240" w:lineRule="auto"/>
        <w:jc w:val="both"/>
        <w:rPr>
          <w:rFonts w:cstheme="minorHAnsi"/>
          <w:bCs/>
          <w:color w:val="000000"/>
        </w:rPr>
      </w:pPr>
      <w:r w:rsidRPr="00D94753">
        <w:rPr>
          <w:rFonts w:cstheme="minorHAnsi"/>
          <w:bCs/>
          <w:color w:val="000000"/>
        </w:rPr>
        <w:t xml:space="preserve">The trend rate of domestic savings has been very impressive during 2010-14 (as high as 21.8%) as compared to that during 2000-10 (12.4%). Similarly, the corresponding trend rates of growth for national savings (domestic plus remittances) were 14.2 and 18.6 percent during 2000-10 and 2010-14 respectively (Table </w:t>
      </w:r>
      <w:r>
        <w:rPr>
          <w:rFonts w:cstheme="minorHAnsi"/>
          <w:bCs/>
          <w:color w:val="000000"/>
        </w:rPr>
        <w:t>VI.</w:t>
      </w:r>
      <w:r w:rsidRPr="00D94753">
        <w:rPr>
          <w:rFonts w:cstheme="minorHAnsi"/>
          <w:bCs/>
          <w:color w:val="000000"/>
        </w:rPr>
        <w:t xml:space="preserve">3). </w:t>
      </w:r>
    </w:p>
    <w:p w:rsidR="009511DC" w:rsidRPr="00D94753" w:rsidRDefault="009511DC" w:rsidP="005E0C65">
      <w:pPr>
        <w:autoSpaceDE w:val="0"/>
        <w:autoSpaceDN w:val="0"/>
        <w:adjustRightInd w:val="0"/>
        <w:spacing w:after="0" w:line="240" w:lineRule="auto"/>
        <w:jc w:val="both"/>
        <w:rPr>
          <w:rFonts w:cstheme="minorHAnsi"/>
        </w:rPr>
      </w:pPr>
    </w:p>
    <w:p w:rsidR="009511DC" w:rsidRPr="00D94753" w:rsidRDefault="009511DC" w:rsidP="005E0C65">
      <w:pPr>
        <w:autoSpaceDE w:val="0"/>
        <w:autoSpaceDN w:val="0"/>
        <w:adjustRightInd w:val="0"/>
        <w:spacing w:after="0" w:line="240" w:lineRule="auto"/>
        <w:jc w:val="both"/>
        <w:rPr>
          <w:rFonts w:cstheme="minorHAnsi"/>
        </w:rPr>
      </w:pPr>
      <w:r w:rsidRPr="00D94753">
        <w:rPr>
          <w:rFonts w:cstheme="minorHAnsi"/>
        </w:rPr>
        <w:t xml:space="preserve">In fact, since 2000 the rapid growth of remittances has created a </w:t>
      </w:r>
      <w:r>
        <w:rPr>
          <w:rFonts w:cstheme="minorHAnsi"/>
        </w:rPr>
        <w:t>significant amount of</w:t>
      </w:r>
      <w:r w:rsidRPr="00D94753">
        <w:rPr>
          <w:rFonts w:cstheme="minorHAnsi"/>
        </w:rPr>
        <w:t xml:space="preserve"> inflow of private transfers, which rapidly raised the national savings rate. </w:t>
      </w:r>
    </w:p>
    <w:p w:rsidR="009511DC" w:rsidRPr="00D94753" w:rsidRDefault="009511DC" w:rsidP="005E0C65">
      <w:pPr>
        <w:autoSpaceDE w:val="0"/>
        <w:autoSpaceDN w:val="0"/>
        <w:adjustRightInd w:val="0"/>
        <w:spacing w:after="0" w:line="240" w:lineRule="auto"/>
        <w:jc w:val="both"/>
        <w:rPr>
          <w:rFonts w:cstheme="minorHAnsi"/>
        </w:rPr>
      </w:pPr>
    </w:p>
    <w:p w:rsidR="009511DC" w:rsidRPr="00D94753" w:rsidRDefault="009511DC" w:rsidP="005E0C65">
      <w:pPr>
        <w:autoSpaceDE w:val="0"/>
        <w:autoSpaceDN w:val="0"/>
        <w:adjustRightInd w:val="0"/>
        <w:spacing w:after="0" w:line="240" w:lineRule="auto"/>
        <w:jc w:val="both"/>
        <w:rPr>
          <w:rFonts w:cstheme="minorHAnsi"/>
          <w:b/>
        </w:rPr>
      </w:pPr>
      <w:r w:rsidRPr="00D94753">
        <w:rPr>
          <w:rFonts w:cstheme="minorHAnsi"/>
          <w:b/>
        </w:rPr>
        <w:t xml:space="preserve">Investments </w:t>
      </w:r>
    </w:p>
    <w:p w:rsidR="009511DC" w:rsidRPr="00D94753" w:rsidRDefault="009511DC" w:rsidP="005E0C65">
      <w:pPr>
        <w:autoSpaceDE w:val="0"/>
        <w:autoSpaceDN w:val="0"/>
        <w:adjustRightInd w:val="0"/>
        <w:spacing w:after="0" w:line="240" w:lineRule="auto"/>
        <w:jc w:val="both"/>
        <w:rPr>
          <w:rFonts w:cstheme="minorHAnsi"/>
        </w:rPr>
      </w:pPr>
      <w:r w:rsidRPr="00D94753">
        <w:rPr>
          <w:rFonts w:cstheme="minorHAnsi"/>
          <w:color w:val="000000"/>
        </w:rPr>
        <w:t xml:space="preserve">One of the major problems </w:t>
      </w:r>
      <w:r>
        <w:rPr>
          <w:rFonts w:cstheme="minorHAnsi"/>
          <w:color w:val="000000"/>
        </w:rPr>
        <w:t xml:space="preserve">that the </w:t>
      </w:r>
      <w:r w:rsidRPr="00D94753">
        <w:rPr>
          <w:rFonts w:cstheme="minorHAnsi"/>
          <w:color w:val="000000"/>
        </w:rPr>
        <w:t>Bangladesh economy is facing today is the relatively slow progress of the overall level of investment in the domestic economy. However, f</w:t>
      </w:r>
      <w:r w:rsidRPr="00D94753">
        <w:rPr>
          <w:rFonts w:cstheme="minorHAnsi"/>
        </w:rPr>
        <w:t xml:space="preserve">ollowing steady increases in savings, the investment rate as a share of GDP seems to have stabilized at around 24 percent of GDP in 2010, </w:t>
      </w:r>
      <w:r>
        <w:rPr>
          <w:rFonts w:cstheme="minorHAnsi"/>
        </w:rPr>
        <w:t xml:space="preserve">and </w:t>
      </w:r>
      <w:r w:rsidRPr="00D94753">
        <w:rPr>
          <w:rFonts w:cstheme="minorHAnsi"/>
        </w:rPr>
        <w:t>ma</w:t>
      </w:r>
      <w:r>
        <w:rPr>
          <w:rFonts w:cstheme="minorHAnsi"/>
        </w:rPr>
        <w:t>k</w:t>
      </w:r>
      <w:r w:rsidRPr="00D94753">
        <w:rPr>
          <w:rFonts w:cstheme="minorHAnsi"/>
        </w:rPr>
        <w:t xml:space="preserve">ing a gradual increase to reach around 27 percent in 2014 (Table </w:t>
      </w:r>
      <w:r>
        <w:rPr>
          <w:rFonts w:cstheme="minorHAnsi"/>
        </w:rPr>
        <w:t>VI.</w:t>
      </w:r>
      <w:r w:rsidRPr="00D94753">
        <w:rPr>
          <w:rFonts w:cstheme="minorHAnsi"/>
        </w:rPr>
        <w:t xml:space="preserve">1). </w:t>
      </w:r>
      <w:r>
        <w:rPr>
          <w:rFonts w:cstheme="minorHAnsi"/>
        </w:rPr>
        <w:t xml:space="preserve">However, the challenge remains -- </w:t>
      </w:r>
      <w:r w:rsidRPr="00D94753">
        <w:rPr>
          <w:rFonts w:cstheme="minorHAnsi"/>
        </w:rPr>
        <w:t xml:space="preserve">to increase this rate to around 32 percent over the SFYP period. </w:t>
      </w:r>
    </w:p>
    <w:p w:rsidR="009511DC" w:rsidRPr="00D94753" w:rsidRDefault="009511DC" w:rsidP="005E0C65">
      <w:pPr>
        <w:autoSpaceDE w:val="0"/>
        <w:autoSpaceDN w:val="0"/>
        <w:adjustRightInd w:val="0"/>
        <w:spacing w:after="0" w:line="240" w:lineRule="auto"/>
        <w:jc w:val="both"/>
        <w:rPr>
          <w:rFonts w:cstheme="minorHAnsi"/>
          <w:bCs/>
          <w:color w:val="000000"/>
        </w:rPr>
      </w:pPr>
    </w:p>
    <w:p w:rsidR="009511DC" w:rsidRPr="00D94753" w:rsidRDefault="009511DC" w:rsidP="005E0C65">
      <w:pPr>
        <w:autoSpaceDE w:val="0"/>
        <w:autoSpaceDN w:val="0"/>
        <w:adjustRightInd w:val="0"/>
        <w:spacing w:after="0" w:line="240" w:lineRule="auto"/>
        <w:jc w:val="both"/>
        <w:rPr>
          <w:rFonts w:cstheme="minorHAnsi"/>
          <w:bCs/>
          <w:color w:val="000000"/>
        </w:rPr>
      </w:pPr>
      <w:r w:rsidRPr="00D94753">
        <w:rPr>
          <w:rFonts w:cstheme="minorHAnsi"/>
          <w:bCs/>
          <w:color w:val="000000"/>
        </w:rPr>
        <w:t>In absolute terms, the amount of investment was about T</w:t>
      </w:r>
      <w:r>
        <w:rPr>
          <w:rFonts w:cstheme="minorHAnsi"/>
          <w:bCs/>
          <w:color w:val="000000"/>
        </w:rPr>
        <w:t xml:space="preserve">k. </w:t>
      </w:r>
      <w:r w:rsidRPr="00D94753">
        <w:rPr>
          <w:rFonts w:cstheme="minorHAnsi"/>
          <w:bCs/>
          <w:color w:val="000000"/>
        </w:rPr>
        <w:t>1695 billion in 2010, which increased by about 1.9 times in 2014. Similarly, public and private investments increased by 2.3 and 1.8 times in 2014 respectively, compared to those in 2010. The domestic savings was T</w:t>
      </w:r>
      <w:r>
        <w:rPr>
          <w:rFonts w:cstheme="minorHAnsi"/>
          <w:bCs/>
          <w:color w:val="000000"/>
        </w:rPr>
        <w:t xml:space="preserve">k. </w:t>
      </w:r>
      <w:r w:rsidRPr="00D94753">
        <w:rPr>
          <w:rFonts w:cstheme="minorHAnsi"/>
          <w:bCs/>
          <w:color w:val="000000"/>
        </w:rPr>
        <w:t xml:space="preserve">1396 billion in 2010, which increased by 2.3 times in 2014 compared to that in 2010. </w:t>
      </w:r>
    </w:p>
    <w:p w:rsidR="009511DC" w:rsidRPr="00D94753" w:rsidRDefault="009511DC" w:rsidP="005E0C65">
      <w:pPr>
        <w:autoSpaceDE w:val="0"/>
        <w:autoSpaceDN w:val="0"/>
        <w:adjustRightInd w:val="0"/>
        <w:spacing w:after="0" w:line="240" w:lineRule="auto"/>
        <w:jc w:val="both"/>
        <w:rPr>
          <w:rFonts w:cstheme="minorHAnsi"/>
          <w:bCs/>
          <w:color w:val="000000"/>
        </w:rPr>
      </w:pPr>
    </w:p>
    <w:p w:rsidR="009511DC" w:rsidRPr="00D94753" w:rsidRDefault="009511DC" w:rsidP="005E0C65">
      <w:pPr>
        <w:autoSpaceDE w:val="0"/>
        <w:autoSpaceDN w:val="0"/>
        <w:adjustRightInd w:val="0"/>
        <w:spacing w:after="0" w:line="240" w:lineRule="auto"/>
        <w:jc w:val="both"/>
        <w:rPr>
          <w:rFonts w:cstheme="minorHAnsi"/>
          <w:bCs/>
          <w:color w:val="000000"/>
        </w:rPr>
      </w:pPr>
      <w:r w:rsidRPr="00D94753">
        <w:rPr>
          <w:rFonts w:cstheme="minorHAnsi"/>
          <w:bCs/>
          <w:color w:val="000000"/>
        </w:rPr>
        <w:t xml:space="preserve">In percentage terms, similar features can be noticed. For example, the overall investment as </w:t>
      </w:r>
      <w:r>
        <w:rPr>
          <w:rFonts w:cstheme="minorHAnsi"/>
          <w:bCs/>
          <w:color w:val="000000"/>
        </w:rPr>
        <w:t xml:space="preserve">a </w:t>
      </w:r>
      <w:r w:rsidRPr="00D94753">
        <w:rPr>
          <w:rFonts w:cstheme="minorHAnsi"/>
          <w:bCs/>
          <w:color w:val="000000"/>
        </w:rPr>
        <w:t>percentage of GDP in 2010 was 24.4</w:t>
      </w:r>
      <w:r>
        <w:rPr>
          <w:rFonts w:cstheme="minorHAnsi"/>
          <w:bCs/>
          <w:color w:val="000000"/>
        </w:rPr>
        <w:t>,</w:t>
      </w:r>
      <w:r w:rsidRPr="00D94753">
        <w:rPr>
          <w:rFonts w:cstheme="minorHAnsi"/>
          <w:bCs/>
          <w:color w:val="000000"/>
        </w:rPr>
        <w:t xml:space="preserve"> which increased to 27.1 in 2014. More specifically, public investment was 5.01 percent of GDP in 2010</w:t>
      </w:r>
      <w:r>
        <w:rPr>
          <w:rFonts w:cstheme="minorHAnsi"/>
          <w:bCs/>
          <w:color w:val="000000"/>
        </w:rPr>
        <w:t>,</w:t>
      </w:r>
      <w:r w:rsidRPr="00D94753">
        <w:rPr>
          <w:rFonts w:cstheme="minorHAnsi"/>
          <w:bCs/>
          <w:color w:val="000000"/>
        </w:rPr>
        <w:t xml:space="preserve"> which increased to 6.9 percent in 2014. Private investment was 19.4 percent of GDP in 2010</w:t>
      </w:r>
      <w:r>
        <w:rPr>
          <w:rFonts w:cstheme="minorHAnsi"/>
          <w:bCs/>
          <w:color w:val="000000"/>
        </w:rPr>
        <w:t>,</w:t>
      </w:r>
      <w:r w:rsidRPr="00D94753">
        <w:rPr>
          <w:rFonts w:cstheme="minorHAnsi"/>
          <w:bCs/>
          <w:color w:val="000000"/>
        </w:rPr>
        <w:t xml:space="preserve"> which increased to 20.2 percent in 2014. However, </w:t>
      </w:r>
      <w:r>
        <w:rPr>
          <w:rFonts w:cstheme="minorHAnsi"/>
          <w:bCs/>
          <w:color w:val="000000"/>
        </w:rPr>
        <w:t xml:space="preserve">the </w:t>
      </w:r>
      <w:r w:rsidRPr="00D94753">
        <w:rPr>
          <w:rFonts w:cstheme="minorHAnsi"/>
          <w:bCs/>
          <w:color w:val="000000"/>
        </w:rPr>
        <w:t xml:space="preserve">private investment growth rate remained nearly stagnant, </w:t>
      </w:r>
      <w:r w:rsidRPr="00DA4256">
        <w:rPr>
          <w:rFonts w:cstheme="minorHAnsi"/>
          <w:bCs/>
          <w:color w:val="000000"/>
        </w:rPr>
        <w:t>13.4 percent</w:t>
      </w:r>
      <w:r w:rsidRPr="00D94753">
        <w:rPr>
          <w:rFonts w:cstheme="minorHAnsi"/>
          <w:bCs/>
          <w:color w:val="000000"/>
        </w:rPr>
        <w:t xml:space="preserve"> during 2000-10 and 13.4 percent during 2000-14 (Table</w:t>
      </w:r>
      <w:r>
        <w:rPr>
          <w:rFonts w:cstheme="minorHAnsi"/>
          <w:bCs/>
          <w:color w:val="000000"/>
        </w:rPr>
        <w:t xml:space="preserve"> VI.</w:t>
      </w:r>
      <w:r w:rsidRPr="00D94753">
        <w:rPr>
          <w:rFonts w:cstheme="minorHAnsi"/>
          <w:bCs/>
          <w:color w:val="000000"/>
        </w:rPr>
        <w:t xml:space="preserve">3). </w:t>
      </w:r>
    </w:p>
    <w:p w:rsidR="009511DC" w:rsidRPr="00D94753" w:rsidRDefault="009511DC" w:rsidP="005E0C65">
      <w:pPr>
        <w:autoSpaceDE w:val="0"/>
        <w:autoSpaceDN w:val="0"/>
        <w:adjustRightInd w:val="0"/>
        <w:spacing w:after="0" w:line="240" w:lineRule="auto"/>
        <w:jc w:val="both"/>
        <w:rPr>
          <w:rFonts w:cstheme="minorHAnsi"/>
        </w:rPr>
      </w:pPr>
    </w:p>
    <w:p w:rsidR="009511DC" w:rsidRPr="00BD360B" w:rsidRDefault="009511DC" w:rsidP="005E0C65">
      <w:pPr>
        <w:autoSpaceDE w:val="0"/>
        <w:autoSpaceDN w:val="0"/>
        <w:adjustRightInd w:val="0"/>
        <w:spacing w:after="0" w:line="240" w:lineRule="auto"/>
        <w:jc w:val="both"/>
        <w:rPr>
          <w:rFonts w:cstheme="minorHAnsi"/>
        </w:rPr>
      </w:pPr>
      <w:r w:rsidRPr="00D94753">
        <w:rPr>
          <w:rFonts w:cstheme="minorHAnsi"/>
        </w:rPr>
        <w:t>The share of private investment stood at 19.4 percent of GDP while that of public investment was only 5.0 percent in 2010</w:t>
      </w:r>
      <w:r>
        <w:rPr>
          <w:rFonts w:cstheme="minorHAnsi"/>
        </w:rPr>
        <w:t>.</w:t>
      </w:r>
      <w:r w:rsidRPr="00D94753">
        <w:rPr>
          <w:rFonts w:cstheme="minorHAnsi"/>
        </w:rPr>
        <w:t xml:space="preserve"> The private and the public investment</w:t>
      </w:r>
      <w:r>
        <w:rPr>
          <w:rFonts w:cstheme="minorHAnsi"/>
        </w:rPr>
        <w:t>s</w:t>
      </w:r>
      <w:r w:rsidRPr="00D94753">
        <w:rPr>
          <w:rFonts w:cstheme="minorHAnsi"/>
        </w:rPr>
        <w:t xml:space="preserve"> slightly increased to the extent of 20.2 and 6.9 percent of GDP in 2014 respectively.</w:t>
      </w:r>
      <w:r w:rsidRPr="00D94753">
        <w:rPr>
          <w:rFonts w:cstheme="minorHAnsi"/>
          <w:color w:val="000000"/>
        </w:rPr>
        <w:t xml:space="preserve">Although private sector investment has been increasing at a pace slightly above the rate of GDP </w:t>
      </w:r>
      <w:r>
        <w:rPr>
          <w:rFonts w:cstheme="minorHAnsi"/>
          <w:color w:val="000000"/>
        </w:rPr>
        <w:t xml:space="preserve">growth, a </w:t>
      </w:r>
      <w:r w:rsidRPr="00D94753">
        <w:rPr>
          <w:rFonts w:cstheme="minorHAnsi"/>
          <w:color w:val="000000"/>
        </w:rPr>
        <w:t>decline in public investment in relation to GDP largely offsets that</w:t>
      </w:r>
      <w:r>
        <w:rPr>
          <w:rFonts w:cstheme="minorHAnsi"/>
          <w:color w:val="000000"/>
        </w:rPr>
        <w:t xml:space="preserve"> gain</w:t>
      </w:r>
      <w:r w:rsidRPr="00D94753">
        <w:rPr>
          <w:rFonts w:cstheme="minorHAnsi"/>
          <w:color w:val="000000"/>
        </w:rPr>
        <w:t xml:space="preserve">, </w:t>
      </w:r>
      <w:r>
        <w:rPr>
          <w:rFonts w:cstheme="minorHAnsi"/>
          <w:color w:val="000000"/>
        </w:rPr>
        <w:t>k</w:t>
      </w:r>
      <w:r w:rsidRPr="00D94753">
        <w:rPr>
          <w:rFonts w:cstheme="minorHAnsi"/>
          <w:color w:val="000000"/>
        </w:rPr>
        <w:t xml:space="preserve">eeping total investment broadly at a low level in relation to GDP. </w:t>
      </w:r>
    </w:p>
    <w:p w:rsidR="009511DC" w:rsidRPr="00D94753" w:rsidRDefault="009511DC" w:rsidP="005E0C65">
      <w:pPr>
        <w:autoSpaceDE w:val="0"/>
        <w:autoSpaceDN w:val="0"/>
        <w:adjustRightInd w:val="0"/>
        <w:spacing w:after="0" w:line="240" w:lineRule="auto"/>
        <w:jc w:val="both"/>
        <w:rPr>
          <w:rFonts w:cstheme="minorHAnsi"/>
          <w:bCs/>
          <w:color w:val="000000"/>
        </w:rPr>
      </w:pPr>
    </w:p>
    <w:p w:rsidR="009511DC" w:rsidRPr="00D94753" w:rsidRDefault="009511DC" w:rsidP="005E0C65">
      <w:pPr>
        <w:autoSpaceDE w:val="0"/>
        <w:autoSpaceDN w:val="0"/>
        <w:adjustRightInd w:val="0"/>
        <w:spacing w:after="0" w:line="240" w:lineRule="auto"/>
        <w:jc w:val="both"/>
        <w:rPr>
          <w:rFonts w:cstheme="minorHAnsi"/>
          <w:bCs/>
          <w:color w:val="000000"/>
        </w:rPr>
      </w:pPr>
      <w:r>
        <w:rPr>
          <w:rFonts w:cstheme="minorHAnsi"/>
        </w:rPr>
        <w:t xml:space="preserve">In regard tothe </w:t>
      </w:r>
      <w:r w:rsidRPr="00D94753">
        <w:rPr>
          <w:rFonts w:cstheme="minorHAnsi"/>
        </w:rPr>
        <w:t>trend rate of growth indicating corresponding performance, it</w:t>
      </w:r>
      <w:r>
        <w:rPr>
          <w:rFonts w:cstheme="minorHAnsi"/>
        </w:rPr>
        <w:t xml:space="preserve"> is apparent</w:t>
      </w:r>
      <w:r w:rsidRPr="00D94753">
        <w:rPr>
          <w:rFonts w:cstheme="minorHAnsi"/>
        </w:rPr>
        <w:t xml:space="preserve"> that most of the performance indicators show a positive growth between the two periods</w:t>
      </w:r>
      <w:r>
        <w:rPr>
          <w:rFonts w:cstheme="minorHAnsi"/>
        </w:rPr>
        <w:t>,</w:t>
      </w:r>
      <w:r w:rsidRPr="00D94753">
        <w:rPr>
          <w:rFonts w:cstheme="minorHAnsi"/>
        </w:rPr>
        <w:t xml:space="preserve"> 2000-10 and 2010-14 (Table </w:t>
      </w:r>
      <w:r>
        <w:rPr>
          <w:rFonts w:cstheme="minorHAnsi"/>
        </w:rPr>
        <w:t>VI.</w:t>
      </w:r>
      <w:r w:rsidRPr="00D94753">
        <w:rPr>
          <w:rFonts w:cstheme="minorHAnsi"/>
        </w:rPr>
        <w:t>3). T</w:t>
      </w:r>
      <w:r w:rsidRPr="00D94753">
        <w:rPr>
          <w:rFonts w:cstheme="minorHAnsi"/>
          <w:bCs/>
          <w:color w:val="000000"/>
        </w:rPr>
        <w:t>he overall investment growth rate in 2010 was 11.7 percent compared to 15.7 percent in 2014. Li</w:t>
      </w:r>
      <w:r>
        <w:rPr>
          <w:rFonts w:cstheme="minorHAnsi"/>
          <w:bCs/>
          <w:color w:val="000000"/>
        </w:rPr>
        <w:t>k</w:t>
      </w:r>
      <w:r w:rsidRPr="00D94753">
        <w:rPr>
          <w:rFonts w:cstheme="minorHAnsi"/>
          <w:bCs/>
          <w:color w:val="000000"/>
        </w:rPr>
        <w:t xml:space="preserve">ewise, </w:t>
      </w:r>
      <w:r>
        <w:rPr>
          <w:rFonts w:cstheme="minorHAnsi"/>
          <w:bCs/>
          <w:color w:val="000000"/>
        </w:rPr>
        <w:t xml:space="preserve">the </w:t>
      </w:r>
      <w:r w:rsidRPr="00D94753">
        <w:rPr>
          <w:rFonts w:cstheme="minorHAnsi"/>
          <w:bCs/>
          <w:color w:val="000000"/>
        </w:rPr>
        <w:t>public investment growth rate during 2000-10 was 6.7 percent compared t</w:t>
      </w:r>
      <w:r>
        <w:rPr>
          <w:rFonts w:cstheme="minorHAnsi"/>
          <w:bCs/>
          <w:color w:val="000000"/>
        </w:rPr>
        <w:t>o as high as 22.8 percent in 201</w:t>
      </w:r>
      <w:r w:rsidRPr="00D94753">
        <w:rPr>
          <w:rFonts w:cstheme="minorHAnsi"/>
          <w:bCs/>
          <w:color w:val="000000"/>
        </w:rPr>
        <w:t xml:space="preserve">0-14 (Table </w:t>
      </w:r>
      <w:r>
        <w:rPr>
          <w:rFonts w:cstheme="minorHAnsi"/>
          <w:bCs/>
          <w:color w:val="000000"/>
        </w:rPr>
        <w:t>VI.</w:t>
      </w:r>
      <w:r w:rsidRPr="00D94753">
        <w:rPr>
          <w:rFonts w:cstheme="minorHAnsi"/>
          <w:bCs/>
          <w:color w:val="000000"/>
        </w:rPr>
        <w:t>3).</w:t>
      </w:r>
    </w:p>
    <w:p w:rsidR="009511DC" w:rsidRPr="00D94753" w:rsidRDefault="009511DC" w:rsidP="005E0C65">
      <w:pPr>
        <w:autoSpaceDE w:val="0"/>
        <w:autoSpaceDN w:val="0"/>
        <w:adjustRightInd w:val="0"/>
        <w:spacing w:after="0" w:line="240" w:lineRule="auto"/>
        <w:jc w:val="both"/>
        <w:rPr>
          <w:rFonts w:cstheme="minorHAnsi"/>
          <w:bCs/>
          <w:color w:val="000000"/>
        </w:rPr>
      </w:pPr>
    </w:p>
    <w:p w:rsidR="009511DC" w:rsidRPr="00D94753" w:rsidRDefault="009511DC" w:rsidP="005E0C65">
      <w:pPr>
        <w:autoSpaceDE w:val="0"/>
        <w:autoSpaceDN w:val="0"/>
        <w:adjustRightInd w:val="0"/>
        <w:spacing w:after="0" w:line="240" w:lineRule="auto"/>
        <w:jc w:val="both"/>
        <w:rPr>
          <w:rFonts w:cstheme="minorHAnsi"/>
          <w:bCs/>
        </w:rPr>
      </w:pPr>
      <w:r>
        <w:rPr>
          <w:rFonts w:cstheme="minorHAnsi"/>
        </w:rPr>
        <w:lastRenderedPageBreak/>
        <w:t xml:space="preserve">It is notable here that, </w:t>
      </w:r>
      <w:r w:rsidRPr="00D94753">
        <w:rPr>
          <w:rFonts w:cstheme="minorHAnsi"/>
        </w:rPr>
        <w:t>despite the good performance in increasing the saving and investment rates, these rates are much below those found in the faster growing economies of East Asia and in India</w:t>
      </w:r>
      <w:r>
        <w:rPr>
          <w:rFonts w:cstheme="minorHAnsi"/>
        </w:rPr>
        <w:t>.</w:t>
      </w:r>
    </w:p>
    <w:p w:rsidR="009511DC" w:rsidRPr="00D94753" w:rsidRDefault="009511DC" w:rsidP="005E0C65">
      <w:pPr>
        <w:autoSpaceDE w:val="0"/>
        <w:autoSpaceDN w:val="0"/>
        <w:adjustRightInd w:val="0"/>
        <w:spacing w:after="0" w:line="240" w:lineRule="auto"/>
        <w:jc w:val="both"/>
        <w:rPr>
          <w:rFonts w:cstheme="minorHAnsi"/>
          <w:bCs/>
        </w:rPr>
      </w:pPr>
    </w:p>
    <w:p w:rsidR="009511DC" w:rsidRPr="00D94753" w:rsidRDefault="009511DC" w:rsidP="005E0C65">
      <w:pPr>
        <w:autoSpaceDE w:val="0"/>
        <w:autoSpaceDN w:val="0"/>
        <w:adjustRightInd w:val="0"/>
        <w:spacing w:after="0" w:line="240" w:lineRule="auto"/>
        <w:jc w:val="both"/>
        <w:rPr>
          <w:rFonts w:cstheme="minorHAnsi"/>
          <w:b/>
        </w:rPr>
      </w:pPr>
      <w:r w:rsidRPr="00D94753">
        <w:rPr>
          <w:rFonts w:cstheme="minorHAnsi"/>
          <w:b/>
        </w:rPr>
        <w:t xml:space="preserve">Public Expenditure </w:t>
      </w:r>
    </w:p>
    <w:p w:rsidR="009511DC" w:rsidRPr="00D94753" w:rsidRDefault="009511DC" w:rsidP="005E0C65">
      <w:pPr>
        <w:autoSpaceDE w:val="0"/>
        <w:autoSpaceDN w:val="0"/>
        <w:adjustRightInd w:val="0"/>
        <w:spacing w:after="0" w:line="240" w:lineRule="auto"/>
        <w:jc w:val="both"/>
        <w:rPr>
          <w:rFonts w:cstheme="minorHAnsi"/>
        </w:rPr>
      </w:pPr>
      <w:r w:rsidRPr="00D94753">
        <w:rPr>
          <w:rFonts w:cstheme="minorHAnsi"/>
        </w:rPr>
        <w:t>The estimated government expenditure stood around 16 percent of GDP in 2010 which is expected to be around 20 percent of GDP in 2014. Against this, expenditure on ADP is planned to be increased from 4 percent of GDP in 2010 to 7.0 percent of GDP in 2014 (data on this</w:t>
      </w:r>
      <w:r>
        <w:rPr>
          <w:rFonts w:cstheme="minorHAnsi"/>
        </w:rPr>
        <w:t xml:space="preserve"> are</w:t>
      </w:r>
      <w:r w:rsidRPr="00D94753">
        <w:rPr>
          <w:rFonts w:cstheme="minorHAnsi"/>
        </w:rPr>
        <w:t xml:space="preserve"> inadequate). In this regard, priority has been given to foreign assistance to achieve this. </w:t>
      </w:r>
    </w:p>
    <w:p w:rsidR="009511DC" w:rsidRPr="00D94753" w:rsidRDefault="009511DC" w:rsidP="005E0C65">
      <w:pPr>
        <w:autoSpaceDE w:val="0"/>
        <w:autoSpaceDN w:val="0"/>
        <w:adjustRightInd w:val="0"/>
        <w:spacing w:after="0" w:line="240" w:lineRule="auto"/>
        <w:jc w:val="both"/>
        <w:rPr>
          <w:rFonts w:cstheme="minorHAnsi"/>
          <w:b/>
        </w:rPr>
      </w:pPr>
    </w:p>
    <w:p w:rsidR="009511DC" w:rsidRPr="00D94753" w:rsidRDefault="009511DC" w:rsidP="005E0C65">
      <w:pPr>
        <w:autoSpaceDE w:val="0"/>
        <w:autoSpaceDN w:val="0"/>
        <w:adjustRightInd w:val="0"/>
        <w:spacing w:after="0" w:line="240" w:lineRule="auto"/>
        <w:jc w:val="both"/>
        <w:rPr>
          <w:rFonts w:cstheme="minorHAnsi"/>
          <w:b/>
        </w:rPr>
      </w:pPr>
      <w:r w:rsidRPr="00D94753">
        <w:rPr>
          <w:rFonts w:cstheme="minorHAnsi"/>
          <w:b/>
        </w:rPr>
        <w:t xml:space="preserve">Human Development </w:t>
      </w:r>
    </w:p>
    <w:p w:rsidR="009511DC" w:rsidRPr="009511DC" w:rsidRDefault="009511DC" w:rsidP="005E0C65">
      <w:pPr>
        <w:autoSpaceDE w:val="0"/>
        <w:autoSpaceDN w:val="0"/>
        <w:adjustRightInd w:val="0"/>
        <w:spacing w:after="0" w:line="240" w:lineRule="auto"/>
        <w:jc w:val="both"/>
        <w:rPr>
          <w:rFonts w:cstheme="minorHAnsi"/>
          <w:sz w:val="6"/>
        </w:rPr>
      </w:pPr>
    </w:p>
    <w:p w:rsidR="009511DC" w:rsidRPr="00D94753" w:rsidRDefault="009511DC" w:rsidP="005E0C65">
      <w:pPr>
        <w:autoSpaceDE w:val="0"/>
        <w:autoSpaceDN w:val="0"/>
        <w:adjustRightInd w:val="0"/>
        <w:spacing w:after="0" w:line="240" w:lineRule="auto"/>
        <w:jc w:val="both"/>
        <w:rPr>
          <w:rFonts w:cstheme="minorHAnsi"/>
          <w:b/>
          <w:bCs/>
        </w:rPr>
      </w:pPr>
      <w:r w:rsidRPr="00D94753">
        <w:rPr>
          <w:rFonts w:cstheme="minorHAnsi"/>
          <w:b/>
          <w:bCs/>
        </w:rPr>
        <w:t>Primary and Mass Education</w:t>
      </w:r>
    </w:p>
    <w:p w:rsidR="009511DC" w:rsidRPr="00D94753" w:rsidRDefault="009511DC" w:rsidP="005E0C65">
      <w:pPr>
        <w:autoSpaceDE w:val="0"/>
        <w:autoSpaceDN w:val="0"/>
        <w:adjustRightInd w:val="0"/>
        <w:spacing w:after="0" w:line="240" w:lineRule="auto"/>
        <w:jc w:val="both"/>
        <w:rPr>
          <w:rFonts w:cstheme="minorHAnsi"/>
        </w:rPr>
      </w:pPr>
      <w:r w:rsidRPr="00D94753">
        <w:rPr>
          <w:rFonts w:cstheme="minorHAnsi"/>
        </w:rPr>
        <w:t xml:space="preserve">The Government has given high priority to </w:t>
      </w:r>
      <w:r>
        <w:rPr>
          <w:rFonts w:cstheme="minorHAnsi"/>
        </w:rPr>
        <w:t xml:space="preserve">strengthen </w:t>
      </w:r>
      <w:r w:rsidRPr="00D94753">
        <w:rPr>
          <w:rFonts w:cstheme="minorHAnsi"/>
        </w:rPr>
        <w:t>primary education, and accordingly it has been ma</w:t>
      </w:r>
      <w:r>
        <w:rPr>
          <w:rFonts w:cstheme="minorHAnsi"/>
        </w:rPr>
        <w:t>k</w:t>
      </w:r>
      <w:r w:rsidRPr="00D94753">
        <w:rPr>
          <w:rFonts w:cstheme="minorHAnsi"/>
        </w:rPr>
        <w:t xml:space="preserve">ing </w:t>
      </w:r>
      <w:r>
        <w:rPr>
          <w:rFonts w:cstheme="minorHAnsi"/>
        </w:rPr>
        <w:t xml:space="preserve">an </w:t>
      </w:r>
      <w:r w:rsidRPr="00D94753">
        <w:rPr>
          <w:rFonts w:cstheme="minorHAnsi"/>
        </w:rPr>
        <w:t>increased allocation of resources to this sector. For example, in 2010-11, an amount of T</w:t>
      </w:r>
      <w:r>
        <w:rPr>
          <w:rFonts w:cstheme="minorHAnsi"/>
        </w:rPr>
        <w:t>k. 3151 crore was</w:t>
      </w:r>
      <w:r w:rsidRPr="00D94753">
        <w:rPr>
          <w:rFonts w:cstheme="minorHAnsi"/>
        </w:rPr>
        <w:t xml:space="preserve"> allocated to the primary education sub-sector. Subsequently the corresponding allocation was T</w:t>
      </w:r>
      <w:r>
        <w:rPr>
          <w:rFonts w:cstheme="minorHAnsi"/>
        </w:rPr>
        <w:t xml:space="preserve">k. </w:t>
      </w:r>
      <w:r w:rsidRPr="00D94753">
        <w:rPr>
          <w:rFonts w:cstheme="minorHAnsi"/>
        </w:rPr>
        <w:t>5778 crore in 2014-15, showing an increase of more than 83 percent. The Government is committed to ensure 100 percent enrollment of the children (who have reached the age of attending school) and to eradicate illiteracy by the year 2014. There is a</w:t>
      </w:r>
      <w:r>
        <w:rPr>
          <w:rFonts w:cstheme="minorHAnsi"/>
        </w:rPr>
        <w:t>n increasing trend in the enrol</w:t>
      </w:r>
      <w:r w:rsidRPr="00D94753">
        <w:rPr>
          <w:rFonts w:cstheme="minorHAnsi"/>
        </w:rPr>
        <w:t xml:space="preserve">ment of female students in </w:t>
      </w:r>
      <w:r>
        <w:rPr>
          <w:rFonts w:cstheme="minorHAnsi"/>
        </w:rPr>
        <w:t>primary schools. In 2010</w:t>
      </w:r>
      <w:r w:rsidRPr="00D94753">
        <w:rPr>
          <w:rFonts w:cstheme="minorHAnsi"/>
        </w:rPr>
        <w:t xml:space="preserve">, the male-female ratio among students was 55:45. Currently, the ratio is about 50:50. </w:t>
      </w:r>
    </w:p>
    <w:p w:rsidR="009511DC" w:rsidRPr="00D94753" w:rsidRDefault="009511DC" w:rsidP="005E0C65">
      <w:pPr>
        <w:spacing w:after="0" w:line="240" w:lineRule="auto"/>
        <w:jc w:val="both"/>
        <w:rPr>
          <w:rFonts w:cstheme="minorHAnsi"/>
        </w:rPr>
      </w:pPr>
    </w:p>
    <w:p w:rsidR="009511DC" w:rsidRPr="00D94753" w:rsidRDefault="009511DC" w:rsidP="005E0C65">
      <w:pPr>
        <w:spacing w:line="240" w:lineRule="auto"/>
        <w:jc w:val="both"/>
        <w:rPr>
          <w:rFonts w:cstheme="minorHAnsi"/>
        </w:rPr>
      </w:pPr>
      <w:r w:rsidRPr="00D94753">
        <w:rPr>
          <w:rFonts w:cstheme="minorHAnsi"/>
        </w:rPr>
        <w:t>Primary enrolment in 2010/11 was about 16</w:t>
      </w:r>
      <w:r>
        <w:rPr>
          <w:rFonts w:cstheme="minorHAnsi"/>
        </w:rPr>
        <w:t>,</w:t>
      </w:r>
      <w:r w:rsidRPr="00D94753">
        <w:rPr>
          <w:rFonts w:cstheme="minorHAnsi"/>
        </w:rPr>
        <w:t>958 thousands which increased to 19</w:t>
      </w:r>
      <w:r>
        <w:rPr>
          <w:rFonts w:cstheme="minorHAnsi"/>
        </w:rPr>
        <w:t>,</w:t>
      </w:r>
      <w:r w:rsidRPr="00D94753">
        <w:rPr>
          <w:rFonts w:cstheme="minorHAnsi"/>
        </w:rPr>
        <w:t xml:space="preserve">003 thousands in 2012/13, recording an increase of around 12.1 percent (updated data </w:t>
      </w:r>
      <w:r>
        <w:rPr>
          <w:rFonts w:cstheme="minorHAnsi"/>
        </w:rPr>
        <w:t xml:space="preserve">are </w:t>
      </w:r>
      <w:r w:rsidRPr="00D94753">
        <w:rPr>
          <w:rFonts w:cstheme="minorHAnsi"/>
        </w:rPr>
        <w:t xml:space="preserve">not available yet).  </w:t>
      </w:r>
      <w:r>
        <w:rPr>
          <w:rFonts w:cstheme="minorHAnsi"/>
        </w:rPr>
        <w:t xml:space="preserve">Regarding the </w:t>
      </w:r>
      <w:r w:rsidRPr="00D94753">
        <w:rPr>
          <w:rFonts w:cstheme="minorHAnsi"/>
        </w:rPr>
        <w:t>trend rate of growth indicating corresponding performance, it can be seen that t</w:t>
      </w:r>
      <w:r w:rsidRPr="00D94753">
        <w:rPr>
          <w:rFonts w:cstheme="minorHAnsi"/>
          <w:bCs/>
          <w:color w:val="000000"/>
        </w:rPr>
        <w:t xml:space="preserve">he overall enrolment growth rate during the period 2000-10 was only 0.7 percent compared to 5.7 percent during 2010-14 (Table </w:t>
      </w:r>
      <w:r>
        <w:rPr>
          <w:rFonts w:cstheme="minorHAnsi"/>
          <w:bCs/>
          <w:color w:val="000000"/>
        </w:rPr>
        <w:t>VI.</w:t>
      </w:r>
      <w:r w:rsidRPr="00D94753">
        <w:rPr>
          <w:rFonts w:cstheme="minorHAnsi"/>
          <w:bCs/>
          <w:color w:val="000000"/>
        </w:rPr>
        <w:t>3).</w:t>
      </w:r>
    </w:p>
    <w:p w:rsidR="009511DC" w:rsidRPr="00D94753" w:rsidRDefault="009511DC" w:rsidP="005E0C65">
      <w:pPr>
        <w:autoSpaceDE w:val="0"/>
        <w:autoSpaceDN w:val="0"/>
        <w:adjustRightInd w:val="0"/>
        <w:spacing w:after="0" w:line="240" w:lineRule="auto"/>
        <w:jc w:val="both"/>
        <w:rPr>
          <w:rFonts w:cstheme="minorHAnsi"/>
          <w:b/>
          <w:bCs/>
        </w:rPr>
      </w:pPr>
      <w:r w:rsidRPr="00D94753">
        <w:rPr>
          <w:rFonts w:cstheme="minorHAnsi"/>
          <w:b/>
          <w:bCs/>
        </w:rPr>
        <w:t>Secondary and Higher Secondary Education</w:t>
      </w:r>
    </w:p>
    <w:p w:rsidR="009511DC" w:rsidRPr="00D94753" w:rsidRDefault="009511DC" w:rsidP="005E0C65">
      <w:pPr>
        <w:autoSpaceDE w:val="0"/>
        <w:autoSpaceDN w:val="0"/>
        <w:adjustRightInd w:val="0"/>
        <w:spacing w:after="0" w:line="240" w:lineRule="auto"/>
        <w:jc w:val="both"/>
        <w:rPr>
          <w:rFonts w:cstheme="minorHAnsi"/>
        </w:rPr>
      </w:pPr>
      <w:r w:rsidRPr="00D94753">
        <w:rPr>
          <w:rFonts w:cstheme="minorHAnsi"/>
        </w:rPr>
        <w:t>The allocation on s</w:t>
      </w:r>
      <w:r w:rsidRPr="00D94753">
        <w:rPr>
          <w:rFonts w:cstheme="minorHAnsi"/>
          <w:bCs/>
        </w:rPr>
        <w:t xml:space="preserve">econdary and higher secondary education subsector in 2010 was </w:t>
      </w:r>
      <w:r w:rsidRPr="00D94753">
        <w:rPr>
          <w:rFonts w:cstheme="minorHAnsi"/>
        </w:rPr>
        <w:t>T</w:t>
      </w:r>
      <w:r>
        <w:rPr>
          <w:rFonts w:cstheme="minorHAnsi"/>
        </w:rPr>
        <w:t>k.</w:t>
      </w:r>
      <w:r w:rsidRPr="00D94753">
        <w:rPr>
          <w:rFonts w:cstheme="minorHAnsi"/>
        </w:rPr>
        <w:t xml:space="preserve"> 911 cro</w:t>
      </w:r>
      <w:r>
        <w:rPr>
          <w:rFonts w:cstheme="minorHAnsi"/>
        </w:rPr>
        <w:t>r</w:t>
      </w:r>
      <w:r w:rsidRPr="00D94753">
        <w:rPr>
          <w:rFonts w:cstheme="minorHAnsi"/>
        </w:rPr>
        <w:t>e, which increased to T</w:t>
      </w:r>
      <w:r>
        <w:rPr>
          <w:rFonts w:cstheme="minorHAnsi"/>
        </w:rPr>
        <w:t xml:space="preserve">k. </w:t>
      </w:r>
      <w:r w:rsidRPr="00D94753">
        <w:rPr>
          <w:rFonts w:cstheme="minorHAnsi"/>
        </w:rPr>
        <w:t>1</w:t>
      </w:r>
      <w:r>
        <w:rPr>
          <w:rFonts w:cstheme="minorHAnsi"/>
        </w:rPr>
        <w:t>,</w:t>
      </w:r>
      <w:r w:rsidRPr="00D94753">
        <w:rPr>
          <w:rFonts w:cstheme="minorHAnsi"/>
        </w:rPr>
        <w:t xml:space="preserve">859 crore in 2014, recording an increase of around 104 percent. </w:t>
      </w:r>
    </w:p>
    <w:p w:rsidR="009511DC" w:rsidRPr="00D94753" w:rsidRDefault="009511DC" w:rsidP="005E0C65">
      <w:pPr>
        <w:autoSpaceDE w:val="0"/>
        <w:autoSpaceDN w:val="0"/>
        <w:adjustRightInd w:val="0"/>
        <w:spacing w:after="0" w:line="240" w:lineRule="auto"/>
        <w:jc w:val="both"/>
        <w:rPr>
          <w:rFonts w:cstheme="minorHAnsi"/>
        </w:rPr>
      </w:pPr>
    </w:p>
    <w:p w:rsidR="009511DC" w:rsidRPr="00D94753" w:rsidRDefault="009511DC" w:rsidP="005E0C65">
      <w:pPr>
        <w:autoSpaceDE w:val="0"/>
        <w:autoSpaceDN w:val="0"/>
        <w:adjustRightInd w:val="0"/>
        <w:spacing w:after="0" w:line="240" w:lineRule="auto"/>
        <w:jc w:val="both"/>
        <w:rPr>
          <w:rFonts w:cstheme="minorHAnsi"/>
        </w:rPr>
      </w:pPr>
      <w:r w:rsidRPr="00D94753">
        <w:rPr>
          <w:rFonts w:cstheme="minorHAnsi"/>
        </w:rPr>
        <w:t>Secondary enrolment in 2010/11 was about 7</w:t>
      </w:r>
      <w:r>
        <w:rPr>
          <w:rFonts w:cstheme="minorHAnsi"/>
        </w:rPr>
        <w:t>,</w:t>
      </w:r>
      <w:r w:rsidRPr="00D94753">
        <w:rPr>
          <w:rFonts w:cstheme="minorHAnsi"/>
        </w:rPr>
        <w:t>466 thousands</w:t>
      </w:r>
      <w:r>
        <w:rPr>
          <w:rFonts w:cstheme="minorHAnsi"/>
        </w:rPr>
        <w:t>,</w:t>
      </w:r>
      <w:r w:rsidRPr="00D94753">
        <w:rPr>
          <w:rFonts w:cstheme="minorHAnsi"/>
        </w:rPr>
        <w:t xml:space="preserve"> which increased to 7</w:t>
      </w:r>
      <w:r>
        <w:rPr>
          <w:rFonts w:cstheme="minorHAnsi"/>
        </w:rPr>
        <w:t>,</w:t>
      </w:r>
      <w:r w:rsidRPr="00D94753">
        <w:rPr>
          <w:rFonts w:cstheme="minorHAnsi"/>
        </w:rPr>
        <w:t xml:space="preserve">937 thousands in 2012/13, recording an increase of around 6.3 percent. </w:t>
      </w:r>
      <w:r>
        <w:rPr>
          <w:rFonts w:cstheme="minorHAnsi"/>
        </w:rPr>
        <w:t xml:space="preserve">Regardingthe </w:t>
      </w:r>
      <w:r w:rsidRPr="00D94753">
        <w:rPr>
          <w:rFonts w:cstheme="minorHAnsi"/>
        </w:rPr>
        <w:t xml:space="preserve">trend rate of growth, it </w:t>
      </w:r>
      <w:r>
        <w:rPr>
          <w:rFonts w:cstheme="minorHAnsi"/>
        </w:rPr>
        <w:t xml:space="preserve">is observed </w:t>
      </w:r>
      <w:r w:rsidRPr="00D94753">
        <w:rPr>
          <w:rFonts w:cstheme="minorHAnsi"/>
        </w:rPr>
        <w:t>that t</w:t>
      </w:r>
      <w:r w:rsidRPr="00D94753">
        <w:rPr>
          <w:rFonts w:cstheme="minorHAnsi"/>
          <w:bCs/>
          <w:color w:val="000000"/>
        </w:rPr>
        <w:t>he overall enrolment growth rate of secondary education during the period 2000-10 was in fact negative (-1.1%), compared to a positive growth of 3.1  percent during the period 2010-14 (Table</w:t>
      </w:r>
      <w:r>
        <w:rPr>
          <w:rFonts w:cstheme="minorHAnsi"/>
          <w:bCs/>
          <w:color w:val="000000"/>
        </w:rPr>
        <w:t>VI.</w:t>
      </w:r>
      <w:r w:rsidRPr="00D94753">
        <w:rPr>
          <w:rFonts w:cstheme="minorHAnsi"/>
          <w:bCs/>
          <w:color w:val="000000"/>
        </w:rPr>
        <w:t>3).</w:t>
      </w:r>
    </w:p>
    <w:p w:rsidR="009511DC" w:rsidRPr="00D94753" w:rsidRDefault="009511DC" w:rsidP="005E0C65">
      <w:pPr>
        <w:autoSpaceDE w:val="0"/>
        <w:autoSpaceDN w:val="0"/>
        <w:adjustRightInd w:val="0"/>
        <w:spacing w:after="0" w:line="240" w:lineRule="auto"/>
        <w:jc w:val="both"/>
        <w:rPr>
          <w:rFonts w:cstheme="minorHAnsi"/>
        </w:rPr>
      </w:pPr>
    </w:p>
    <w:p w:rsidR="009511DC" w:rsidRPr="00D94753" w:rsidRDefault="009511DC" w:rsidP="005E0C65">
      <w:pPr>
        <w:pStyle w:val="Default"/>
        <w:jc w:val="both"/>
        <w:rPr>
          <w:rFonts w:asciiTheme="minorHAnsi" w:hAnsiTheme="minorHAnsi" w:cstheme="minorHAnsi"/>
          <w:b/>
          <w:bCs/>
          <w:sz w:val="22"/>
          <w:szCs w:val="22"/>
        </w:rPr>
      </w:pPr>
      <w:r w:rsidRPr="00D94753">
        <w:rPr>
          <w:rFonts w:asciiTheme="minorHAnsi" w:hAnsiTheme="minorHAnsi" w:cstheme="minorHAnsi"/>
          <w:b/>
          <w:bCs/>
          <w:sz w:val="22"/>
          <w:szCs w:val="22"/>
        </w:rPr>
        <w:t xml:space="preserve">Poverty Alleviation </w:t>
      </w:r>
    </w:p>
    <w:p w:rsidR="009511DC" w:rsidRDefault="009511DC" w:rsidP="005E0C65">
      <w:pPr>
        <w:pStyle w:val="Default"/>
        <w:jc w:val="both"/>
        <w:rPr>
          <w:rFonts w:asciiTheme="minorHAnsi" w:hAnsiTheme="minorHAnsi" w:cstheme="minorHAnsi"/>
          <w:sz w:val="22"/>
          <w:szCs w:val="22"/>
        </w:rPr>
      </w:pPr>
      <w:r w:rsidRPr="00D94753">
        <w:rPr>
          <w:rFonts w:asciiTheme="minorHAnsi" w:hAnsiTheme="minorHAnsi" w:cstheme="minorHAnsi"/>
          <w:iCs/>
          <w:sz w:val="22"/>
          <w:szCs w:val="22"/>
        </w:rPr>
        <w:t xml:space="preserve">In the pursuit of development, poverty alleviation is an overriding agenda in Bangladesh. Because of the </w:t>
      </w:r>
      <w:r>
        <w:rPr>
          <w:rFonts w:asciiTheme="minorHAnsi" w:hAnsiTheme="minorHAnsi" w:cstheme="minorHAnsi"/>
          <w:iCs/>
          <w:sz w:val="22"/>
          <w:szCs w:val="22"/>
        </w:rPr>
        <w:t>effective</w:t>
      </w:r>
      <w:r w:rsidRPr="00D94753">
        <w:rPr>
          <w:rFonts w:asciiTheme="minorHAnsi" w:hAnsiTheme="minorHAnsi" w:cstheme="minorHAnsi"/>
          <w:iCs/>
          <w:sz w:val="22"/>
          <w:szCs w:val="22"/>
        </w:rPr>
        <w:t xml:space="preserve"> interventions by the Government</w:t>
      </w:r>
      <w:r>
        <w:rPr>
          <w:rFonts w:asciiTheme="minorHAnsi" w:hAnsiTheme="minorHAnsi" w:cstheme="minorHAnsi"/>
          <w:iCs/>
          <w:sz w:val="22"/>
          <w:szCs w:val="22"/>
        </w:rPr>
        <w:t>,</w:t>
      </w:r>
      <w:r w:rsidRPr="00D94753">
        <w:rPr>
          <w:rFonts w:asciiTheme="minorHAnsi" w:hAnsiTheme="minorHAnsi" w:cstheme="minorHAnsi"/>
          <w:iCs/>
          <w:sz w:val="22"/>
          <w:szCs w:val="22"/>
        </w:rPr>
        <w:t xml:space="preserve"> absolute poverty has been </w:t>
      </w:r>
      <w:r>
        <w:rPr>
          <w:rFonts w:asciiTheme="minorHAnsi" w:hAnsiTheme="minorHAnsi" w:cstheme="minorHAnsi"/>
          <w:iCs/>
          <w:sz w:val="22"/>
          <w:szCs w:val="22"/>
        </w:rPr>
        <w:t>declining. In addition,</w:t>
      </w:r>
      <w:r w:rsidRPr="00D94753">
        <w:rPr>
          <w:rFonts w:asciiTheme="minorHAnsi" w:hAnsiTheme="minorHAnsi" w:cstheme="minorHAnsi"/>
          <w:iCs/>
          <w:sz w:val="22"/>
          <w:szCs w:val="22"/>
        </w:rPr>
        <w:t xml:space="preserve"> Human Development Reports (HDR) of UNDP reveal that Bangladesh scored 0.292 in </w:t>
      </w:r>
      <w:r>
        <w:rPr>
          <w:rFonts w:asciiTheme="minorHAnsi" w:hAnsiTheme="minorHAnsi" w:cstheme="minorHAnsi"/>
          <w:iCs/>
          <w:sz w:val="22"/>
          <w:szCs w:val="22"/>
        </w:rPr>
        <w:t xml:space="preserve">the </w:t>
      </w:r>
      <w:r w:rsidRPr="00D94753">
        <w:rPr>
          <w:rFonts w:asciiTheme="minorHAnsi" w:hAnsiTheme="minorHAnsi" w:cstheme="minorHAnsi"/>
          <w:iCs/>
          <w:sz w:val="22"/>
          <w:szCs w:val="22"/>
        </w:rPr>
        <w:t xml:space="preserve">Multidimensional Poverty Index (MPI) in 2011, which improved to 0.237 in 2013.  </w:t>
      </w:r>
    </w:p>
    <w:p w:rsidR="009511DC" w:rsidRPr="00D94753" w:rsidRDefault="009511DC" w:rsidP="005E0C65">
      <w:pPr>
        <w:pStyle w:val="Default"/>
        <w:jc w:val="both"/>
        <w:rPr>
          <w:rFonts w:asciiTheme="minorHAnsi" w:hAnsiTheme="minorHAnsi" w:cstheme="minorHAnsi"/>
          <w:sz w:val="22"/>
          <w:szCs w:val="22"/>
        </w:rPr>
      </w:pPr>
    </w:p>
    <w:p w:rsidR="009511DC" w:rsidRPr="00D94753" w:rsidRDefault="009511DC" w:rsidP="005E0C65">
      <w:pPr>
        <w:pStyle w:val="Default"/>
        <w:jc w:val="both"/>
        <w:rPr>
          <w:rFonts w:asciiTheme="minorHAnsi" w:hAnsiTheme="minorHAnsi" w:cstheme="minorHAnsi"/>
          <w:sz w:val="22"/>
          <w:szCs w:val="22"/>
        </w:rPr>
      </w:pPr>
      <w:r w:rsidRPr="00D94753">
        <w:rPr>
          <w:rFonts w:asciiTheme="minorHAnsi" w:hAnsiTheme="minorHAnsi" w:cstheme="minorHAnsi"/>
          <w:b/>
          <w:bCs/>
          <w:sz w:val="22"/>
          <w:szCs w:val="22"/>
        </w:rPr>
        <w:t xml:space="preserve">Trends of Poverty </w:t>
      </w:r>
    </w:p>
    <w:p w:rsidR="009511DC" w:rsidRPr="005F64B2" w:rsidRDefault="009511DC" w:rsidP="005E0C65">
      <w:pPr>
        <w:autoSpaceDE w:val="0"/>
        <w:autoSpaceDN w:val="0"/>
        <w:adjustRightInd w:val="0"/>
        <w:spacing w:after="0" w:line="240" w:lineRule="auto"/>
        <w:jc w:val="both"/>
        <w:rPr>
          <w:rFonts w:cstheme="minorHAnsi"/>
          <w:color w:val="000000"/>
        </w:rPr>
      </w:pPr>
      <w:r w:rsidRPr="00D94753">
        <w:rPr>
          <w:rFonts w:cstheme="minorHAnsi"/>
        </w:rPr>
        <w:t>The rate of income poverty (measured by CBN considering upper poverty line) declined from 48.9 percent to 40.0 percent during the period from 20</w:t>
      </w:r>
      <w:r>
        <w:rPr>
          <w:rFonts w:cstheme="minorHAnsi"/>
        </w:rPr>
        <w:t>00 to 2005. T</w:t>
      </w:r>
      <w:r w:rsidRPr="00D94753">
        <w:rPr>
          <w:rFonts w:cstheme="minorHAnsi"/>
        </w:rPr>
        <w:t>he rate of income poverty declined from 40.0 percent to 31.5 percent during the period from 2005 to 2010. The po</w:t>
      </w:r>
      <w:r>
        <w:rPr>
          <w:rFonts w:cstheme="minorHAnsi"/>
        </w:rPr>
        <w:t>verty reduction rate per year was</w:t>
      </w:r>
      <w:r w:rsidRPr="00D94753">
        <w:rPr>
          <w:rFonts w:cstheme="minorHAnsi"/>
        </w:rPr>
        <w:t xml:space="preserve"> recorded at around 1.7-1.8 percent during 2000-2010. But the rate of reduction of pover</w:t>
      </w:r>
      <w:r>
        <w:rPr>
          <w:rFonts w:cstheme="minorHAnsi"/>
        </w:rPr>
        <w:t>ty is higher in rural areas (1.7%) than in urban areas (1.4</w:t>
      </w:r>
      <w:r w:rsidRPr="00D94753">
        <w:rPr>
          <w:rFonts w:cstheme="minorHAnsi"/>
        </w:rPr>
        <w:t>%). In fact, t</w:t>
      </w:r>
      <w:r w:rsidRPr="00D94753">
        <w:rPr>
          <w:rFonts w:cstheme="minorHAnsi"/>
          <w:color w:val="231F20"/>
        </w:rPr>
        <w:t xml:space="preserve">he decline in headcount ratio was greater than </w:t>
      </w:r>
      <w:r w:rsidRPr="00D94753">
        <w:rPr>
          <w:rFonts w:cstheme="minorHAnsi"/>
          <w:color w:val="231F20"/>
        </w:rPr>
        <w:lastRenderedPageBreak/>
        <w:t xml:space="preserve">population growth during </w:t>
      </w:r>
      <w:r>
        <w:rPr>
          <w:rFonts w:cstheme="minorHAnsi"/>
          <w:color w:val="231F20"/>
        </w:rPr>
        <w:t xml:space="preserve">the </w:t>
      </w:r>
      <w:r w:rsidRPr="00D94753">
        <w:rPr>
          <w:rFonts w:cstheme="minorHAnsi"/>
          <w:color w:val="231F20"/>
        </w:rPr>
        <w:t xml:space="preserve">2005-2010 period, which led to a decline in the absolute number of the poor people. </w:t>
      </w:r>
      <w:r w:rsidRPr="00D94753">
        <w:rPr>
          <w:rFonts w:cstheme="minorHAnsi"/>
        </w:rPr>
        <w:t>The trends of poverty are shown in the following table (Table</w:t>
      </w:r>
      <w:r>
        <w:rPr>
          <w:rFonts w:cstheme="minorHAnsi"/>
        </w:rPr>
        <w:t>VI.</w:t>
      </w:r>
      <w:r w:rsidRPr="00D94753">
        <w:rPr>
          <w:rFonts w:cstheme="minorHAnsi"/>
        </w:rPr>
        <w:t xml:space="preserve">4): </w:t>
      </w:r>
    </w:p>
    <w:p w:rsidR="009511DC" w:rsidRDefault="009511DC" w:rsidP="009511DC">
      <w:pPr>
        <w:pStyle w:val="Default"/>
        <w:jc w:val="both"/>
        <w:rPr>
          <w:rFonts w:asciiTheme="minorHAnsi" w:hAnsiTheme="minorHAnsi" w:cstheme="minorHAnsi"/>
          <w:bCs/>
          <w:sz w:val="22"/>
          <w:szCs w:val="22"/>
        </w:rPr>
      </w:pPr>
    </w:p>
    <w:p w:rsidR="009511DC" w:rsidRPr="009049C7" w:rsidRDefault="009511DC" w:rsidP="009511DC">
      <w:pPr>
        <w:pStyle w:val="Default"/>
        <w:jc w:val="both"/>
        <w:rPr>
          <w:rFonts w:asciiTheme="minorHAnsi" w:hAnsiTheme="minorHAnsi" w:cstheme="minorHAnsi"/>
          <w:b/>
          <w:sz w:val="22"/>
          <w:szCs w:val="22"/>
        </w:rPr>
      </w:pPr>
      <w:r w:rsidRPr="009049C7">
        <w:rPr>
          <w:rFonts w:asciiTheme="minorHAnsi" w:hAnsiTheme="minorHAnsi" w:cstheme="minorHAnsi"/>
          <w:b/>
          <w:bCs/>
          <w:sz w:val="22"/>
          <w:szCs w:val="22"/>
        </w:rPr>
        <w:t xml:space="preserve">Table VI.4: Trend of Income Poverty </w:t>
      </w:r>
      <w:r>
        <w:rPr>
          <w:rFonts w:asciiTheme="minorHAnsi" w:hAnsiTheme="minorHAnsi" w:cstheme="minorHAnsi"/>
          <w:b/>
          <w:bCs/>
          <w:sz w:val="22"/>
          <w:szCs w:val="22"/>
        </w:rPr>
        <w:t>in Bangladesh</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1033"/>
        <w:gridCol w:w="1032"/>
        <w:gridCol w:w="1038"/>
        <w:gridCol w:w="2292"/>
        <w:gridCol w:w="2298"/>
      </w:tblGrid>
      <w:tr w:rsidR="009511DC" w:rsidRPr="00D94753" w:rsidTr="009511DC">
        <w:trPr>
          <w:trHeight w:val="382"/>
        </w:trPr>
        <w:tc>
          <w:tcPr>
            <w:tcW w:w="1163" w:type="dxa"/>
            <w:vMerge w:val="restart"/>
          </w:tcPr>
          <w:p w:rsidR="009511DC" w:rsidRPr="00D94753" w:rsidRDefault="009511DC" w:rsidP="009511DC">
            <w:pPr>
              <w:pStyle w:val="Default"/>
              <w:jc w:val="both"/>
              <w:rPr>
                <w:rFonts w:asciiTheme="minorHAnsi" w:hAnsiTheme="minorHAnsi" w:cstheme="minorHAnsi"/>
                <w:sz w:val="22"/>
                <w:szCs w:val="22"/>
              </w:rPr>
            </w:pPr>
          </w:p>
        </w:tc>
        <w:tc>
          <w:tcPr>
            <w:tcW w:w="7693" w:type="dxa"/>
            <w:gridSpan w:val="5"/>
          </w:tcPr>
          <w:p w:rsidR="009511DC" w:rsidRPr="009049C7" w:rsidRDefault="009511DC" w:rsidP="009511DC">
            <w:pPr>
              <w:pStyle w:val="Default"/>
              <w:jc w:val="both"/>
              <w:rPr>
                <w:rFonts w:asciiTheme="minorHAnsi" w:hAnsiTheme="minorHAnsi" w:cstheme="minorHAnsi"/>
                <w:b/>
                <w:bCs/>
                <w:sz w:val="22"/>
                <w:szCs w:val="22"/>
              </w:rPr>
            </w:pPr>
            <w:r w:rsidRPr="009049C7">
              <w:rPr>
                <w:rFonts w:asciiTheme="minorHAnsi" w:hAnsiTheme="minorHAnsi" w:cstheme="minorHAnsi"/>
                <w:b/>
                <w:sz w:val="22"/>
                <w:szCs w:val="22"/>
              </w:rPr>
              <w:t>Head Count Ratio – using Upper Poverty Line</w:t>
            </w:r>
          </w:p>
        </w:tc>
      </w:tr>
      <w:tr w:rsidR="009511DC" w:rsidRPr="00D94753" w:rsidTr="009511DC">
        <w:trPr>
          <w:trHeight w:val="382"/>
        </w:trPr>
        <w:tc>
          <w:tcPr>
            <w:tcW w:w="1163" w:type="dxa"/>
            <w:vMerge/>
          </w:tcPr>
          <w:p w:rsidR="009511DC" w:rsidRPr="00D94753" w:rsidRDefault="009511DC" w:rsidP="009511DC">
            <w:pPr>
              <w:pStyle w:val="Default"/>
              <w:jc w:val="both"/>
              <w:rPr>
                <w:rFonts w:asciiTheme="minorHAnsi" w:hAnsiTheme="minorHAnsi" w:cstheme="minorHAnsi"/>
                <w:sz w:val="22"/>
                <w:szCs w:val="22"/>
              </w:rPr>
            </w:pPr>
          </w:p>
        </w:tc>
        <w:tc>
          <w:tcPr>
            <w:tcW w:w="1033"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b/>
                <w:bCs/>
                <w:sz w:val="22"/>
                <w:szCs w:val="22"/>
              </w:rPr>
              <w:t>2000</w:t>
            </w:r>
          </w:p>
        </w:tc>
        <w:tc>
          <w:tcPr>
            <w:tcW w:w="1032" w:type="dxa"/>
          </w:tcPr>
          <w:p w:rsidR="009511DC" w:rsidRPr="00D94753" w:rsidRDefault="009511DC" w:rsidP="009511DC">
            <w:pPr>
              <w:pStyle w:val="Default"/>
              <w:jc w:val="both"/>
              <w:rPr>
                <w:rFonts w:asciiTheme="minorHAnsi" w:hAnsiTheme="minorHAnsi" w:cstheme="minorHAnsi"/>
                <w:b/>
                <w:bCs/>
                <w:sz w:val="22"/>
                <w:szCs w:val="22"/>
              </w:rPr>
            </w:pPr>
            <w:r w:rsidRPr="00D94753">
              <w:rPr>
                <w:rFonts w:asciiTheme="minorHAnsi" w:hAnsiTheme="minorHAnsi" w:cstheme="minorHAnsi"/>
                <w:b/>
                <w:bCs/>
                <w:sz w:val="22"/>
                <w:szCs w:val="22"/>
              </w:rPr>
              <w:t>2005</w:t>
            </w:r>
          </w:p>
        </w:tc>
        <w:tc>
          <w:tcPr>
            <w:tcW w:w="1038"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b/>
                <w:bCs/>
                <w:sz w:val="22"/>
                <w:szCs w:val="22"/>
              </w:rPr>
              <w:t>2010</w:t>
            </w:r>
          </w:p>
        </w:tc>
        <w:tc>
          <w:tcPr>
            <w:tcW w:w="2292"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b/>
                <w:bCs/>
                <w:sz w:val="22"/>
                <w:szCs w:val="22"/>
              </w:rPr>
              <w:t>Annual Change</w:t>
            </w:r>
            <w:r w:rsidRPr="00D94753">
              <w:rPr>
                <w:rFonts w:asciiTheme="minorHAnsi" w:hAnsiTheme="minorHAnsi" w:cstheme="minorHAnsi"/>
                <w:sz w:val="22"/>
                <w:szCs w:val="22"/>
              </w:rPr>
              <w:t>(%)</w:t>
            </w:r>
          </w:p>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w:t>
            </w:r>
            <w:r w:rsidRPr="00D94753">
              <w:rPr>
                <w:rFonts w:asciiTheme="minorHAnsi" w:hAnsiTheme="minorHAnsi" w:cstheme="minorHAnsi"/>
                <w:b/>
                <w:bCs/>
                <w:sz w:val="22"/>
                <w:szCs w:val="22"/>
              </w:rPr>
              <w:t>2000 to 2005</w:t>
            </w:r>
            <w:r w:rsidRPr="00D94753">
              <w:rPr>
                <w:rFonts w:asciiTheme="minorHAnsi" w:hAnsiTheme="minorHAnsi" w:cstheme="minorHAnsi"/>
                <w:sz w:val="22"/>
                <w:szCs w:val="22"/>
              </w:rPr>
              <w:t>)</w:t>
            </w:r>
          </w:p>
        </w:tc>
        <w:tc>
          <w:tcPr>
            <w:tcW w:w="2298"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b/>
                <w:bCs/>
                <w:sz w:val="22"/>
                <w:szCs w:val="22"/>
              </w:rPr>
              <w:t xml:space="preserve">Annual Change </w:t>
            </w:r>
            <w:r w:rsidRPr="00D94753">
              <w:rPr>
                <w:rFonts w:asciiTheme="minorHAnsi" w:hAnsiTheme="minorHAnsi" w:cstheme="minorHAnsi"/>
                <w:sz w:val="22"/>
                <w:szCs w:val="22"/>
              </w:rPr>
              <w:t>(%)</w:t>
            </w:r>
          </w:p>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w:t>
            </w:r>
            <w:r w:rsidRPr="00D94753">
              <w:rPr>
                <w:rFonts w:asciiTheme="minorHAnsi" w:hAnsiTheme="minorHAnsi" w:cstheme="minorHAnsi"/>
                <w:b/>
                <w:bCs/>
                <w:sz w:val="22"/>
                <w:szCs w:val="22"/>
              </w:rPr>
              <w:t>2005 to 2010</w:t>
            </w:r>
            <w:r w:rsidRPr="00D94753">
              <w:rPr>
                <w:rFonts w:asciiTheme="minorHAnsi" w:hAnsiTheme="minorHAnsi" w:cstheme="minorHAnsi"/>
                <w:sz w:val="22"/>
                <w:szCs w:val="22"/>
              </w:rPr>
              <w:t>)</w:t>
            </w:r>
          </w:p>
        </w:tc>
      </w:tr>
      <w:tr w:rsidR="009511DC" w:rsidRPr="00D94753" w:rsidTr="009511DC">
        <w:trPr>
          <w:trHeight w:val="382"/>
        </w:trPr>
        <w:tc>
          <w:tcPr>
            <w:tcW w:w="1163"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National </w:t>
            </w:r>
          </w:p>
        </w:tc>
        <w:tc>
          <w:tcPr>
            <w:tcW w:w="1033"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48.9</w:t>
            </w:r>
          </w:p>
        </w:tc>
        <w:tc>
          <w:tcPr>
            <w:tcW w:w="1032"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40.0</w:t>
            </w:r>
          </w:p>
        </w:tc>
        <w:tc>
          <w:tcPr>
            <w:tcW w:w="1038"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31.5</w:t>
            </w:r>
          </w:p>
        </w:tc>
        <w:tc>
          <w:tcPr>
            <w:tcW w:w="2292"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- 1.8</w:t>
            </w:r>
          </w:p>
        </w:tc>
        <w:tc>
          <w:tcPr>
            <w:tcW w:w="2298"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- 1.7</w:t>
            </w:r>
          </w:p>
        </w:tc>
      </w:tr>
      <w:tr w:rsidR="009511DC" w:rsidRPr="00D94753" w:rsidTr="009511DC">
        <w:trPr>
          <w:trHeight w:val="382"/>
        </w:trPr>
        <w:tc>
          <w:tcPr>
            <w:tcW w:w="1163"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Urban </w:t>
            </w:r>
          </w:p>
        </w:tc>
        <w:tc>
          <w:tcPr>
            <w:tcW w:w="1033"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35.2</w:t>
            </w:r>
          </w:p>
        </w:tc>
        <w:tc>
          <w:tcPr>
            <w:tcW w:w="1032"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28.4</w:t>
            </w:r>
          </w:p>
        </w:tc>
        <w:tc>
          <w:tcPr>
            <w:tcW w:w="1038"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21.3</w:t>
            </w:r>
          </w:p>
        </w:tc>
        <w:tc>
          <w:tcPr>
            <w:tcW w:w="2292"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- 1.4</w:t>
            </w:r>
          </w:p>
        </w:tc>
        <w:tc>
          <w:tcPr>
            <w:tcW w:w="2298"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- 1.4</w:t>
            </w:r>
          </w:p>
        </w:tc>
      </w:tr>
      <w:tr w:rsidR="009511DC" w:rsidRPr="00D94753" w:rsidTr="009511DC">
        <w:trPr>
          <w:trHeight w:val="382"/>
        </w:trPr>
        <w:tc>
          <w:tcPr>
            <w:tcW w:w="1163"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Rural </w:t>
            </w:r>
          </w:p>
        </w:tc>
        <w:tc>
          <w:tcPr>
            <w:tcW w:w="1033"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52.3</w:t>
            </w:r>
          </w:p>
        </w:tc>
        <w:tc>
          <w:tcPr>
            <w:tcW w:w="1032"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43.8</w:t>
            </w:r>
          </w:p>
        </w:tc>
        <w:tc>
          <w:tcPr>
            <w:tcW w:w="1038"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35.2</w:t>
            </w:r>
          </w:p>
        </w:tc>
        <w:tc>
          <w:tcPr>
            <w:tcW w:w="2292"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- 1.7</w:t>
            </w:r>
          </w:p>
        </w:tc>
        <w:tc>
          <w:tcPr>
            <w:tcW w:w="2298"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-1.7</w:t>
            </w:r>
          </w:p>
        </w:tc>
      </w:tr>
    </w:tbl>
    <w:p w:rsidR="009511DC" w:rsidRPr="009511DC" w:rsidRDefault="009511DC" w:rsidP="009511DC">
      <w:pPr>
        <w:autoSpaceDE w:val="0"/>
        <w:autoSpaceDN w:val="0"/>
        <w:adjustRightInd w:val="0"/>
        <w:jc w:val="both"/>
        <w:rPr>
          <w:rFonts w:cstheme="minorHAnsi"/>
        </w:rPr>
      </w:pPr>
      <w:r w:rsidRPr="00D94753">
        <w:rPr>
          <w:rFonts w:cstheme="minorHAnsi"/>
          <w:b/>
          <w:bCs/>
        </w:rPr>
        <w:t xml:space="preserve">Source: </w:t>
      </w:r>
      <w:r w:rsidRPr="00D94753">
        <w:rPr>
          <w:rFonts w:cstheme="minorHAnsi"/>
        </w:rPr>
        <w:t>Household Income and Expenditure Surveys (HIES), 2010</w:t>
      </w:r>
      <w:r>
        <w:rPr>
          <w:rFonts w:cstheme="minorHAnsi"/>
        </w:rPr>
        <w:t>.</w:t>
      </w:r>
    </w:p>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In 1991, the national HCR of poverty was 56.7 percent. In about 20 years, it recorded 25.2 percentage point</w:t>
      </w:r>
      <w:r>
        <w:rPr>
          <w:rFonts w:asciiTheme="minorHAnsi" w:hAnsiTheme="minorHAnsi" w:cstheme="minorHAnsi"/>
          <w:sz w:val="22"/>
          <w:szCs w:val="22"/>
        </w:rPr>
        <w:t>s reduction.</w:t>
      </w:r>
      <w:r w:rsidRPr="00D94753">
        <w:rPr>
          <w:rFonts w:asciiTheme="minorHAnsi" w:hAnsiTheme="minorHAnsi" w:cstheme="minorHAnsi"/>
          <w:sz w:val="22"/>
          <w:szCs w:val="22"/>
        </w:rPr>
        <w:t xml:space="preserve"> Bangladesh is close to achieving the MDG of halving the poverty incidence by 2015. </w:t>
      </w:r>
      <w:r w:rsidRPr="00D94753">
        <w:rPr>
          <w:rFonts w:asciiTheme="minorHAnsi" w:hAnsiTheme="minorHAnsi" w:cstheme="minorHAnsi"/>
          <w:iCs/>
          <w:sz w:val="22"/>
          <w:szCs w:val="22"/>
        </w:rPr>
        <w:t xml:space="preserve">In order to reduce </w:t>
      </w:r>
      <w:r>
        <w:rPr>
          <w:rFonts w:asciiTheme="minorHAnsi" w:hAnsiTheme="minorHAnsi" w:cstheme="minorHAnsi"/>
          <w:iCs/>
          <w:sz w:val="22"/>
          <w:szCs w:val="22"/>
        </w:rPr>
        <w:t xml:space="preserve">the </w:t>
      </w:r>
      <w:r w:rsidRPr="00D94753">
        <w:rPr>
          <w:rFonts w:asciiTheme="minorHAnsi" w:hAnsiTheme="minorHAnsi" w:cstheme="minorHAnsi"/>
          <w:iCs/>
          <w:sz w:val="22"/>
          <w:szCs w:val="22"/>
        </w:rPr>
        <w:t xml:space="preserve">poverty rate to 25 percent by 2013 and 15 percent by 2021 as set out in Vision 2021, the Government has prepared a perspective plan (2010-21) and the Sixth Five Year Plan (SFYP) for implementation. </w:t>
      </w:r>
    </w:p>
    <w:p w:rsidR="009511DC" w:rsidRPr="00D94753" w:rsidRDefault="009511DC" w:rsidP="009511DC">
      <w:pPr>
        <w:pStyle w:val="Default"/>
        <w:jc w:val="both"/>
        <w:rPr>
          <w:rFonts w:asciiTheme="minorHAnsi" w:hAnsiTheme="minorHAnsi" w:cstheme="minorHAnsi"/>
          <w:sz w:val="22"/>
          <w:szCs w:val="22"/>
        </w:rPr>
      </w:pPr>
    </w:p>
    <w:p w:rsidR="009511DC" w:rsidRPr="00D94753" w:rsidRDefault="009511DC" w:rsidP="009511DC">
      <w:pPr>
        <w:autoSpaceDE w:val="0"/>
        <w:autoSpaceDN w:val="0"/>
        <w:adjustRightInd w:val="0"/>
        <w:spacing w:after="0" w:line="240" w:lineRule="auto"/>
        <w:jc w:val="both"/>
        <w:rPr>
          <w:rFonts w:cstheme="minorHAnsi"/>
          <w:color w:val="231F20"/>
        </w:rPr>
      </w:pPr>
      <w:r w:rsidRPr="00D94753">
        <w:rPr>
          <w:rFonts w:cstheme="minorHAnsi"/>
          <w:color w:val="231F20"/>
        </w:rPr>
        <w:t xml:space="preserve">GED estimates reported in SFYP reveal that national poverty will be reduced to 24.4 and 22.7 percent in 2014 and 2015 respectively (Table </w:t>
      </w:r>
      <w:r>
        <w:rPr>
          <w:rFonts w:cstheme="minorHAnsi"/>
          <w:color w:val="231F20"/>
        </w:rPr>
        <w:t>VI.</w:t>
      </w:r>
      <w:r w:rsidRPr="00D94753">
        <w:rPr>
          <w:rFonts w:cstheme="minorHAnsi"/>
          <w:color w:val="231F20"/>
        </w:rPr>
        <w:t xml:space="preserve">5). </w:t>
      </w:r>
    </w:p>
    <w:p w:rsidR="009511DC" w:rsidRPr="00D94753" w:rsidRDefault="009511DC" w:rsidP="009511DC">
      <w:pPr>
        <w:pStyle w:val="Default"/>
        <w:jc w:val="both"/>
        <w:rPr>
          <w:rFonts w:asciiTheme="minorHAnsi" w:hAnsiTheme="minorHAnsi" w:cstheme="minorHAnsi"/>
          <w:sz w:val="22"/>
          <w:szCs w:val="22"/>
        </w:rPr>
      </w:pPr>
    </w:p>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b/>
          <w:bCs/>
          <w:sz w:val="22"/>
          <w:szCs w:val="22"/>
        </w:rPr>
        <w:t>Human Poverty Index (HPI) and Human Development Index</w:t>
      </w:r>
      <w:r w:rsidRPr="00D94753">
        <w:rPr>
          <w:rFonts w:asciiTheme="minorHAnsi" w:hAnsiTheme="minorHAnsi" w:cstheme="minorHAnsi"/>
          <w:b/>
          <w:sz w:val="22"/>
          <w:szCs w:val="22"/>
        </w:rPr>
        <w:t xml:space="preserve"> (</w:t>
      </w:r>
      <w:r w:rsidRPr="00D94753">
        <w:rPr>
          <w:rFonts w:asciiTheme="minorHAnsi" w:hAnsiTheme="minorHAnsi" w:cstheme="minorHAnsi"/>
          <w:b/>
          <w:bCs/>
          <w:sz w:val="22"/>
          <w:szCs w:val="22"/>
        </w:rPr>
        <w:t>HDI)</w:t>
      </w:r>
    </w:p>
    <w:p w:rsidR="009511DC" w:rsidRPr="00D94753" w:rsidRDefault="009511DC" w:rsidP="009511DC">
      <w:pPr>
        <w:autoSpaceDE w:val="0"/>
        <w:autoSpaceDN w:val="0"/>
        <w:adjustRightInd w:val="0"/>
        <w:spacing w:after="0" w:line="240" w:lineRule="auto"/>
        <w:jc w:val="both"/>
        <w:rPr>
          <w:rFonts w:cstheme="minorHAnsi"/>
          <w:bCs/>
        </w:rPr>
      </w:pPr>
      <w:r w:rsidRPr="00D94753">
        <w:rPr>
          <w:rFonts w:cstheme="minorHAnsi"/>
        </w:rPr>
        <w:t xml:space="preserve">The </w:t>
      </w:r>
      <w:r w:rsidRPr="00D94753">
        <w:rPr>
          <w:rFonts w:cstheme="minorHAnsi"/>
          <w:bCs/>
        </w:rPr>
        <w:t>Human Poverty Index (HPI)</w:t>
      </w:r>
      <w:r>
        <w:rPr>
          <w:rFonts w:cstheme="minorHAnsi"/>
          <w:bCs/>
        </w:rPr>
        <w:t>,</w:t>
      </w:r>
      <w:r w:rsidRPr="00D94753">
        <w:rPr>
          <w:rFonts w:cstheme="minorHAnsi"/>
          <w:bCs/>
        </w:rPr>
        <w:t xml:space="preserve"> which is an </w:t>
      </w:r>
      <w:r w:rsidRPr="00D94753">
        <w:rPr>
          <w:rFonts w:cstheme="minorHAnsi"/>
        </w:rPr>
        <w:t xml:space="preserve">indication of the extent of </w:t>
      </w:r>
      <w:r w:rsidRPr="00990147">
        <w:rPr>
          <w:rFonts w:cstheme="minorHAnsi"/>
        </w:rPr>
        <w:t>deprivation</w:t>
      </w:r>
      <w:r w:rsidRPr="00D94753">
        <w:rPr>
          <w:rFonts w:cstheme="minorHAnsi"/>
        </w:rPr>
        <w:t xml:space="preserve"> (longevity, </w:t>
      </w:r>
      <w:r>
        <w:rPr>
          <w:rFonts w:cstheme="minorHAnsi"/>
        </w:rPr>
        <w:t>k</w:t>
      </w:r>
      <w:r w:rsidRPr="00D94753">
        <w:rPr>
          <w:rFonts w:cstheme="minorHAnsi"/>
        </w:rPr>
        <w:t>nowledge and a decent standard of living), registered slight improvement</w:t>
      </w:r>
      <w:r>
        <w:rPr>
          <w:rFonts w:cstheme="minorHAnsi"/>
        </w:rPr>
        <w:t xml:space="preserve"> in Bangladesh.</w:t>
      </w:r>
      <w:r w:rsidRPr="00D94753">
        <w:rPr>
          <w:rFonts w:cstheme="minorHAnsi"/>
        </w:rPr>
        <w:t xml:space="preserve"> The trend rate of change registered from -2.8 percent during the period 2000</w:t>
      </w:r>
      <w:r>
        <w:rPr>
          <w:rFonts w:cstheme="minorHAnsi"/>
        </w:rPr>
        <w:t>-10 to -1.7 percent during 2</w:t>
      </w:r>
      <w:r w:rsidRPr="00D94753">
        <w:rPr>
          <w:rFonts w:cstheme="minorHAnsi"/>
        </w:rPr>
        <w:t xml:space="preserve">010-14. </w:t>
      </w:r>
    </w:p>
    <w:p w:rsidR="009511DC" w:rsidRPr="00D94753" w:rsidRDefault="009511DC" w:rsidP="009511DC">
      <w:pPr>
        <w:autoSpaceDE w:val="0"/>
        <w:autoSpaceDN w:val="0"/>
        <w:adjustRightInd w:val="0"/>
        <w:spacing w:after="0" w:line="240" w:lineRule="auto"/>
        <w:jc w:val="both"/>
        <w:rPr>
          <w:rFonts w:cstheme="minorHAnsi"/>
          <w:bCs/>
        </w:rPr>
      </w:pPr>
    </w:p>
    <w:p w:rsidR="009511DC" w:rsidRDefault="009511DC" w:rsidP="009511DC">
      <w:pPr>
        <w:autoSpaceDE w:val="0"/>
        <w:autoSpaceDN w:val="0"/>
        <w:adjustRightInd w:val="0"/>
        <w:spacing w:after="0" w:line="240" w:lineRule="auto"/>
        <w:jc w:val="both"/>
        <w:rPr>
          <w:rFonts w:cstheme="minorHAnsi"/>
        </w:rPr>
      </w:pPr>
      <w:r w:rsidRPr="00D94753">
        <w:rPr>
          <w:rFonts w:cstheme="minorHAnsi"/>
        </w:rPr>
        <w:t xml:space="preserve">The performance in terms of </w:t>
      </w:r>
      <w:r w:rsidRPr="00D94753">
        <w:rPr>
          <w:rFonts w:cstheme="minorHAnsi"/>
          <w:bCs/>
        </w:rPr>
        <w:t>Human Development Index</w:t>
      </w:r>
      <w:r w:rsidRPr="00D94753">
        <w:rPr>
          <w:rFonts w:cstheme="minorHAnsi"/>
        </w:rPr>
        <w:t xml:space="preserve"> (</w:t>
      </w:r>
      <w:r w:rsidRPr="00D94753">
        <w:rPr>
          <w:rFonts w:cstheme="minorHAnsi"/>
          <w:bCs/>
        </w:rPr>
        <w:t>HDI</w:t>
      </w:r>
      <w:r w:rsidRPr="00D94753">
        <w:rPr>
          <w:rFonts w:cstheme="minorHAnsi"/>
        </w:rPr>
        <w:t xml:space="preserve">) (a composite statistic of </w:t>
      </w:r>
      <w:r w:rsidRPr="00990147">
        <w:rPr>
          <w:rFonts w:cstheme="minorHAnsi"/>
        </w:rPr>
        <w:t>life expectancy</w:t>
      </w:r>
      <w:r w:rsidRPr="00D94753">
        <w:rPr>
          <w:rFonts w:cstheme="minorHAnsi"/>
        </w:rPr>
        <w:t xml:space="preserve">, education, and income </w:t>
      </w:r>
      <w:r w:rsidRPr="00990147">
        <w:rPr>
          <w:rFonts w:cstheme="minorHAnsi"/>
        </w:rPr>
        <w:t>indices</w:t>
      </w:r>
      <w:r w:rsidRPr="00D94753">
        <w:rPr>
          <w:rFonts w:cstheme="minorHAnsi"/>
        </w:rPr>
        <w:t>) has been impressive in that it registered an improvement during 2010-14 to the extent of 3.1 percent c</w:t>
      </w:r>
      <w:r>
        <w:rPr>
          <w:rFonts w:cstheme="minorHAnsi"/>
        </w:rPr>
        <w:t>ompared to that during 2000- 10</w:t>
      </w:r>
      <w:r w:rsidRPr="00D94753">
        <w:rPr>
          <w:rFonts w:cstheme="minorHAnsi"/>
        </w:rPr>
        <w:t xml:space="preserve"> (slight </w:t>
      </w:r>
      <w:r>
        <w:rPr>
          <w:rFonts w:cstheme="minorHAnsi"/>
        </w:rPr>
        <w:t>decline</w:t>
      </w:r>
      <w:r w:rsidRPr="00D94753">
        <w:rPr>
          <w:rFonts w:cstheme="minorHAnsi"/>
        </w:rPr>
        <w:t xml:space="preserve"> to the extent of 0.3 percent).  </w:t>
      </w:r>
    </w:p>
    <w:p w:rsidR="009511DC" w:rsidRDefault="009511DC" w:rsidP="009511DC">
      <w:pPr>
        <w:autoSpaceDE w:val="0"/>
        <w:autoSpaceDN w:val="0"/>
        <w:adjustRightInd w:val="0"/>
        <w:spacing w:after="0" w:line="240" w:lineRule="auto"/>
        <w:jc w:val="both"/>
        <w:rPr>
          <w:rFonts w:cstheme="minorHAnsi"/>
          <w:b/>
        </w:rPr>
      </w:pPr>
    </w:p>
    <w:p w:rsidR="009511DC" w:rsidRPr="00D94753" w:rsidRDefault="009511DC" w:rsidP="009511DC">
      <w:pPr>
        <w:autoSpaceDE w:val="0"/>
        <w:autoSpaceDN w:val="0"/>
        <w:adjustRightInd w:val="0"/>
        <w:spacing w:after="0" w:line="240" w:lineRule="auto"/>
        <w:jc w:val="both"/>
        <w:rPr>
          <w:rFonts w:cstheme="minorHAnsi"/>
          <w:b/>
        </w:rPr>
      </w:pPr>
      <w:r w:rsidRPr="00D94753">
        <w:rPr>
          <w:rFonts w:cstheme="minorHAnsi"/>
          <w:b/>
        </w:rPr>
        <w:t xml:space="preserve">Water and Sanitation </w:t>
      </w:r>
    </w:p>
    <w:p w:rsidR="009511DC" w:rsidRDefault="009511DC" w:rsidP="009511DC">
      <w:pPr>
        <w:autoSpaceDE w:val="0"/>
        <w:autoSpaceDN w:val="0"/>
        <w:adjustRightInd w:val="0"/>
        <w:spacing w:after="0" w:line="240" w:lineRule="auto"/>
        <w:jc w:val="both"/>
        <w:rPr>
          <w:rFonts w:cstheme="minorHAnsi"/>
          <w:bCs/>
        </w:rPr>
      </w:pPr>
      <w:r w:rsidRPr="00D94753">
        <w:rPr>
          <w:rFonts w:cstheme="minorHAnsi"/>
        </w:rPr>
        <w:t>Improvement in access to water and sanitation has continued in both the periods</w:t>
      </w:r>
      <w:r>
        <w:rPr>
          <w:rFonts w:cstheme="minorHAnsi"/>
        </w:rPr>
        <w:t>; however,</w:t>
      </w:r>
      <w:r w:rsidRPr="00D94753">
        <w:rPr>
          <w:rFonts w:cstheme="minorHAnsi"/>
        </w:rPr>
        <w:t xml:space="preserve"> the extent of progress has been much higher during the earlier periods than in the later periods</w:t>
      </w:r>
      <w:r>
        <w:rPr>
          <w:rFonts w:cstheme="minorHAnsi"/>
        </w:rPr>
        <w:t>. This was</w:t>
      </w:r>
      <w:r w:rsidRPr="00D94753">
        <w:rPr>
          <w:rFonts w:cstheme="minorHAnsi"/>
        </w:rPr>
        <w:t xml:space="preserve"> because of the influence of the lower base figures in the earlier pe</w:t>
      </w:r>
      <w:r>
        <w:rPr>
          <w:rFonts w:cstheme="minorHAnsi"/>
        </w:rPr>
        <w:t>riods than in the later periods</w:t>
      </w:r>
      <w:r w:rsidRPr="00D94753">
        <w:rPr>
          <w:rFonts w:cstheme="minorHAnsi"/>
        </w:rPr>
        <w:t xml:space="preserve"> (in fact, </w:t>
      </w:r>
      <w:r>
        <w:rPr>
          <w:rFonts w:cstheme="minorHAnsi"/>
        </w:rPr>
        <w:t xml:space="preserve">it </w:t>
      </w:r>
      <w:r w:rsidRPr="00D94753">
        <w:rPr>
          <w:rFonts w:cstheme="minorHAnsi"/>
        </w:rPr>
        <w:t>already reached a high proportion) (Table</w:t>
      </w:r>
      <w:r>
        <w:rPr>
          <w:rFonts w:cstheme="minorHAnsi"/>
        </w:rPr>
        <w:t xml:space="preserve"> VI.</w:t>
      </w:r>
      <w:r w:rsidRPr="00D94753">
        <w:rPr>
          <w:rFonts w:cstheme="minorHAnsi"/>
        </w:rPr>
        <w:t>2)</w:t>
      </w:r>
      <w:r>
        <w:rPr>
          <w:rFonts w:cstheme="minorHAnsi"/>
        </w:rPr>
        <w:t>.</w:t>
      </w:r>
    </w:p>
    <w:p w:rsidR="009511DC" w:rsidRPr="009511DC" w:rsidRDefault="009511DC" w:rsidP="009511DC">
      <w:pPr>
        <w:autoSpaceDE w:val="0"/>
        <w:autoSpaceDN w:val="0"/>
        <w:adjustRightInd w:val="0"/>
        <w:spacing w:after="0" w:line="240" w:lineRule="auto"/>
        <w:jc w:val="both"/>
        <w:rPr>
          <w:rFonts w:cstheme="minorHAnsi"/>
          <w:bCs/>
        </w:rPr>
      </w:pPr>
    </w:p>
    <w:p w:rsidR="009511DC" w:rsidRPr="002E7A7C" w:rsidRDefault="009511DC" w:rsidP="009511DC">
      <w:pPr>
        <w:autoSpaceDE w:val="0"/>
        <w:autoSpaceDN w:val="0"/>
        <w:adjustRightInd w:val="0"/>
        <w:spacing w:after="0" w:line="240" w:lineRule="auto"/>
        <w:jc w:val="both"/>
        <w:rPr>
          <w:rFonts w:cstheme="minorHAnsi"/>
          <w:b/>
          <w:color w:val="000000"/>
        </w:rPr>
      </w:pPr>
      <w:r w:rsidRPr="002E7A7C">
        <w:rPr>
          <w:rFonts w:cstheme="minorHAnsi"/>
          <w:b/>
          <w:bCs/>
          <w:color w:val="231F20"/>
        </w:rPr>
        <w:t>Table VI. 5: Poverty estimates for 2011 to 2015</w:t>
      </w:r>
    </w:p>
    <w:tbl>
      <w:tblPr>
        <w:tblW w:w="9468" w:type="dxa"/>
        <w:tblBorders>
          <w:top w:val="nil"/>
          <w:left w:val="nil"/>
          <w:bottom w:val="nil"/>
          <w:right w:val="nil"/>
        </w:tblBorders>
        <w:tblLook w:val="0000" w:firstRow="0" w:lastRow="0" w:firstColumn="0" w:lastColumn="0" w:noHBand="0" w:noVBand="0"/>
      </w:tblPr>
      <w:tblGrid>
        <w:gridCol w:w="1792"/>
        <w:gridCol w:w="7676"/>
      </w:tblGrid>
      <w:tr w:rsidR="009511DC" w:rsidRPr="00D94753" w:rsidTr="009511DC">
        <w:trPr>
          <w:trHeight w:val="298"/>
        </w:trPr>
        <w:tc>
          <w:tcPr>
            <w:tcW w:w="1792" w:type="dxa"/>
            <w:tcBorders>
              <w:top w:val="single" w:sz="7" w:space="0" w:color="211E1F"/>
              <w:left w:val="single" w:sz="6" w:space="0" w:color="211E1F"/>
              <w:bottom w:val="single" w:sz="7" w:space="0" w:color="211E1F"/>
              <w:right w:val="single" w:sz="6" w:space="0" w:color="211E1F"/>
            </w:tcBorders>
            <w:vAlign w:val="center"/>
          </w:tcPr>
          <w:p w:rsidR="009511DC" w:rsidRPr="002E7A7C" w:rsidRDefault="009511DC" w:rsidP="009511DC">
            <w:pPr>
              <w:pStyle w:val="Default"/>
              <w:jc w:val="center"/>
              <w:rPr>
                <w:rFonts w:asciiTheme="minorHAnsi" w:hAnsiTheme="minorHAnsi" w:cstheme="minorHAnsi"/>
                <w:b/>
                <w:color w:val="211E1F"/>
                <w:sz w:val="22"/>
                <w:szCs w:val="22"/>
              </w:rPr>
            </w:pPr>
            <w:r w:rsidRPr="002E7A7C">
              <w:rPr>
                <w:rFonts w:asciiTheme="minorHAnsi" w:hAnsiTheme="minorHAnsi" w:cstheme="minorHAnsi"/>
                <w:b/>
                <w:color w:val="211E1F"/>
                <w:sz w:val="22"/>
                <w:szCs w:val="22"/>
              </w:rPr>
              <w:t>Year</w:t>
            </w:r>
          </w:p>
        </w:tc>
        <w:tc>
          <w:tcPr>
            <w:tcW w:w="7676" w:type="dxa"/>
            <w:tcBorders>
              <w:top w:val="single" w:sz="7" w:space="0" w:color="211E1F"/>
              <w:left w:val="single" w:sz="6" w:space="0" w:color="211E1F"/>
              <w:bottom w:val="single" w:sz="7" w:space="0" w:color="211E1F"/>
              <w:right w:val="single" w:sz="6" w:space="0" w:color="211E1F"/>
            </w:tcBorders>
            <w:vAlign w:val="center"/>
          </w:tcPr>
          <w:p w:rsidR="009511DC" w:rsidRPr="002E7A7C" w:rsidRDefault="009511DC" w:rsidP="009511DC">
            <w:pPr>
              <w:pStyle w:val="Default"/>
              <w:jc w:val="center"/>
              <w:rPr>
                <w:rFonts w:asciiTheme="minorHAnsi" w:hAnsiTheme="minorHAnsi" w:cstheme="minorHAnsi"/>
                <w:b/>
                <w:color w:val="211E1F"/>
                <w:sz w:val="22"/>
                <w:szCs w:val="22"/>
              </w:rPr>
            </w:pPr>
            <w:r w:rsidRPr="002E7A7C">
              <w:rPr>
                <w:rFonts w:asciiTheme="minorHAnsi" w:hAnsiTheme="minorHAnsi" w:cstheme="minorHAnsi"/>
                <w:b/>
                <w:color w:val="211E1F"/>
                <w:sz w:val="22"/>
                <w:szCs w:val="22"/>
              </w:rPr>
              <w:t>HCR-UPL</w:t>
            </w:r>
          </w:p>
        </w:tc>
      </w:tr>
      <w:tr w:rsidR="009511DC" w:rsidRPr="00D94753" w:rsidTr="009511DC">
        <w:trPr>
          <w:trHeight w:val="163"/>
        </w:trPr>
        <w:tc>
          <w:tcPr>
            <w:tcW w:w="1792" w:type="dxa"/>
            <w:tcBorders>
              <w:top w:val="single" w:sz="7" w:space="0" w:color="211E1F"/>
              <w:left w:val="single" w:sz="6" w:space="0" w:color="211E1F"/>
              <w:bottom w:val="single" w:sz="6" w:space="0" w:color="211E1F"/>
              <w:right w:val="single" w:sz="6" w:space="0" w:color="211E1F"/>
            </w:tcBorders>
            <w:vAlign w:val="center"/>
          </w:tcPr>
          <w:p w:rsidR="009511DC" w:rsidRPr="00D94753" w:rsidRDefault="009511DC" w:rsidP="009511DC">
            <w:pPr>
              <w:pStyle w:val="Default"/>
              <w:jc w:val="center"/>
              <w:rPr>
                <w:rFonts w:asciiTheme="minorHAnsi" w:hAnsiTheme="minorHAnsi" w:cstheme="minorHAnsi"/>
                <w:color w:val="211E1F"/>
                <w:sz w:val="22"/>
                <w:szCs w:val="22"/>
              </w:rPr>
            </w:pPr>
            <w:r w:rsidRPr="00D94753">
              <w:rPr>
                <w:rFonts w:asciiTheme="minorHAnsi" w:hAnsiTheme="minorHAnsi" w:cstheme="minorHAnsi"/>
                <w:color w:val="211E1F"/>
                <w:sz w:val="22"/>
                <w:szCs w:val="22"/>
              </w:rPr>
              <w:t>2011</w:t>
            </w:r>
          </w:p>
        </w:tc>
        <w:tc>
          <w:tcPr>
            <w:tcW w:w="7676" w:type="dxa"/>
            <w:tcBorders>
              <w:top w:val="single" w:sz="7" w:space="0" w:color="211E1F"/>
              <w:left w:val="single" w:sz="6" w:space="0" w:color="211E1F"/>
              <w:bottom w:val="single" w:sz="6" w:space="0" w:color="211E1F"/>
              <w:right w:val="single" w:sz="6" w:space="0" w:color="211E1F"/>
            </w:tcBorders>
            <w:vAlign w:val="center"/>
          </w:tcPr>
          <w:p w:rsidR="009511DC" w:rsidRPr="00D94753" w:rsidRDefault="009511DC" w:rsidP="009511DC">
            <w:pPr>
              <w:pStyle w:val="Default"/>
              <w:jc w:val="center"/>
              <w:rPr>
                <w:rFonts w:asciiTheme="minorHAnsi" w:hAnsiTheme="minorHAnsi" w:cstheme="minorHAnsi"/>
                <w:color w:val="211E1F"/>
                <w:sz w:val="22"/>
                <w:szCs w:val="22"/>
              </w:rPr>
            </w:pPr>
            <w:r w:rsidRPr="00D94753">
              <w:rPr>
                <w:rFonts w:asciiTheme="minorHAnsi" w:hAnsiTheme="minorHAnsi" w:cstheme="minorHAnsi"/>
                <w:color w:val="211E1F"/>
                <w:sz w:val="22"/>
                <w:szCs w:val="22"/>
              </w:rPr>
              <w:t>29.69</w:t>
            </w:r>
          </w:p>
        </w:tc>
      </w:tr>
      <w:tr w:rsidR="009511DC" w:rsidRPr="00D94753" w:rsidTr="009511DC">
        <w:trPr>
          <w:trHeight w:val="282"/>
        </w:trPr>
        <w:tc>
          <w:tcPr>
            <w:tcW w:w="1792" w:type="dxa"/>
            <w:tcBorders>
              <w:top w:val="single" w:sz="6" w:space="0" w:color="211E1F"/>
              <w:left w:val="single" w:sz="6" w:space="0" w:color="211E1F"/>
              <w:bottom w:val="single" w:sz="6" w:space="0" w:color="211E1F"/>
              <w:right w:val="single" w:sz="6" w:space="0" w:color="211E1F"/>
            </w:tcBorders>
            <w:vAlign w:val="center"/>
          </w:tcPr>
          <w:p w:rsidR="009511DC" w:rsidRPr="00D94753" w:rsidRDefault="009511DC" w:rsidP="009511DC">
            <w:pPr>
              <w:pStyle w:val="Default"/>
              <w:jc w:val="center"/>
              <w:rPr>
                <w:rFonts w:asciiTheme="minorHAnsi" w:hAnsiTheme="minorHAnsi" w:cstheme="minorHAnsi"/>
                <w:color w:val="211E1F"/>
                <w:sz w:val="22"/>
                <w:szCs w:val="22"/>
              </w:rPr>
            </w:pPr>
            <w:r w:rsidRPr="00D94753">
              <w:rPr>
                <w:rFonts w:asciiTheme="minorHAnsi" w:hAnsiTheme="minorHAnsi" w:cstheme="minorHAnsi"/>
                <w:color w:val="211E1F"/>
                <w:sz w:val="22"/>
                <w:szCs w:val="22"/>
              </w:rPr>
              <w:t>2012</w:t>
            </w:r>
          </w:p>
        </w:tc>
        <w:tc>
          <w:tcPr>
            <w:tcW w:w="7676" w:type="dxa"/>
            <w:tcBorders>
              <w:top w:val="single" w:sz="6" w:space="0" w:color="211E1F"/>
              <w:left w:val="single" w:sz="6" w:space="0" w:color="211E1F"/>
              <w:bottom w:val="single" w:sz="6" w:space="0" w:color="211E1F"/>
              <w:right w:val="single" w:sz="6" w:space="0" w:color="211E1F"/>
            </w:tcBorders>
            <w:vAlign w:val="center"/>
          </w:tcPr>
          <w:p w:rsidR="009511DC" w:rsidRPr="00D94753" w:rsidRDefault="009511DC" w:rsidP="009511DC">
            <w:pPr>
              <w:pStyle w:val="Default"/>
              <w:jc w:val="center"/>
              <w:rPr>
                <w:rFonts w:asciiTheme="minorHAnsi" w:hAnsiTheme="minorHAnsi" w:cstheme="minorHAnsi"/>
                <w:color w:val="211E1F"/>
                <w:sz w:val="22"/>
                <w:szCs w:val="22"/>
              </w:rPr>
            </w:pPr>
            <w:r w:rsidRPr="00D94753">
              <w:rPr>
                <w:rFonts w:asciiTheme="minorHAnsi" w:hAnsiTheme="minorHAnsi" w:cstheme="minorHAnsi"/>
                <w:color w:val="211E1F"/>
                <w:sz w:val="22"/>
                <w:szCs w:val="22"/>
              </w:rPr>
              <w:t>27.95</w:t>
            </w:r>
          </w:p>
        </w:tc>
      </w:tr>
      <w:tr w:rsidR="009511DC" w:rsidRPr="00D94753" w:rsidTr="009511DC">
        <w:trPr>
          <w:trHeight w:val="165"/>
        </w:trPr>
        <w:tc>
          <w:tcPr>
            <w:tcW w:w="1792" w:type="dxa"/>
            <w:tcBorders>
              <w:top w:val="single" w:sz="6" w:space="0" w:color="211E1F"/>
              <w:left w:val="single" w:sz="6" w:space="0" w:color="211E1F"/>
              <w:bottom w:val="single" w:sz="7" w:space="0" w:color="211E1F"/>
              <w:right w:val="single" w:sz="6" w:space="0" w:color="211E1F"/>
            </w:tcBorders>
            <w:vAlign w:val="center"/>
          </w:tcPr>
          <w:p w:rsidR="009511DC" w:rsidRPr="00D94753" w:rsidRDefault="009511DC" w:rsidP="009511DC">
            <w:pPr>
              <w:pStyle w:val="Default"/>
              <w:jc w:val="center"/>
              <w:rPr>
                <w:rFonts w:asciiTheme="minorHAnsi" w:hAnsiTheme="minorHAnsi" w:cstheme="minorHAnsi"/>
                <w:color w:val="211E1F"/>
                <w:sz w:val="22"/>
                <w:szCs w:val="22"/>
              </w:rPr>
            </w:pPr>
            <w:r w:rsidRPr="00D94753">
              <w:rPr>
                <w:rFonts w:asciiTheme="minorHAnsi" w:hAnsiTheme="minorHAnsi" w:cstheme="minorHAnsi"/>
                <w:color w:val="211E1F"/>
                <w:sz w:val="22"/>
                <w:szCs w:val="22"/>
              </w:rPr>
              <w:t>2013</w:t>
            </w:r>
          </w:p>
        </w:tc>
        <w:tc>
          <w:tcPr>
            <w:tcW w:w="7676" w:type="dxa"/>
            <w:tcBorders>
              <w:top w:val="single" w:sz="6" w:space="0" w:color="211E1F"/>
              <w:left w:val="single" w:sz="6" w:space="0" w:color="211E1F"/>
              <w:bottom w:val="single" w:sz="7" w:space="0" w:color="211E1F"/>
              <w:right w:val="single" w:sz="6" w:space="0" w:color="211E1F"/>
            </w:tcBorders>
            <w:vAlign w:val="center"/>
          </w:tcPr>
          <w:p w:rsidR="009511DC" w:rsidRPr="00D94753" w:rsidRDefault="009511DC" w:rsidP="009511DC">
            <w:pPr>
              <w:pStyle w:val="Default"/>
              <w:jc w:val="center"/>
              <w:rPr>
                <w:rFonts w:asciiTheme="minorHAnsi" w:hAnsiTheme="minorHAnsi" w:cstheme="minorHAnsi"/>
                <w:color w:val="211E1F"/>
                <w:sz w:val="22"/>
                <w:szCs w:val="22"/>
              </w:rPr>
            </w:pPr>
            <w:r w:rsidRPr="00D94753">
              <w:rPr>
                <w:rFonts w:asciiTheme="minorHAnsi" w:hAnsiTheme="minorHAnsi" w:cstheme="minorHAnsi"/>
                <w:color w:val="211E1F"/>
                <w:sz w:val="22"/>
                <w:szCs w:val="22"/>
              </w:rPr>
              <w:t>26.21</w:t>
            </w:r>
          </w:p>
        </w:tc>
      </w:tr>
      <w:tr w:rsidR="009511DC" w:rsidRPr="00D94753" w:rsidTr="009511DC">
        <w:trPr>
          <w:trHeight w:val="100"/>
        </w:trPr>
        <w:tc>
          <w:tcPr>
            <w:tcW w:w="1792" w:type="dxa"/>
            <w:tcBorders>
              <w:top w:val="single" w:sz="7" w:space="0" w:color="211E1F"/>
              <w:left w:val="single" w:sz="6" w:space="0" w:color="211E1F"/>
              <w:bottom w:val="single" w:sz="6" w:space="0" w:color="211E1F"/>
              <w:right w:val="single" w:sz="6" w:space="0" w:color="211E1F"/>
            </w:tcBorders>
            <w:vAlign w:val="center"/>
          </w:tcPr>
          <w:p w:rsidR="009511DC" w:rsidRPr="00D94753" w:rsidRDefault="009511DC" w:rsidP="009511DC">
            <w:pPr>
              <w:pStyle w:val="Default"/>
              <w:jc w:val="center"/>
              <w:rPr>
                <w:rFonts w:asciiTheme="minorHAnsi" w:hAnsiTheme="minorHAnsi" w:cstheme="minorHAnsi"/>
                <w:color w:val="211E1F"/>
                <w:sz w:val="22"/>
                <w:szCs w:val="22"/>
              </w:rPr>
            </w:pPr>
            <w:r w:rsidRPr="00D94753">
              <w:rPr>
                <w:rFonts w:asciiTheme="minorHAnsi" w:hAnsiTheme="minorHAnsi" w:cstheme="minorHAnsi"/>
                <w:color w:val="211E1F"/>
                <w:sz w:val="22"/>
                <w:szCs w:val="22"/>
              </w:rPr>
              <w:t>2014</w:t>
            </w:r>
          </w:p>
        </w:tc>
        <w:tc>
          <w:tcPr>
            <w:tcW w:w="7676" w:type="dxa"/>
            <w:tcBorders>
              <w:top w:val="single" w:sz="7" w:space="0" w:color="211E1F"/>
              <w:left w:val="single" w:sz="6" w:space="0" w:color="211E1F"/>
              <w:bottom w:val="single" w:sz="6" w:space="0" w:color="211E1F"/>
              <w:right w:val="single" w:sz="6" w:space="0" w:color="211E1F"/>
            </w:tcBorders>
            <w:vAlign w:val="center"/>
          </w:tcPr>
          <w:p w:rsidR="009511DC" w:rsidRPr="00D94753" w:rsidRDefault="009511DC" w:rsidP="009511DC">
            <w:pPr>
              <w:pStyle w:val="Default"/>
              <w:jc w:val="center"/>
              <w:rPr>
                <w:rFonts w:asciiTheme="minorHAnsi" w:hAnsiTheme="minorHAnsi" w:cstheme="minorHAnsi"/>
                <w:color w:val="211E1F"/>
                <w:sz w:val="22"/>
                <w:szCs w:val="22"/>
              </w:rPr>
            </w:pPr>
            <w:r w:rsidRPr="00D94753">
              <w:rPr>
                <w:rFonts w:asciiTheme="minorHAnsi" w:hAnsiTheme="minorHAnsi" w:cstheme="minorHAnsi"/>
                <w:color w:val="211E1F"/>
                <w:sz w:val="22"/>
                <w:szCs w:val="22"/>
              </w:rPr>
              <w:t>24.47</w:t>
            </w:r>
          </w:p>
        </w:tc>
      </w:tr>
      <w:tr w:rsidR="009511DC" w:rsidRPr="00D94753" w:rsidTr="009511DC">
        <w:trPr>
          <w:trHeight w:val="210"/>
        </w:trPr>
        <w:tc>
          <w:tcPr>
            <w:tcW w:w="1792" w:type="dxa"/>
            <w:tcBorders>
              <w:top w:val="single" w:sz="6" w:space="0" w:color="211E1F"/>
              <w:left w:val="single" w:sz="6" w:space="0" w:color="211E1F"/>
              <w:bottom w:val="single" w:sz="6" w:space="0" w:color="211E1F"/>
              <w:right w:val="single" w:sz="6" w:space="0" w:color="211E1F"/>
            </w:tcBorders>
            <w:vAlign w:val="center"/>
          </w:tcPr>
          <w:p w:rsidR="009511DC" w:rsidRPr="00D94753" w:rsidRDefault="009511DC" w:rsidP="009511DC">
            <w:pPr>
              <w:pStyle w:val="Default"/>
              <w:jc w:val="center"/>
              <w:rPr>
                <w:rFonts w:asciiTheme="minorHAnsi" w:hAnsiTheme="minorHAnsi" w:cstheme="minorHAnsi"/>
                <w:color w:val="211E1F"/>
                <w:sz w:val="22"/>
                <w:szCs w:val="22"/>
              </w:rPr>
            </w:pPr>
            <w:r w:rsidRPr="00D94753">
              <w:rPr>
                <w:rFonts w:asciiTheme="minorHAnsi" w:hAnsiTheme="minorHAnsi" w:cstheme="minorHAnsi"/>
                <w:color w:val="211E1F"/>
                <w:sz w:val="22"/>
                <w:szCs w:val="22"/>
              </w:rPr>
              <w:t>2015</w:t>
            </w:r>
          </w:p>
        </w:tc>
        <w:tc>
          <w:tcPr>
            <w:tcW w:w="7676" w:type="dxa"/>
            <w:tcBorders>
              <w:top w:val="single" w:sz="6" w:space="0" w:color="211E1F"/>
              <w:left w:val="single" w:sz="6" w:space="0" w:color="211E1F"/>
              <w:bottom w:val="single" w:sz="6" w:space="0" w:color="211E1F"/>
              <w:right w:val="single" w:sz="6" w:space="0" w:color="211E1F"/>
            </w:tcBorders>
            <w:vAlign w:val="center"/>
          </w:tcPr>
          <w:p w:rsidR="009511DC" w:rsidRPr="00D94753" w:rsidRDefault="009511DC" w:rsidP="009511DC">
            <w:pPr>
              <w:pStyle w:val="Default"/>
              <w:jc w:val="center"/>
              <w:rPr>
                <w:rFonts w:asciiTheme="minorHAnsi" w:hAnsiTheme="minorHAnsi" w:cstheme="minorHAnsi"/>
                <w:color w:val="211E1F"/>
                <w:sz w:val="22"/>
                <w:szCs w:val="22"/>
              </w:rPr>
            </w:pPr>
            <w:r w:rsidRPr="00D94753">
              <w:rPr>
                <w:rFonts w:asciiTheme="minorHAnsi" w:hAnsiTheme="minorHAnsi" w:cstheme="minorHAnsi"/>
                <w:color w:val="211E1F"/>
                <w:sz w:val="22"/>
                <w:szCs w:val="22"/>
              </w:rPr>
              <w:t>22.73</w:t>
            </w:r>
          </w:p>
        </w:tc>
      </w:tr>
    </w:tbl>
    <w:p w:rsidR="009511DC" w:rsidRPr="00D94753" w:rsidRDefault="009511DC" w:rsidP="009511DC">
      <w:pPr>
        <w:autoSpaceDE w:val="0"/>
        <w:autoSpaceDN w:val="0"/>
        <w:adjustRightInd w:val="0"/>
        <w:jc w:val="both"/>
        <w:rPr>
          <w:rFonts w:cstheme="minorHAnsi"/>
          <w:color w:val="231F20"/>
        </w:rPr>
      </w:pPr>
      <w:r w:rsidRPr="00D94753">
        <w:rPr>
          <w:rFonts w:cstheme="minorHAnsi"/>
          <w:color w:val="231F20"/>
        </w:rPr>
        <w:t>Source: GED estimates reported in SFYP</w:t>
      </w:r>
      <w:r>
        <w:rPr>
          <w:rFonts w:cstheme="minorHAnsi"/>
          <w:color w:val="231F20"/>
        </w:rPr>
        <w:t>.</w:t>
      </w:r>
    </w:p>
    <w:p w:rsidR="009511DC" w:rsidRPr="00D94753" w:rsidRDefault="009511DC" w:rsidP="009511DC">
      <w:pPr>
        <w:autoSpaceDE w:val="0"/>
        <w:autoSpaceDN w:val="0"/>
        <w:adjustRightInd w:val="0"/>
        <w:spacing w:after="0" w:line="240" w:lineRule="auto"/>
        <w:jc w:val="both"/>
        <w:rPr>
          <w:rFonts w:cstheme="minorHAnsi"/>
          <w:color w:val="231F20"/>
        </w:rPr>
      </w:pPr>
      <w:r w:rsidRPr="00D94753">
        <w:rPr>
          <w:rFonts w:cstheme="minorHAnsi"/>
          <w:color w:val="231F20"/>
        </w:rPr>
        <w:lastRenderedPageBreak/>
        <w:t>Compared to that in the period 2000-10, the significant progress in respect of eradication of poverty during the period 2010-14 is said to be possible due to, among others, decline in population growth rate and changing population structure, increase in wage income, improved infrastructural and telecommunication connectivity and internal migration.</w:t>
      </w:r>
    </w:p>
    <w:p w:rsidR="009511DC" w:rsidRPr="00D94753" w:rsidRDefault="009511DC" w:rsidP="009511DC">
      <w:pPr>
        <w:autoSpaceDE w:val="0"/>
        <w:autoSpaceDN w:val="0"/>
        <w:adjustRightInd w:val="0"/>
        <w:spacing w:after="0" w:line="240" w:lineRule="auto"/>
        <w:jc w:val="both"/>
        <w:rPr>
          <w:rFonts w:cstheme="minorHAnsi"/>
          <w:color w:val="231F20"/>
        </w:rPr>
      </w:pPr>
    </w:p>
    <w:p w:rsidR="009511DC" w:rsidRPr="00D94753" w:rsidRDefault="009511DC" w:rsidP="009511DC">
      <w:pPr>
        <w:pStyle w:val="Default"/>
        <w:jc w:val="both"/>
        <w:rPr>
          <w:rFonts w:asciiTheme="minorHAnsi" w:hAnsiTheme="minorHAnsi" w:cstheme="minorHAnsi"/>
          <w:b/>
          <w:color w:val="auto"/>
          <w:sz w:val="22"/>
          <w:szCs w:val="22"/>
        </w:rPr>
      </w:pPr>
      <w:r w:rsidRPr="00D94753">
        <w:rPr>
          <w:rFonts w:asciiTheme="minorHAnsi" w:hAnsiTheme="minorHAnsi" w:cstheme="minorHAnsi"/>
          <w:b/>
          <w:color w:val="auto"/>
          <w:sz w:val="22"/>
          <w:szCs w:val="22"/>
        </w:rPr>
        <w:t>Attainment of Millennium Devel</w:t>
      </w:r>
      <w:r>
        <w:rPr>
          <w:rFonts w:asciiTheme="minorHAnsi" w:hAnsiTheme="minorHAnsi" w:cstheme="minorHAnsi"/>
          <w:b/>
          <w:color w:val="auto"/>
          <w:sz w:val="22"/>
          <w:szCs w:val="22"/>
        </w:rPr>
        <w:t xml:space="preserve">opment Goals (MDGs) </w:t>
      </w:r>
    </w:p>
    <w:p w:rsidR="009511DC" w:rsidRPr="00D94753" w:rsidRDefault="009511DC" w:rsidP="009511DC">
      <w:pPr>
        <w:pStyle w:val="Default"/>
        <w:jc w:val="both"/>
        <w:rPr>
          <w:rFonts w:asciiTheme="minorHAnsi" w:hAnsiTheme="minorHAnsi" w:cstheme="minorHAnsi"/>
          <w:color w:val="auto"/>
          <w:sz w:val="22"/>
          <w:szCs w:val="22"/>
        </w:rPr>
      </w:pPr>
      <w:r w:rsidRPr="00D94753">
        <w:rPr>
          <w:rFonts w:asciiTheme="minorHAnsi" w:hAnsiTheme="minorHAnsi" w:cstheme="minorHAnsi"/>
          <w:color w:val="auto"/>
          <w:sz w:val="22"/>
          <w:szCs w:val="22"/>
        </w:rPr>
        <w:t>Eradication of extreme poverty and hunger by 2015 is one of the prime goals set out in the UN MDGs. It is revealed from the report titled ‘Millennium Development Goals (MDGs): Bangladesh Progress Report’ that</w:t>
      </w:r>
      <w:r>
        <w:rPr>
          <w:rFonts w:asciiTheme="minorHAnsi" w:hAnsiTheme="minorHAnsi" w:cstheme="minorHAnsi"/>
          <w:color w:val="auto"/>
          <w:sz w:val="22"/>
          <w:szCs w:val="22"/>
        </w:rPr>
        <w:t xml:space="preserve"> in terms of achieving Goal </w:t>
      </w:r>
      <w:r w:rsidRPr="00D94753">
        <w:rPr>
          <w:rFonts w:asciiTheme="minorHAnsi" w:hAnsiTheme="minorHAnsi" w:cstheme="minorHAnsi"/>
          <w:color w:val="auto"/>
          <w:sz w:val="22"/>
          <w:szCs w:val="22"/>
        </w:rPr>
        <w:t>1</w:t>
      </w:r>
      <w:r>
        <w:rPr>
          <w:rFonts w:asciiTheme="minorHAnsi" w:hAnsiTheme="minorHAnsi" w:cstheme="minorHAnsi"/>
          <w:color w:val="auto"/>
          <w:sz w:val="22"/>
          <w:szCs w:val="22"/>
        </w:rPr>
        <w:t>,</w:t>
      </w:r>
      <w:r w:rsidRPr="00D94753">
        <w:rPr>
          <w:rFonts w:asciiTheme="minorHAnsi" w:hAnsiTheme="minorHAnsi" w:cstheme="minorHAnsi"/>
          <w:color w:val="auto"/>
          <w:sz w:val="22"/>
          <w:szCs w:val="22"/>
        </w:rPr>
        <w:t xml:space="preserve"> along with some other important goals</w:t>
      </w:r>
      <w:r>
        <w:rPr>
          <w:rFonts w:asciiTheme="minorHAnsi" w:hAnsiTheme="minorHAnsi" w:cstheme="minorHAnsi"/>
          <w:color w:val="auto"/>
          <w:sz w:val="22"/>
          <w:szCs w:val="22"/>
        </w:rPr>
        <w:t>,</w:t>
      </w:r>
      <w:r w:rsidRPr="00D94753">
        <w:rPr>
          <w:rFonts w:asciiTheme="minorHAnsi" w:hAnsiTheme="minorHAnsi" w:cstheme="minorHAnsi"/>
          <w:color w:val="auto"/>
          <w:sz w:val="22"/>
          <w:szCs w:val="22"/>
        </w:rPr>
        <w:t xml:space="preserve"> Bangladesh has made consistent progress. The following table provides a snapshot of progress that Bangladesh has achieved </w:t>
      </w:r>
      <w:r>
        <w:rPr>
          <w:rFonts w:asciiTheme="minorHAnsi" w:hAnsiTheme="minorHAnsi" w:cstheme="minorHAnsi"/>
          <w:color w:val="auto"/>
          <w:sz w:val="22"/>
          <w:szCs w:val="22"/>
        </w:rPr>
        <w:t xml:space="preserve">till now </w:t>
      </w:r>
      <w:r w:rsidRPr="00D94753">
        <w:rPr>
          <w:rFonts w:asciiTheme="minorHAnsi" w:hAnsiTheme="minorHAnsi" w:cstheme="minorHAnsi"/>
          <w:color w:val="auto"/>
          <w:sz w:val="22"/>
          <w:szCs w:val="22"/>
        </w:rPr>
        <w:t xml:space="preserve"> (Goal 1): </w:t>
      </w:r>
    </w:p>
    <w:p w:rsidR="009511DC" w:rsidRPr="00D94753" w:rsidRDefault="009511DC" w:rsidP="009511DC">
      <w:pPr>
        <w:pStyle w:val="Default"/>
        <w:jc w:val="both"/>
        <w:rPr>
          <w:rFonts w:asciiTheme="minorHAnsi" w:hAnsiTheme="minorHAnsi" w:cstheme="minorHAnsi"/>
          <w:color w:val="auto"/>
          <w:sz w:val="22"/>
          <w:szCs w:val="22"/>
        </w:rPr>
      </w:pPr>
    </w:p>
    <w:p w:rsidR="009511DC" w:rsidRPr="00353857" w:rsidRDefault="009511DC" w:rsidP="009511DC">
      <w:pPr>
        <w:pStyle w:val="Default"/>
        <w:jc w:val="both"/>
        <w:rPr>
          <w:rFonts w:asciiTheme="minorHAnsi" w:hAnsiTheme="minorHAnsi" w:cstheme="minorHAnsi"/>
          <w:b/>
          <w:sz w:val="22"/>
          <w:szCs w:val="22"/>
        </w:rPr>
      </w:pPr>
      <w:r w:rsidRPr="00353857">
        <w:rPr>
          <w:rFonts w:asciiTheme="minorHAnsi" w:hAnsiTheme="minorHAnsi" w:cstheme="minorHAnsi"/>
          <w:b/>
          <w:bCs/>
          <w:sz w:val="22"/>
          <w:szCs w:val="22"/>
        </w:rPr>
        <w:t xml:space="preserve">Table </w:t>
      </w:r>
      <w:r>
        <w:rPr>
          <w:rFonts w:asciiTheme="minorHAnsi" w:hAnsiTheme="minorHAnsi" w:cstheme="minorHAnsi"/>
          <w:b/>
          <w:bCs/>
          <w:sz w:val="22"/>
          <w:szCs w:val="22"/>
        </w:rPr>
        <w:t>VI.</w:t>
      </w:r>
      <w:r w:rsidRPr="00353857">
        <w:rPr>
          <w:rFonts w:asciiTheme="minorHAnsi" w:hAnsiTheme="minorHAnsi" w:cstheme="minorHAnsi"/>
          <w:b/>
          <w:bCs/>
          <w:sz w:val="22"/>
          <w:szCs w:val="22"/>
        </w:rPr>
        <w:t xml:space="preserve">6 : Attainment of MDGs (Goal 1) At a glance </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4719"/>
        <w:gridCol w:w="1243"/>
        <w:gridCol w:w="967"/>
        <w:gridCol w:w="967"/>
        <w:gridCol w:w="1196"/>
      </w:tblGrid>
      <w:tr w:rsidR="009511DC" w:rsidRPr="00D94753" w:rsidTr="009511DC">
        <w:trPr>
          <w:trHeight w:val="572"/>
        </w:trPr>
        <w:tc>
          <w:tcPr>
            <w:tcW w:w="4719" w:type="dxa"/>
          </w:tcPr>
          <w:p w:rsidR="009511DC" w:rsidRPr="00353857" w:rsidRDefault="009511DC" w:rsidP="009511DC">
            <w:pPr>
              <w:pStyle w:val="Default"/>
              <w:jc w:val="both"/>
              <w:rPr>
                <w:rFonts w:asciiTheme="minorHAnsi" w:hAnsiTheme="minorHAnsi" w:cstheme="minorHAnsi"/>
                <w:b/>
                <w:sz w:val="22"/>
                <w:szCs w:val="22"/>
              </w:rPr>
            </w:pPr>
            <w:r w:rsidRPr="00353857">
              <w:rPr>
                <w:rFonts w:asciiTheme="minorHAnsi" w:hAnsiTheme="minorHAnsi" w:cstheme="minorHAnsi"/>
                <w:b/>
                <w:sz w:val="22"/>
                <w:szCs w:val="22"/>
              </w:rPr>
              <w:t xml:space="preserve">Goals, Targets and Indicators (revised) </w:t>
            </w:r>
          </w:p>
        </w:tc>
        <w:tc>
          <w:tcPr>
            <w:tcW w:w="1243" w:type="dxa"/>
          </w:tcPr>
          <w:p w:rsidR="009511DC" w:rsidRPr="00353857" w:rsidRDefault="009511DC" w:rsidP="009511DC">
            <w:pPr>
              <w:pStyle w:val="Default"/>
              <w:jc w:val="both"/>
              <w:rPr>
                <w:rFonts w:asciiTheme="minorHAnsi" w:hAnsiTheme="minorHAnsi" w:cstheme="minorHAnsi"/>
                <w:b/>
                <w:sz w:val="22"/>
                <w:szCs w:val="22"/>
              </w:rPr>
            </w:pPr>
            <w:r w:rsidRPr="00353857">
              <w:rPr>
                <w:rFonts w:asciiTheme="minorHAnsi" w:hAnsiTheme="minorHAnsi" w:cstheme="minorHAnsi"/>
                <w:b/>
                <w:sz w:val="22"/>
                <w:szCs w:val="22"/>
              </w:rPr>
              <w:t xml:space="preserve">Base year </w:t>
            </w:r>
          </w:p>
          <w:p w:rsidR="009511DC" w:rsidRPr="00353857" w:rsidRDefault="009511DC" w:rsidP="009511DC">
            <w:pPr>
              <w:pStyle w:val="Default"/>
              <w:jc w:val="both"/>
              <w:rPr>
                <w:rFonts w:asciiTheme="minorHAnsi" w:hAnsiTheme="minorHAnsi" w:cstheme="minorHAnsi"/>
                <w:b/>
                <w:sz w:val="22"/>
                <w:szCs w:val="22"/>
              </w:rPr>
            </w:pPr>
            <w:r w:rsidRPr="00353857">
              <w:rPr>
                <w:rFonts w:asciiTheme="minorHAnsi" w:hAnsiTheme="minorHAnsi" w:cstheme="minorHAnsi"/>
                <w:b/>
                <w:sz w:val="22"/>
                <w:szCs w:val="22"/>
              </w:rPr>
              <w:t xml:space="preserve">1990/1991 </w:t>
            </w:r>
          </w:p>
        </w:tc>
        <w:tc>
          <w:tcPr>
            <w:tcW w:w="1934" w:type="dxa"/>
            <w:gridSpan w:val="2"/>
          </w:tcPr>
          <w:p w:rsidR="009511DC" w:rsidRPr="00353857" w:rsidRDefault="009511DC" w:rsidP="009511DC">
            <w:pPr>
              <w:pStyle w:val="Default"/>
              <w:jc w:val="both"/>
              <w:rPr>
                <w:rFonts w:asciiTheme="minorHAnsi" w:hAnsiTheme="minorHAnsi" w:cstheme="minorHAnsi"/>
                <w:b/>
                <w:sz w:val="22"/>
                <w:szCs w:val="22"/>
              </w:rPr>
            </w:pPr>
            <w:r w:rsidRPr="00353857">
              <w:rPr>
                <w:rFonts w:asciiTheme="minorHAnsi" w:hAnsiTheme="minorHAnsi" w:cstheme="minorHAnsi"/>
                <w:b/>
                <w:sz w:val="22"/>
                <w:szCs w:val="22"/>
              </w:rPr>
              <w:t xml:space="preserve">Status </w:t>
            </w:r>
          </w:p>
        </w:tc>
        <w:tc>
          <w:tcPr>
            <w:tcW w:w="1196" w:type="dxa"/>
          </w:tcPr>
          <w:p w:rsidR="009511DC" w:rsidRPr="00353857" w:rsidRDefault="009511DC" w:rsidP="009511DC">
            <w:pPr>
              <w:pStyle w:val="Default"/>
              <w:jc w:val="both"/>
              <w:rPr>
                <w:rFonts w:asciiTheme="minorHAnsi" w:hAnsiTheme="minorHAnsi" w:cstheme="minorHAnsi"/>
                <w:b/>
                <w:sz w:val="22"/>
                <w:szCs w:val="22"/>
              </w:rPr>
            </w:pPr>
            <w:r w:rsidRPr="00353857">
              <w:rPr>
                <w:rFonts w:asciiTheme="minorHAnsi" w:hAnsiTheme="minorHAnsi" w:cstheme="minorHAnsi"/>
                <w:b/>
                <w:sz w:val="22"/>
                <w:szCs w:val="22"/>
              </w:rPr>
              <w:t>Target by 2015</w:t>
            </w:r>
          </w:p>
        </w:tc>
      </w:tr>
      <w:tr w:rsidR="009511DC" w:rsidRPr="00D94753" w:rsidTr="009511DC">
        <w:trPr>
          <w:gridAfter w:val="2"/>
          <w:wAfter w:w="2163" w:type="dxa"/>
          <w:trHeight w:val="296"/>
        </w:trPr>
        <w:tc>
          <w:tcPr>
            <w:tcW w:w="6929" w:type="dxa"/>
            <w:gridSpan w:val="3"/>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b/>
                <w:bCs/>
                <w:sz w:val="22"/>
                <w:szCs w:val="22"/>
              </w:rPr>
              <w:t xml:space="preserve">Goal 1: Eradicate Extreme Poverty &amp; Hunger </w:t>
            </w:r>
          </w:p>
        </w:tc>
      </w:tr>
      <w:tr w:rsidR="009511DC" w:rsidRPr="00D94753" w:rsidTr="009511DC">
        <w:trPr>
          <w:trHeight w:val="368"/>
        </w:trPr>
        <w:tc>
          <w:tcPr>
            <w:tcW w:w="9092" w:type="dxa"/>
            <w:gridSpan w:val="5"/>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bCs/>
                <w:sz w:val="22"/>
                <w:szCs w:val="22"/>
              </w:rPr>
              <w:t>Target 1.A: Halve the proportion of people below poverty line by 2015</w:t>
            </w:r>
          </w:p>
        </w:tc>
      </w:tr>
      <w:tr w:rsidR="009511DC" w:rsidRPr="00D94753" w:rsidTr="009511DC">
        <w:trPr>
          <w:trHeight w:val="548"/>
        </w:trPr>
        <w:tc>
          <w:tcPr>
            <w:tcW w:w="4719"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 of population below national upper poverty line(2122 </w:t>
            </w:r>
            <w:r>
              <w:rPr>
                <w:rFonts w:asciiTheme="minorHAnsi" w:hAnsiTheme="minorHAnsi" w:cstheme="minorHAnsi"/>
                <w:sz w:val="22"/>
                <w:szCs w:val="22"/>
              </w:rPr>
              <w:t>k</w:t>
            </w:r>
            <w:r w:rsidRPr="00D94753">
              <w:rPr>
                <w:rFonts w:asciiTheme="minorHAnsi" w:hAnsiTheme="minorHAnsi" w:cstheme="minorHAnsi"/>
                <w:sz w:val="22"/>
                <w:szCs w:val="22"/>
              </w:rPr>
              <w:t>cal.)</w:t>
            </w:r>
          </w:p>
        </w:tc>
        <w:tc>
          <w:tcPr>
            <w:tcW w:w="1243"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56.6 </w:t>
            </w:r>
          </w:p>
        </w:tc>
        <w:tc>
          <w:tcPr>
            <w:tcW w:w="1934" w:type="dxa"/>
            <w:gridSpan w:val="2"/>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31.5 (2010) </w:t>
            </w:r>
          </w:p>
        </w:tc>
        <w:tc>
          <w:tcPr>
            <w:tcW w:w="1196"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29.0 </w:t>
            </w:r>
          </w:p>
        </w:tc>
      </w:tr>
      <w:tr w:rsidR="009511DC" w:rsidRPr="00D94753" w:rsidTr="009511DC">
        <w:trPr>
          <w:trHeight w:val="427"/>
        </w:trPr>
        <w:tc>
          <w:tcPr>
            <w:tcW w:w="4719"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Poverty Gap Ratio, percent </w:t>
            </w:r>
          </w:p>
        </w:tc>
        <w:tc>
          <w:tcPr>
            <w:tcW w:w="1243"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17.0 </w:t>
            </w:r>
          </w:p>
        </w:tc>
        <w:tc>
          <w:tcPr>
            <w:tcW w:w="1934" w:type="dxa"/>
            <w:gridSpan w:val="2"/>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6.5 </w:t>
            </w:r>
          </w:p>
        </w:tc>
        <w:tc>
          <w:tcPr>
            <w:tcW w:w="1196"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8.0 </w:t>
            </w:r>
          </w:p>
        </w:tc>
      </w:tr>
      <w:tr w:rsidR="009511DC" w:rsidRPr="00D94753" w:rsidTr="009511DC">
        <w:trPr>
          <w:trHeight w:val="440"/>
        </w:trPr>
        <w:tc>
          <w:tcPr>
            <w:tcW w:w="4719"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of poorest quintile in national consumption</w:t>
            </w:r>
          </w:p>
        </w:tc>
        <w:tc>
          <w:tcPr>
            <w:tcW w:w="1243"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6.5 </w:t>
            </w:r>
          </w:p>
        </w:tc>
        <w:tc>
          <w:tcPr>
            <w:tcW w:w="1934" w:type="dxa"/>
            <w:gridSpan w:val="2"/>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8.85 </w:t>
            </w:r>
          </w:p>
        </w:tc>
        <w:tc>
          <w:tcPr>
            <w:tcW w:w="1196" w:type="dxa"/>
          </w:tcPr>
          <w:p w:rsidR="009511DC" w:rsidRPr="00D94753" w:rsidRDefault="009511DC" w:rsidP="009511DC">
            <w:pPr>
              <w:pStyle w:val="Default"/>
              <w:jc w:val="both"/>
              <w:rPr>
                <w:rFonts w:asciiTheme="minorHAnsi" w:hAnsiTheme="minorHAnsi" w:cstheme="minorHAnsi"/>
                <w:sz w:val="22"/>
                <w:szCs w:val="22"/>
              </w:rPr>
            </w:pPr>
            <w:r>
              <w:rPr>
                <w:rFonts w:asciiTheme="minorHAnsi" w:hAnsiTheme="minorHAnsi" w:cstheme="minorHAnsi"/>
                <w:sz w:val="22"/>
                <w:szCs w:val="22"/>
              </w:rPr>
              <w:t xml:space="preserve"> N.A.</w:t>
            </w:r>
          </w:p>
        </w:tc>
      </w:tr>
      <w:tr w:rsidR="009511DC" w:rsidRPr="00D94753" w:rsidTr="009511DC">
        <w:trPr>
          <w:trHeight w:val="377"/>
        </w:trPr>
        <w:tc>
          <w:tcPr>
            <w:tcW w:w="9092" w:type="dxa"/>
            <w:gridSpan w:val="5"/>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bCs/>
                <w:sz w:val="22"/>
                <w:szCs w:val="22"/>
              </w:rPr>
              <w:t>Target 1.B: Achieve full and productive employment and decent wor</w:t>
            </w:r>
            <w:r>
              <w:rPr>
                <w:rFonts w:asciiTheme="minorHAnsi" w:hAnsiTheme="minorHAnsi" w:cstheme="minorHAnsi"/>
                <w:bCs/>
                <w:sz w:val="22"/>
                <w:szCs w:val="22"/>
              </w:rPr>
              <w:t>k</w:t>
            </w:r>
          </w:p>
        </w:tc>
      </w:tr>
      <w:tr w:rsidR="009511DC" w:rsidRPr="00D94753" w:rsidTr="009511DC">
        <w:trPr>
          <w:trHeight w:val="467"/>
        </w:trPr>
        <w:tc>
          <w:tcPr>
            <w:tcW w:w="4719"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Employment to population ration, Percent</w:t>
            </w:r>
          </w:p>
        </w:tc>
        <w:tc>
          <w:tcPr>
            <w:tcW w:w="1243"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48.5 </w:t>
            </w:r>
          </w:p>
        </w:tc>
        <w:tc>
          <w:tcPr>
            <w:tcW w:w="1934" w:type="dxa"/>
            <w:gridSpan w:val="2"/>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59.3 </w:t>
            </w:r>
          </w:p>
        </w:tc>
        <w:tc>
          <w:tcPr>
            <w:tcW w:w="1196"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For all </w:t>
            </w:r>
          </w:p>
        </w:tc>
      </w:tr>
      <w:tr w:rsidR="009511DC" w:rsidRPr="00D94753" w:rsidTr="009511DC">
        <w:trPr>
          <w:trHeight w:val="422"/>
        </w:trPr>
        <w:tc>
          <w:tcPr>
            <w:tcW w:w="9092" w:type="dxa"/>
            <w:gridSpan w:val="5"/>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bCs/>
                <w:sz w:val="22"/>
                <w:szCs w:val="22"/>
              </w:rPr>
              <w:t>Target 1.C : Halve the proportion o</w:t>
            </w:r>
            <w:r>
              <w:rPr>
                <w:rFonts w:asciiTheme="minorHAnsi" w:hAnsiTheme="minorHAnsi" w:cstheme="minorHAnsi"/>
                <w:bCs/>
                <w:sz w:val="22"/>
                <w:szCs w:val="22"/>
              </w:rPr>
              <w:t xml:space="preserve">f people who suffer from hunger by </w:t>
            </w:r>
            <w:r w:rsidRPr="00D94753">
              <w:rPr>
                <w:rFonts w:asciiTheme="minorHAnsi" w:hAnsiTheme="minorHAnsi" w:cstheme="minorHAnsi"/>
                <w:bCs/>
                <w:sz w:val="22"/>
                <w:szCs w:val="22"/>
              </w:rPr>
              <w:t>2015</w:t>
            </w:r>
          </w:p>
        </w:tc>
      </w:tr>
      <w:tr w:rsidR="009511DC" w:rsidRPr="00D94753" w:rsidTr="009511DC">
        <w:trPr>
          <w:trHeight w:val="413"/>
        </w:trPr>
        <w:tc>
          <w:tcPr>
            <w:tcW w:w="4719"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Prevalence of underweight children under five years</w:t>
            </w:r>
          </w:p>
        </w:tc>
        <w:tc>
          <w:tcPr>
            <w:tcW w:w="1243"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66.0 </w:t>
            </w:r>
          </w:p>
        </w:tc>
        <w:tc>
          <w:tcPr>
            <w:tcW w:w="1934" w:type="dxa"/>
            <w:gridSpan w:val="2"/>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45 </w:t>
            </w:r>
          </w:p>
        </w:tc>
        <w:tc>
          <w:tcPr>
            <w:tcW w:w="1196"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33.0 </w:t>
            </w:r>
          </w:p>
        </w:tc>
      </w:tr>
      <w:tr w:rsidR="009511DC" w:rsidRPr="00D94753" w:rsidTr="009511DC">
        <w:trPr>
          <w:trHeight w:val="485"/>
        </w:trPr>
        <w:tc>
          <w:tcPr>
            <w:tcW w:w="4719"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Proportion of population below minimum level of dietary energy consumption, percent</w:t>
            </w:r>
          </w:p>
        </w:tc>
        <w:tc>
          <w:tcPr>
            <w:tcW w:w="1243"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28.0 </w:t>
            </w:r>
          </w:p>
        </w:tc>
        <w:tc>
          <w:tcPr>
            <w:tcW w:w="1934" w:type="dxa"/>
            <w:gridSpan w:val="2"/>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19.5 </w:t>
            </w:r>
          </w:p>
        </w:tc>
        <w:tc>
          <w:tcPr>
            <w:tcW w:w="1196" w:type="dxa"/>
          </w:tcPr>
          <w:p w:rsidR="009511DC" w:rsidRPr="00D94753" w:rsidRDefault="009511DC" w:rsidP="009511DC">
            <w:pPr>
              <w:pStyle w:val="Default"/>
              <w:jc w:val="both"/>
              <w:rPr>
                <w:rFonts w:asciiTheme="minorHAnsi" w:hAnsiTheme="minorHAnsi" w:cstheme="minorHAnsi"/>
                <w:sz w:val="22"/>
                <w:szCs w:val="22"/>
              </w:rPr>
            </w:pPr>
            <w:r w:rsidRPr="00D94753">
              <w:rPr>
                <w:rFonts w:asciiTheme="minorHAnsi" w:hAnsiTheme="minorHAnsi" w:cstheme="minorHAnsi"/>
                <w:sz w:val="22"/>
                <w:szCs w:val="22"/>
              </w:rPr>
              <w:t xml:space="preserve">14.0 </w:t>
            </w:r>
          </w:p>
        </w:tc>
      </w:tr>
    </w:tbl>
    <w:p w:rsidR="009511DC" w:rsidRPr="00D94753" w:rsidRDefault="009511DC" w:rsidP="009511DC">
      <w:pPr>
        <w:jc w:val="both"/>
        <w:rPr>
          <w:rFonts w:cstheme="minorHAnsi"/>
        </w:rPr>
      </w:pPr>
      <w:r w:rsidRPr="00D94753">
        <w:rPr>
          <w:rFonts w:cstheme="minorHAnsi"/>
          <w:b/>
          <w:bCs/>
        </w:rPr>
        <w:t xml:space="preserve">Source: </w:t>
      </w:r>
      <w:r w:rsidRPr="00D94753">
        <w:rPr>
          <w:rFonts w:cstheme="minorHAnsi"/>
        </w:rPr>
        <w:t xml:space="preserve">Bangladesh Bureau of Statistics, </w:t>
      </w:r>
      <w:r>
        <w:rPr>
          <w:rFonts w:cstheme="minorHAnsi"/>
        </w:rPr>
        <w:t xml:space="preserve">2011; </w:t>
      </w:r>
      <w:r w:rsidRPr="00D94753">
        <w:rPr>
          <w:rFonts w:cstheme="minorHAnsi"/>
        </w:rPr>
        <w:t>UNDP, 2011</w:t>
      </w:r>
      <w:r>
        <w:rPr>
          <w:rFonts w:cstheme="minorHAnsi"/>
        </w:rPr>
        <w:t>.</w:t>
      </w:r>
    </w:p>
    <w:p w:rsidR="009511DC" w:rsidRDefault="009511DC" w:rsidP="009511DC">
      <w:pPr>
        <w:pStyle w:val="Default"/>
        <w:jc w:val="both"/>
        <w:rPr>
          <w:rFonts w:asciiTheme="minorHAnsi" w:hAnsiTheme="minorHAnsi" w:cstheme="minorHAnsi"/>
          <w:b/>
          <w:color w:val="auto"/>
          <w:sz w:val="22"/>
          <w:szCs w:val="22"/>
        </w:rPr>
      </w:pPr>
    </w:p>
    <w:p w:rsidR="009511DC" w:rsidRPr="00D94753" w:rsidRDefault="009511DC" w:rsidP="009511DC">
      <w:pPr>
        <w:pStyle w:val="Default"/>
        <w:jc w:val="both"/>
        <w:rPr>
          <w:rFonts w:asciiTheme="minorHAnsi" w:hAnsiTheme="minorHAnsi" w:cstheme="minorHAnsi"/>
          <w:b/>
          <w:color w:val="auto"/>
          <w:sz w:val="22"/>
          <w:szCs w:val="22"/>
        </w:rPr>
      </w:pPr>
      <w:r w:rsidRPr="00D94753">
        <w:rPr>
          <w:rFonts w:asciiTheme="minorHAnsi" w:hAnsiTheme="minorHAnsi" w:cstheme="minorHAnsi"/>
          <w:b/>
          <w:color w:val="auto"/>
          <w:sz w:val="22"/>
          <w:szCs w:val="22"/>
        </w:rPr>
        <w:t>Conclusion</w:t>
      </w:r>
    </w:p>
    <w:p w:rsidR="009511DC" w:rsidRPr="00D94753" w:rsidRDefault="009511DC" w:rsidP="009511DC">
      <w:pPr>
        <w:spacing w:after="0" w:line="240" w:lineRule="auto"/>
        <w:jc w:val="both"/>
        <w:rPr>
          <w:rFonts w:cstheme="minorHAnsi"/>
        </w:rPr>
      </w:pPr>
    </w:p>
    <w:p w:rsidR="009511DC" w:rsidRPr="00D94753" w:rsidRDefault="009511DC" w:rsidP="009511DC">
      <w:pPr>
        <w:autoSpaceDE w:val="0"/>
        <w:autoSpaceDN w:val="0"/>
        <w:adjustRightInd w:val="0"/>
        <w:spacing w:after="0" w:line="240" w:lineRule="auto"/>
        <w:jc w:val="both"/>
        <w:rPr>
          <w:rFonts w:cstheme="minorHAnsi"/>
          <w:color w:val="231F20"/>
        </w:rPr>
      </w:pPr>
      <w:r w:rsidRPr="00D94753">
        <w:rPr>
          <w:rFonts w:cstheme="minorHAnsi"/>
        </w:rPr>
        <w:t xml:space="preserve">In conclusion, </w:t>
      </w:r>
      <w:r>
        <w:rPr>
          <w:rFonts w:cstheme="minorHAnsi"/>
        </w:rPr>
        <w:t>our examination of the</w:t>
      </w:r>
      <w:r w:rsidRPr="00D94753">
        <w:rPr>
          <w:rFonts w:cstheme="minorHAnsi"/>
        </w:rPr>
        <w:t xml:space="preserve"> trend rate of growth indicating corresponding performance</w:t>
      </w:r>
      <w:r>
        <w:rPr>
          <w:rFonts w:cstheme="minorHAnsi"/>
        </w:rPr>
        <w:t xml:space="preserve"> has revealed that </w:t>
      </w:r>
      <w:r w:rsidRPr="00D94753">
        <w:rPr>
          <w:rFonts w:cstheme="minorHAnsi"/>
        </w:rPr>
        <w:t xml:space="preserve">most of the </w:t>
      </w:r>
      <w:r>
        <w:rPr>
          <w:rFonts w:cstheme="minorHAnsi"/>
        </w:rPr>
        <w:t xml:space="preserve">performance </w:t>
      </w:r>
      <w:r w:rsidRPr="00D94753">
        <w:rPr>
          <w:rFonts w:cstheme="minorHAnsi"/>
        </w:rPr>
        <w:t>indicators show a positive growth during both the periods</w:t>
      </w:r>
      <w:r>
        <w:rPr>
          <w:rFonts w:cstheme="minorHAnsi"/>
        </w:rPr>
        <w:t>,</w:t>
      </w:r>
      <w:r w:rsidRPr="00D94753">
        <w:rPr>
          <w:rFonts w:cstheme="minorHAnsi"/>
        </w:rPr>
        <w:t xml:space="preserve"> 2000-10 and 2010-14</w:t>
      </w:r>
      <w:r>
        <w:rPr>
          <w:rFonts w:cstheme="minorHAnsi"/>
        </w:rPr>
        <w:t xml:space="preserve">; however, </w:t>
      </w:r>
      <w:r w:rsidRPr="00D94753">
        <w:rPr>
          <w:rFonts w:cstheme="minorHAnsi"/>
        </w:rPr>
        <w:t>generally the progress is significantly and distinctly higher in the later period.</w:t>
      </w:r>
    </w:p>
    <w:p w:rsidR="009511DC" w:rsidRPr="00D94753" w:rsidRDefault="009511DC" w:rsidP="009511DC">
      <w:pPr>
        <w:autoSpaceDE w:val="0"/>
        <w:autoSpaceDN w:val="0"/>
        <w:adjustRightInd w:val="0"/>
        <w:spacing w:after="0" w:line="240" w:lineRule="auto"/>
        <w:jc w:val="both"/>
        <w:rPr>
          <w:rFonts w:cstheme="minorHAnsi"/>
          <w:color w:val="231F20"/>
        </w:rPr>
      </w:pPr>
    </w:p>
    <w:p w:rsidR="009511DC" w:rsidRPr="009511DC" w:rsidRDefault="009511DC" w:rsidP="009511DC">
      <w:pPr>
        <w:autoSpaceDE w:val="0"/>
        <w:autoSpaceDN w:val="0"/>
        <w:adjustRightInd w:val="0"/>
        <w:spacing w:after="0" w:line="240" w:lineRule="auto"/>
        <w:jc w:val="both"/>
        <w:rPr>
          <w:rFonts w:cstheme="minorHAnsi"/>
          <w:color w:val="231F20"/>
        </w:rPr>
      </w:pPr>
      <w:r w:rsidRPr="00D94753">
        <w:rPr>
          <w:rFonts w:cstheme="minorHAnsi"/>
          <w:color w:val="231F20"/>
        </w:rPr>
        <w:t>Bangladesh has made good progress not only in income poverty but also in human poverty</w:t>
      </w:r>
      <w:r>
        <w:rPr>
          <w:rFonts w:cstheme="minorHAnsi"/>
          <w:color w:val="231F20"/>
        </w:rPr>
        <w:t>,</w:t>
      </w:r>
      <w:r w:rsidRPr="00D94753">
        <w:rPr>
          <w:rFonts w:cstheme="minorHAnsi"/>
          <w:color w:val="231F20"/>
        </w:rPr>
        <w:t xml:space="preserve"> through increasing equitable access to education, reducing dropouts, and implementing a number of quality enhancement measures</w:t>
      </w:r>
      <w:r>
        <w:rPr>
          <w:rFonts w:cstheme="minorHAnsi"/>
          <w:color w:val="231F20"/>
        </w:rPr>
        <w:t>,</w:t>
      </w:r>
      <w:r w:rsidRPr="00D94753">
        <w:rPr>
          <w:rFonts w:cstheme="minorHAnsi"/>
          <w:color w:val="231F20"/>
        </w:rPr>
        <w:t xml:space="preserve"> particularly </w:t>
      </w:r>
      <w:r>
        <w:rPr>
          <w:rFonts w:cstheme="minorHAnsi"/>
          <w:color w:val="231F20"/>
        </w:rPr>
        <w:t xml:space="preserve">in </w:t>
      </w:r>
      <w:r w:rsidRPr="00D94753">
        <w:rPr>
          <w:rFonts w:cstheme="minorHAnsi"/>
          <w:color w:val="231F20"/>
        </w:rPr>
        <w:t>primary education. It has already achieved gender parity in primary and secondary school enrolment. It is in the process of implementing a comprehensive National Education Policy (2010) to achieve its comprehensive objectives</w:t>
      </w:r>
      <w:r>
        <w:rPr>
          <w:rFonts w:cstheme="minorHAnsi"/>
          <w:color w:val="231F20"/>
        </w:rPr>
        <w:t>.</w:t>
      </w:r>
      <w:r w:rsidRPr="00D94753">
        <w:rPr>
          <w:rFonts w:cstheme="minorHAnsi"/>
          <w:color w:val="231F20"/>
        </w:rPr>
        <w:t xml:space="preserve"> The present challenges include attaining the targets of primary education completion rate, increasing adult literacy rate and improving quality of education.</w:t>
      </w:r>
    </w:p>
    <w:p w:rsidR="009511DC" w:rsidRPr="00E339C3" w:rsidRDefault="009511DC" w:rsidP="009511DC">
      <w:pPr>
        <w:spacing w:after="0" w:line="240" w:lineRule="auto"/>
        <w:jc w:val="center"/>
        <w:rPr>
          <w:b/>
        </w:rPr>
      </w:pPr>
      <w:r>
        <w:rPr>
          <w:b/>
        </w:rPr>
        <w:lastRenderedPageBreak/>
        <w:t>Annex VII.a</w:t>
      </w:r>
      <w:r w:rsidRPr="00E339C3">
        <w:rPr>
          <w:b/>
        </w:rPr>
        <w:t>: GDP Growth in South-Asian Countries</w:t>
      </w:r>
    </w:p>
    <w:p w:rsidR="009511DC" w:rsidRDefault="009511DC" w:rsidP="009511DC">
      <w:pPr>
        <w:spacing w:after="0" w:line="240" w:lineRule="auto"/>
        <w:jc w:val="center"/>
      </w:pPr>
    </w:p>
    <w:tbl>
      <w:tblPr>
        <w:tblStyle w:val="MediumShading2-Accent5"/>
        <w:tblW w:w="0" w:type="auto"/>
        <w:tblBorders>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9511DC" w:rsidRPr="00324E19" w:rsidTr="009511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5"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9511DC" w:rsidRPr="00324E19" w:rsidRDefault="009511DC" w:rsidP="00006575">
            <w:pPr>
              <w:spacing w:after="0" w:line="240" w:lineRule="auto"/>
              <w:rPr>
                <w:rFonts w:cstheme="minorHAnsi"/>
                <w:color w:val="auto"/>
              </w:rPr>
            </w:pPr>
            <w:r w:rsidRPr="00324E19">
              <w:rPr>
                <w:rFonts w:cstheme="minorHAnsi"/>
                <w:color w:val="auto"/>
              </w:rPr>
              <w:t>Country</w:t>
            </w:r>
          </w:p>
        </w:tc>
        <w:tc>
          <w:tcPr>
            <w:tcW w:w="7661" w:type="dxa"/>
            <w:gridSpan w:val="4"/>
            <w:tcBorders>
              <w:top w:val="none" w:sz="0" w:space="0" w:color="auto"/>
              <w:left w:val="none" w:sz="0" w:space="0" w:color="auto"/>
              <w:bottom w:val="none" w:sz="0" w:space="0" w:color="auto"/>
              <w:right w:val="none" w:sz="0" w:space="0" w:color="auto"/>
            </w:tcBorders>
            <w:shd w:val="clear" w:color="auto" w:fill="DAEEF3" w:themeFill="accent5" w:themeFillTint="33"/>
          </w:tcPr>
          <w:p w:rsidR="009511DC" w:rsidRPr="00324E19" w:rsidRDefault="009511DC" w:rsidP="0000657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324E19">
              <w:rPr>
                <w:rFonts w:cstheme="minorHAnsi"/>
                <w:color w:val="auto"/>
              </w:rPr>
              <w:t>GDP Growth Year</w:t>
            </w:r>
          </w:p>
        </w:tc>
      </w:tr>
      <w:tr w:rsidR="009511DC" w:rsidRPr="00324E19" w:rsidTr="0095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shd w:val="clear" w:color="auto" w:fill="DAEEF3" w:themeFill="accent5" w:themeFillTint="33"/>
          </w:tcPr>
          <w:p w:rsidR="009511DC" w:rsidRPr="00324E19" w:rsidRDefault="009511DC" w:rsidP="00006575">
            <w:pPr>
              <w:spacing w:after="0" w:line="240" w:lineRule="auto"/>
              <w:rPr>
                <w:rFonts w:cstheme="minorHAnsi"/>
                <w:color w:val="auto"/>
              </w:rPr>
            </w:pPr>
          </w:p>
        </w:tc>
        <w:tc>
          <w:tcPr>
            <w:tcW w:w="1915" w:type="dxa"/>
          </w:tcPr>
          <w:p w:rsidR="009511DC" w:rsidRPr="00324E19" w:rsidRDefault="009511DC" w:rsidP="000065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324E19">
              <w:rPr>
                <w:rFonts w:cstheme="minorHAnsi"/>
              </w:rPr>
              <w:t>2011</w:t>
            </w:r>
          </w:p>
        </w:tc>
        <w:tc>
          <w:tcPr>
            <w:tcW w:w="1915" w:type="dxa"/>
          </w:tcPr>
          <w:p w:rsidR="009511DC" w:rsidRPr="00324E19" w:rsidRDefault="009511DC" w:rsidP="000065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324E19">
              <w:rPr>
                <w:rFonts w:cstheme="minorHAnsi"/>
              </w:rPr>
              <w:t>2012</w:t>
            </w:r>
          </w:p>
        </w:tc>
        <w:tc>
          <w:tcPr>
            <w:tcW w:w="1915" w:type="dxa"/>
          </w:tcPr>
          <w:p w:rsidR="009511DC" w:rsidRPr="00324E19" w:rsidRDefault="009511DC" w:rsidP="000065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324E19">
              <w:rPr>
                <w:rFonts w:cstheme="minorHAnsi"/>
              </w:rPr>
              <w:t>2013</w:t>
            </w:r>
          </w:p>
        </w:tc>
        <w:tc>
          <w:tcPr>
            <w:tcW w:w="1916" w:type="dxa"/>
          </w:tcPr>
          <w:p w:rsidR="009511DC" w:rsidRPr="00324E19" w:rsidRDefault="009511DC" w:rsidP="000065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324E19">
              <w:rPr>
                <w:rFonts w:cstheme="minorHAnsi"/>
              </w:rPr>
              <w:t>2014</w:t>
            </w:r>
          </w:p>
        </w:tc>
      </w:tr>
      <w:tr w:rsidR="009511DC" w:rsidRPr="00324E19" w:rsidTr="009511DC">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shd w:val="clear" w:color="auto" w:fill="DAEEF3" w:themeFill="accent5" w:themeFillTint="33"/>
          </w:tcPr>
          <w:p w:rsidR="009511DC" w:rsidRPr="00324E19" w:rsidRDefault="009511DC" w:rsidP="00006575">
            <w:pPr>
              <w:spacing w:after="0" w:line="240" w:lineRule="auto"/>
              <w:rPr>
                <w:rFonts w:cstheme="minorHAnsi"/>
                <w:color w:val="auto"/>
              </w:rPr>
            </w:pPr>
            <w:r w:rsidRPr="00324E19">
              <w:rPr>
                <w:rFonts w:cstheme="minorHAnsi"/>
                <w:color w:val="auto"/>
              </w:rPr>
              <w:t>Bangladesh</w:t>
            </w:r>
          </w:p>
        </w:tc>
        <w:tc>
          <w:tcPr>
            <w:tcW w:w="1915" w:type="dxa"/>
          </w:tcPr>
          <w:p w:rsidR="009511DC" w:rsidRPr="00324E19" w:rsidRDefault="009511DC" w:rsidP="000065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324E19">
              <w:rPr>
                <w:rFonts w:cstheme="minorHAnsi"/>
              </w:rPr>
              <w:t>6.7</w:t>
            </w:r>
          </w:p>
        </w:tc>
        <w:tc>
          <w:tcPr>
            <w:tcW w:w="1915" w:type="dxa"/>
          </w:tcPr>
          <w:p w:rsidR="009511DC" w:rsidRPr="00324E19" w:rsidRDefault="009511DC" w:rsidP="000065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324E19">
              <w:rPr>
                <w:rFonts w:cstheme="minorHAnsi"/>
              </w:rPr>
              <w:t>6.5</w:t>
            </w:r>
          </w:p>
        </w:tc>
        <w:tc>
          <w:tcPr>
            <w:tcW w:w="1915" w:type="dxa"/>
          </w:tcPr>
          <w:p w:rsidR="009511DC" w:rsidRPr="00324E19" w:rsidRDefault="009511DC" w:rsidP="000065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324E19">
              <w:rPr>
                <w:rFonts w:cstheme="minorHAnsi"/>
              </w:rPr>
              <w:t>6.0</w:t>
            </w:r>
          </w:p>
        </w:tc>
        <w:tc>
          <w:tcPr>
            <w:tcW w:w="1916" w:type="dxa"/>
          </w:tcPr>
          <w:p w:rsidR="009511DC" w:rsidRPr="00324E19" w:rsidRDefault="009511DC" w:rsidP="000065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324E19">
              <w:rPr>
                <w:rFonts w:cstheme="minorHAnsi"/>
              </w:rPr>
              <w:t>6.1</w:t>
            </w:r>
          </w:p>
        </w:tc>
      </w:tr>
      <w:tr w:rsidR="009511DC" w:rsidRPr="00324E19" w:rsidTr="0095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shd w:val="clear" w:color="auto" w:fill="DAEEF3" w:themeFill="accent5" w:themeFillTint="33"/>
          </w:tcPr>
          <w:p w:rsidR="009511DC" w:rsidRPr="00324E19" w:rsidRDefault="009511DC" w:rsidP="00006575">
            <w:pPr>
              <w:spacing w:after="0" w:line="240" w:lineRule="auto"/>
              <w:rPr>
                <w:rFonts w:cstheme="minorHAnsi"/>
                <w:color w:val="auto"/>
              </w:rPr>
            </w:pPr>
            <w:r w:rsidRPr="00324E19">
              <w:rPr>
                <w:rFonts w:cstheme="minorHAnsi"/>
                <w:color w:val="auto"/>
              </w:rPr>
              <w:t>Bhutan</w:t>
            </w:r>
          </w:p>
        </w:tc>
        <w:tc>
          <w:tcPr>
            <w:tcW w:w="1915" w:type="dxa"/>
          </w:tcPr>
          <w:p w:rsidR="009511DC" w:rsidRPr="00324E19" w:rsidRDefault="009511DC" w:rsidP="000065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324E19">
              <w:rPr>
                <w:rFonts w:cstheme="minorHAnsi"/>
              </w:rPr>
              <w:t>8.1</w:t>
            </w:r>
          </w:p>
        </w:tc>
        <w:tc>
          <w:tcPr>
            <w:tcW w:w="1915" w:type="dxa"/>
          </w:tcPr>
          <w:p w:rsidR="009511DC" w:rsidRPr="00324E19" w:rsidRDefault="009511DC" w:rsidP="000065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324E19">
              <w:rPr>
                <w:rFonts w:cstheme="minorHAnsi"/>
              </w:rPr>
              <w:t>5.6</w:t>
            </w:r>
          </w:p>
        </w:tc>
        <w:tc>
          <w:tcPr>
            <w:tcW w:w="1915" w:type="dxa"/>
          </w:tcPr>
          <w:p w:rsidR="009511DC" w:rsidRPr="00324E19" w:rsidRDefault="009511DC" w:rsidP="000065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324E19">
              <w:rPr>
                <w:rFonts w:cstheme="minorHAnsi"/>
              </w:rPr>
              <w:t>6.0</w:t>
            </w:r>
          </w:p>
        </w:tc>
        <w:tc>
          <w:tcPr>
            <w:tcW w:w="1916" w:type="dxa"/>
          </w:tcPr>
          <w:p w:rsidR="009511DC" w:rsidRPr="00324E19" w:rsidRDefault="009511DC" w:rsidP="000065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324E19">
              <w:rPr>
                <w:rFonts w:cstheme="minorHAnsi"/>
              </w:rPr>
              <w:t>6.8</w:t>
            </w:r>
          </w:p>
        </w:tc>
      </w:tr>
      <w:tr w:rsidR="009511DC" w:rsidRPr="00324E19" w:rsidTr="009511DC">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shd w:val="clear" w:color="auto" w:fill="DAEEF3" w:themeFill="accent5" w:themeFillTint="33"/>
          </w:tcPr>
          <w:p w:rsidR="009511DC" w:rsidRPr="00324E19" w:rsidRDefault="009511DC" w:rsidP="00006575">
            <w:pPr>
              <w:spacing w:after="0" w:line="240" w:lineRule="auto"/>
              <w:rPr>
                <w:rFonts w:cstheme="minorHAnsi"/>
                <w:color w:val="auto"/>
              </w:rPr>
            </w:pPr>
            <w:r w:rsidRPr="00324E19">
              <w:rPr>
                <w:rFonts w:cstheme="minorHAnsi"/>
                <w:color w:val="auto"/>
              </w:rPr>
              <w:t>India (Factor cost)</w:t>
            </w:r>
          </w:p>
        </w:tc>
        <w:tc>
          <w:tcPr>
            <w:tcW w:w="1915" w:type="dxa"/>
          </w:tcPr>
          <w:p w:rsidR="009511DC" w:rsidRPr="00324E19" w:rsidRDefault="009511DC" w:rsidP="000065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324E19">
              <w:rPr>
                <w:rFonts w:cstheme="minorHAnsi"/>
              </w:rPr>
              <w:t>6.7</w:t>
            </w:r>
          </w:p>
        </w:tc>
        <w:tc>
          <w:tcPr>
            <w:tcW w:w="1915" w:type="dxa"/>
          </w:tcPr>
          <w:p w:rsidR="009511DC" w:rsidRPr="00324E19" w:rsidRDefault="009511DC" w:rsidP="000065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324E19">
              <w:rPr>
                <w:rFonts w:cstheme="minorHAnsi"/>
              </w:rPr>
              <w:t>4.5</w:t>
            </w:r>
          </w:p>
        </w:tc>
        <w:tc>
          <w:tcPr>
            <w:tcW w:w="1915" w:type="dxa"/>
          </w:tcPr>
          <w:p w:rsidR="009511DC" w:rsidRPr="00324E19" w:rsidRDefault="009511DC" w:rsidP="000065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324E19">
              <w:rPr>
                <w:rFonts w:cstheme="minorHAnsi"/>
              </w:rPr>
              <w:t>4.7</w:t>
            </w:r>
          </w:p>
        </w:tc>
        <w:tc>
          <w:tcPr>
            <w:tcW w:w="1916" w:type="dxa"/>
          </w:tcPr>
          <w:p w:rsidR="009511DC" w:rsidRPr="00324E19" w:rsidRDefault="009511DC" w:rsidP="000065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324E19">
              <w:rPr>
                <w:rFonts w:cstheme="minorHAnsi"/>
              </w:rPr>
              <w:t>5.6</w:t>
            </w:r>
          </w:p>
        </w:tc>
      </w:tr>
      <w:tr w:rsidR="009511DC" w:rsidRPr="00324E19" w:rsidTr="0095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shd w:val="clear" w:color="auto" w:fill="DAEEF3" w:themeFill="accent5" w:themeFillTint="33"/>
          </w:tcPr>
          <w:p w:rsidR="009511DC" w:rsidRPr="00324E19" w:rsidRDefault="009511DC" w:rsidP="00006575">
            <w:pPr>
              <w:spacing w:after="0" w:line="240" w:lineRule="auto"/>
              <w:rPr>
                <w:rFonts w:cstheme="minorHAnsi"/>
                <w:color w:val="auto"/>
              </w:rPr>
            </w:pPr>
            <w:r w:rsidRPr="00324E19">
              <w:rPr>
                <w:rFonts w:cstheme="minorHAnsi"/>
                <w:color w:val="auto"/>
              </w:rPr>
              <w:t>Maldives (CY)</w:t>
            </w:r>
          </w:p>
        </w:tc>
        <w:tc>
          <w:tcPr>
            <w:tcW w:w="1915" w:type="dxa"/>
          </w:tcPr>
          <w:p w:rsidR="009511DC" w:rsidRPr="00324E19" w:rsidRDefault="009511DC" w:rsidP="000065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324E19">
              <w:rPr>
                <w:rFonts w:cstheme="minorHAnsi"/>
              </w:rPr>
              <w:t>6.5</w:t>
            </w:r>
          </w:p>
        </w:tc>
        <w:tc>
          <w:tcPr>
            <w:tcW w:w="1915" w:type="dxa"/>
          </w:tcPr>
          <w:p w:rsidR="009511DC" w:rsidRPr="00324E19" w:rsidRDefault="009511DC" w:rsidP="000065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324E19">
              <w:rPr>
                <w:rFonts w:cstheme="minorHAnsi"/>
              </w:rPr>
              <w:t>1.3</w:t>
            </w:r>
          </w:p>
        </w:tc>
        <w:tc>
          <w:tcPr>
            <w:tcW w:w="1915" w:type="dxa"/>
          </w:tcPr>
          <w:p w:rsidR="009511DC" w:rsidRPr="00324E19" w:rsidRDefault="009511DC" w:rsidP="000065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324E19">
              <w:rPr>
                <w:rFonts w:cstheme="minorHAnsi"/>
              </w:rPr>
              <w:t>3.7</w:t>
            </w:r>
          </w:p>
        </w:tc>
        <w:tc>
          <w:tcPr>
            <w:tcW w:w="1916" w:type="dxa"/>
          </w:tcPr>
          <w:p w:rsidR="009511DC" w:rsidRPr="00324E19" w:rsidRDefault="009511DC" w:rsidP="000065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324E19">
              <w:rPr>
                <w:rFonts w:cstheme="minorHAnsi"/>
              </w:rPr>
              <w:t>4.5</w:t>
            </w:r>
          </w:p>
        </w:tc>
      </w:tr>
      <w:tr w:rsidR="009511DC" w:rsidRPr="00324E19" w:rsidTr="009511DC">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shd w:val="clear" w:color="auto" w:fill="DAEEF3" w:themeFill="accent5" w:themeFillTint="33"/>
          </w:tcPr>
          <w:p w:rsidR="009511DC" w:rsidRPr="00324E19" w:rsidRDefault="009511DC" w:rsidP="00006575">
            <w:pPr>
              <w:spacing w:after="0" w:line="240" w:lineRule="auto"/>
              <w:rPr>
                <w:rFonts w:cstheme="minorHAnsi"/>
                <w:color w:val="auto"/>
              </w:rPr>
            </w:pPr>
            <w:r w:rsidRPr="00324E19">
              <w:rPr>
                <w:rFonts w:cstheme="minorHAnsi"/>
                <w:color w:val="auto"/>
              </w:rPr>
              <w:t>Nepal</w:t>
            </w:r>
          </w:p>
        </w:tc>
        <w:tc>
          <w:tcPr>
            <w:tcW w:w="1915" w:type="dxa"/>
          </w:tcPr>
          <w:p w:rsidR="009511DC" w:rsidRPr="00324E19" w:rsidRDefault="009511DC" w:rsidP="000065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324E19">
              <w:rPr>
                <w:rFonts w:cstheme="minorHAnsi"/>
              </w:rPr>
              <w:t>3.9</w:t>
            </w:r>
          </w:p>
        </w:tc>
        <w:tc>
          <w:tcPr>
            <w:tcW w:w="1915" w:type="dxa"/>
          </w:tcPr>
          <w:p w:rsidR="009511DC" w:rsidRPr="00324E19" w:rsidRDefault="009511DC" w:rsidP="000065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324E19">
              <w:rPr>
                <w:rFonts w:cstheme="minorHAnsi"/>
              </w:rPr>
              <w:t>4.6</w:t>
            </w:r>
          </w:p>
        </w:tc>
        <w:tc>
          <w:tcPr>
            <w:tcW w:w="1915" w:type="dxa"/>
          </w:tcPr>
          <w:p w:rsidR="009511DC" w:rsidRPr="00324E19" w:rsidRDefault="009511DC" w:rsidP="000065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324E19">
              <w:rPr>
                <w:rFonts w:cstheme="minorHAnsi"/>
              </w:rPr>
              <w:t>3.5</w:t>
            </w:r>
          </w:p>
        </w:tc>
        <w:tc>
          <w:tcPr>
            <w:tcW w:w="1916" w:type="dxa"/>
          </w:tcPr>
          <w:p w:rsidR="009511DC" w:rsidRPr="00324E19" w:rsidRDefault="009511DC" w:rsidP="000065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324E19">
              <w:rPr>
                <w:rFonts w:cstheme="minorHAnsi"/>
              </w:rPr>
              <w:t>5.2</w:t>
            </w:r>
          </w:p>
        </w:tc>
      </w:tr>
      <w:tr w:rsidR="009511DC" w:rsidRPr="00324E19" w:rsidTr="0095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shd w:val="clear" w:color="auto" w:fill="DAEEF3" w:themeFill="accent5" w:themeFillTint="33"/>
          </w:tcPr>
          <w:p w:rsidR="009511DC" w:rsidRPr="00324E19" w:rsidRDefault="009511DC" w:rsidP="00006575">
            <w:pPr>
              <w:spacing w:after="0" w:line="240" w:lineRule="auto"/>
              <w:rPr>
                <w:rFonts w:cstheme="minorHAnsi"/>
                <w:color w:val="auto"/>
              </w:rPr>
            </w:pPr>
            <w:r w:rsidRPr="00324E19">
              <w:rPr>
                <w:rFonts w:cstheme="minorHAnsi"/>
                <w:color w:val="auto"/>
              </w:rPr>
              <w:t>Pa</w:t>
            </w:r>
            <w:r>
              <w:rPr>
                <w:rFonts w:cstheme="minorHAnsi"/>
                <w:color w:val="auto"/>
              </w:rPr>
              <w:t>k</w:t>
            </w:r>
            <w:r w:rsidRPr="00324E19">
              <w:rPr>
                <w:rFonts w:cstheme="minorHAnsi"/>
                <w:color w:val="auto"/>
              </w:rPr>
              <w:t>istan</w:t>
            </w:r>
          </w:p>
        </w:tc>
        <w:tc>
          <w:tcPr>
            <w:tcW w:w="1915" w:type="dxa"/>
          </w:tcPr>
          <w:p w:rsidR="009511DC" w:rsidRPr="00324E19" w:rsidRDefault="009511DC" w:rsidP="000065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324E19">
              <w:rPr>
                <w:rFonts w:cstheme="minorHAnsi"/>
              </w:rPr>
              <w:t>3.6</w:t>
            </w:r>
          </w:p>
        </w:tc>
        <w:tc>
          <w:tcPr>
            <w:tcW w:w="1915" w:type="dxa"/>
          </w:tcPr>
          <w:p w:rsidR="009511DC" w:rsidRPr="00324E19" w:rsidRDefault="009511DC" w:rsidP="000065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324E19">
              <w:rPr>
                <w:rFonts w:cstheme="minorHAnsi"/>
              </w:rPr>
              <w:t>3.8</w:t>
            </w:r>
          </w:p>
        </w:tc>
        <w:tc>
          <w:tcPr>
            <w:tcW w:w="1915" w:type="dxa"/>
          </w:tcPr>
          <w:p w:rsidR="009511DC" w:rsidRPr="00324E19" w:rsidRDefault="009511DC" w:rsidP="000065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324E19">
              <w:rPr>
                <w:rFonts w:cstheme="minorHAnsi"/>
              </w:rPr>
              <w:t>3.7</w:t>
            </w:r>
          </w:p>
        </w:tc>
        <w:tc>
          <w:tcPr>
            <w:tcW w:w="1916" w:type="dxa"/>
          </w:tcPr>
          <w:p w:rsidR="009511DC" w:rsidRPr="00324E19" w:rsidRDefault="009511DC" w:rsidP="000065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324E19">
              <w:rPr>
                <w:rFonts w:cstheme="minorHAnsi"/>
              </w:rPr>
              <w:t>4.1</w:t>
            </w:r>
          </w:p>
        </w:tc>
      </w:tr>
      <w:tr w:rsidR="009511DC" w:rsidRPr="00324E19" w:rsidTr="009511DC">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shd w:val="clear" w:color="auto" w:fill="DAEEF3" w:themeFill="accent5" w:themeFillTint="33"/>
          </w:tcPr>
          <w:p w:rsidR="009511DC" w:rsidRPr="00324E19" w:rsidRDefault="009511DC" w:rsidP="00006575">
            <w:pPr>
              <w:spacing w:after="0" w:line="240" w:lineRule="auto"/>
              <w:rPr>
                <w:rFonts w:cstheme="minorHAnsi"/>
                <w:color w:val="auto"/>
              </w:rPr>
            </w:pPr>
            <w:r w:rsidRPr="00324E19">
              <w:rPr>
                <w:rFonts w:cstheme="minorHAnsi"/>
                <w:color w:val="auto"/>
              </w:rPr>
              <w:t>Sri Lan</w:t>
            </w:r>
            <w:r>
              <w:rPr>
                <w:rFonts w:cstheme="minorHAnsi"/>
                <w:color w:val="auto"/>
              </w:rPr>
              <w:t>k</w:t>
            </w:r>
            <w:r w:rsidRPr="00324E19">
              <w:rPr>
                <w:rFonts w:cstheme="minorHAnsi"/>
                <w:color w:val="auto"/>
              </w:rPr>
              <w:t>a</w:t>
            </w:r>
          </w:p>
        </w:tc>
        <w:tc>
          <w:tcPr>
            <w:tcW w:w="1915" w:type="dxa"/>
          </w:tcPr>
          <w:p w:rsidR="009511DC" w:rsidRPr="00324E19" w:rsidRDefault="009511DC" w:rsidP="000065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324E19">
              <w:rPr>
                <w:rFonts w:cstheme="minorHAnsi"/>
              </w:rPr>
              <w:t>8.2</w:t>
            </w:r>
          </w:p>
        </w:tc>
        <w:tc>
          <w:tcPr>
            <w:tcW w:w="1915" w:type="dxa"/>
          </w:tcPr>
          <w:p w:rsidR="009511DC" w:rsidRPr="00324E19" w:rsidRDefault="009511DC" w:rsidP="000065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324E19">
              <w:rPr>
                <w:rFonts w:cstheme="minorHAnsi"/>
              </w:rPr>
              <w:t>6.3</w:t>
            </w:r>
          </w:p>
        </w:tc>
        <w:tc>
          <w:tcPr>
            <w:tcW w:w="1915" w:type="dxa"/>
          </w:tcPr>
          <w:p w:rsidR="009511DC" w:rsidRPr="00324E19" w:rsidRDefault="009511DC" w:rsidP="000065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324E19">
              <w:rPr>
                <w:rFonts w:cstheme="minorHAnsi"/>
              </w:rPr>
              <w:t>7.3</w:t>
            </w:r>
          </w:p>
        </w:tc>
        <w:tc>
          <w:tcPr>
            <w:tcW w:w="1916" w:type="dxa"/>
          </w:tcPr>
          <w:p w:rsidR="009511DC" w:rsidRPr="00324E19" w:rsidRDefault="009511DC" w:rsidP="000065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324E19">
              <w:rPr>
                <w:rFonts w:cstheme="minorHAnsi"/>
              </w:rPr>
              <w:t>7.8</w:t>
            </w:r>
          </w:p>
        </w:tc>
      </w:tr>
    </w:tbl>
    <w:p w:rsidR="009511DC" w:rsidRDefault="009511DC" w:rsidP="009511DC">
      <w:pPr>
        <w:spacing w:after="0" w:line="240" w:lineRule="auto"/>
      </w:pPr>
      <w:r>
        <w:t xml:space="preserve">Note:  These real GDP growths estimated and projections are based on respective country FYs unless otherwise noted (CY) (Source: World Bank, 2014, </w:t>
      </w:r>
      <w:r w:rsidRPr="00711DD2">
        <w:t>http://www.worldban</w:t>
      </w:r>
      <w:r>
        <w:t>k</w:t>
      </w:r>
      <w:r w:rsidRPr="00711DD2">
        <w:t>org/en/region/sar/publication/</w:t>
      </w:r>
    </w:p>
    <w:p w:rsidR="009511DC" w:rsidRDefault="009511DC" w:rsidP="009511DC">
      <w:pPr>
        <w:spacing w:after="0" w:line="240" w:lineRule="auto"/>
      </w:pPr>
      <w:r w:rsidRPr="00711DD2">
        <w:t>south-asian-countries-potential-accelerated-growth</w:t>
      </w:r>
      <w:r>
        <w:t>)</w:t>
      </w:r>
    </w:p>
    <w:p w:rsidR="009511DC" w:rsidRDefault="009511DC" w:rsidP="009511DC">
      <w:pPr>
        <w:tabs>
          <w:tab w:val="left" w:pos="2235"/>
        </w:tabs>
        <w:jc w:val="center"/>
        <w:rPr>
          <w:b/>
          <w:szCs w:val="18"/>
        </w:rPr>
      </w:pPr>
    </w:p>
    <w:p w:rsidR="009511DC" w:rsidRDefault="009511DC" w:rsidP="009511DC">
      <w:pPr>
        <w:tabs>
          <w:tab w:val="left" w:pos="2235"/>
        </w:tabs>
        <w:jc w:val="center"/>
        <w:rPr>
          <w:b/>
          <w:szCs w:val="18"/>
        </w:rPr>
      </w:pPr>
    </w:p>
    <w:p w:rsidR="009511DC" w:rsidRDefault="009511DC" w:rsidP="009511DC">
      <w:pPr>
        <w:tabs>
          <w:tab w:val="left" w:pos="2235"/>
        </w:tabs>
        <w:jc w:val="center"/>
        <w:rPr>
          <w:b/>
          <w:szCs w:val="18"/>
        </w:rPr>
      </w:pPr>
    </w:p>
    <w:p w:rsidR="00006575" w:rsidRDefault="00006575" w:rsidP="009511DC">
      <w:pPr>
        <w:tabs>
          <w:tab w:val="left" w:pos="2235"/>
        </w:tabs>
        <w:jc w:val="center"/>
        <w:rPr>
          <w:b/>
          <w:szCs w:val="18"/>
        </w:rPr>
      </w:pPr>
    </w:p>
    <w:p w:rsidR="009511DC" w:rsidRPr="00C530E2" w:rsidRDefault="009511DC" w:rsidP="009511DC">
      <w:pPr>
        <w:tabs>
          <w:tab w:val="left" w:pos="2235"/>
        </w:tabs>
        <w:jc w:val="center"/>
        <w:rPr>
          <w:b/>
          <w:szCs w:val="18"/>
        </w:rPr>
      </w:pPr>
      <w:r>
        <w:rPr>
          <w:b/>
          <w:szCs w:val="18"/>
        </w:rPr>
        <w:t>Annex VII.b</w:t>
      </w:r>
      <w:r w:rsidRPr="00C530E2">
        <w:rPr>
          <w:b/>
          <w:szCs w:val="18"/>
        </w:rPr>
        <w:t xml:space="preserve">: </w:t>
      </w:r>
      <w:r w:rsidRPr="00C530E2">
        <w:rPr>
          <w:b/>
        </w:rPr>
        <w:t xml:space="preserve">Total Number of People Reported </w:t>
      </w:r>
      <w:r>
        <w:rPr>
          <w:b/>
        </w:rPr>
        <w:t>K</w:t>
      </w:r>
      <w:r w:rsidRPr="00C530E2">
        <w:rPr>
          <w:b/>
        </w:rPr>
        <w:t>illed and Affected by Disasters by Country (1994-2013)</w:t>
      </w:r>
    </w:p>
    <w:tbl>
      <w:tblPr>
        <w:tblStyle w:val="MediumShading2-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588"/>
        <w:gridCol w:w="2242"/>
        <w:gridCol w:w="1916"/>
      </w:tblGrid>
      <w:tr w:rsidR="009511DC" w:rsidRPr="00694807" w:rsidTr="009511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5" w:type="dxa"/>
            <w:vMerge w:val="restart"/>
            <w:tcBorders>
              <w:top w:val="none" w:sz="0" w:space="0" w:color="auto"/>
              <w:left w:val="none" w:sz="0" w:space="0" w:color="auto"/>
              <w:bottom w:val="none" w:sz="0" w:space="0" w:color="auto"/>
              <w:right w:val="none" w:sz="0" w:space="0" w:color="auto"/>
            </w:tcBorders>
            <w:shd w:val="clear" w:color="auto" w:fill="B6DDE8" w:themeFill="accent5" w:themeFillTint="66"/>
          </w:tcPr>
          <w:p w:rsidR="009511DC" w:rsidRPr="00694807" w:rsidRDefault="009511DC" w:rsidP="00006575">
            <w:pPr>
              <w:spacing w:after="0" w:line="240" w:lineRule="auto"/>
              <w:rPr>
                <w:rFonts w:cstheme="minorHAnsi"/>
                <w:color w:val="auto"/>
                <w:sz w:val="20"/>
                <w:szCs w:val="20"/>
              </w:rPr>
            </w:pPr>
            <w:r w:rsidRPr="00694807">
              <w:rPr>
                <w:rFonts w:cstheme="minorHAnsi"/>
                <w:color w:val="auto"/>
                <w:sz w:val="20"/>
                <w:szCs w:val="20"/>
              </w:rPr>
              <w:t>Name of the Country</w:t>
            </w:r>
          </w:p>
        </w:tc>
        <w:tc>
          <w:tcPr>
            <w:tcW w:w="3503" w:type="dxa"/>
            <w:gridSpan w:val="2"/>
            <w:tcBorders>
              <w:top w:val="none" w:sz="0" w:space="0" w:color="auto"/>
              <w:left w:val="none" w:sz="0" w:space="0" w:color="auto"/>
              <w:bottom w:val="none" w:sz="0" w:space="0" w:color="auto"/>
              <w:right w:val="none" w:sz="0" w:space="0" w:color="auto"/>
            </w:tcBorders>
            <w:shd w:val="clear" w:color="auto" w:fill="B6DDE8" w:themeFill="accent5" w:themeFillTint="66"/>
          </w:tcPr>
          <w:p w:rsidR="009511DC" w:rsidRPr="00694807" w:rsidRDefault="009511DC" w:rsidP="0000657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694807">
              <w:rPr>
                <w:rFonts w:cstheme="minorHAnsi"/>
                <w:color w:val="auto"/>
                <w:sz w:val="20"/>
                <w:szCs w:val="20"/>
              </w:rPr>
              <w:t xml:space="preserve">Total Number of People </w:t>
            </w:r>
            <w:r>
              <w:rPr>
                <w:rFonts w:cstheme="minorHAnsi"/>
                <w:color w:val="auto"/>
                <w:sz w:val="20"/>
                <w:szCs w:val="20"/>
              </w:rPr>
              <w:t>K</w:t>
            </w:r>
            <w:r w:rsidRPr="00694807">
              <w:rPr>
                <w:rFonts w:cstheme="minorHAnsi"/>
                <w:color w:val="auto"/>
                <w:sz w:val="20"/>
                <w:szCs w:val="20"/>
              </w:rPr>
              <w:t>illed</w:t>
            </w:r>
          </w:p>
        </w:tc>
        <w:tc>
          <w:tcPr>
            <w:tcW w:w="4158" w:type="dxa"/>
            <w:gridSpan w:val="2"/>
            <w:tcBorders>
              <w:top w:val="none" w:sz="0" w:space="0" w:color="auto"/>
              <w:left w:val="none" w:sz="0" w:space="0" w:color="auto"/>
              <w:bottom w:val="none" w:sz="0" w:space="0" w:color="auto"/>
              <w:right w:val="none" w:sz="0" w:space="0" w:color="auto"/>
            </w:tcBorders>
            <w:shd w:val="clear" w:color="auto" w:fill="B6DDE8" w:themeFill="accent5" w:themeFillTint="66"/>
          </w:tcPr>
          <w:p w:rsidR="009511DC" w:rsidRPr="00694807" w:rsidRDefault="009511DC" w:rsidP="0000657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694807">
              <w:rPr>
                <w:rFonts w:cstheme="minorHAnsi"/>
                <w:color w:val="auto"/>
                <w:sz w:val="20"/>
                <w:szCs w:val="20"/>
              </w:rPr>
              <w:t>Total Number of People Reported Affected</w:t>
            </w:r>
          </w:p>
        </w:tc>
      </w:tr>
      <w:tr w:rsidR="009511DC" w:rsidRPr="00694807" w:rsidTr="0095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vMerge/>
            <w:tcBorders>
              <w:left w:val="none" w:sz="0" w:space="0" w:color="auto"/>
              <w:bottom w:val="none" w:sz="0" w:space="0" w:color="auto"/>
              <w:right w:val="none" w:sz="0" w:space="0" w:color="auto"/>
            </w:tcBorders>
            <w:shd w:val="clear" w:color="auto" w:fill="B6DDE8" w:themeFill="accent5" w:themeFillTint="66"/>
          </w:tcPr>
          <w:p w:rsidR="009511DC" w:rsidRPr="00694807" w:rsidRDefault="009511DC" w:rsidP="00006575">
            <w:pPr>
              <w:spacing w:after="0" w:line="240" w:lineRule="auto"/>
              <w:rPr>
                <w:rFonts w:cstheme="minorHAnsi"/>
                <w:color w:val="auto"/>
                <w:sz w:val="20"/>
                <w:szCs w:val="20"/>
              </w:rPr>
            </w:pPr>
          </w:p>
        </w:tc>
        <w:tc>
          <w:tcPr>
            <w:tcW w:w="1915" w:type="dxa"/>
          </w:tcPr>
          <w:p w:rsidR="009511DC" w:rsidRPr="00694807" w:rsidRDefault="009511DC" w:rsidP="0000657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807">
              <w:rPr>
                <w:rFonts w:cstheme="minorHAnsi"/>
                <w:sz w:val="20"/>
                <w:szCs w:val="20"/>
              </w:rPr>
              <w:t>1994-2003</w:t>
            </w:r>
          </w:p>
        </w:tc>
        <w:tc>
          <w:tcPr>
            <w:tcW w:w="1588" w:type="dxa"/>
          </w:tcPr>
          <w:p w:rsidR="009511DC" w:rsidRPr="00694807" w:rsidRDefault="009511DC" w:rsidP="0000657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807">
              <w:rPr>
                <w:rFonts w:cstheme="minorHAnsi"/>
                <w:sz w:val="20"/>
                <w:szCs w:val="20"/>
              </w:rPr>
              <w:t>2004-2013</w:t>
            </w:r>
          </w:p>
        </w:tc>
        <w:tc>
          <w:tcPr>
            <w:tcW w:w="2242" w:type="dxa"/>
          </w:tcPr>
          <w:p w:rsidR="009511DC" w:rsidRPr="00694807" w:rsidRDefault="009511DC" w:rsidP="0000657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807">
              <w:rPr>
                <w:rFonts w:cstheme="minorHAnsi"/>
                <w:sz w:val="20"/>
                <w:szCs w:val="20"/>
              </w:rPr>
              <w:t>1994-2003</w:t>
            </w:r>
          </w:p>
        </w:tc>
        <w:tc>
          <w:tcPr>
            <w:tcW w:w="1916" w:type="dxa"/>
          </w:tcPr>
          <w:p w:rsidR="009511DC" w:rsidRPr="00694807" w:rsidRDefault="009511DC" w:rsidP="0000657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807">
              <w:rPr>
                <w:rFonts w:cstheme="minorHAnsi"/>
                <w:sz w:val="20"/>
                <w:szCs w:val="20"/>
              </w:rPr>
              <w:t>2004-2013</w:t>
            </w:r>
          </w:p>
        </w:tc>
      </w:tr>
      <w:tr w:rsidR="009511DC" w:rsidRPr="00694807" w:rsidTr="009511DC">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shd w:val="clear" w:color="auto" w:fill="B6DDE8" w:themeFill="accent5" w:themeFillTint="66"/>
          </w:tcPr>
          <w:p w:rsidR="009511DC" w:rsidRPr="00694807" w:rsidRDefault="009511DC" w:rsidP="00006575">
            <w:pPr>
              <w:spacing w:after="0" w:line="240" w:lineRule="auto"/>
              <w:rPr>
                <w:rFonts w:cstheme="minorHAnsi"/>
                <w:color w:val="auto"/>
                <w:sz w:val="20"/>
                <w:szCs w:val="20"/>
              </w:rPr>
            </w:pPr>
            <w:r w:rsidRPr="00694807">
              <w:rPr>
                <w:rFonts w:cstheme="minorHAnsi"/>
                <w:color w:val="auto"/>
                <w:sz w:val="20"/>
                <w:szCs w:val="20"/>
              </w:rPr>
              <w:t>Bangladesh</w:t>
            </w:r>
          </w:p>
        </w:tc>
        <w:tc>
          <w:tcPr>
            <w:tcW w:w="1915" w:type="dxa"/>
          </w:tcPr>
          <w:p w:rsidR="009511DC" w:rsidRPr="00694807" w:rsidRDefault="009511DC" w:rsidP="0000657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94807">
              <w:rPr>
                <w:rFonts w:cstheme="minorHAnsi"/>
                <w:sz w:val="20"/>
                <w:szCs w:val="20"/>
              </w:rPr>
              <w:t>11,259</w:t>
            </w:r>
          </w:p>
        </w:tc>
        <w:tc>
          <w:tcPr>
            <w:tcW w:w="1588" w:type="dxa"/>
          </w:tcPr>
          <w:p w:rsidR="009511DC" w:rsidRPr="00694807" w:rsidRDefault="009511DC" w:rsidP="0000657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94807">
              <w:rPr>
                <w:rFonts w:cstheme="minorHAnsi"/>
                <w:sz w:val="20"/>
                <w:szCs w:val="20"/>
              </w:rPr>
              <w:t>11,881</w:t>
            </w:r>
          </w:p>
        </w:tc>
        <w:tc>
          <w:tcPr>
            <w:tcW w:w="2242" w:type="dxa"/>
          </w:tcPr>
          <w:p w:rsidR="009511DC" w:rsidRPr="00694807" w:rsidRDefault="009511DC" w:rsidP="0000657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94807">
              <w:rPr>
                <w:rFonts w:cstheme="minorHAnsi"/>
                <w:sz w:val="20"/>
                <w:szCs w:val="20"/>
              </w:rPr>
              <w:t>50,508,051</w:t>
            </w:r>
          </w:p>
        </w:tc>
        <w:tc>
          <w:tcPr>
            <w:tcW w:w="1916" w:type="dxa"/>
          </w:tcPr>
          <w:p w:rsidR="009511DC" w:rsidRPr="00694807" w:rsidRDefault="009511DC" w:rsidP="0000657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94807">
              <w:rPr>
                <w:rFonts w:cstheme="minorHAnsi"/>
                <w:sz w:val="20"/>
                <w:szCs w:val="20"/>
              </w:rPr>
              <w:t>76,395,387</w:t>
            </w:r>
          </w:p>
        </w:tc>
      </w:tr>
      <w:tr w:rsidR="009511DC" w:rsidRPr="00694807" w:rsidTr="0095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shd w:val="clear" w:color="auto" w:fill="B6DDE8" w:themeFill="accent5" w:themeFillTint="66"/>
          </w:tcPr>
          <w:p w:rsidR="009511DC" w:rsidRPr="00694807" w:rsidRDefault="009511DC" w:rsidP="00006575">
            <w:pPr>
              <w:spacing w:after="0" w:line="240" w:lineRule="auto"/>
              <w:rPr>
                <w:rFonts w:cstheme="minorHAnsi"/>
                <w:color w:val="auto"/>
                <w:sz w:val="20"/>
                <w:szCs w:val="20"/>
              </w:rPr>
            </w:pPr>
            <w:r w:rsidRPr="00694807">
              <w:rPr>
                <w:rFonts w:cstheme="minorHAnsi"/>
                <w:color w:val="auto"/>
                <w:sz w:val="20"/>
                <w:szCs w:val="20"/>
              </w:rPr>
              <w:t>India</w:t>
            </w:r>
          </w:p>
        </w:tc>
        <w:tc>
          <w:tcPr>
            <w:tcW w:w="1915" w:type="dxa"/>
          </w:tcPr>
          <w:p w:rsidR="009511DC" w:rsidRPr="00694807" w:rsidRDefault="009511DC" w:rsidP="0000657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807">
              <w:rPr>
                <w:rFonts w:cstheme="minorHAnsi"/>
                <w:sz w:val="20"/>
                <w:szCs w:val="20"/>
              </w:rPr>
              <w:t>69,300</w:t>
            </w:r>
          </w:p>
        </w:tc>
        <w:tc>
          <w:tcPr>
            <w:tcW w:w="1588" w:type="dxa"/>
          </w:tcPr>
          <w:p w:rsidR="009511DC" w:rsidRPr="00694807" w:rsidRDefault="009511DC" w:rsidP="0000657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807">
              <w:rPr>
                <w:rFonts w:cstheme="minorHAnsi"/>
                <w:sz w:val="20"/>
                <w:szCs w:val="20"/>
              </w:rPr>
              <w:t>46,078</w:t>
            </w:r>
          </w:p>
        </w:tc>
        <w:tc>
          <w:tcPr>
            <w:tcW w:w="2242" w:type="dxa"/>
          </w:tcPr>
          <w:p w:rsidR="009511DC" w:rsidRPr="00694807" w:rsidRDefault="009511DC" w:rsidP="0000657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807">
              <w:rPr>
                <w:rFonts w:cstheme="minorHAnsi"/>
                <w:sz w:val="20"/>
                <w:szCs w:val="20"/>
              </w:rPr>
              <w:t>697,323,825</w:t>
            </w:r>
          </w:p>
        </w:tc>
        <w:tc>
          <w:tcPr>
            <w:tcW w:w="1916" w:type="dxa"/>
          </w:tcPr>
          <w:p w:rsidR="009511DC" w:rsidRPr="00694807" w:rsidRDefault="009511DC" w:rsidP="0000657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807">
              <w:rPr>
                <w:rFonts w:cstheme="minorHAnsi"/>
                <w:sz w:val="20"/>
                <w:szCs w:val="20"/>
              </w:rPr>
              <w:t>170,233,654</w:t>
            </w:r>
          </w:p>
        </w:tc>
      </w:tr>
      <w:tr w:rsidR="009511DC" w:rsidRPr="00694807" w:rsidTr="009511DC">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shd w:val="clear" w:color="auto" w:fill="B6DDE8" w:themeFill="accent5" w:themeFillTint="66"/>
          </w:tcPr>
          <w:p w:rsidR="009511DC" w:rsidRPr="00694807" w:rsidRDefault="009511DC" w:rsidP="00006575">
            <w:pPr>
              <w:spacing w:after="0" w:line="240" w:lineRule="auto"/>
              <w:rPr>
                <w:rFonts w:cstheme="minorHAnsi"/>
                <w:color w:val="auto"/>
                <w:sz w:val="20"/>
                <w:szCs w:val="20"/>
              </w:rPr>
            </w:pPr>
            <w:r w:rsidRPr="00694807">
              <w:rPr>
                <w:rFonts w:cstheme="minorHAnsi"/>
                <w:color w:val="auto"/>
                <w:sz w:val="20"/>
                <w:szCs w:val="20"/>
              </w:rPr>
              <w:t>Indonesia</w:t>
            </w:r>
          </w:p>
        </w:tc>
        <w:tc>
          <w:tcPr>
            <w:tcW w:w="1915" w:type="dxa"/>
          </w:tcPr>
          <w:p w:rsidR="009511DC" w:rsidRPr="00694807" w:rsidRDefault="009511DC" w:rsidP="0000657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94807">
              <w:rPr>
                <w:rFonts w:cstheme="minorHAnsi"/>
                <w:sz w:val="20"/>
                <w:szCs w:val="20"/>
              </w:rPr>
              <w:t>8,194</w:t>
            </w:r>
          </w:p>
        </w:tc>
        <w:tc>
          <w:tcPr>
            <w:tcW w:w="1588" w:type="dxa"/>
          </w:tcPr>
          <w:p w:rsidR="009511DC" w:rsidRPr="00694807" w:rsidRDefault="009511DC" w:rsidP="0000657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94807">
              <w:rPr>
                <w:rFonts w:cstheme="minorHAnsi"/>
                <w:sz w:val="20"/>
                <w:szCs w:val="20"/>
              </w:rPr>
              <w:t>181,979</w:t>
            </w:r>
          </w:p>
        </w:tc>
        <w:tc>
          <w:tcPr>
            <w:tcW w:w="2242" w:type="dxa"/>
          </w:tcPr>
          <w:p w:rsidR="009511DC" w:rsidRPr="00694807" w:rsidRDefault="009511DC" w:rsidP="0000657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94807">
              <w:rPr>
                <w:rFonts w:cstheme="minorHAnsi"/>
                <w:sz w:val="20"/>
                <w:szCs w:val="20"/>
              </w:rPr>
              <w:t>8,513,312</w:t>
            </w:r>
          </w:p>
        </w:tc>
        <w:tc>
          <w:tcPr>
            <w:tcW w:w="1916" w:type="dxa"/>
          </w:tcPr>
          <w:p w:rsidR="009511DC" w:rsidRPr="00694807" w:rsidRDefault="009511DC" w:rsidP="0000657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94807">
              <w:rPr>
                <w:rFonts w:cstheme="minorHAnsi"/>
                <w:sz w:val="20"/>
                <w:szCs w:val="20"/>
              </w:rPr>
              <w:t>10,807,067</w:t>
            </w:r>
          </w:p>
        </w:tc>
      </w:tr>
      <w:tr w:rsidR="009511DC" w:rsidRPr="00694807" w:rsidTr="0095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shd w:val="clear" w:color="auto" w:fill="B6DDE8" w:themeFill="accent5" w:themeFillTint="66"/>
          </w:tcPr>
          <w:p w:rsidR="009511DC" w:rsidRPr="00694807" w:rsidRDefault="009511DC" w:rsidP="00006575">
            <w:pPr>
              <w:spacing w:after="0" w:line="240" w:lineRule="auto"/>
              <w:rPr>
                <w:rFonts w:cstheme="minorHAnsi"/>
                <w:color w:val="auto"/>
                <w:sz w:val="20"/>
                <w:szCs w:val="20"/>
              </w:rPr>
            </w:pPr>
            <w:r w:rsidRPr="00694807">
              <w:rPr>
                <w:rFonts w:cstheme="minorHAnsi"/>
                <w:color w:val="auto"/>
                <w:sz w:val="20"/>
                <w:szCs w:val="20"/>
              </w:rPr>
              <w:t>Myanmar</w:t>
            </w:r>
          </w:p>
        </w:tc>
        <w:tc>
          <w:tcPr>
            <w:tcW w:w="1915" w:type="dxa"/>
          </w:tcPr>
          <w:p w:rsidR="009511DC" w:rsidRPr="00694807" w:rsidRDefault="009511DC" w:rsidP="0000657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807">
              <w:rPr>
                <w:rFonts w:cstheme="minorHAnsi"/>
                <w:sz w:val="20"/>
                <w:szCs w:val="20"/>
              </w:rPr>
              <w:t>423</w:t>
            </w:r>
          </w:p>
        </w:tc>
        <w:tc>
          <w:tcPr>
            <w:tcW w:w="1588" w:type="dxa"/>
          </w:tcPr>
          <w:p w:rsidR="009511DC" w:rsidRPr="00694807" w:rsidRDefault="009511DC" w:rsidP="0000657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807">
              <w:rPr>
                <w:rFonts w:cstheme="minorHAnsi"/>
                <w:sz w:val="20"/>
                <w:szCs w:val="20"/>
              </w:rPr>
              <w:t>139,597</w:t>
            </w:r>
          </w:p>
        </w:tc>
        <w:tc>
          <w:tcPr>
            <w:tcW w:w="2242" w:type="dxa"/>
          </w:tcPr>
          <w:p w:rsidR="009511DC" w:rsidRPr="00694807" w:rsidRDefault="009511DC" w:rsidP="0000657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807">
              <w:rPr>
                <w:rFonts w:cstheme="minorHAnsi"/>
                <w:sz w:val="20"/>
                <w:szCs w:val="20"/>
              </w:rPr>
              <w:t>352,338</w:t>
            </w:r>
          </w:p>
        </w:tc>
        <w:tc>
          <w:tcPr>
            <w:tcW w:w="1916" w:type="dxa"/>
          </w:tcPr>
          <w:p w:rsidR="009511DC" w:rsidRPr="00694807" w:rsidRDefault="009511DC" w:rsidP="0000657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807">
              <w:rPr>
                <w:rFonts w:cstheme="minorHAnsi"/>
                <w:sz w:val="20"/>
                <w:szCs w:val="20"/>
              </w:rPr>
              <w:t>3,320,929</w:t>
            </w:r>
          </w:p>
        </w:tc>
      </w:tr>
      <w:tr w:rsidR="009511DC" w:rsidRPr="00694807" w:rsidTr="009511DC">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shd w:val="clear" w:color="auto" w:fill="B6DDE8" w:themeFill="accent5" w:themeFillTint="66"/>
          </w:tcPr>
          <w:p w:rsidR="009511DC" w:rsidRPr="00694807" w:rsidRDefault="009511DC" w:rsidP="00006575">
            <w:pPr>
              <w:spacing w:after="0" w:line="240" w:lineRule="auto"/>
              <w:rPr>
                <w:rFonts w:cstheme="minorHAnsi"/>
                <w:color w:val="auto"/>
                <w:sz w:val="20"/>
                <w:szCs w:val="20"/>
              </w:rPr>
            </w:pPr>
            <w:r w:rsidRPr="00694807">
              <w:rPr>
                <w:rFonts w:cstheme="minorHAnsi"/>
                <w:color w:val="auto"/>
                <w:sz w:val="20"/>
                <w:szCs w:val="20"/>
              </w:rPr>
              <w:t>Nepal</w:t>
            </w:r>
          </w:p>
        </w:tc>
        <w:tc>
          <w:tcPr>
            <w:tcW w:w="1915" w:type="dxa"/>
          </w:tcPr>
          <w:p w:rsidR="009511DC" w:rsidRPr="00694807" w:rsidRDefault="009511DC" w:rsidP="0000657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94807">
              <w:rPr>
                <w:rFonts w:cstheme="minorHAnsi"/>
                <w:sz w:val="20"/>
                <w:szCs w:val="20"/>
              </w:rPr>
              <w:t>3,200</w:t>
            </w:r>
          </w:p>
        </w:tc>
        <w:tc>
          <w:tcPr>
            <w:tcW w:w="1588" w:type="dxa"/>
          </w:tcPr>
          <w:p w:rsidR="009511DC" w:rsidRPr="00694807" w:rsidRDefault="009511DC" w:rsidP="0000657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94807">
              <w:rPr>
                <w:rFonts w:cstheme="minorHAnsi"/>
                <w:sz w:val="20"/>
                <w:szCs w:val="20"/>
              </w:rPr>
              <w:t>2,531</w:t>
            </w:r>
          </w:p>
        </w:tc>
        <w:tc>
          <w:tcPr>
            <w:tcW w:w="2242" w:type="dxa"/>
          </w:tcPr>
          <w:p w:rsidR="009511DC" w:rsidRPr="00694807" w:rsidRDefault="009511DC" w:rsidP="0000657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94807">
              <w:rPr>
                <w:rFonts w:cstheme="minorHAnsi"/>
                <w:sz w:val="20"/>
                <w:szCs w:val="20"/>
              </w:rPr>
              <w:t>654,615</w:t>
            </w:r>
          </w:p>
        </w:tc>
        <w:tc>
          <w:tcPr>
            <w:tcW w:w="1916" w:type="dxa"/>
          </w:tcPr>
          <w:p w:rsidR="009511DC" w:rsidRPr="00694807" w:rsidRDefault="009511DC" w:rsidP="0000657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94807">
              <w:rPr>
                <w:rFonts w:cstheme="minorHAnsi"/>
                <w:sz w:val="20"/>
                <w:szCs w:val="20"/>
              </w:rPr>
              <w:t>2,810,255</w:t>
            </w:r>
          </w:p>
        </w:tc>
      </w:tr>
      <w:tr w:rsidR="009511DC" w:rsidRPr="00694807" w:rsidTr="0095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shd w:val="clear" w:color="auto" w:fill="B6DDE8" w:themeFill="accent5" w:themeFillTint="66"/>
          </w:tcPr>
          <w:p w:rsidR="009511DC" w:rsidRPr="00694807" w:rsidRDefault="009511DC" w:rsidP="00006575">
            <w:pPr>
              <w:spacing w:after="0" w:line="240" w:lineRule="auto"/>
              <w:rPr>
                <w:rFonts w:cstheme="minorHAnsi"/>
                <w:color w:val="auto"/>
                <w:sz w:val="20"/>
                <w:szCs w:val="20"/>
              </w:rPr>
            </w:pPr>
            <w:r w:rsidRPr="00694807">
              <w:rPr>
                <w:rFonts w:cstheme="minorHAnsi"/>
                <w:color w:val="auto"/>
                <w:sz w:val="20"/>
                <w:szCs w:val="20"/>
              </w:rPr>
              <w:t>Pa</w:t>
            </w:r>
            <w:r>
              <w:rPr>
                <w:rFonts w:cstheme="minorHAnsi"/>
                <w:color w:val="auto"/>
                <w:sz w:val="20"/>
                <w:szCs w:val="20"/>
              </w:rPr>
              <w:t>k</w:t>
            </w:r>
            <w:r w:rsidRPr="00694807">
              <w:rPr>
                <w:rFonts w:cstheme="minorHAnsi"/>
                <w:color w:val="auto"/>
                <w:sz w:val="20"/>
                <w:szCs w:val="20"/>
              </w:rPr>
              <w:t>istan</w:t>
            </w:r>
          </w:p>
        </w:tc>
        <w:tc>
          <w:tcPr>
            <w:tcW w:w="1915" w:type="dxa"/>
          </w:tcPr>
          <w:p w:rsidR="009511DC" w:rsidRPr="00694807" w:rsidRDefault="009511DC" w:rsidP="0000657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807">
              <w:rPr>
                <w:rFonts w:cstheme="minorHAnsi"/>
                <w:sz w:val="20"/>
                <w:szCs w:val="20"/>
              </w:rPr>
              <w:t>6,374</w:t>
            </w:r>
          </w:p>
        </w:tc>
        <w:tc>
          <w:tcPr>
            <w:tcW w:w="1588" w:type="dxa"/>
          </w:tcPr>
          <w:p w:rsidR="009511DC" w:rsidRPr="00694807" w:rsidRDefault="009511DC" w:rsidP="0000657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807">
              <w:rPr>
                <w:rFonts w:cstheme="minorHAnsi"/>
                <w:sz w:val="20"/>
                <w:szCs w:val="20"/>
              </w:rPr>
              <w:t>82,150</w:t>
            </w:r>
          </w:p>
        </w:tc>
        <w:tc>
          <w:tcPr>
            <w:tcW w:w="2242" w:type="dxa"/>
          </w:tcPr>
          <w:p w:rsidR="009511DC" w:rsidRPr="00694807" w:rsidRDefault="009511DC" w:rsidP="0000657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807">
              <w:rPr>
                <w:rFonts w:cstheme="minorHAnsi"/>
                <w:sz w:val="20"/>
                <w:szCs w:val="20"/>
              </w:rPr>
              <w:t>19,348,757</w:t>
            </w:r>
          </w:p>
        </w:tc>
        <w:tc>
          <w:tcPr>
            <w:tcW w:w="1916" w:type="dxa"/>
          </w:tcPr>
          <w:p w:rsidR="009511DC" w:rsidRPr="00694807" w:rsidRDefault="009511DC" w:rsidP="0000657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807">
              <w:rPr>
                <w:rFonts w:cstheme="minorHAnsi"/>
                <w:sz w:val="20"/>
                <w:szCs w:val="20"/>
              </w:rPr>
              <w:t>47,324,932</w:t>
            </w:r>
          </w:p>
        </w:tc>
      </w:tr>
      <w:tr w:rsidR="009511DC" w:rsidRPr="00694807" w:rsidTr="009511DC">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shd w:val="clear" w:color="auto" w:fill="B6DDE8" w:themeFill="accent5" w:themeFillTint="66"/>
          </w:tcPr>
          <w:p w:rsidR="009511DC" w:rsidRPr="00694807" w:rsidRDefault="009511DC" w:rsidP="00006575">
            <w:pPr>
              <w:spacing w:after="0" w:line="240" w:lineRule="auto"/>
              <w:rPr>
                <w:rFonts w:cstheme="minorHAnsi"/>
                <w:color w:val="auto"/>
                <w:sz w:val="20"/>
                <w:szCs w:val="20"/>
              </w:rPr>
            </w:pPr>
            <w:r w:rsidRPr="00694807">
              <w:rPr>
                <w:rFonts w:cstheme="minorHAnsi"/>
                <w:color w:val="auto"/>
                <w:sz w:val="20"/>
                <w:szCs w:val="20"/>
              </w:rPr>
              <w:t>Sri Lan</w:t>
            </w:r>
            <w:r>
              <w:rPr>
                <w:rFonts w:cstheme="minorHAnsi"/>
                <w:color w:val="auto"/>
                <w:sz w:val="20"/>
                <w:szCs w:val="20"/>
              </w:rPr>
              <w:t>k</w:t>
            </w:r>
            <w:r w:rsidRPr="00694807">
              <w:rPr>
                <w:rFonts w:cstheme="minorHAnsi"/>
                <w:color w:val="auto"/>
                <w:sz w:val="20"/>
                <w:szCs w:val="20"/>
              </w:rPr>
              <w:t>a</w:t>
            </w:r>
          </w:p>
        </w:tc>
        <w:tc>
          <w:tcPr>
            <w:tcW w:w="1915" w:type="dxa"/>
          </w:tcPr>
          <w:p w:rsidR="009511DC" w:rsidRPr="00694807" w:rsidRDefault="009511DC" w:rsidP="0000657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94807">
              <w:rPr>
                <w:rFonts w:cstheme="minorHAnsi"/>
                <w:sz w:val="20"/>
                <w:szCs w:val="20"/>
              </w:rPr>
              <w:t>705</w:t>
            </w:r>
          </w:p>
        </w:tc>
        <w:tc>
          <w:tcPr>
            <w:tcW w:w="1588" w:type="dxa"/>
          </w:tcPr>
          <w:p w:rsidR="009511DC" w:rsidRPr="00694807" w:rsidRDefault="009511DC" w:rsidP="0000657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94807">
              <w:rPr>
                <w:rFonts w:cstheme="minorHAnsi"/>
                <w:sz w:val="20"/>
                <w:szCs w:val="20"/>
              </w:rPr>
              <w:t>35,893</w:t>
            </w:r>
          </w:p>
        </w:tc>
        <w:tc>
          <w:tcPr>
            <w:tcW w:w="2242" w:type="dxa"/>
          </w:tcPr>
          <w:p w:rsidR="009511DC" w:rsidRPr="00694807" w:rsidRDefault="009511DC" w:rsidP="0000657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94807">
              <w:rPr>
                <w:rFonts w:cstheme="minorHAnsi"/>
                <w:sz w:val="20"/>
                <w:szCs w:val="20"/>
              </w:rPr>
              <w:t>5,802,518</w:t>
            </w:r>
          </w:p>
        </w:tc>
        <w:tc>
          <w:tcPr>
            <w:tcW w:w="1916" w:type="dxa"/>
          </w:tcPr>
          <w:p w:rsidR="009511DC" w:rsidRPr="00694807" w:rsidRDefault="009511DC" w:rsidP="0000657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94807">
              <w:rPr>
                <w:rFonts w:cstheme="minorHAnsi"/>
                <w:sz w:val="20"/>
                <w:szCs w:val="20"/>
              </w:rPr>
              <w:t>7,526,033</w:t>
            </w:r>
          </w:p>
        </w:tc>
      </w:tr>
      <w:tr w:rsidR="009511DC" w:rsidRPr="00694807" w:rsidTr="0095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shd w:val="clear" w:color="auto" w:fill="B6DDE8" w:themeFill="accent5" w:themeFillTint="66"/>
          </w:tcPr>
          <w:p w:rsidR="009511DC" w:rsidRPr="00694807" w:rsidRDefault="009511DC" w:rsidP="00006575">
            <w:pPr>
              <w:spacing w:after="0" w:line="240" w:lineRule="auto"/>
              <w:rPr>
                <w:rFonts w:cstheme="minorHAnsi"/>
                <w:color w:val="auto"/>
                <w:sz w:val="20"/>
                <w:szCs w:val="20"/>
              </w:rPr>
            </w:pPr>
            <w:r w:rsidRPr="00694807">
              <w:rPr>
                <w:rFonts w:cstheme="minorHAnsi"/>
                <w:color w:val="auto"/>
                <w:sz w:val="20"/>
                <w:szCs w:val="20"/>
              </w:rPr>
              <w:t>Thailand</w:t>
            </w:r>
          </w:p>
        </w:tc>
        <w:tc>
          <w:tcPr>
            <w:tcW w:w="1915" w:type="dxa"/>
          </w:tcPr>
          <w:p w:rsidR="009511DC" w:rsidRPr="00694807" w:rsidRDefault="009511DC" w:rsidP="0000657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807">
              <w:rPr>
                <w:rFonts w:cstheme="minorHAnsi"/>
                <w:sz w:val="20"/>
                <w:szCs w:val="20"/>
              </w:rPr>
              <w:t>2,023</w:t>
            </w:r>
          </w:p>
        </w:tc>
        <w:tc>
          <w:tcPr>
            <w:tcW w:w="1588" w:type="dxa"/>
          </w:tcPr>
          <w:p w:rsidR="009511DC" w:rsidRPr="00694807" w:rsidRDefault="009511DC" w:rsidP="0000657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807">
              <w:rPr>
                <w:rFonts w:cstheme="minorHAnsi"/>
                <w:sz w:val="20"/>
                <w:szCs w:val="20"/>
              </w:rPr>
              <w:t>10,585</w:t>
            </w:r>
          </w:p>
        </w:tc>
        <w:tc>
          <w:tcPr>
            <w:tcW w:w="2242" w:type="dxa"/>
          </w:tcPr>
          <w:p w:rsidR="009511DC" w:rsidRPr="00694807" w:rsidRDefault="009511DC" w:rsidP="0000657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807">
              <w:rPr>
                <w:rFonts w:cstheme="minorHAnsi"/>
                <w:sz w:val="20"/>
                <w:szCs w:val="20"/>
              </w:rPr>
              <w:t>28,467,123</w:t>
            </w:r>
          </w:p>
        </w:tc>
        <w:tc>
          <w:tcPr>
            <w:tcW w:w="1916" w:type="dxa"/>
          </w:tcPr>
          <w:p w:rsidR="009511DC" w:rsidRPr="00694807" w:rsidRDefault="009511DC" w:rsidP="0000657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807">
              <w:rPr>
                <w:rFonts w:cstheme="minorHAnsi"/>
                <w:sz w:val="20"/>
                <w:szCs w:val="20"/>
              </w:rPr>
              <w:t>63,059,551</w:t>
            </w:r>
          </w:p>
        </w:tc>
      </w:tr>
    </w:tbl>
    <w:p w:rsidR="009511DC" w:rsidRDefault="009511DC" w:rsidP="009511DC">
      <w:r>
        <w:t>Source: IFRC and RCS. 2014. World Disaster Report 2014.</w:t>
      </w:r>
    </w:p>
    <w:p w:rsidR="00006575" w:rsidRDefault="00006575" w:rsidP="005F5DC3">
      <w:pPr>
        <w:tabs>
          <w:tab w:val="left" w:pos="2595"/>
        </w:tabs>
        <w:rPr>
          <w:rFonts w:asciiTheme="minorHAnsi" w:hAnsiTheme="minorHAnsi"/>
        </w:rPr>
        <w:sectPr w:rsidR="00006575" w:rsidSect="009511DC">
          <w:pgSz w:w="12240" w:h="15840"/>
          <w:pgMar w:top="1440" w:right="1440" w:bottom="1440" w:left="1440" w:header="720" w:footer="720" w:gutter="0"/>
          <w:cols w:space="720"/>
          <w:docGrid w:linePitch="360"/>
        </w:sectPr>
      </w:pPr>
    </w:p>
    <w:p w:rsidR="00006575" w:rsidRPr="00BD3D9E" w:rsidRDefault="00006575" w:rsidP="00006575">
      <w:pPr>
        <w:jc w:val="center"/>
        <w:rPr>
          <w:b/>
        </w:rPr>
      </w:pPr>
      <w:r>
        <w:rPr>
          <w:b/>
        </w:rPr>
        <w:lastRenderedPageBreak/>
        <w:t>Annex VIII</w:t>
      </w:r>
      <w:r w:rsidRPr="00BD3D9E">
        <w:rPr>
          <w:b/>
        </w:rPr>
        <w:t>: UNDP CPD Indicator</w:t>
      </w:r>
      <w:r>
        <w:rPr>
          <w:b/>
        </w:rPr>
        <w:t xml:space="preserve"> 2012-2016 under Consideration</w:t>
      </w:r>
    </w:p>
    <w:tbl>
      <w:tblPr>
        <w:tblStyle w:val="TableGrid"/>
        <w:tblpPr w:leftFromText="180" w:rightFromText="180" w:vertAnchor="page" w:horzAnchor="margin" w:tblpY="1981"/>
        <w:tblW w:w="12434" w:type="dxa"/>
        <w:tblLook w:val="04A0" w:firstRow="1" w:lastRow="0" w:firstColumn="1" w:lastColumn="0" w:noHBand="0" w:noVBand="1"/>
      </w:tblPr>
      <w:tblGrid>
        <w:gridCol w:w="2511"/>
        <w:gridCol w:w="5954"/>
        <w:gridCol w:w="3969"/>
      </w:tblGrid>
      <w:tr w:rsidR="00006575" w:rsidRPr="00BD3D9E" w:rsidTr="009F468D">
        <w:trPr>
          <w:trHeight w:val="515"/>
          <w:tblHeader/>
        </w:trPr>
        <w:tc>
          <w:tcPr>
            <w:tcW w:w="2511" w:type="dxa"/>
            <w:shd w:val="clear" w:color="auto" w:fill="DAEEF3" w:themeFill="accent5" w:themeFillTint="33"/>
            <w:vAlign w:val="center"/>
          </w:tcPr>
          <w:p w:rsidR="00006575" w:rsidRPr="00BD3D9E" w:rsidRDefault="00006575" w:rsidP="00006575">
            <w:pPr>
              <w:pStyle w:val="EndnoteText"/>
              <w:spacing w:after="0" w:line="240" w:lineRule="auto"/>
              <w:jc w:val="center"/>
              <w:rPr>
                <w:rStyle w:val="roarquestion"/>
                <w:rFonts w:asciiTheme="minorHAnsi" w:hAnsiTheme="minorHAnsi" w:cstheme="minorHAnsi"/>
                <w:b/>
                <w:sz w:val="18"/>
                <w:szCs w:val="18"/>
              </w:rPr>
            </w:pPr>
            <w:r w:rsidRPr="00BD3D9E">
              <w:rPr>
                <w:rStyle w:val="roarquestion"/>
                <w:rFonts w:asciiTheme="minorHAnsi" w:hAnsiTheme="minorHAnsi" w:cstheme="minorHAnsi"/>
                <w:b/>
                <w:sz w:val="18"/>
                <w:szCs w:val="18"/>
              </w:rPr>
              <w:t>Current Indicators</w:t>
            </w:r>
          </w:p>
        </w:tc>
        <w:tc>
          <w:tcPr>
            <w:tcW w:w="5954" w:type="dxa"/>
            <w:shd w:val="clear" w:color="auto" w:fill="DAEEF3" w:themeFill="accent5" w:themeFillTint="33"/>
            <w:vAlign w:val="center"/>
          </w:tcPr>
          <w:p w:rsidR="00006575" w:rsidRPr="00BD3D9E" w:rsidRDefault="00006575" w:rsidP="00006575">
            <w:pPr>
              <w:pStyle w:val="EndnoteText"/>
              <w:spacing w:after="0" w:line="240" w:lineRule="auto"/>
              <w:jc w:val="center"/>
              <w:rPr>
                <w:rStyle w:val="roarquestion"/>
                <w:rFonts w:asciiTheme="minorHAnsi" w:hAnsiTheme="minorHAnsi" w:cstheme="minorHAnsi"/>
                <w:b/>
                <w:sz w:val="18"/>
                <w:szCs w:val="18"/>
              </w:rPr>
            </w:pPr>
            <w:r w:rsidRPr="00BD3D9E">
              <w:rPr>
                <w:rStyle w:val="roarquestion"/>
                <w:rFonts w:asciiTheme="minorHAnsi" w:hAnsiTheme="minorHAnsi" w:cstheme="minorHAnsi"/>
                <w:b/>
                <w:sz w:val="18"/>
                <w:szCs w:val="18"/>
              </w:rPr>
              <w:t>Proposed Changes/New Indicators</w:t>
            </w:r>
          </w:p>
        </w:tc>
        <w:tc>
          <w:tcPr>
            <w:tcW w:w="3969" w:type="dxa"/>
            <w:shd w:val="clear" w:color="auto" w:fill="DAEEF3" w:themeFill="accent5" w:themeFillTint="33"/>
            <w:vAlign w:val="center"/>
          </w:tcPr>
          <w:p w:rsidR="00006575" w:rsidRPr="00BD3D9E" w:rsidRDefault="00006575" w:rsidP="00006575">
            <w:pPr>
              <w:pStyle w:val="EndnoteText"/>
              <w:spacing w:after="0" w:line="240" w:lineRule="auto"/>
              <w:jc w:val="center"/>
              <w:rPr>
                <w:rStyle w:val="roarquestion"/>
                <w:rFonts w:asciiTheme="minorHAnsi" w:hAnsiTheme="minorHAnsi" w:cstheme="minorHAnsi"/>
                <w:b/>
                <w:sz w:val="18"/>
                <w:szCs w:val="18"/>
              </w:rPr>
            </w:pPr>
            <w:r w:rsidRPr="00BD3D9E">
              <w:rPr>
                <w:rStyle w:val="roarquestion"/>
                <w:rFonts w:asciiTheme="minorHAnsi" w:hAnsiTheme="minorHAnsi" w:cstheme="minorHAnsi"/>
                <w:b/>
                <w:sz w:val="18"/>
                <w:szCs w:val="18"/>
              </w:rPr>
              <w:t>Reasons</w:t>
            </w:r>
          </w:p>
        </w:tc>
      </w:tr>
      <w:tr w:rsidR="00006575" w:rsidRPr="00BD3D9E" w:rsidTr="009F468D">
        <w:tc>
          <w:tcPr>
            <w:tcW w:w="12434" w:type="dxa"/>
            <w:gridSpan w:val="3"/>
            <w:shd w:val="clear" w:color="auto" w:fill="DAEEF3" w:themeFill="accent5" w:themeFillTint="33"/>
          </w:tcPr>
          <w:p w:rsidR="00006575" w:rsidRPr="00BD3D9E" w:rsidRDefault="00006575" w:rsidP="00006575">
            <w:pPr>
              <w:pStyle w:val="EndnoteText"/>
              <w:spacing w:after="0" w:line="240" w:lineRule="auto"/>
              <w:rPr>
                <w:rFonts w:asciiTheme="minorHAnsi" w:hAnsiTheme="minorHAnsi" w:cstheme="minorHAnsi"/>
                <w:b/>
                <w:sz w:val="18"/>
                <w:szCs w:val="18"/>
              </w:rPr>
            </w:pPr>
            <w:r w:rsidRPr="00BD3D9E">
              <w:rPr>
                <w:sz w:val="18"/>
                <w:szCs w:val="18"/>
              </w:rPr>
              <w:br w:type="page"/>
            </w:r>
            <w:r w:rsidRPr="00BD3D9E">
              <w:rPr>
                <w:rFonts w:asciiTheme="minorHAnsi" w:hAnsiTheme="minorHAnsi" w:cstheme="minorHAnsi"/>
                <w:b/>
                <w:sz w:val="18"/>
                <w:szCs w:val="18"/>
              </w:rPr>
              <w:t>Outcome 3.1: By 2016, populations vulnerable to climate change and natural disaster have become more resilient to adapt to ris</w:t>
            </w:r>
            <w:r>
              <w:rPr>
                <w:rFonts w:asciiTheme="minorHAnsi" w:hAnsiTheme="minorHAnsi" w:cstheme="minorHAnsi"/>
                <w:b/>
                <w:sz w:val="18"/>
                <w:szCs w:val="18"/>
              </w:rPr>
              <w:t>k</w:t>
            </w:r>
            <w:r w:rsidRPr="00BD3D9E">
              <w:rPr>
                <w:rFonts w:asciiTheme="minorHAnsi" w:hAnsiTheme="minorHAnsi" w:cstheme="minorHAnsi"/>
                <w:b/>
                <w:sz w:val="18"/>
                <w:szCs w:val="18"/>
              </w:rPr>
              <w:t>s</w:t>
            </w:r>
          </w:p>
          <w:p w:rsidR="00006575" w:rsidRPr="00BD3D9E" w:rsidRDefault="00006575" w:rsidP="00006575">
            <w:pPr>
              <w:pStyle w:val="EndnoteText"/>
              <w:spacing w:after="0" w:line="240" w:lineRule="auto"/>
              <w:rPr>
                <w:sz w:val="18"/>
                <w:szCs w:val="18"/>
              </w:rPr>
            </w:pPr>
          </w:p>
        </w:tc>
      </w:tr>
      <w:tr w:rsidR="00006575" w:rsidRPr="00BD3D9E" w:rsidTr="009F468D">
        <w:tc>
          <w:tcPr>
            <w:tcW w:w="2511" w:type="dxa"/>
          </w:tcPr>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rPr>
              <w:t>3.1.1. Environment, climate and disaster vulnerability index</w:t>
            </w:r>
          </w:p>
        </w:tc>
        <w:tc>
          <w:tcPr>
            <w:tcW w:w="5954" w:type="dxa"/>
          </w:tcPr>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rPr>
              <w:t>3.1.1. Annual average economic loss from natural hazards (e.g. geo-physical and climate-induced hazards) as a proportion of GDP in the last five years</w:t>
            </w:r>
          </w:p>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u w:val="single"/>
              </w:rPr>
              <w:t>Baseline</w:t>
            </w:r>
            <w:r w:rsidRPr="00BD3D9E">
              <w:rPr>
                <w:rStyle w:val="roarquestion"/>
                <w:rFonts w:asciiTheme="minorHAnsi" w:hAnsiTheme="minorHAnsi" w:cstheme="minorHAnsi"/>
                <w:sz w:val="18"/>
                <w:szCs w:val="18"/>
              </w:rPr>
              <w:t xml:space="preserve"> 2011: 1.23%</w:t>
            </w:r>
          </w:p>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u w:val="single"/>
              </w:rPr>
              <w:t>Target</w:t>
            </w:r>
            <w:r w:rsidRPr="00BD3D9E">
              <w:rPr>
                <w:rStyle w:val="roarquestion"/>
                <w:rFonts w:asciiTheme="minorHAnsi" w:hAnsiTheme="minorHAnsi" w:cstheme="minorHAnsi"/>
                <w:sz w:val="18"/>
                <w:szCs w:val="18"/>
              </w:rPr>
              <w:t xml:space="preserve"> 2016: 0.8%</w:t>
            </w:r>
          </w:p>
          <w:p w:rsidR="00006575"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u w:val="single"/>
              </w:rPr>
              <w:t>Data Source</w:t>
            </w:r>
            <w:r w:rsidRPr="00BD3D9E">
              <w:rPr>
                <w:rStyle w:val="roarquestion"/>
                <w:rFonts w:asciiTheme="minorHAnsi" w:hAnsiTheme="minorHAnsi" w:cstheme="minorHAnsi"/>
                <w:sz w:val="18"/>
                <w:szCs w:val="18"/>
              </w:rPr>
              <w:t>: Loss and Damage Report from Ministry of Disaster Management and Relief</w:t>
            </w:r>
          </w:p>
          <w:p w:rsidR="00006575" w:rsidRPr="00BD3D9E" w:rsidRDefault="00006575" w:rsidP="00006575">
            <w:pPr>
              <w:pStyle w:val="EndnoteText"/>
              <w:spacing w:after="0" w:line="240" w:lineRule="auto"/>
              <w:rPr>
                <w:rStyle w:val="roarquestion"/>
                <w:rFonts w:asciiTheme="minorHAnsi" w:hAnsiTheme="minorHAnsi" w:cstheme="minorHAnsi"/>
                <w:sz w:val="18"/>
                <w:szCs w:val="18"/>
              </w:rPr>
            </w:pPr>
          </w:p>
        </w:tc>
        <w:tc>
          <w:tcPr>
            <w:tcW w:w="3969" w:type="dxa"/>
          </w:tcPr>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rPr>
              <w:t xml:space="preserve">The proposed indicator is better formulated to monitor and report on the outcome statement. No index was carried out for 2012-2013. </w:t>
            </w:r>
          </w:p>
        </w:tc>
      </w:tr>
      <w:tr w:rsidR="00006575" w:rsidRPr="00BD3D9E" w:rsidTr="009F468D">
        <w:tc>
          <w:tcPr>
            <w:tcW w:w="2511" w:type="dxa"/>
          </w:tcPr>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rPr>
              <w:t>3.1.2. Community Asset Score for disaster ris</w:t>
            </w:r>
            <w:r>
              <w:rPr>
                <w:rStyle w:val="roarquestion"/>
                <w:rFonts w:asciiTheme="minorHAnsi" w:hAnsiTheme="minorHAnsi" w:cstheme="minorHAnsi"/>
                <w:sz w:val="18"/>
                <w:szCs w:val="18"/>
              </w:rPr>
              <w:t>k</w:t>
            </w:r>
            <w:r w:rsidRPr="00BD3D9E">
              <w:rPr>
                <w:rStyle w:val="roarquestion"/>
                <w:rFonts w:asciiTheme="minorHAnsi" w:hAnsiTheme="minorHAnsi" w:cstheme="minorHAnsi"/>
                <w:sz w:val="18"/>
                <w:szCs w:val="18"/>
              </w:rPr>
              <w:t xml:space="preserve"> and reduction</w:t>
            </w:r>
          </w:p>
        </w:tc>
        <w:tc>
          <w:tcPr>
            <w:tcW w:w="5954" w:type="dxa"/>
          </w:tcPr>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rPr>
              <w:t>3.1.2. Extent to which disaster and climate ris</w:t>
            </w:r>
            <w:r>
              <w:rPr>
                <w:rStyle w:val="roarquestion"/>
                <w:rFonts w:asciiTheme="minorHAnsi" w:hAnsiTheme="minorHAnsi" w:cstheme="minorHAnsi"/>
                <w:sz w:val="18"/>
                <w:szCs w:val="18"/>
              </w:rPr>
              <w:t>k</w:t>
            </w:r>
            <w:r w:rsidRPr="00BD3D9E">
              <w:rPr>
                <w:rStyle w:val="roarquestion"/>
                <w:rFonts w:asciiTheme="minorHAnsi" w:hAnsiTheme="minorHAnsi" w:cstheme="minorHAnsi"/>
                <w:sz w:val="18"/>
                <w:szCs w:val="18"/>
              </w:rPr>
              <w:t xml:space="preserve"> management plans are funded through national, local and sectorial development budgets (Rating Scale; 1-not adequately; 2-very partially; 3-partially; 4-largely)</w:t>
            </w:r>
          </w:p>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u w:val="single"/>
              </w:rPr>
              <w:t>Baseline</w:t>
            </w:r>
            <w:r w:rsidRPr="00BD3D9E">
              <w:rPr>
                <w:rStyle w:val="roarquestion"/>
                <w:rFonts w:asciiTheme="minorHAnsi" w:hAnsiTheme="minorHAnsi" w:cstheme="minorHAnsi"/>
                <w:sz w:val="18"/>
                <w:szCs w:val="18"/>
              </w:rPr>
              <w:t xml:space="preserve"> 2011: 1 point (Not adequately)</w:t>
            </w:r>
          </w:p>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u w:val="single"/>
              </w:rPr>
              <w:t>Target</w:t>
            </w:r>
            <w:r w:rsidRPr="00BD3D9E">
              <w:rPr>
                <w:rStyle w:val="roarquestion"/>
                <w:rFonts w:asciiTheme="minorHAnsi" w:hAnsiTheme="minorHAnsi" w:cstheme="minorHAnsi"/>
                <w:sz w:val="18"/>
                <w:szCs w:val="18"/>
              </w:rPr>
              <w:t xml:space="preserve"> 2016: 3 points (Partially)</w:t>
            </w:r>
          </w:p>
          <w:p w:rsidR="00006575"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u w:val="single"/>
              </w:rPr>
              <w:t>Data Source</w:t>
            </w:r>
            <w:r w:rsidRPr="00BD3D9E">
              <w:rPr>
                <w:rStyle w:val="roarquestion"/>
                <w:rFonts w:asciiTheme="minorHAnsi" w:hAnsiTheme="minorHAnsi" w:cstheme="minorHAnsi"/>
                <w:sz w:val="18"/>
                <w:szCs w:val="18"/>
              </w:rPr>
              <w:t>: Disaster and Climate Change Public Expenditure Report from Ministry of Disaster Management and Relief</w:t>
            </w:r>
          </w:p>
          <w:p w:rsidR="00006575" w:rsidRPr="00BD3D9E" w:rsidRDefault="00006575" w:rsidP="00006575">
            <w:pPr>
              <w:pStyle w:val="EndnoteText"/>
              <w:spacing w:after="0" w:line="240" w:lineRule="auto"/>
              <w:rPr>
                <w:rStyle w:val="roarquestion"/>
                <w:rFonts w:asciiTheme="minorHAnsi" w:hAnsiTheme="minorHAnsi" w:cstheme="minorHAnsi"/>
                <w:sz w:val="18"/>
                <w:szCs w:val="18"/>
              </w:rPr>
            </w:pPr>
          </w:p>
        </w:tc>
        <w:tc>
          <w:tcPr>
            <w:tcW w:w="3969" w:type="dxa"/>
          </w:tcPr>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rPr>
              <w:t>The proposed indicator is formulated to monitor and report on the outcome statement. It is also aligned with UNDP global Strategic Plan 2014-2017.  The methodology of the current indicator was not related to UNDP’s wor</w:t>
            </w:r>
            <w:r>
              <w:rPr>
                <w:rStyle w:val="roarquestion"/>
                <w:rFonts w:asciiTheme="minorHAnsi" w:hAnsiTheme="minorHAnsi" w:cstheme="minorHAnsi"/>
                <w:sz w:val="18"/>
                <w:szCs w:val="18"/>
              </w:rPr>
              <w:t>k</w:t>
            </w:r>
            <w:r w:rsidRPr="00BD3D9E">
              <w:rPr>
                <w:rStyle w:val="roarquestion"/>
                <w:rFonts w:asciiTheme="minorHAnsi" w:hAnsiTheme="minorHAnsi" w:cstheme="minorHAnsi"/>
                <w:sz w:val="18"/>
                <w:szCs w:val="18"/>
              </w:rPr>
              <w:t xml:space="preserve"> (more WFP specific).  However, this is to be further discussed and finalized by the cluster. </w:t>
            </w:r>
          </w:p>
        </w:tc>
      </w:tr>
      <w:tr w:rsidR="00006575" w:rsidRPr="00BD3D9E" w:rsidTr="009F468D">
        <w:tc>
          <w:tcPr>
            <w:tcW w:w="12434" w:type="dxa"/>
            <w:gridSpan w:val="3"/>
            <w:shd w:val="clear" w:color="auto" w:fill="DAEEF3" w:themeFill="accent5" w:themeFillTint="33"/>
          </w:tcPr>
          <w:p w:rsidR="00006575" w:rsidRPr="00BD3D9E" w:rsidRDefault="00006575" w:rsidP="00006575">
            <w:pPr>
              <w:pStyle w:val="EndnoteText"/>
              <w:spacing w:after="0" w:line="240" w:lineRule="auto"/>
              <w:rPr>
                <w:rStyle w:val="roarquestion"/>
                <w:rFonts w:asciiTheme="minorHAnsi" w:hAnsiTheme="minorHAnsi" w:cstheme="minorHAnsi"/>
                <w:b/>
                <w:sz w:val="18"/>
                <w:szCs w:val="18"/>
                <w:shd w:val="clear" w:color="auto" w:fill="DAEEF3" w:themeFill="accent5" w:themeFillTint="33"/>
              </w:rPr>
            </w:pPr>
            <w:r w:rsidRPr="00BD3D9E">
              <w:rPr>
                <w:rStyle w:val="roarquestion"/>
                <w:rFonts w:asciiTheme="minorHAnsi" w:hAnsiTheme="minorHAnsi" w:cstheme="minorHAnsi"/>
                <w:b/>
                <w:sz w:val="18"/>
                <w:szCs w:val="18"/>
              </w:rPr>
              <w:t>Outcome 3.2: By 2016, vulnerable populations benefit from better natural resource management and access to low carbon ene</w:t>
            </w:r>
            <w:r w:rsidRPr="00BD3D9E">
              <w:rPr>
                <w:rStyle w:val="roarquestion"/>
                <w:rFonts w:asciiTheme="minorHAnsi" w:hAnsiTheme="minorHAnsi" w:cstheme="minorHAnsi"/>
                <w:b/>
                <w:sz w:val="18"/>
                <w:szCs w:val="18"/>
                <w:shd w:val="clear" w:color="auto" w:fill="DAEEF3" w:themeFill="accent5" w:themeFillTint="33"/>
              </w:rPr>
              <w:t>rgy</w:t>
            </w:r>
          </w:p>
          <w:p w:rsidR="00006575" w:rsidRPr="00BD3D9E" w:rsidRDefault="00006575" w:rsidP="00006575">
            <w:pPr>
              <w:pStyle w:val="EndnoteText"/>
              <w:spacing w:after="0" w:line="240" w:lineRule="auto"/>
              <w:rPr>
                <w:rStyle w:val="roarquestion"/>
                <w:rFonts w:asciiTheme="minorHAnsi" w:hAnsiTheme="minorHAnsi" w:cstheme="minorHAnsi"/>
                <w:b/>
                <w:sz w:val="18"/>
                <w:szCs w:val="18"/>
              </w:rPr>
            </w:pPr>
          </w:p>
        </w:tc>
      </w:tr>
      <w:tr w:rsidR="00006575" w:rsidRPr="00BD3D9E" w:rsidTr="009F468D">
        <w:tc>
          <w:tcPr>
            <w:tcW w:w="2511" w:type="dxa"/>
          </w:tcPr>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rPr>
              <w:t xml:space="preserve">3.2.1. # of Government policies, strategies or plans approved in support of sustainable management of natural resources </w:t>
            </w:r>
          </w:p>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u w:val="single"/>
              </w:rPr>
              <w:t xml:space="preserve">Baseline </w:t>
            </w:r>
            <w:r w:rsidRPr="00BD3D9E">
              <w:rPr>
                <w:rStyle w:val="roarquestion"/>
                <w:rFonts w:asciiTheme="minorHAnsi" w:hAnsiTheme="minorHAnsi" w:cstheme="minorHAnsi"/>
                <w:sz w:val="18"/>
                <w:szCs w:val="18"/>
              </w:rPr>
              <w:t>2010: 2</w:t>
            </w:r>
          </w:p>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u w:val="single"/>
              </w:rPr>
              <w:t>Target</w:t>
            </w:r>
            <w:r w:rsidRPr="00BD3D9E">
              <w:rPr>
                <w:rStyle w:val="roarquestion"/>
                <w:rFonts w:asciiTheme="minorHAnsi" w:hAnsiTheme="minorHAnsi" w:cstheme="minorHAnsi"/>
                <w:sz w:val="18"/>
                <w:szCs w:val="18"/>
              </w:rPr>
              <w:t xml:space="preserve"> 2016: 4</w:t>
            </w:r>
          </w:p>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u w:val="single"/>
              </w:rPr>
              <w:t>Data Source</w:t>
            </w:r>
            <w:r w:rsidRPr="00BD3D9E">
              <w:rPr>
                <w:rStyle w:val="roarquestion"/>
                <w:rFonts w:asciiTheme="minorHAnsi" w:hAnsiTheme="minorHAnsi" w:cstheme="minorHAnsi"/>
                <w:sz w:val="18"/>
                <w:szCs w:val="18"/>
              </w:rPr>
              <w:t>: Annual des</w:t>
            </w:r>
            <w:r>
              <w:rPr>
                <w:rStyle w:val="roarquestion"/>
                <w:rFonts w:asciiTheme="minorHAnsi" w:hAnsiTheme="minorHAnsi" w:cstheme="minorHAnsi"/>
                <w:sz w:val="18"/>
                <w:szCs w:val="18"/>
              </w:rPr>
              <w:t>k</w:t>
            </w:r>
            <w:r w:rsidRPr="00BD3D9E">
              <w:rPr>
                <w:rStyle w:val="roarquestion"/>
                <w:rFonts w:asciiTheme="minorHAnsi" w:hAnsiTheme="minorHAnsi" w:cstheme="minorHAnsi"/>
                <w:sz w:val="18"/>
                <w:szCs w:val="18"/>
              </w:rPr>
              <w:t xml:space="preserve"> review of </w:t>
            </w:r>
            <w:r>
              <w:rPr>
                <w:rStyle w:val="roarquestion"/>
                <w:rFonts w:asciiTheme="minorHAnsi" w:hAnsiTheme="minorHAnsi" w:cstheme="minorHAnsi"/>
                <w:sz w:val="18"/>
                <w:szCs w:val="18"/>
              </w:rPr>
              <w:t>k</w:t>
            </w:r>
            <w:r w:rsidRPr="00BD3D9E">
              <w:rPr>
                <w:rStyle w:val="roarquestion"/>
                <w:rFonts w:asciiTheme="minorHAnsi" w:hAnsiTheme="minorHAnsi" w:cstheme="minorHAnsi"/>
                <w:sz w:val="18"/>
                <w:szCs w:val="18"/>
              </w:rPr>
              <w:t>ey national reports from sectoral ministries</w:t>
            </w:r>
          </w:p>
        </w:tc>
        <w:tc>
          <w:tcPr>
            <w:tcW w:w="5954" w:type="dxa"/>
          </w:tcPr>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rPr>
              <w:t xml:space="preserve">3.2.1. # of Government policies, strategies or plans approved in support of sustainable management of natural resources </w:t>
            </w:r>
          </w:p>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u w:val="single"/>
              </w:rPr>
              <w:t>Baseline</w:t>
            </w:r>
            <w:r w:rsidRPr="00BD3D9E">
              <w:rPr>
                <w:rStyle w:val="roarquestion"/>
                <w:rFonts w:asciiTheme="minorHAnsi" w:hAnsiTheme="minorHAnsi" w:cstheme="minorHAnsi"/>
                <w:sz w:val="18"/>
                <w:szCs w:val="18"/>
              </w:rPr>
              <w:t xml:space="preserve"> 2012: 18</w:t>
            </w:r>
          </w:p>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u w:val="single"/>
              </w:rPr>
              <w:t xml:space="preserve">Target </w:t>
            </w:r>
            <w:r w:rsidRPr="00BD3D9E">
              <w:rPr>
                <w:rStyle w:val="roarquestion"/>
                <w:rFonts w:asciiTheme="minorHAnsi" w:hAnsiTheme="minorHAnsi" w:cstheme="minorHAnsi"/>
                <w:sz w:val="18"/>
                <w:szCs w:val="18"/>
              </w:rPr>
              <w:t>2016: 22</w:t>
            </w:r>
          </w:p>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u w:val="single"/>
              </w:rPr>
              <w:t>Data Source</w:t>
            </w:r>
            <w:r w:rsidRPr="00BD3D9E">
              <w:rPr>
                <w:rStyle w:val="roarquestion"/>
                <w:rFonts w:asciiTheme="minorHAnsi" w:hAnsiTheme="minorHAnsi" w:cstheme="minorHAnsi"/>
                <w:sz w:val="18"/>
                <w:szCs w:val="18"/>
              </w:rPr>
              <w:t>: Government Gazettes and Review of Ministerial Reports</w:t>
            </w:r>
          </w:p>
        </w:tc>
        <w:tc>
          <w:tcPr>
            <w:tcW w:w="3969" w:type="dxa"/>
          </w:tcPr>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rPr>
              <w:t>Only the baseline and the target are proposed to be updated to be aligned with the national strategic goals. These changes were also made in the UNDAF Pillar 5 indicators in 2013.</w:t>
            </w:r>
          </w:p>
        </w:tc>
      </w:tr>
      <w:tr w:rsidR="00006575" w:rsidRPr="00BD3D9E" w:rsidTr="009F468D">
        <w:tc>
          <w:tcPr>
            <w:tcW w:w="2511" w:type="dxa"/>
          </w:tcPr>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rPr>
              <w:t xml:space="preserve">3.2.2. # of MW generated from renewable sources </w:t>
            </w:r>
          </w:p>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u w:val="single"/>
              </w:rPr>
              <w:t>Baseline</w:t>
            </w:r>
            <w:r w:rsidRPr="00BD3D9E">
              <w:rPr>
                <w:rStyle w:val="roarquestion"/>
                <w:rFonts w:asciiTheme="minorHAnsi" w:hAnsiTheme="minorHAnsi" w:cstheme="minorHAnsi"/>
                <w:sz w:val="18"/>
                <w:szCs w:val="18"/>
              </w:rPr>
              <w:t xml:space="preserve"> 2010: 42 MW</w:t>
            </w:r>
          </w:p>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u w:val="single"/>
              </w:rPr>
              <w:t>Target</w:t>
            </w:r>
            <w:r w:rsidRPr="00BD3D9E">
              <w:rPr>
                <w:rStyle w:val="roarquestion"/>
                <w:rFonts w:asciiTheme="minorHAnsi" w:hAnsiTheme="minorHAnsi" w:cstheme="minorHAnsi"/>
                <w:sz w:val="18"/>
                <w:szCs w:val="18"/>
              </w:rPr>
              <w:t xml:space="preserve"> 2016: 85 MW</w:t>
            </w:r>
          </w:p>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u w:val="single"/>
              </w:rPr>
              <w:t>Data Source</w:t>
            </w:r>
            <w:r w:rsidRPr="00BD3D9E">
              <w:rPr>
                <w:rStyle w:val="roarquestion"/>
                <w:rFonts w:asciiTheme="minorHAnsi" w:hAnsiTheme="minorHAnsi" w:cstheme="minorHAnsi"/>
                <w:sz w:val="18"/>
                <w:szCs w:val="18"/>
              </w:rPr>
              <w:t>: Des</w:t>
            </w:r>
            <w:r>
              <w:rPr>
                <w:rStyle w:val="roarquestion"/>
                <w:rFonts w:asciiTheme="minorHAnsi" w:hAnsiTheme="minorHAnsi" w:cstheme="minorHAnsi"/>
                <w:sz w:val="18"/>
                <w:szCs w:val="18"/>
              </w:rPr>
              <w:t>k</w:t>
            </w:r>
            <w:r w:rsidRPr="00BD3D9E">
              <w:rPr>
                <w:rStyle w:val="roarquestion"/>
                <w:rFonts w:asciiTheme="minorHAnsi" w:hAnsiTheme="minorHAnsi" w:cstheme="minorHAnsi"/>
                <w:sz w:val="18"/>
                <w:szCs w:val="18"/>
              </w:rPr>
              <w:t xml:space="preserve"> review of </w:t>
            </w:r>
            <w:r>
              <w:rPr>
                <w:rStyle w:val="roarquestion"/>
                <w:rFonts w:asciiTheme="minorHAnsi" w:hAnsiTheme="minorHAnsi" w:cstheme="minorHAnsi"/>
                <w:sz w:val="18"/>
                <w:szCs w:val="18"/>
              </w:rPr>
              <w:t>k</w:t>
            </w:r>
            <w:r w:rsidRPr="00BD3D9E">
              <w:rPr>
                <w:rStyle w:val="roarquestion"/>
                <w:rFonts w:asciiTheme="minorHAnsi" w:hAnsiTheme="minorHAnsi" w:cstheme="minorHAnsi"/>
                <w:sz w:val="18"/>
                <w:szCs w:val="18"/>
              </w:rPr>
              <w:t>ey national reports</w:t>
            </w:r>
          </w:p>
        </w:tc>
        <w:tc>
          <w:tcPr>
            <w:tcW w:w="5954" w:type="dxa"/>
          </w:tcPr>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rPr>
              <w:t xml:space="preserve">3.2.2. # of MW generated from renewable sources </w:t>
            </w:r>
          </w:p>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u w:val="single"/>
              </w:rPr>
              <w:t>Baseline</w:t>
            </w:r>
            <w:r w:rsidRPr="00BD3D9E">
              <w:rPr>
                <w:rStyle w:val="roarquestion"/>
                <w:rFonts w:asciiTheme="minorHAnsi" w:hAnsiTheme="minorHAnsi" w:cstheme="minorHAnsi"/>
                <w:sz w:val="18"/>
                <w:szCs w:val="18"/>
              </w:rPr>
              <w:t xml:space="preserve"> 2011: 72 MW</w:t>
            </w:r>
          </w:p>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u w:val="single"/>
              </w:rPr>
              <w:t>Target</w:t>
            </w:r>
            <w:r w:rsidRPr="00BD3D9E">
              <w:rPr>
                <w:rStyle w:val="roarquestion"/>
                <w:rFonts w:asciiTheme="minorHAnsi" w:hAnsiTheme="minorHAnsi" w:cstheme="minorHAnsi"/>
                <w:sz w:val="18"/>
                <w:szCs w:val="18"/>
              </w:rPr>
              <w:t xml:space="preserve"> 2016: 800 MW</w:t>
            </w:r>
          </w:p>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u w:val="single"/>
              </w:rPr>
              <w:t>Data Source</w:t>
            </w:r>
            <w:r w:rsidRPr="00BD3D9E">
              <w:rPr>
                <w:rStyle w:val="roarquestion"/>
                <w:rFonts w:asciiTheme="minorHAnsi" w:hAnsiTheme="minorHAnsi" w:cstheme="minorHAnsi"/>
                <w:sz w:val="18"/>
                <w:szCs w:val="18"/>
              </w:rPr>
              <w:t>: Statistics from Power Division, Ministry of Power, Energy and Mineral Resources</w:t>
            </w:r>
          </w:p>
        </w:tc>
        <w:tc>
          <w:tcPr>
            <w:tcW w:w="3969" w:type="dxa"/>
          </w:tcPr>
          <w:p w:rsidR="00006575" w:rsidRPr="00BD3D9E" w:rsidRDefault="00006575" w:rsidP="00006575">
            <w:pPr>
              <w:pStyle w:val="EndnoteText"/>
              <w:spacing w:after="0" w:line="240" w:lineRule="auto"/>
              <w:rPr>
                <w:rStyle w:val="roarquestion"/>
                <w:rFonts w:asciiTheme="minorHAnsi" w:hAnsiTheme="minorHAnsi" w:cstheme="minorHAnsi"/>
                <w:sz w:val="18"/>
                <w:szCs w:val="18"/>
              </w:rPr>
            </w:pPr>
            <w:r w:rsidRPr="00BD3D9E">
              <w:rPr>
                <w:rStyle w:val="roarquestion"/>
                <w:rFonts w:asciiTheme="minorHAnsi" w:hAnsiTheme="minorHAnsi" w:cstheme="minorHAnsi"/>
                <w:sz w:val="18"/>
                <w:szCs w:val="18"/>
              </w:rPr>
              <w:t>Only the baseline and the target are proposed to be updated to be aligned with the national strategic goals. This follows the changes made in the UNDAF Pillar 5 indicators in 2013.</w:t>
            </w:r>
          </w:p>
        </w:tc>
      </w:tr>
    </w:tbl>
    <w:p w:rsidR="009511DC" w:rsidRDefault="009511DC" w:rsidP="005F5DC3">
      <w:pPr>
        <w:tabs>
          <w:tab w:val="left" w:pos="2595"/>
        </w:tabs>
        <w:rPr>
          <w:rFonts w:asciiTheme="minorHAnsi" w:hAnsiTheme="minorHAnsi"/>
        </w:rPr>
      </w:pPr>
    </w:p>
    <w:p w:rsidR="00F04ED9" w:rsidRDefault="00F04ED9" w:rsidP="005F5DC3">
      <w:pPr>
        <w:tabs>
          <w:tab w:val="left" w:pos="2595"/>
        </w:tabs>
        <w:rPr>
          <w:rFonts w:asciiTheme="minorHAnsi" w:hAnsiTheme="minorHAnsi"/>
        </w:rPr>
      </w:pPr>
    </w:p>
    <w:p w:rsidR="00F04ED9" w:rsidRDefault="00F04ED9" w:rsidP="005F5DC3">
      <w:pPr>
        <w:tabs>
          <w:tab w:val="left" w:pos="2595"/>
        </w:tabs>
        <w:rPr>
          <w:rFonts w:asciiTheme="minorHAnsi" w:hAnsiTheme="minorHAnsi"/>
        </w:rPr>
      </w:pPr>
    </w:p>
    <w:p w:rsidR="00F04ED9" w:rsidRDefault="00F04ED9" w:rsidP="005F5DC3">
      <w:pPr>
        <w:tabs>
          <w:tab w:val="left" w:pos="2595"/>
        </w:tabs>
        <w:rPr>
          <w:rFonts w:asciiTheme="minorHAnsi" w:hAnsiTheme="minorHAnsi"/>
        </w:rPr>
      </w:pPr>
    </w:p>
    <w:p w:rsidR="00F04ED9" w:rsidRDefault="00F04ED9" w:rsidP="005F5DC3">
      <w:pPr>
        <w:tabs>
          <w:tab w:val="left" w:pos="2595"/>
        </w:tabs>
        <w:rPr>
          <w:rFonts w:asciiTheme="minorHAnsi" w:hAnsiTheme="minorHAnsi"/>
        </w:rPr>
      </w:pPr>
    </w:p>
    <w:p w:rsidR="00F04ED9" w:rsidRDefault="00F04ED9" w:rsidP="005F5DC3">
      <w:pPr>
        <w:tabs>
          <w:tab w:val="left" w:pos="2595"/>
        </w:tabs>
        <w:rPr>
          <w:rFonts w:asciiTheme="minorHAnsi" w:hAnsiTheme="minorHAnsi"/>
        </w:rPr>
      </w:pPr>
    </w:p>
    <w:p w:rsidR="00F04ED9" w:rsidRDefault="00F04ED9" w:rsidP="005F5DC3">
      <w:pPr>
        <w:tabs>
          <w:tab w:val="left" w:pos="2595"/>
        </w:tabs>
        <w:rPr>
          <w:rFonts w:asciiTheme="minorHAnsi" w:hAnsiTheme="minorHAnsi"/>
        </w:rPr>
      </w:pPr>
    </w:p>
    <w:p w:rsidR="00F04ED9" w:rsidRDefault="00F04ED9" w:rsidP="005F5DC3">
      <w:pPr>
        <w:tabs>
          <w:tab w:val="left" w:pos="2595"/>
        </w:tabs>
        <w:rPr>
          <w:rFonts w:asciiTheme="minorHAnsi" w:hAnsiTheme="minorHAnsi"/>
        </w:rPr>
      </w:pPr>
    </w:p>
    <w:p w:rsidR="00F04ED9" w:rsidRDefault="00F04ED9" w:rsidP="005F5DC3">
      <w:pPr>
        <w:tabs>
          <w:tab w:val="left" w:pos="2595"/>
        </w:tabs>
        <w:rPr>
          <w:rFonts w:asciiTheme="minorHAnsi" w:hAnsiTheme="minorHAnsi"/>
        </w:rPr>
      </w:pPr>
    </w:p>
    <w:p w:rsidR="00F04ED9" w:rsidRDefault="00F04ED9" w:rsidP="005F5DC3">
      <w:pPr>
        <w:tabs>
          <w:tab w:val="left" w:pos="2595"/>
        </w:tabs>
        <w:rPr>
          <w:rFonts w:asciiTheme="minorHAnsi" w:hAnsiTheme="minorHAnsi"/>
        </w:rPr>
      </w:pPr>
    </w:p>
    <w:p w:rsidR="00F04ED9" w:rsidRDefault="00F04ED9" w:rsidP="005F5DC3">
      <w:pPr>
        <w:tabs>
          <w:tab w:val="left" w:pos="2595"/>
        </w:tabs>
        <w:rPr>
          <w:rFonts w:asciiTheme="minorHAnsi" w:hAnsiTheme="minorHAnsi"/>
        </w:rPr>
      </w:pPr>
    </w:p>
    <w:p w:rsidR="00F04ED9" w:rsidRDefault="00F04ED9" w:rsidP="005F5DC3">
      <w:pPr>
        <w:tabs>
          <w:tab w:val="left" w:pos="2595"/>
        </w:tabs>
        <w:rPr>
          <w:rFonts w:asciiTheme="minorHAnsi" w:hAnsiTheme="minorHAnsi"/>
        </w:rPr>
      </w:pPr>
    </w:p>
    <w:p w:rsidR="00F04ED9" w:rsidRDefault="00F04ED9" w:rsidP="005F5DC3">
      <w:pPr>
        <w:tabs>
          <w:tab w:val="left" w:pos="2595"/>
        </w:tabs>
        <w:rPr>
          <w:rFonts w:asciiTheme="minorHAnsi" w:hAnsiTheme="minorHAnsi"/>
        </w:rPr>
      </w:pPr>
    </w:p>
    <w:p w:rsidR="00F04ED9" w:rsidRDefault="00F04ED9" w:rsidP="005F5DC3">
      <w:pPr>
        <w:tabs>
          <w:tab w:val="left" w:pos="2595"/>
        </w:tabs>
        <w:rPr>
          <w:rFonts w:asciiTheme="minorHAnsi" w:hAnsiTheme="minorHAnsi"/>
        </w:rPr>
      </w:pPr>
    </w:p>
    <w:p w:rsidR="00F04ED9" w:rsidRDefault="00F04ED9" w:rsidP="005F5DC3">
      <w:pPr>
        <w:tabs>
          <w:tab w:val="left" w:pos="2595"/>
        </w:tabs>
        <w:rPr>
          <w:rFonts w:asciiTheme="minorHAnsi" w:hAnsiTheme="minorHAnsi"/>
        </w:rPr>
      </w:pPr>
    </w:p>
    <w:p w:rsidR="00F04ED9" w:rsidRDefault="00F04ED9" w:rsidP="005F5DC3">
      <w:pPr>
        <w:tabs>
          <w:tab w:val="left" w:pos="2595"/>
        </w:tabs>
        <w:rPr>
          <w:rFonts w:asciiTheme="minorHAnsi" w:hAnsiTheme="minorHAnsi"/>
        </w:rPr>
        <w:sectPr w:rsidR="00F04ED9" w:rsidSect="00006575">
          <w:pgSz w:w="15840" w:h="12240" w:orient="landscape"/>
          <w:pgMar w:top="1440" w:right="1440" w:bottom="1440" w:left="1440" w:header="720" w:footer="720" w:gutter="0"/>
          <w:cols w:space="720"/>
          <w:docGrid w:linePitch="360"/>
        </w:sectPr>
      </w:pPr>
    </w:p>
    <w:p w:rsidR="00F04ED9" w:rsidRPr="009C13C6" w:rsidRDefault="00F04ED9" w:rsidP="00F04ED9">
      <w:pPr>
        <w:spacing w:after="0" w:line="240" w:lineRule="auto"/>
        <w:jc w:val="center"/>
        <w:rPr>
          <w:b/>
        </w:rPr>
      </w:pPr>
      <w:r>
        <w:rPr>
          <w:b/>
        </w:rPr>
        <w:lastRenderedPageBreak/>
        <w:t>Annex IX</w:t>
      </w:r>
      <w:r w:rsidRPr="009C13C6">
        <w:rPr>
          <w:b/>
        </w:rPr>
        <w:t xml:space="preserve">: </w:t>
      </w:r>
      <w:r>
        <w:rPr>
          <w:b/>
        </w:rPr>
        <w:t xml:space="preserve">An Overview of </w:t>
      </w:r>
      <w:r w:rsidRPr="009C13C6">
        <w:rPr>
          <w:b/>
        </w:rPr>
        <w:t xml:space="preserve">Energy </w:t>
      </w:r>
      <w:r>
        <w:rPr>
          <w:b/>
        </w:rPr>
        <w:t>S</w:t>
      </w:r>
      <w:r w:rsidRPr="009C13C6">
        <w:rPr>
          <w:b/>
        </w:rPr>
        <w:t>ector in Bangladesh – Opportunities for UNDP</w:t>
      </w:r>
    </w:p>
    <w:p w:rsidR="00F04ED9" w:rsidRPr="009C13C6" w:rsidRDefault="00F04ED9" w:rsidP="00F04ED9">
      <w:pPr>
        <w:spacing w:after="0" w:line="240" w:lineRule="auto"/>
        <w:jc w:val="center"/>
        <w:rPr>
          <w:b/>
        </w:rPr>
      </w:pPr>
    </w:p>
    <w:p w:rsidR="00F04ED9" w:rsidRPr="00755957" w:rsidRDefault="00F04ED9" w:rsidP="00F04ED9">
      <w:pPr>
        <w:spacing w:after="0" w:line="240" w:lineRule="auto"/>
        <w:jc w:val="both"/>
        <w:rPr>
          <w:b/>
          <w:sz w:val="24"/>
        </w:rPr>
      </w:pPr>
      <w:r w:rsidRPr="00755957">
        <w:rPr>
          <w:b/>
          <w:sz w:val="24"/>
        </w:rPr>
        <w:t>Summary</w:t>
      </w:r>
    </w:p>
    <w:p w:rsidR="00F04ED9" w:rsidRDefault="00F04ED9" w:rsidP="00F04ED9">
      <w:pPr>
        <w:spacing w:after="0" w:line="240" w:lineRule="auto"/>
        <w:jc w:val="both"/>
      </w:pPr>
      <w:r w:rsidRPr="005935C3">
        <w:t>For Bangladesh</w:t>
      </w:r>
      <w:r>
        <w:t>,</w:t>
      </w:r>
      <w:r w:rsidRPr="005935C3">
        <w:t xml:space="preserve"> energy security is an important consideration for economic growth but also for social development. Renewable energy and energy efficiency are important strategies to enhance energy security. There are significant opportunities in the both sectors. Many actors are already active in renewable energy</w:t>
      </w:r>
      <w:r>
        <w:t xml:space="preserve"> sector</w:t>
      </w:r>
      <w:r w:rsidRPr="005935C3">
        <w:t xml:space="preserve"> and UNDP is one of them with its recently </w:t>
      </w:r>
      <w:r>
        <w:t>k</w:t>
      </w:r>
      <w:r w:rsidRPr="005935C3">
        <w:t>ic</w:t>
      </w:r>
      <w:r>
        <w:t>k</w:t>
      </w:r>
      <w:r w:rsidRPr="005935C3">
        <w:t xml:space="preserve">ed-off SREPGen project. However, in the field of energy efficiency, </w:t>
      </w:r>
      <w:r>
        <w:t xml:space="preserve">UNDP </w:t>
      </w:r>
      <w:r w:rsidRPr="005935C3">
        <w:t xml:space="preserve">has a more </w:t>
      </w:r>
      <w:r>
        <w:t xml:space="preserve">unique </w:t>
      </w:r>
      <w:r w:rsidRPr="005935C3">
        <w:t xml:space="preserve">reputation </w:t>
      </w:r>
      <w:r>
        <w:t xml:space="preserve">for </w:t>
      </w:r>
      <w:r w:rsidRPr="005935C3">
        <w:t>developing energy efficiency standards for consumer appliances and technology transfer in the bric</w:t>
      </w:r>
      <w:r>
        <w:t>k</w:t>
      </w:r>
      <w:r w:rsidRPr="005935C3">
        <w:t xml:space="preserve"> industry, acquired through the two projects included in detail in this evaluation. UNDP can and should build on these established strengths, </w:t>
      </w:r>
      <w:r>
        <w:t xml:space="preserve">and expand them topically, </w:t>
      </w:r>
      <w:r w:rsidRPr="005935C3">
        <w:t xml:space="preserve">for example through the following activities: </w:t>
      </w:r>
    </w:p>
    <w:p w:rsidR="00F04ED9" w:rsidRPr="005935C3" w:rsidRDefault="00F04ED9" w:rsidP="00F04ED9">
      <w:pPr>
        <w:spacing w:after="0" w:line="240" w:lineRule="auto"/>
        <w:jc w:val="both"/>
      </w:pPr>
    </w:p>
    <w:p w:rsidR="00F04ED9" w:rsidRPr="00F04ED9" w:rsidRDefault="00F04ED9" w:rsidP="001E161B">
      <w:pPr>
        <w:pStyle w:val="ListParagraph"/>
        <w:numPr>
          <w:ilvl w:val="0"/>
          <w:numId w:val="71"/>
        </w:numPr>
        <w:spacing w:after="0" w:line="240" w:lineRule="auto"/>
        <w:jc w:val="both"/>
      </w:pPr>
      <w:r w:rsidRPr="00F04ED9">
        <w:t>Adjustment of the work program and potentially also the expected outcomes of the SREPGen project to fill urgent needs, e.g. in donor coordination and policy implementation support;</w:t>
      </w:r>
    </w:p>
    <w:p w:rsidR="00F04ED9" w:rsidRPr="00F04ED9" w:rsidRDefault="00F04ED9" w:rsidP="00F04ED9">
      <w:pPr>
        <w:pStyle w:val="ListParagraph"/>
        <w:spacing w:after="0" w:line="240" w:lineRule="auto"/>
        <w:jc w:val="both"/>
      </w:pPr>
    </w:p>
    <w:p w:rsidR="00F04ED9" w:rsidRPr="00F04ED9" w:rsidRDefault="00F04ED9" w:rsidP="001E161B">
      <w:pPr>
        <w:pStyle w:val="ListParagraph"/>
        <w:numPr>
          <w:ilvl w:val="0"/>
          <w:numId w:val="71"/>
        </w:numPr>
        <w:spacing w:after="0" w:line="240" w:lineRule="auto"/>
        <w:jc w:val="both"/>
      </w:pPr>
      <w:r w:rsidRPr="00F04ED9">
        <w:t>Expansion of the work with SREDA to the field of energy efficiency, building on BRESL and IKEBMI, with the main objective of the implementation of the EE&amp;M Master Plan; and</w:t>
      </w:r>
    </w:p>
    <w:p w:rsidR="00F04ED9" w:rsidRPr="00F04ED9" w:rsidRDefault="00F04ED9" w:rsidP="00F04ED9">
      <w:pPr>
        <w:spacing w:after="0" w:line="240" w:lineRule="auto"/>
        <w:jc w:val="both"/>
      </w:pPr>
    </w:p>
    <w:p w:rsidR="00F04ED9" w:rsidRPr="00F04ED9" w:rsidRDefault="00F04ED9" w:rsidP="001E161B">
      <w:pPr>
        <w:pStyle w:val="ListParagraph"/>
        <w:numPr>
          <w:ilvl w:val="0"/>
          <w:numId w:val="71"/>
        </w:numPr>
        <w:spacing w:after="0" w:line="240" w:lineRule="auto"/>
        <w:jc w:val="both"/>
      </w:pPr>
      <w:r w:rsidRPr="00F04ED9">
        <w:t>Initiation on a dialogue on Green Growth and technology transfer, triggering of technology transfer in a second industrial area, and its social and environmental consequences</w:t>
      </w:r>
      <w:r w:rsidRPr="00F04ED9">
        <w:rPr>
          <w:b/>
        </w:rPr>
        <w:t xml:space="preserve">. </w:t>
      </w:r>
    </w:p>
    <w:p w:rsidR="00F04ED9" w:rsidRDefault="00F04ED9" w:rsidP="00F04ED9">
      <w:pPr>
        <w:pStyle w:val="ListParagraph"/>
        <w:spacing w:after="0" w:line="240" w:lineRule="auto"/>
        <w:jc w:val="both"/>
        <w:rPr>
          <w:b/>
          <w:sz w:val="24"/>
        </w:rPr>
      </w:pPr>
    </w:p>
    <w:p w:rsidR="00F04ED9" w:rsidRPr="005935C3" w:rsidRDefault="00F04ED9" w:rsidP="00F04ED9">
      <w:pPr>
        <w:spacing w:after="0" w:line="240" w:lineRule="auto"/>
        <w:jc w:val="both"/>
      </w:pPr>
      <w:r>
        <w:t xml:space="preserve">UNDP’s most important impact on Bangladesh will remain in the area of triggering innovation, supporting government in policy formulation and implementation, and in aligning government priorities with policies and donor programs. Therefore, it is also recommended to reformulate the outcome indicators to reflect a broader set of outcomes that are more relevant to the UNDP program. </w:t>
      </w:r>
    </w:p>
    <w:p w:rsidR="00F04ED9" w:rsidRPr="00593F62" w:rsidRDefault="00F04ED9" w:rsidP="00F04ED9">
      <w:pPr>
        <w:spacing w:after="0" w:line="240" w:lineRule="auto"/>
        <w:jc w:val="both"/>
        <w:rPr>
          <w:b/>
          <w:sz w:val="24"/>
          <w:highlight w:val="yellow"/>
        </w:rPr>
      </w:pPr>
    </w:p>
    <w:p w:rsidR="00F04ED9" w:rsidRPr="0094328E" w:rsidRDefault="00F04ED9" w:rsidP="00F04ED9">
      <w:pPr>
        <w:spacing w:after="0" w:line="240" w:lineRule="auto"/>
        <w:jc w:val="both"/>
        <w:rPr>
          <w:b/>
          <w:sz w:val="24"/>
        </w:rPr>
      </w:pPr>
      <w:r>
        <w:rPr>
          <w:b/>
          <w:sz w:val="24"/>
        </w:rPr>
        <w:t>Introduction</w:t>
      </w:r>
    </w:p>
    <w:p w:rsidR="00F04ED9" w:rsidRPr="00045566" w:rsidRDefault="00F04ED9" w:rsidP="00F04ED9">
      <w:pPr>
        <w:spacing w:after="0" w:line="240" w:lineRule="auto"/>
        <w:jc w:val="both"/>
      </w:pPr>
      <w:r w:rsidRPr="005935C3">
        <w:t>Bangladesh’s energy use per capita is very small</w:t>
      </w:r>
      <w:r>
        <w:t xml:space="preserve"> relative to other nations. The major fuels used are </w:t>
      </w:r>
      <w:r w:rsidRPr="005935C3">
        <w:t>domestic natural gas and fuel wood. On its way to a middle income country on an industrialization route, energy consumption is scheduled to rise significantly. Energy security is an important consideration for the economic growth but also for social development. Depending on the path ta</w:t>
      </w:r>
      <w:r>
        <w:t>k</w:t>
      </w:r>
      <w:r w:rsidRPr="005935C3">
        <w:t>en, the environmental ris</w:t>
      </w:r>
      <w:r>
        <w:t>k</w:t>
      </w:r>
      <w:r w:rsidRPr="005935C3">
        <w:t>s and social are considerable. An environmental ris</w:t>
      </w:r>
      <w:r>
        <w:t>k</w:t>
      </w:r>
      <w:r w:rsidRPr="005935C3">
        <w:t xml:space="preserve"> is increasing pressure on the natural resources, increasing pollution and increasing GHG emissions. One of the social ris</w:t>
      </w:r>
      <w:r>
        <w:t>k</w:t>
      </w:r>
      <w:r w:rsidRPr="005935C3">
        <w:t>s is an increasing divide between social groups.</w:t>
      </w:r>
    </w:p>
    <w:p w:rsidR="00F04ED9" w:rsidRDefault="00F04ED9" w:rsidP="00F04ED9">
      <w:pPr>
        <w:spacing w:after="0" w:line="240" w:lineRule="auto"/>
        <w:jc w:val="both"/>
        <w:rPr>
          <w:b/>
        </w:rPr>
      </w:pPr>
    </w:p>
    <w:p w:rsidR="00F04ED9" w:rsidRPr="00045566" w:rsidRDefault="00F04ED9" w:rsidP="00F04ED9">
      <w:pPr>
        <w:spacing w:after="0" w:line="240" w:lineRule="auto"/>
        <w:jc w:val="both"/>
        <w:rPr>
          <w:b/>
        </w:rPr>
      </w:pPr>
      <w:r w:rsidRPr="00045566">
        <w:rPr>
          <w:b/>
        </w:rPr>
        <w:t xml:space="preserve">Energy </w:t>
      </w:r>
      <w:r>
        <w:rPr>
          <w:b/>
        </w:rPr>
        <w:t>a</w:t>
      </w:r>
      <w:r w:rsidRPr="00045566">
        <w:rPr>
          <w:b/>
        </w:rPr>
        <w:t xml:space="preserve">ccess compared to neighbouring states </w:t>
      </w:r>
    </w:p>
    <w:p w:rsidR="00F04ED9" w:rsidRDefault="00F04ED9" w:rsidP="00F04ED9">
      <w:pPr>
        <w:spacing w:after="0" w:line="240" w:lineRule="auto"/>
        <w:jc w:val="both"/>
      </w:pPr>
      <w:r>
        <w:t>The UN</w:t>
      </w:r>
      <w:r w:rsidRPr="00045566">
        <w:t>D</w:t>
      </w:r>
      <w:r>
        <w:t>P</w:t>
      </w:r>
      <w:r w:rsidRPr="00045566">
        <w:t xml:space="preserve"> country program defines access</w:t>
      </w:r>
      <w:r>
        <w:t xml:space="preserve"> to </w:t>
      </w:r>
      <w:r w:rsidRPr="00045566">
        <w:t xml:space="preserve">low carbon energy as one of its outcome indicators. </w:t>
      </w:r>
      <w:r>
        <w:t xml:space="preserve">As indicated in </w:t>
      </w:r>
      <w:r w:rsidR="00504523">
        <w:fldChar w:fldCharType="begin"/>
      </w:r>
      <w:r w:rsidR="00504523">
        <w:instrText xml:space="preserve"> REF _Ref419799673 \h  \* MERGEFORMAT </w:instrText>
      </w:r>
      <w:r w:rsidR="00504523">
        <w:fldChar w:fldCharType="separate"/>
      </w:r>
      <w:r w:rsidR="00977AD4">
        <w:t>Figure IX.1</w:t>
      </w:r>
      <w:r w:rsidR="00504523">
        <w:fldChar w:fldCharType="end"/>
      </w:r>
      <w:r>
        <w:t xml:space="preserve"> based on data from the IEA electrification database for 2012, Bangladesh has the second-lowest electrification rate in the region after Myanmar, at 60%. While in cities, 90% of households enjoy access to the grid, in rural areas this number is below 50%.  </w:t>
      </w:r>
    </w:p>
    <w:p w:rsidR="00F04ED9" w:rsidRDefault="00F04ED9" w:rsidP="00F04ED9">
      <w:pPr>
        <w:spacing w:after="0" w:line="240" w:lineRule="auto"/>
        <w:jc w:val="both"/>
      </w:pPr>
    </w:p>
    <w:p w:rsidR="00F04ED9" w:rsidRDefault="00F04ED9" w:rsidP="00F04ED9">
      <w:pPr>
        <w:pStyle w:val="Caption"/>
        <w:spacing w:after="0"/>
        <w:jc w:val="both"/>
      </w:pPr>
      <w:bookmarkStart w:id="3" w:name="_Ref419799673"/>
      <w:r>
        <w:lastRenderedPageBreak/>
        <w:t>Figure IX.</w:t>
      </w:r>
      <w:r w:rsidR="00504523">
        <w:fldChar w:fldCharType="begin"/>
      </w:r>
      <w:r w:rsidR="00504523">
        <w:instrText xml:space="preserve"> SEQ Figure \* ARABIC </w:instrText>
      </w:r>
      <w:r w:rsidR="00504523">
        <w:fldChar w:fldCharType="separate"/>
      </w:r>
      <w:r w:rsidR="00977AD4">
        <w:rPr>
          <w:noProof/>
        </w:rPr>
        <w:t>1</w:t>
      </w:r>
      <w:r w:rsidR="00504523">
        <w:rPr>
          <w:noProof/>
        </w:rPr>
        <w:fldChar w:fldCharType="end"/>
      </w:r>
      <w:bookmarkEnd w:id="3"/>
      <w:r>
        <w:rPr>
          <w:noProof/>
        </w:rPr>
        <w:t xml:space="preserve">: </w:t>
      </w:r>
      <w:r>
        <w:t xml:space="preserve"> Regional comparison of electrification rates (source: IEA Electrification Database 2014)</w:t>
      </w:r>
    </w:p>
    <w:p w:rsidR="00F04ED9" w:rsidRDefault="00F04ED9" w:rsidP="00F04ED9">
      <w:pPr>
        <w:pStyle w:val="Caption"/>
        <w:spacing w:after="0"/>
        <w:jc w:val="both"/>
      </w:pPr>
      <w:r>
        <w:rPr>
          <w:noProof/>
          <w:color w:val="1F497D"/>
          <w:lang w:val="en-US" w:eastAsia="en-US"/>
        </w:rPr>
        <w:drawing>
          <wp:inline distT="0" distB="0" distL="0" distR="0" wp14:anchorId="4C9B277F" wp14:editId="77470C00">
            <wp:extent cx="4248150" cy="2992702"/>
            <wp:effectExtent l="19050" t="0" r="0" b="0"/>
            <wp:docPr id="2" name="Grafik 2" descr="cid:image005.png@01D0921C.0445B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5.png@01D0921C.0445B08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248150" cy="2992702"/>
                    </a:xfrm>
                    <a:prstGeom prst="rect">
                      <a:avLst/>
                    </a:prstGeom>
                    <a:noFill/>
                    <a:ln>
                      <a:noFill/>
                    </a:ln>
                  </pic:spPr>
                </pic:pic>
              </a:graphicData>
            </a:graphic>
          </wp:inline>
        </w:drawing>
      </w:r>
    </w:p>
    <w:p w:rsidR="00F04ED9" w:rsidRDefault="00F04ED9" w:rsidP="00F04ED9">
      <w:pPr>
        <w:spacing w:after="0" w:line="240" w:lineRule="auto"/>
        <w:jc w:val="both"/>
      </w:pPr>
      <w:r>
        <w:t xml:space="preserve">The government of Bangladesh with the help of strong development finance institutions like ADB and the World Bank is constantly adding new transmission and distribution lines to the grid in order to connect new households. In addition, concerted efforts are taking place to provide rural households with solar home systems. While no comparative figures for the countries in the region are available, the Bangladeshi support scheme has provided by now more than 3 million solar home systems, and every month another 50.000 systems are added. This is the highest rate of addition observed in any country (cf. WB 2014). </w:t>
      </w:r>
    </w:p>
    <w:p w:rsidR="00F04ED9" w:rsidRDefault="00F04ED9" w:rsidP="00F04ED9">
      <w:pPr>
        <w:spacing w:after="0" w:line="240" w:lineRule="auto"/>
        <w:jc w:val="both"/>
      </w:pPr>
    </w:p>
    <w:p w:rsidR="00F04ED9" w:rsidRDefault="00F04ED9" w:rsidP="00F04ED9">
      <w:pPr>
        <w:spacing w:after="0" w:line="240" w:lineRule="auto"/>
        <w:jc w:val="both"/>
      </w:pPr>
      <w:r>
        <w:t xml:space="preserve">Still, most people rely on fuel wood for their cooking – with all environmental and health risks that are associated to it. </w:t>
      </w:r>
      <w:r w:rsidR="00504523">
        <w:fldChar w:fldCharType="begin"/>
      </w:r>
      <w:r w:rsidR="00504523">
        <w:instrText xml:space="preserve"> REF _Ref419800002 \h  \* MERGEFORMAT </w:instrText>
      </w:r>
      <w:r w:rsidR="00504523">
        <w:fldChar w:fldCharType="separate"/>
      </w:r>
      <w:r w:rsidR="00977AD4">
        <w:t>Figure IX.</w:t>
      </w:r>
      <w:r w:rsidR="00977AD4">
        <w:rPr>
          <w:noProof/>
        </w:rPr>
        <w:t>2</w:t>
      </w:r>
      <w:r w:rsidR="00504523">
        <w:fldChar w:fldCharType="end"/>
      </w:r>
      <w:r>
        <w:t xml:space="preserve"> illustrates the dependence on fuel wood for the region. </w:t>
      </w:r>
    </w:p>
    <w:p w:rsidR="00F04ED9" w:rsidRDefault="00F04ED9" w:rsidP="00F04ED9">
      <w:pPr>
        <w:spacing w:after="0" w:line="240" w:lineRule="auto"/>
        <w:jc w:val="both"/>
      </w:pPr>
    </w:p>
    <w:p w:rsidR="00F04ED9" w:rsidRDefault="00F04ED9" w:rsidP="00F04ED9">
      <w:pPr>
        <w:pStyle w:val="Caption"/>
        <w:spacing w:after="0"/>
        <w:jc w:val="both"/>
      </w:pPr>
      <w:bookmarkStart w:id="4" w:name="_Ref419800002"/>
      <w:r>
        <w:t>Figure IX.</w:t>
      </w:r>
      <w:r w:rsidR="00504523">
        <w:fldChar w:fldCharType="begin"/>
      </w:r>
      <w:r w:rsidR="00504523">
        <w:instrText xml:space="preserve"> SEQ Figure \* ARABIC </w:instrText>
      </w:r>
      <w:r w:rsidR="00504523">
        <w:fldChar w:fldCharType="separate"/>
      </w:r>
      <w:r w:rsidR="00977AD4">
        <w:rPr>
          <w:noProof/>
        </w:rPr>
        <w:t>2</w:t>
      </w:r>
      <w:r w:rsidR="00504523">
        <w:rPr>
          <w:noProof/>
        </w:rPr>
        <w:fldChar w:fldCharType="end"/>
      </w:r>
      <w:bookmarkEnd w:id="4"/>
      <w:r>
        <w:rPr>
          <w:noProof/>
        </w:rPr>
        <w:t xml:space="preserve">: </w:t>
      </w:r>
      <w:r>
        <w:t xml:space="preserve"> Regional comparison of fuel wood use for cooking (source: IEA Biomass Database 2014)</w:t>
      </w:r>
    </w:p>
    <w:p w:rsidR="00F04ED9" w:rsidRPr="0033437A" w:rsidRDefault="00F04ED9" w:rsidP="00F04ED9">
      <w:pPr>
        <w:spacing w:after="0" w:line="240" w:lineRule="auto"/>
        <w:jc w:val="both"/>
      </w:pPr>
      <w:r w:rsidRPr="0085798B">
        <w:rPr>
          <w:noProof/>
          <w:lang w:val="en-US" w:eastAsia="en-US"/>
        </w:rPr>
        <w:drawing>
          <wp:inline distT="0" distB="0" distL="0" distR="0" wp14:anchorId="7BA4462C" wp14:editId="6824EEA8">
            <wp:extent cx="5438775" cy="3065624"/>
            <wp:effectExtent l="19050" t="0" r="9525" b="0"/>
            <wp:docPr id="5" name="Grafik 5" descr="C:\Users\Ramona\Dropbox\sources for text\data\Percentage of population using biom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ona\Dropbox\sources for text\data\Percentage of population using biomas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0429" cy="3066556"/>
                    </a:xfrm>
                    <a:prstGeom prst="rect">
                      <a:avLst/>
                    </a:prstGeom>
                    <a:noFill/>
                    <a:ln>
                      <a:noFill/>
                    </a:ln>
                  </pic:spPr>
                </pic:pic>
              </a:graphicData>
            </a:graphic>
          </wp:inline>
        </w:drawing>
      </w:r>
    </w:p>
    <w:p w:rsidR="00F04ED9" w:rsidRDefault="00F04ED9" w:rsidP="00F04ED9">
      <w:pPr>
        <w:spacing w:after="0" w:line="240" w:lineRule="auto"/>
        <w:jc w:val="both"/>
      </w:pPr>
      <w:r>
        <w:lastRenderedPageBreak/>
        <w:t>In fact, almost 90% of the population use fuelwood for cooking, more than in any other South Asian country, and only exceeded by Myanmar. Statistical and comparable data on the relative efficiency of these cook stoves, and on the reliability and utility of the solar home systems are currently not available.</w:t>
      </w:r>
      <w:r>
        <w:rPr>
          <w:rStyle w:val="FootnoteReference"/>
        </w:rPr>
        <w:footnoteReference w:id="62"/>
      </w:r>
    </w:p>
    <w:p w:rsidR="00F04ED9" w:rsidRPr="00206DCF" w:rsidRDefault="00F04ED9" w:rsidP="00F04ED9">
      <w:pPr>
        <w:spacing w:after="0" w:line="240" w:lineRule="auto"/>
        <w:jc w:val="both"/>
      </w:pPr>
    </w:p>
    <w:p w:rsidR="00F04ED9" w:rsidRPr="005935C3" w:rsidRDefault="00F04ED9" w:rsidP="00F04ED9">
      <w:pPr>
        <w:spacing w:after="0" w:line="240" w:lineRule="auto"/>
        <w:jc w:val="both"/>
        <w:rPr>
          <w:b/>
        </w:rPr>
      </w:pPr>
      <w:r w:rsidRPr="005935C3">
        <w:rPr>
          <w:b/>
        </w:rPr>
        <w:t>Energy</w:t>
      </w:r>
      <w:r w:rsidR="0002100A">
        <w:rPr>
          <w:b/>
        </w:rPr>
        <w:t xml:space="preserve"> </w:t>
      </w:r>
      <w:r w:rsidRPr="005935C3">
        <w:rPr>
          <w:b/>
        </w:rPr>
        <w:t>supply</w:t>
      </w:r>
    </w:p>
    <w:p w:rsidR="00F04ED9" w:rsidRDefault="00F04ED9" w:rsidP="00F04ED9">
      <w:pPr>
        <w:spacing w:after="0" w:line="240" w:lineRule="auto"/>
        <w:jc w:val="both"/>
      </w:pPr>
      <w:r w:rsidRPr="005935C3">
        <w:t>The power sector in Bangladesh is comparatively small – less than 10 GW provide the electricity for the part of the population and industry that has access to the grid. All currently operating large scale power plants are run by natural gas.</w:t>
      </w:r>
      <w:r>
        <w:t xml:space="preserve"> Power outages are frequent. According to the 2013 Bangladesh Enterprise Survey by the Enterprise Analysis Unit, companies in Bangladesh suffer ten times as many outages (more than 60) in a typical month compared to the average for all countries with Enterprise Survey data (less than ten). The duration of the typical outages in Bangladesh is however much shorter (less than one hour) </w:t>
      </w:r>
      <w:r w:rsidRPr="002E62EB">
        <w:t>compared to the average for all c</w:t>
      </w:r>
      <w:r>
        <w:t>o</w:t>
      </w:r>
      <w:r w:rsidRPr="002E62EB">
        <w:t>untries with Enterprise Survey data (</w:t>
      </w:r>
      <w:r>
        <w:t>between two and three hours).</w:t>
      </w:r>
      <w:r>
        <w:rPr>
          <w:rStyle w:val="FootnoteReference"/>
        </w:rPr>
        <w:footnoteReference w:id="63"/>
      </w:r>
      <w:r>
        <w:t xml:space="preserve">The World Bank estimates that the economic loss in the private and trade sector due to power outages is about 4% of sales. </w:t>
      </w:r>
    </w:p>
    <w:p w:rsidR="00F04ED9" w:rsidRPr="005935C3" w:rsidRDefault="00F04ED9" w:rsidP="00F04ED9">
      <w:pPr>
        <w:spacing w:after="0" w:line="240" w:lineRule="auto"/>
        <w:jc w:val="both"/>
      </w:pPr>
    </w:p>
    <w:p w:rsidR="00F04ED9" w:rsidRDefault="00F04ED9" w:rsidP="00F04ED9">
      <w:pPr>
        <w:spacing w:after="0" w:line="240" w:lineRule="auto"/>
        <w:jc w:val="both"/>
      </w:pPr>
      <w:r w:rsidRPr="00375699">
        <w:t>The fear that the natural gas deposits will be exhausted in the next 20 years has been voiced repeatedly.  The official policy for expanding the power sector is characterized by “all of the above”. The specific expansion plans – adding 14 GW until 2020 and another 15 GW until 2030 according to the Power System Master Plan 2010 - rely mainly on coal power (in 2030: total generation capacity: 39 GW,</w:t>
      </w:r>
      <w:r w:rsidRPr="00252F89">
        <w:t xml:space="preserve"> of which 20 GW coal-based generation </w:t>
      </w:r>
      <w:r w:rsidRPr="00375699">
        <w:t>capacity).</w:t>
      </w:r>
      <w:r w:rsidRPr="00375699">
        <w:rPr>
          <w:rStyle w:val="FootnoteReference"/>
        </w:rPr>
        <w:footnoteReference w:id="64"/>
      </w:r>
      <w:r w:rsidRPr="00375699">
        <w:t xml:space="preserve"> National coal reservoirs exist but social and environmental concerns might prohibit their exploitation. Therefore, the current plans foresee coal imports and large scale coal power plants at the coast with the associated </w:t>
      </w:r>
      <w:r w:rsidR="0002100A" w:rsidRPr="00375699">
        <w:t>port facilities</w:t>
      </w:r>
      <w:r w:rsidRPr="00375699">
        <w:t xml:space="preserve">. A nuclear power treaty with Russia is interpreted by many interview partners to serve more a political purpose. Most </w:t>
      </w:r>
      <w:r>
        <w:t xml:space="preserve">international financial institutions </w:t>
      </w:r>
      <w:r w:rsidRPr="00375699">
        <w:t xml:space="preserve">(WB, </w:t>
      </w:r>
      <w:r>
        <w:t>K</w:t>
      </w:r>
      <w:r w:rsidRPr="00375699">
        <w:t>fW, ADB) are currently focusing on up</w:t>
      </w:r>
      <w:r>
        <w:t>-</w:t>
      </w:r>
      <w:r w:rsidRPr="00375699">
        <w:t xml:space="preserve">scaling Open Cycle Gas Turbines to Combined Cycle power plants by adding a steam turbine, as well as other measures that enhance the efficiency of the power sector, e.g. upgrading of transmission and distribution infrastructure, and smart metering.  ADB also finances new construction of new gas power plants. Some actors (e.g. </w:t>
      </w:r>
      <w:r>
        <w:t>t</w:t>
      </w:r>
      <w:r w:rsidRPr="00375699">
        <w:t>he IFC PACT project) also have identified a significant potential of cogeneration of heat and power at captive industrial facilities</w:t>
      </w:r>
      <w:r>
        <w:t>.</w:t>
      </w:r>
    </w:p>
    <w:p w:rsidR="00F04ED9" w:rsidRPr="00375699" w:rsidRDefault="00F04ED9" w:rsidP="00F04ED9">
      <w:pPr>
        <w:spacing w:after="0" w:line="240" w:lineRule="auto"/>
        <w:jc w:val="both"/>
      </w:pPr>
    </w:p>
    <w:p w:rsidR="00F04ED9" w:rsidRDefault="00F04ED9" w:rsidP="00F04ED9">
      <w:pPr>
        <w:spacing w:after="0" w:line="240" w:lineRule="auto"/>
        <w:jc w:val="both"/>
      </w:pPr>
      <w:r w:rsidRPr="00375699">
        <w:t xml:space="preserve">The </w:t>
      </w:r>
      <w:r>
        <w:t xml:space="preserve">most important </w:t>
      </w:r>
      <w:r w:rsidRPr="00375699">
        <w:t>source of energy in Bangladesh is biomass. F</w:t>
      </w:r>
      <w:r>
        <w:t xml:space="preserve">uel </w:t>
      </w:r>
      <w:r w:rsidRPr="00375699">
        <w:t>wood is used for coo</w:t>
      </w:r>
      <w:r>
        <w:t>k</w:t>
      </w:r>
      <w:r w:rsidRPr="00375699">
        <w:t>ing, water boiling, probably also some industrial applications and many productive uses off the grid. The off-grid sector is very large. In the last 10 years, however, positive developments in this sector have vastly outpaced expectations: Currently about 3.000.000 solar home systems</w:t>
      </w:r>
      <w:r w:rsidRPr="00375699">
        <w:rPr>
          <w:rStyle w:val="FootnoteReference"/>
        </w:rPr>
        <w:footnoteReference w:id="65"/>
      </w:r>
      <w:r w:rsidRPr="00375699">
        <w:t xml:space="preserve"> are in operation in the rural areas, and </w:t>
      </w:r>
      <w:r>
        <w:t>about</w:t>
      </w:r>
      <w:r w:rsidRPr="00375699">
        <w:t xml:space="preserve"> 40.000 to 50.000 systems are added on a daily basis. The biggest donor program supporting this, the WB’s REREDII programme, started in 2012 with </w:t>
      </w:r>
      <w:r w:rsidRPr="00375699">
        <w:lastRenderedPageBreak/>
        <w:t xml:space="preserve">the overall expectation of 550.000 SHS only. While initially subsidy-based, the subsidy for SHS over 30 </w:t>
      </w:r>
      <w:r>
        <w:t>k</w:t>
      </w:r>
      <w:r w:rsidRPr="00375699">
        <w:t xml:space="preserve">W is scheduled to expire as significant cost reductions </w:t>
      </w:r>
      <w:r>
        <w:t>has been</w:t>
      </w:r>
      <w:r w:rsidRPr="00375699">
        <w:t xml:space="preserve"> achieved.</w:t>
      </w:r>
      <w:r w:rsidRPr="00375699">
        <w:rPr>
          <w:rStyle w:val="FootnoteReference"/>
        </w:rPr>
        <w:footnoteReference w:id="66"/>
      </w:r>
      <w:r w:rsidRPr="00375699">
        <w:t xml:space="preserve"> The program is managed through the national institution IDCOL, the Infrastructure Development Company Limited, which also provides for relatively tight quality control. Worldwide, this is the most successful private sector provided off-grid electrification effort, and offers a large number of interesting lessons that can be transferred to other countries.</w:t>
      </w:r>
    </w:p>
    <w:p w:rsidR="00F04ED9" w:rsidRPr="00375699" w:rsidRDefault="00F04ED9" w:rsidP="00F04ED9">
      <w:pPr>
        <w:spacing w:after="0" w:line="240" w:lineRule="auto"/>
        <w:jc w:val="both"/>
      </w:pPr>
    </w:p>
    <w:p w:rsidR="00F04ED9" w:rsidRDefault="00F04ED9" w:rsidP="00F04ED9">
      <w:pPr>
        <w:spacing w:after="0" w:line="240" w:lineRule="auto"/>
        <w:jc w:val="both"/>
      </w:pPr>
      <w:r w:rsidRPr="00375699">
        <w:t xml:space="preserve">But despite this extraordinary development, only 10% of the </w:t>
      </w:r>
      <w:r>
        <w:t>off-grid</w:t>
      </w:r>
      <w:r w:rsidRPr="00375699">
        <w:t xml:space="preserve"> households have been provided access to electricity through this program. In addition, the program has been criticized </w:t>
      </w:r>
      <w:r>
        <w:t>for</w:t>
      </w:r>
      <w:r w:rsidRPr="00375699">
        <w:t xml:space="preserve"> reaching only certain tiers in the rural populations that are able to afford these systems. The poorest of the poor </w:t>
      </w:r>
      <w:r>
        <w:t>are not</w:t>
      </w:r>
      <w:r w:rsidRPr="00375699">
        <w:t xml:space="preserve"> reached with this program. </w:t>
      </w:r>
    </w:p>
    <w:p w:rsidR="00F04ED9" w:rsidRPr="00375699" w:rsidRDefault="00F04ED9" w:rsidP="00F04ED9">
      <w:pPr>
        <w:spacing w:after="0" w:line="240" w:lineRule="auto"/>
        <w:jc w:val="both"/>
      </w:pPr>
    </w:p>
    <w:p w:rsidR="00F04ED9" w:rsidRDefault="00F04ED9" w:rsidP="00F04ED9">
      <w:pPr>
        <w:spacing w:after="0" w:line="240" w:lineRule="auto"/>
        <w:jc w:val="both"/>
      </w:pPr>
      <w:r w:rsidRPr="00375699">
        <w:t>For these, a solar lantern program has now been developed. Solar lanterns over 1800 lumen-hours (</w:t>
      </w:r>
      <w:r>
        <w:t xml:space="preserve">typically </w:t>
      </w:r>
      <w:r w:rsidRPr="00375699">
        <w:t>around 4-5 W) will be promoted through IDCOL with a financing mechanism. An IFC program, Enlighten.</w:t>
      </w:r>
      <w:r w:rsidR="0002100A">
        <w:t xml:space="preserve"> </w:t>
      </w:r>
      <w:r w:rsidRPr="00375699">
        <w:t>Asia Bangladesh, will collaborate with producers of lanterns of smaller capacity, currently for this no loan program is envisioned. Whether or not a subsidy will be provided for this program, is still under negotiation but the li</w:t>
      </w:r>
      <w:r>
        <w:t>k</w:t>
      </w:r>
      <w:r w:rsidRPr="00375699">
        <w:t>ely scenario is one which provides 20 USD subsidy per lantern under the IDCOL program, and a pro-rata smaller subsidy for the smaller lanterns. The UNDP SREPGen program</w:t>
      </w:r>
      <w:r>
        <w:t>me</w:t>
      </w:r>
      <w:r w:rsidRPr="00375699">
        <w:t xml:space="preserve"> has been under development since 2011 </w:t>
      </w:r>
      <w:r>
        <w:t xml:space="preserve">but started this year, </w:t>
      </w:r>
      <w:r w:rsidRPr="00375699">
        <w:t>and</w:t>
      </w:r>
      <w:r>
        <w:t xml:space="preserve"> currently</w:t>
      </w:r>
      <w:r w:rsidRPr="00375699">
        <w:t xml:space="preserve"> includes a component on solar lanterns that is expected to reach over 440.000 households in 2 years. </w:t>
      </w:r>
      <w:r>
        <w:t xml:space="preserve">In order to minimize duplication with the </w:t>
      </w:r>
      <w:r w:rsidRPr="00375699">
        <w:t>IDCOL</w:t>
      </w:r>
      <w:r>
        <w:t xml:space="preserve"> and </w:t>
      </w:r>
      <w:r w:rsidRPr="00375699">
        <w:t xml:space="preserve">IFC initiatives </w:t>
      </w:r>
      <w:r>
        <w:t>a</w:t>
      </w:r>
      <w:r w:rsidRPr="00375699">
        <w:t xml:space="preserve">djustments are recommended and currently discussed between UNDP and SREDA. </w:t>
      </w:r>
    </w:p>
    <w:p w:rsidR="00F04ED9" w:rsidRPr="00375699" w:rsidRDefault="00F04ED9" w:rsidP="00F04ED9">
      <w:pPr>
        <w:spacing w:after="0" w:line="240" w:lineRule="auto"/>
        <w:jc w:val="both"/>
      </w:pPr>
    </w:p>
    <w:p w:rsidR="00F04ED9" w:rsidRDefault="00F04ED9" w:rsidP="00F04ED9">
      <w:pPr>
        <w:spacing w:after="0" w:line="240" w:lineRule="auto"/>
        <w:jc w:val="both"/>
      </w:pPr>
      <w:r w:rsidRPr="00375699">
        <w:t>IDCOL</w:t>
      </w:r>
      <w:r w:rsidR="009F468D">
        <w:t xml:space="preserve"> </w:t>
      </w:r>
      <w:r w:rsidRPr="00375699">
        <w:t xml:space="preserve">also offers loans for other technologies, among them domestic biogas and solar mini-grids. </w:t>
      </w:r>
      <w:r>
        <w:t>S</w:t>
      </w:r>
      <w:r w:rsidRPr="00375699">
        <w:t xml:space="preserve">ignificant activity arises in the field of solar water pumping where </w:t>
      </w:r>
      <w:r>
        <w:t>K</w:t>
      </w:r>
      <w:r w:rsidRPr="00375699">
        <w:t xml:space="preserve">fW supports comparatively large systems for agricultural irrigation of 10 – 25 </w:t>
      </w:r>
      <w:r>
        <w:t>k</w:t>
      </w:r>
      <w:r w:rsidRPr="00375699">
        <w:t>W sizes. These are difficult to place as their solar arrays req</w:t>
      </w:r>
      <w:r>
        <w:t>uire significant space. GIZ has deployed around 200</w:t>
      </w:r>
      <w:r w:rsidRPr="00375699">
        <w:t xml:space="preserve"> smaller solar system</w:t>
      </w:r>
      <w:r>
        <w:t>s</w:t>
      </w:r>
      <w:r w:rsidRPr="00375699">
        <w:t xml:space="preserve"> for drin</w:t>
      </w:r>
      <w:r>
        <w:t>k</w:t>
      </w:r>
      <w:r w:rsidRPr="00375699">
        <w:t xml:space="preserve">ing water supply. In the area of biogas, according to their website, </w:t>
      </w:r>
      <w:r>
        <w:t xml:space="preserve">IDCOL </w:t>
      </w:r>
      <w:r w:rsidRPr="00375699">
        <w:t xml:space="preserve">had financed 33,000 systems until April 2014, with the target of 100,000 by the end of 2018. </w:t>
      </w:r>
      <w:r>
        <w:t>S</w:t>
      </w:r>
      <w:r w:rsidRPr="00375699">
        <w:t>everal actors describe technical and techno-economic challenges in this area, as operations are not as simple as the operation of solar systems, and the long-term maintenance is not secured in the current IDCOL scheme. Technology</w:t>
      </w:r>
      <w:r w:rsidR="009F468D">
        <w:t xml:space="preserve"> </w:t>
      </w:r>
      <w:r w:rsidRPr="00375699">
        <w:t>wise, simple fixed-dome systems constitute the majority of the systems, while more flexible, airtight and integrated systems would be available on the mar</w:t>
      </w:r>
      <w:r>
        <w:t>k</w:t>
      </w:r>
      <w:r w:rsidRPr="00375699">
        <w:t xml:space="preserve">et. In contrast to the SHS area, standardization is underdeveloped in the field of biogas. </w:t>
      </w:r>
    </w:p>
    <w:p w:rsidR="00F04ED9" w:rsidRPr="00375699" w:rsidRDefault="00F04ED9" w:rsidP="00F04ED9">
      <w:pPr>
        <w:spacing w:after="0" w:line="240" w:lineRule="auto"/>
        <w:jc w:val="both"/>
      </w:pPr>
    </w:p>
    <w:p w:rsidR="00F04ED9" w:rsidRDefault="00F04ED9" w:rsidP="00F04ED9">
      <w:pPr>
        <w:spacing w:after="0" w:line="240" w:lineRule="auto"/>
        <w:jc w:val="both"/>
      </w:pPr>
      <w:r>
        <w:t>Less often discussed is</w:t>
      </w:r>
      <w:r w:rsidRPr="00DA776A">
        <w:t xml:space="preserve"> the development of solar power plants that feed to electricity into the grid. The Sustainable and Renewable Development Authority’s (SREDA) solar plan of 500 MW envisions 165 MW on the grid: solar par</w:t>
      </w:r>
      <w:r>
        <w:t>k</w:t>
      </w:r>
      <w:r w:rsidRPr="00DA776A">
        <w:t xml:space="preserve">s of 135 MW will be installed in different locations; Roof-top solar power solutions of </w:t>
      </w:r>
      <w:r w:rsidRPr="00CC640D">
        <w:t>about</w:t>
      </w:r>
      <w:r w:rsidRPr="00CC640D">
        <w:rPr>
          <w:rFonts w:ascii="Arial" w:hAnsi="Arial" w:cs="Arial"/>
          <w:sz w:val="20"/>
          <w:szCs w:val="20"/>
          <w:shd w:val="clear" w:color="auto" w:fill="F9F9F9"/>
        </w:rPr>
        <w:t xml:space="preserve"> 30 MW</w:t>
      </w:r>
      <w:r w:rsidRPr="00CC640D">
        <w:rPr>
          <w:rStyle w:val="FootnoteReference"/>
          <w:rFonts w:ascii="Arial" w:hAnsi="Arial" w:cs="Arial"/>
          <w:sz w:val="20"/>
          <w:szCs w:val="20"/>
          <w:shd w:val="clear" w:color="auto" w:fill="F9F9F9"/>
        </w:rPr>
        <w:footnoteReference w:id="67"/>
      </w:r>
      <w:r w:rsidRPr="00CC640D">
        <w:t xml:space="preserve">. </w:t>
      </w:r>
      <w:r w:rsidRPr="00DA776A">
        <w:t>According to the discussions with SREDA, there have been several trac</w:t>
      </w:r>
      <w:r>
        <w:t>k</w:t>
      </w:r>
      <w:r w:rsidRPr="00DA776A">
        <w:t>s on which this target will be achieved. Particularly dynamic is the trac</w:t>
      </w:r>
      <w:r>
        <w:t>k</w:t>
      </w:r>
      <w:r w:rsidRPr="00DA776A">
        <w:t xml:space="preserve"> of large solar par</w:t>
      </w:r>
      <w:r>
        <w:t>k</w:t>
      </w:r>
      <w:r w:rsidRPr="00DA776A">
        <w:t xml:space="preserve">s. On the basis of the approved applications for PPAs, SREDA expects a total installation of on-grid solar capacity in this segment of 220 – 260 MW. Among these are some projects on government land of 30 MW, 60 MW and 55 MW, but as there are issues with </w:t>
      </w:r>
      <w:r w:rsidRPr="00DA776A">
        <w:lastRenderedPageBreak/>
        <w:t xml:space="preserve">the availability of land, several initiatives have developed in the private sector. The largest planned power plant is a 100 MW investment by SunEdison. </w:t>
      </w:r>
      <w:r>
        <w:t>A</w:t>
      </w:r>
      <w:r w:rsidRPr="00DA776A">
        <w:t xml:space="preserve">ccording to SREDA </w:t>
      </w:r>
      <w:r>
        <w:t>t</w:t>
      </w:r>
      <w:r w:rsidRPr="00DA776A">
        <w:t xml:space="preserve">he biggest </w:t>
      </w:r>
      <w:r>
        <w:t>challenge</w:t>
      </w:r>
      <w:r w:rsidRPr="00DA776A">
        <w:t xml:space="preserve"> for this segment is land availability. Other interviewees doubt the quality and robustness of the project</w:t>
      </w:r>
      <w:r>
        <w:t xml:space="preserve">s due to a potential lack of </w:t>
      </w:r>
      <w:r w:rsidRPr="00DA776A">
        <w:t xml:space="preserve">quality feasibility studies </w:t>
      </w:r>
      <w:r>
        <w:t xml:space="preserve">required for </w:t>
      </w:r>
      <w:r w:rsidRPr="00DA776A">
        <w:t xml:space="preserve">financing. </w:t>
      </w:r>
    </w:p>
    <w:p w:rsidR="005E0C65" w:rsidRPr="00DA776A" w:rsidRDefault="005E0C65" w:rsidP="00F04ED9">
      <w:pPr>
        <w:spacing w:after="0" w:line="240" w:lineRule="auto"/>
        <w:jc w:val="both"/>
      </w:pPr>
    </w:p>
    <w:p w:rsidR="00F04ED9" w:rsidRPr="00DA776A" w:rsidRDefault="00F04ED9" w:rsidP="00F04ED9">
      <w:pPr>
        <w:spacing w:after="0" w:line="240" w:lineRule="auto"/>
        <w:jc w:val="both"/>
      </w:pPr>
      <w:r w:rsidRPr="00DA776A">
        <w:t>No comprehensive assessment of the renewable energy potential in other areas (wind, biogas, biomass, waste-to-energy, hydro) has ta</w:t>
      </w:r>
      <w:r>
        <w:t>k</w:t>
      </w:r>
      <w:r w:rsidRPr="00DA776A">
        <w:t>en place. For lac</w:t>
      </w:r>
      <w:r>
        <w:t>k</w:t>
      </w:r>
      <w:r w:rsidRPr="00DA776A">
        <w:t xml:space="preserve"> of gradient, hydro potential is generally considered low to non-existent except for the CHT area. The potential for wind power generation is also dismissed by most sta</w:t>
      </w:r>
      <w:r>
        <w:t>k</w:t>
      </w:r>
      <w:r w:rsidRPr="00DA776A">
        <w:t>eholders, although it is generally accepted that the measurements ta</w:t>
      </w:r>
      <w:r>
        <w:t>k</w:t>
      </w:r>
      <w:r w:rsidRPr="00DA776A">
        <w:t xml:space="preserve">en so far have not been at the correct heights and no wind map exists so far. Wind mapping </w:t>
      </w:r>
      <w:r>
        <w:t>has been initiated --</w:t>
      </w:r>
      <w:r w:rsidRPr="00DA776A">
        <w:t xml:space="preserve"> a development in the near future seems possible but would require a strong and collaborative effort. Interest seems low. Most sta</w:t>
      </w:r>
      <w:r>
        <w:t>k</w:t>
      </w:r>
      <w:r w:rsidRPr="00DA776A">
        <w:t>eholders point to the availability of biomass. It is to be expected that through more efficient coo</w:t>
      </w:r>
      <w:r>
        <w:t>k</w:t>
      </w:r>
      <w:r w:rsidRPr="00DA776A">
        <w:t>stoves and an increasing number of biogas facilities the pressure on the fuel wood resource will be significantly reduced so that biomass-based power generation can be a valid proposal. Quantitative and reliable assessments are distinct barrier to effective policy ma</w:t>
      </w:r>
      <w:r>
        <w:t>k</w:t>
      </w:r>
      <w:r w:rsidRPr="00DA776A">
        <w:t xml:space="preserve">ing and investment activity in this area. </w:t>
      </w:r>
    </w:p>
    <w:p w:rsidR="00F04ED9" w:rsidRPr="00D43B97" w:rsidRDefault="00F04ED9" w:rsidP="00F04ED9">
      <w:pPr>
        <w:spacing w:after="0" w:line="240" w:lineRule="auto"/>
        <w:jc w:val="both"/>
        <w:rPr>
          <w:caps/>
          <w:highlight w:val="green"/>
        </w:rPr>
      </w:pPr>
    </w:p>
    <w:p w:rsidR="00F04ED9" w:rsidRPr="00DA776A" w:rsidRDefault="00F04ED9" w:rsidP="00F04ED9">
      <w:pPr>
        <w:keepNext/>
        <w:spacing w:after="0" w:line="240" w:lineRule="auto"/>
        <w:jc w:val="both"/>
        <w:rPr>
          <w:b/>
          <w:caps/>
        </w:rPr>
      </w:pPr>
      <w:r w:rsidRPr="00DA776A">
        <w:rPr>
          <w:b/>
          <w:caps/>
        </w:rPr>
        <w:t>Energy use</w:t>
      </w:r>
    </w:p>
    <w:p w:rsidR="00F04ED9" w:rsidRDefault="00F04ED9" w:rsidP="00F04ED9">
      <w:pPr>
        <w:spacing w:after="0" w:line="240" w:lineRule="auto"/>
        <w:jc w:val="both"/>
      </w:pPr>
      <w:r w:rsidRPr="00DA776A">
        <w:t xml:space="preserve">While Bangladesh’s energy footprint is small, there are significant opportunities for saving energy through higher energy efficiency and conservation. </w:t>
      </w:r>
      <w:r>
        <w:t xml:space="preserve">Energy efficiency and conservation </w:t>
      </w:r>
      <w:r w:rsidRPr="00DA776A">
        <w:t>help mitigate the current energy crisis and reduce the need for investments in generation capacity</w:t>
      </w:r>
      <w:r>
        <w:t xml:space="preserve"> and thus enhance energy security</w:t>
      </w:r>
      <w:r w:rsidRPr="00DA776A">
        <w:t>.</w:t>
      </w:r>
    </w:p>
    <w:p w:rsidR="00F04ED9" w:rsidRDefault="00F04ED9" w:rsidP="00F04ED9">
      <w:pPr>
        <w:spacing w:after="0" w:line="240" w:lineRule="auto"/>
        <w:jc w:val="both"/>
      </w:pPr>
    </w:p>
    <w:p w:rsidR="00F04ED9" w:rsidRDefault="00F04ED9" w:rsidP="00F04ED9">
      <w:pPr>
        <w:spacing w:after="0" w:line="240" w:lineRule="auto"/>
        <w:jc w:val="both"/>
      </w:pPr>
      <w:r>
        <w:t>Generally, there are a number of means to influence the efficiency of energy use.</w:t>
      </w:r>
      <w:r>
        <w:rPr>
          <w:rStyle w:val="FootnoteReference"/>
        </w:rPr>
        <w:footnoteReference w:id="68"/>
      </w:r>
      <w:r>
        <w:t xml:space="preserve"> Energy efficiency efforts typically attempt to replace energy using equipment or processes with more energy efficient equipment. Important tools for this are energy efficiency standards (Minimum Energy Performance Standards, MEPS), capacity building and financing for the manufacturers for designing and manufacturing more energy efficient appliances, capacity building and financing for the retailers to procure more efficient equipment and advise the end-user on their use. It is also very important that users of these appliances are aware of the meaning of the energy star label, and of the opportunity and life-cycle costs of the more energy efficient appliances – many of these will require higher investments which is a deterrent for Bangladeshi buyers, no matter if they are businesses or private households. A full discussion of the potential barriers to energy efficiency market transformation as well as a discussion of the Thai experience in this field can be found </w:t>
      </w:r>
      <w:r w:rsidRPr="00093085">
        <w:t>in Woerlen</w:t>
      </w:r>
      <w:r w:rsidRPr="00093085">
        <w:rPr>
          <w:rStyle w:val="FootnoteReference"/>
        </w:rPr>
        <w:footnoteReference w:id="69"/>
      </w:r>
      <w:r w:rsidR="005E0C65">
        <w:rPr>
          <w:vertAlign w:val="superscript"/>
        </w:rPr>
        <w:t>,</w:t>
      </w:r>
      <w:r w:rsidRPr="00093085">
        <w:rPr>
          <w:rStyle w:val="FootnoteReference"/>
        </w:rPr>
        <w:footnoteReference w:id="70"/>
      </w:r>
      <w:r w:rsidRPr="00093085">
        <w:t>.</w:t>
      </w:r>
    </w:p>
    <w:p w:rsidR="00F04ED9" w:rsidRDefault="00F04ED9" w:rsidP="00F04ED9">
      <w:pPr>
        <w:spacing w:after="0" w:line="240" w:lineRule="auto"/>
        <w:jc w:val="both"/>
      </w:pPr>
    </w:p>
    <w:p w:rsidR="00F04ED9" w:rsidRDefault="00F04ED9" w:rsidP="00F04ED9">
      <w:pPr>
        <w:pStyle w:val="Caption"/>
        <w:spacing w:after="0"/>
        <w:jc w:val="both"/>
      </w:pPr>
      <w:bookmarkStart w:id="5" w:name="_Ref419464881"/>
      <w:r>
        <w:t>Figure IX.</w:t>
      </w:r>
      <w:r w:rsidR="00504523">
        <w:fldChar w:fldCharType="begin"/>
      </w:r>
      <w:r w:rsidR="00504523">
        <w:instrText xml:space="preserve"> SEQ Figure \* ARABIC </w:instrText>
      </w:r>
      <w:r w:rsidR="00504523">
        <w:fldChar w:fldCharType="separate"/>
      </w:r>
      <w:r w:rsidR="00977AD4">
        <w:rPr>
          <w:noProof/>
        </w:rPr>
        <w:t>3</w:t>
      </w:r>
      <w:r w:rsidR="00504523">
        <w:rPr>
          <w:noProof/>
        </w:rPr>
        <w:fldChar w:fldCharType="end"/>
      </w:r>
      <w:bookmarkEnd w:id="5"/>
      <w:r>
        <w:rPr>
          <w:noProof/>
        </w:rPr>
        <w:t xml:space="preserve">: </w:t>
      </w:r>
      <w:r>
        <w:t xml:space="preserve"> Primary energy </w:t>
      </w:r>
      <w:r w:rsidRPr="00BA4A68">
        <w:t>consumption</w:t>
      </w:r>
      <w:r>
        <w:t xml:space="preserve"> by sector (as of 2013 – 2014, from EE&amp;C Master Plan)</w:t>
      </w:r>
    </w:p>
    <w:p w:rsidR="00977AD4" w:rsidRDefault="00F04ED9" w:rsidP="00977AD4">
      <w:r>
        <w:rPr>
          <w:noProof/>
          <w:lang w:val="en-US" w:eastAsia="en-US"/>
        </w:rPr>
        <w:drawing>
          <wp:inline distT="0" distB="0" distL="0" distR="0" wp14:anchorId="6BE499CA" wp14:editId="3BECD6C4">
            <wp:extent cx="5972810" cy="2394585"/>
            <wp:effectExtent l="0" t="0" r="8890" b="571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72810" cy="2394585"/>
                    </a:xfrm>
                    <a:prstGeom prst="rect">
                      <a:avLst/>
                    </a:prstGeom>
                  </pic:spPr>
                </pic:pic>
              </a:graphicData>
            </a:graphic>
          </wp:inline>
        </w:drawing>
      </w:r>
      <w:r>
        <w:t xml:space="preserve">Primary energy consumption in Bangladesh is dominated by industry (cf. </w:t>
      </w:r>
      <w:r w:rsidR="00504523">
        <w:fldChar w:fldCharType="begin"/>
      </w:r>
      <w:r w:rsidR="00504523">
        <w:instrText xml:space="preserve"> REF _Ref419464881 \h  \* MERGEFORMAT </w:instrText>
      </w:r>
      <w:r w:rsidR="00504523">
        <w:fldChar w:fldCharType="separate"/>
      </w:r>
      <w:r w:rsidR="00977AD4">
        <w:t>Figure IX.3</w:t>
      </w:r>
      <w:r w:rsidR="00504523">
        <w:fldChar w:fldCharType="end"/>
      </w:r>
      <w:r>
        <w:t>). A third of primary energy is used in households, and 5 % in agriculture and the service sector respectively. Transportation is a comparatively small share of the primary energy consumption. In contrast, electricity consumption is dominated by the residential segment (</w:t>
      </w:r>
      <w:r w:rsidR="00504523">
        <w:fldChar w:fldCharType="begin"/>
      </w:r>
      <w:r w:rsidR="00504523">
        <w:instrText xml:space="preserve"> REF _Ref419473299 \h  \* MERGEFORMAT </w:instrText>
      </w:r>
      <w:r w:rsidR="00504523">
        <w:fldChar w:fldCharType="separate"/>
      </w:r>
    </w:p>
    <w:p w:rsidR="00F04ED9" w:rsidRDefault="00977AD4" w:rsidP="00F04ED9">
      <w:r>
        <w:t>Figure IX</w:t>
      </w:r>
      <w:r>
        <w:rPr>
          <w:noProof/>
        </w:rPr>
        <w:t>.4</w:t>
      </w:r>
      <w:r w:rsidR="00504523">
        <w:fldChar w:fldCharType="end"/>
      </w:r>
      <w:r w:rsidR="00F04ED9">
        <w:t>).</w:t>
      </w:r>
    </w:p>
    <w:p w:rsidR="00F04ED9" w:rsidRDefault="00F04ED9" w:rsidP="00F04ED9">
      <w:pPr>
        <w:pStyle w:val="Caption"/>
        <w:spacing w:after="0"/>
        <w:jc w:val="both"/>
      </w:pPr>
      <w:bookmarkStart w:id="6" w:name="_Ref419473299"/>
    </w:p>
    <w:p w:rsidR="00F04ED9" w:rsidRDefault="00F04ED9" w:rsidP="00F04ED9">
      <w:pPr>
        <w:pStyle w:val="Caption"/>
        <w:spacing w:after="0"/>
        <w:jc w:val="both"/>
      </w:pPr>
      <w:r>
        <w:t>Figure IX.</w:t>
      </w:r>
      <w:r w:rsidR="00504523">
        <w:fldChar w:fldCharType="begin"/>
      </w:r>
      <w:r w:rsidR="00504523">
        <w:instrText xml:space="preserve"> SEQ Figure \* ARABIC </w:instrText>
      </w:r>
      <w:r w:rsidR="00504523">
        <w:fldChar w:fldCharType="separate"/>
      </w:r>
      <w:r w:rsidR="00977AD4">
        <w:rPr>
          <w:noProof/>
        </w:rPr>
        <w:t>4</w:t>
      </w:r>
      <w:r w:rsidR="00504523">
        <w:rPr>
          <w:noProof/>
        </w:rPr>
        <w:fldChar w:fldCharType="end"/>
      </w:r>
      <w:bookmarkEnd w:id="6"/>
      <w:r>
        <w:rPr>
          <w:noProof/>
        </w:rPr>
        <w:t xml:space="preserve">: </w:t>
      </w:r>
      <w:r>
        <w:t>Grid electricity generation amount per Capita (from EE&amp;C Master Plan)</w:t>
      </w:r>
    </w:p>
    <w:p w:rsidR="00F04ED9" w:rsidRDefault="00F04ED9" w:rsidP="00F04ED9">
      <w:pPr>
        <w:pStyle w:val="Caption"/>
        <w:spacing w:after="0"/>
        <w:jc w:val="both"/>
      </w:pPr>
      <w:r>
        <w:rPr>
          <w:noProof/>
          <w:lang w:val="en-US" w:eastAsia="en-US"/>
        </w:rPr>
        <w:drawing>
          <wp:inline distT="0" distB="0" distL="0" distR="0" wp14:anchorId="07F7E4C3" wp14:editId="4C0FD239">
            <wp:extent cx="5972810" cy="2750820"/>
            <wp:effectExtent l="0" t="0" r="889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72810" cy="2750820"/>
                    </a:xfrm>
                    <a:prstGeom prst="rect">
                      <a:avLst/>
                    </a:prstGeom>
                  </pic:spPr>
                </pic:pic>
              </a:graphicData>
            </a:graphic>
          </wp:inline>
        </w:drawing>
      </w:r>
    </w:p>
    <w:p w:rsidR="00F04ED9" w:rsidRPr="005A6558" w:rsidRDefault="00F04ED9" w:rsidP="00F04ED9">
      <w:pPr>
        <w:jc w:val="both"/>
      </w:pPr>
    </w:p>
    <w:p w:rsidR="00977AD4" w:rsidRDefault="00F04ED9" w:rsidP="00977AD4">
      <w:r>
        <w:t xml:space="preserve">Currently, the majority of the electricity is consumed in Bangladesh’s residential sector (51% according to the EE&amp;C Master Plan). As the share of total electricity used by industry is so much smaller than the share of industry in primary energy consumption, it can be assumed that many industrial processes are currently fueled by direct combustion and might be replaced by </w:t>
      </w:r>
      <w:r>
        <w:lastRenderedPageBreak/>
        <w:t xml:space="preserve">electricity applications in the course of further industrialization. As the economy grows, so will industrial energy growth. As household wealth levels rise, so will the degree of equipment with electric appliances and household electricity consumption. The scenario in the Energy Efficiency Master Plan (cf. </w:t>
      </w:r>
      <w:r w:rsidR="00504523">
        <w:fldChar w:fldCharType="begin"/>
      </w:r>
      <w:r w:rsidR="00504523">
        <w:instrText xml:space="preserve"> REF _Ref419473299 \h  \* MERGEFORMAT </w:instrText>
      </w:r>
      <w:r w:rsidR="00504523">
        <w:fldChar w:fldCharType="separate"/>
      </w:r>
    </w:p>
    <w:p w:rsidR="00F04ED9" w:rsidRDefault="00977AD4" w:rsidP="005E0C65">
      <w:pPr>
        <w:jc w:val="both"/>
      </w:pPr>
      <w:r>
        <w:t>Figure IX</w:t>
      </w:r>
      <w:r>
        <w:rPr>
          <w:noProof/>
        </w:rPr>
        <w:t>.4</w:t>
      </w:r>
      <w:r w:rsidR="00504523">
        <w:fldChar w:fldCharType="end"/>
      </w:r>
      <w:r w:rsidR="00F04ED9">
        <w:t xml:space="preserve">) keeps the current relative shares of electricity consumption constant, for lack of better information. In particular, there is no clear government vision on the sectors in which growth is expected. </w:t>
      </w:r>
    </w:p>
    <w:p w:rsidR="00F04ED9" w:rsidRDefault="00F04ED9" w:rsidP="00F04ED9">
      <w:pPr>
        <w:spacing w:after="0" w:line="240" w:lineRule="auto"/>
        <w:jc w:val="both"/>
      </w:pPr>
    </w:p>
    <w:p w:rsidR="00F04ED9" w:rsidRDefault="00F04ED9" w:rsidP="00F04ED9">
      <w:pPr>
        <w:spacing w:after="0" w:line="240" w:lineRule="auto"/>
        <w:jc w:val="both"/>
      </w:pPr>
      <w:r>
        <w:t xml:space="preserve">Energy efficiency and savings potentials exist in all energy consuming sectors.  In the following sections, potential growth patterns and the sectoral energy efficiency potentials are discussed, in order to understand better if UNDP’s activities in energy efficiency were targeting the right sectors. </w:t>
      </w:r>
    </w:p>
    <w:p w:rsidR="00F04ED9" w:rsidRDefault="00F04ED9" w:rsidP="00F04ED9">
      <w:pPr>
        <w:spacing w:after="0" w:line="240" w:lineRule="auto"/>
        <w:jc w:val="both"/>
      </w:pPr>
    </w:p>
    <w:p w:rsidR="00F04ED9" w:rsidRDefault="00F04ED9" w:rsidP="00F04ED9">
      <w:pPr>
        <w:spacing w:after="0" w:line="240" w:lineRule="auto"/>
        <w:jc w:val="both"/>
      </w:pPr>
      <w:r>
        <w:t xml:space="preserve">The intended path for energy efficiency policy of Bangladesh has been recently formulated in the Energy Efficiency and Conservation Master Plan that SREDA developed with support from JICA. A significant number of ambitious measures are presented, and SREDA is obviously counting on donor support in terms of technical and financial assistance for many of these. Here obvious and important opportunities for UNDP arise as it is one of few agencies with reputation and profile in this area. It will be the major document to vet UNDPs position and future options against. </w:t>
      </w:r>
    </w:p>
    <w:p w:rsidR="00F04ED9" w:rsidRDefault="00F04ED9" w:rsidP="00F04ED9">
      <w:pPr>
        <w:spacing w:after="0" w:line="240" w:lineRule="auto"/>
        <w:jc w:val="both"/>
      </w:pPr>
    </w:p>
    <w:p w:rsidR="00F04ED9" w:rsidRDefault="00F04ED9" w:rsidP="00F04ED9">
      <w:pPr>
        <w:spacing w:after="0" w:line="240" w:lineRule="auto"/>
        <w:jc w:val="both"/>
      </w:pPr>
    </w:p>
    <w:p w:rsidR="00F04ED9" w:rsidRPr="00431625" w:rsidRDefault="00F04ED9" w:rsidP="00F04ED9">
      <w:pPr>
        <w:spacing w:after="0" w:line="240" w:lineRule="auto"/>
        <w:jc w:val="both"/>
        <w:rPr>
          <w:b/>
          <w:caps/>
        </w:rPr>
      </w:pPr>
      <w:r w:rsidRPr="00431625">
        <w:rPr>
          <w:b/>
          <w:caps/>
        </w:rPr>
        <w:t>Households</w:t>
      </w:r>
    </w:p>
    <w:p w:rsidR="00F04ED9" w:rsidRPr="00BA1595" w:rsidRDefault="00F04ED9" w:rsidP="00F04ED9">
      <w:pPr>
        <w:spacing w:after="0" w:line="240" w:lineRule="auto"/>
        <w:jc w:val="both"/>
        <w:rPr>
          <w:caps/>
        </w:rPr>
      </w:pPr>
    </w:p>
    <w:p w:rsidR="00F04ED9" w:rsidRDefault="00F04ED9" w:rsidP="00F04ED9">
      <w:pPr>
        <w:spacing w:after="0" w:line="240" w:lineRule="auto"/>
        <w:jc w:val="both"/>
      </w:pPr>
      <w:r w:rsidRPr="00231D6A">
        <w:t xml:space="preserve">SREDA estimates that 36% of the current energy in this sector can be saved through energy efficiency measures. The highest savings are expected for the areas of building temperature control and lighting. Energy efficient fans are equipped with energy efficient motors which are an important component in many applications. Other important areas of power consumptions mentioned in the EE&amp;C Master Plan are food refrigeration and television. </w:t>
      </w:r>
    </w:p>
    <w:p w:rsidR="00F04ED9" w:rsidRPr="00231D6A" w:rsidRDefault="00F04ED9" w:rsidP="00F04ED9">
      <w:pPr>
        <w:spacing w:after="0" w:line="240" w:lineRule="auto"/>
        <w:jc w:val="both"/>
      </w:pPr>
    </w:p>
    <w:p w:rsidR="00F04ED9" w:rsidRDefault="00F04ED9" w:rsidP="00F04ED9">
      <w:pPr>
        <w:spacing w:after="0" w:line="240" w:lineRule="auto"/>
        <w:jc w:val="both"/>
      </w:pPr>
      <w:r>
        <w:t xml:space="preserve">There is significant overlap between the energy efficiency potential in the household and the commercial sector –here, too, 50% of the energy is used for air conditioning / temperature management and 35% for lighting. Again the focus on electric appliances is well placed, and the same appliances or cross-appliance technologies (like motors and pumps) are used in many areas. </w:t>
      </w:r>
    </w:p>
    <w:p w:rsidR="00F04ED9" w:rsidRPr="005A6558" w:rsidRDefault="00F04ED9" w:rsidP="00F04ED9">
      <w:pPr>
        <w:spacing w:after="0" w:line="240" w:lineRule="auto"/>
        <w:jc w:val="both"/>
        <w:rPr>
          <w:sz w:val="12"/>
        </w:rPr>
      </w:pPr>
    </w:p>
    <w:p w:rsidR="00F04ED9" w:rsidRDefault="00F04ED9" w:rsidP="00F04ED9">
      <w:pPr>
        <w:spacing w:after="0" w:line="240" w:lineRule="auto"/>
        <w:jc w:val="both"/>
      </w:pPr>
      <w:r>
        <w:t xml:space="preserve">UNDP with the BRESL project has played a beneficial role in introducing standards to the national arena and building up capacity for this at the BSTI. With the BRESL project, UNDP placed itself in the position to be able to leverage the partnerships with both SREDA and BSTI. The areas for improvement are obvious (cf. BRESL case study): </w:t>
      </w:r>
    </w:p>
    <w:p w:rsidR="00F04ED9" w:rsidRDefault="00F04ED9" w:rsidP="00F04ED9">
      <w:pPr>
        <w:spacing w:after="0" w:line="240" w:lineRule="auto"/>
        <w:jc w:val="both"/>
      </w:pPr>
    </w:p>
    <w:p w:rsidR="00F04ED9" w:rsidRDefault="00F04ED9" w:rsidP="001E161B">
      <w:pPr>
        <w:pStyle w:val="ListParagraph"/>
        <w:numPr>
          <w:ilvl w:val="0"/>
          <w:numId w:val="72"/>
        </w:numPr>
        <w:spacing w:after="0" w:line="240" w:lineRule="auto"/>
        <w:jc w:val="both"/>
      </w:pPr>
      <w:r>
        <w:t>Many of the products (e.g. in the area of efficient fans) have not yet made it to the market.</w:t>
      </w:r>
    </w:p>
    <w:p w:rsidR="00F04ED9" w:rsidRDefault="00F04ED9" w:rsidP="001E161B">
      <w:pPr>
        <w:pStyle w:val="ListParagraph"/>
        <w:numPr>
          <w:ilvl w:val="0"/>
          <w:numId w:val="72"/>
        </w:numPr>
        <w:spacing w:after="0" w:line="240" w:lineRule="auto"/>
        <w:jc w:val="both"/>
      </w:pPr>
      <w:r>
        <w:t>If they have, they found little acceptance (with the exception of the ubiquitous CFL) as consumers are not yet aware of the energy efficient appliances, and particular of the energy and cost savings.</w:t>
      </w:r>
    </w:p>
    <w:p w:rsidR="00F04ED9" w:rsidRDefault="00F04ED9" w:rsidP="001E161B">
      <w:pPr>
        <w:pStyle w:val="ListParagraph"/>
        <w:numPr>
          <w:ilvl w:val="0"/>
          <w:numId w:val="72"/>
        </w:numPr>
        <w:spacing w:after="0" w:line="240" w:lineRule="auto"/>
        <w:jc w:val="both"/>
      </w:pPr>
      <w:r>
        <w:lastRenderedPageBreak/>
        <w:t>The appliances covered so far come from the highest energy consuming areas but coverage is not complete. For example, LED lighting has not been included and with CFLs only a share of the expected savings of 50% can be achieved. Other energy applications have not been tackled at all.</w:t>
      </w:r>
    </w:p>
    <w:p w:rsidR="00F04ED9" w:rsidRDefault="00F04ED9" w:rsidP="001E161B">
      <w:pPr>
        <w:pStyle w:val="ListParagraph"/>
        <w:numPr>
          <w:ilvl w:val="0"/>
          <w:numId w:val="72"/>
        </w:numPr>
        <w:spacing w:after="0" w:line="240" w:lineRule="auto"/>
        <w:jc w:val="both"/>
      </w:pPr>
      <w:r>
        <w:t>The standards are still voluntary and need to be made mandatory (as envisioned in the Master Plan).</w:t>
      </w:r>
    </w:p>
    <w:p w:rsidR="00F04ED9" w:rsidRDefault="00F04ED9" w:rsidP="001E161B">
      <w:pPr>
        <w:pStyle w:val="ListParagraph"/>
        <w:numPr>
          <w:ilvl w:val="0"/>
          <w:numId w:val="72"/>
        </w:numPr>
        <w:spacing w:after="0" w:line="240" w:lineRule="auto"/>
        <w:jc w:val="both"/>
      </w:pPr>
      <w:r>
        <w:t xml:space="preserve">They need constant review and adjustment to the best performing appliances on the market.  </w:t>
      </w:r>
    </w:p>
    <w:p w:rsidR="00F04ED9" w:rsidRDefault="00F04ED9" w:rsidP="00F04ED9">
      <w:pPr>
        <w:spacing w:after="0" w:line="240" w:lineRule="auto"/>
        <w:jc w:val="both"/>
      </w:pPr>
      <w:r>
        <w:t xml:space="preserve">The sheer magnitude of the energy consumption in building temperature control – which is expected to rise significantly as wealth levels increase – demonstrates the importance of the building energy efficiency standards. In the EE&amp;C Master Plan, a separate section is devoted to buildings energy efficiency. Higher efficiency of buildings is achieved mainly through regulations (Change in the National Building Code) and enforcement through the local governments. This will challenge these governments significantly. Generally, the area of building energy efficiency has been flagged by interviewees as extremely difficult, which is also confirmed by the international experiences. </w:t>
      </w:r>
    </w:p>
    <w:p w:rsidR="00F04ED9" w:rsidRDefault="00F04ED9" w:rsidP="00F04ED9">
      <w:pPr>
        <w:spacing w:after="0" w:line="240" w:lineRule="auto"/>
        <w:jc w:val="both"/>
      </w:pPr>
    </w:p>
    <w:p w:rsidR="00F04ED9" w:rsidRPr="004C3196" w:rsidRDefault="00F04ED9" w:rsidP="00F04ED9">
      <w:pPr>
        <w:pBdr>
          <w:top w:val="single" w:sz="4" w:space="1" w:color="auto"/>
          <w:left w:val="single" w:sz="4" w:space="4" w:color="auto"/>
          <w:bottom w:val="single" w:sz="4" w:space="1" w:color="auto"/>
          <w:right w:val="single" w:sz="4" w:space="4" w:color="auto"/>
        </w:pBdr>
        <w:spacing w:after="0" w:line="240" w:lineRule="auto"/>
        <w:jc w:val="both"/>
        <w:rPr>
          <w:b/>
        </w:rPr>
      </w:pPr>
      <w:r w:rsidRPr="004C3196">
        <w:rPr>
          <w:b/>
        </w:rPr>
        <w:t>Box</w:t>
      </w:r>
      <w:r w:rsidR="005E0C65">
        <w:rPr>
          <w:b/>
        </w:rPr>
        <w:t xml:space="preserve"> IX.1</w:t>
      </w:r>
      <w:r w:rsidRPr="004C3196">
        <w:rPr>
          <w:b/>
        </w:rPr>
        <w:t>: Energy efficiency off the grid</w:t>
      </w:r>
    </w:p>
    <w:p w:rsidR="00F04ED9" w:rsidRPr="00161248" w:rsidRDefault="00F04ED9" w:rsidP="00F04ED9">
      <w:pPr>
        <w:pBdr>
          <w:top w:val="single" w:sz="4" w:space="1" w:color="auto"/>
          <w:left w:val="single" w:sz="4" w:space="4" w:color="auto"/>
          <w:bottom w:val="single" w:sz="4" w:space="1" w:color="auto"/>
          <w:right w:val="single" w:sz="4" w:space="4" w:color="auto"/>
        </w:pBdr>
        <w:spacing w:after="0" w:line="240" w:lineRule="auto"/>
        <w:jc w:val="both"/>
      </w:pPr>
      <w:r w:rsidRPr="00161248">
        <w:t xml:space="preserve">In off-grid locations, energy efficiency is even more important as it can lead to lower investments and more affordable energy services. A number of activities are already underway: </w:t>
      </w:r>
    </w:p>
    <w:p w:rsidR="00F04ED9" w:rsidRDefault="00F04ED9" w:rsidP="00F04ED9">
      <w:pPr>
        <w:pBdr>
          <w:top w:val="single" w:sz="4" w:space="1" w:color="auto"/>
          <w:left w:val="single" w:sz="4" w:space="4" w:color="auto"/>
          <w:bottom w:val="single" w:sz="4" w:space="1" w:color="auto"/>
          <w:right w:val="single" w:sz="4" w:space="4" w:color="auto"/>
        </w:pBdr>
        <w:spacing w:after="0" w:line="240" w:lineRule="auto"/>
        <w:jc w:val="both"/>
      </w:pPr>
      <w:r w:rsidRPr="00161248">
        <w:t>The high fuel wood consumption in Bangladesh is probably not very sustainable, which is why more efficient coo</w:t>
      </w:r>
      <w:r>
        <w:t>k</w:t>
      </w:r>
      <w:r w:rsidRPr="00161248">
        <w:t>stoves have been an area of GIZ (Bujundara stove) and IDCOL. Currently, USAID is also trying to move the mar</w:t>
      </w:r>
      <w:r>
        <w:t>k</w:t>
      </w:r>
      <w:r w:rsidRPr="00161248">
        <w:t>ets for roc</w:t>
      </w:r>
      <w:r>
        <w:t>k</w:t>
      </w:r>
      <w:r w:rsidRPr="00161248">
        <w:t>et stoves.</w:t>
      </w:r>
    </w:p>
    <w:p w:rsidR="00F04ED9" w:rsidRPr="005A6558" w:rsidRDefault="00F04ED9" w:rsidP="00F04ED9">
      <w:pPr>
        <w:pBdr>
          <w:top w:val="single" w:sz="4" w:space="1" w:color="auto"/>
          <w:left w:val="single" w:sz="4" w:space="4" w:color="auto"/>
          <w:bottom w:val="single" w:sz="4" w:space="1" w:color="auto"/>
          <w:right w:val="single" w:sz="4" w:space="4" w:color="auto"/>
        </w:pBdr>
        <w:spacing w:after="0" w:line="240" w:lineRule="auto"/>
        <w:jc w:val="both"/>
        <w:rPr>
          <w:sz w:val="12"/>
        </w:rPr>
      </w:pPr>
    </w:p>
    <w:p w:rsidR="00F04ED9" w:rsidRPr="00161248" w:rsidRDefault="00F04ED9" w:rsidP="00F04ED9">
      <w:pPr>
        <w:pBdr>
          <w:top w:val="single" w:sz="4" w:space="1" w:color="auto"/>
          <w:left w:val="single" w:sz="4" w:space="4" w:color="auto"/>
          <w:bottom w:val="single" w:sz="4" w:space="1" w:color="auto"/>
          <w:right w:val="single" w:sz="4" w:space="4" w:color="auto"/>
        </w:pBdr>
        <w:spacing w:after="0" w:line="240" w:lineRule="auto"/>
        <w:jc w:val="both"/>
      </w:pPr>
      <w:r>
        <w:t>K</w:t>
      </w:r>
      <w:r w:rsidRPr="00161248">
        <w:t>fW is wor</w:t>
      </w:r>
      <w:r>
        <w:t>k</w:t>
      </w:r>
      <w:r w:rsidRPr="00161248">
        <w:t xml:space="preserve">ing on solar water pumping for agricultural irrigation. These pumps require comparatively large solar arrays (10 – 30 m²) which poses challenges in many sites. Therefore the pumps have also been optimized for energy efficiency so that the solar panels can be minimized. </w:t>
      </w:r>
    </w:p>
    <w:p w:rsidR="00F04ED9" w:rsidRDefault="00F04ED9" w:rsidP="00F04ED9">
      <w:pPr>
        <w:pBdr>
          <w:top w:val="single" w:sz="4" w:space="1" w:color="auto"/>
          <w:left w:val="single" w:sz="4" w:space="4" w:color="auto"/>
          <w:bottom w:val="single" w:sz="4" w:space="1" w:color="auto"/>
          <w:right w:val="single" w:sz="4" w:space="4" w:color="auto"/>
        </w:pBdr>
        <w:spacing w:after="0" w:line="240" w:lineRule="auto"/>
        <w:jc w:val="both"/>
      </w:pPr>
      <w:r w:rsidRPr="00161248">
        <w:t>SHS as well as solar water pumping systems often come with DC appliances which in some cases are optimized for energy efficiency.  CLASP wor</w:t>
      </w:r>
      <w:r>
        <w:t>k</w:t>
      </w:r>
      <w:r w:rsidRPr="00161248">
        <w:t>s together with GIZ on DC appliances. This is important as the electrification will also bring new appliances to the country side – in addition to TV, radio and communication technology.</w:t>
      </w:r>
    </w:p>
    <w:p w:rsidR="00F04ED9" w:rsidRPr="005A6558" w:rsidRDefault="00F04ED9" w:rsidP="00F04ED9">
      <w:pPr>
        <w:pBdr>
          <w:top w:val="single" w:sz="4" w:space="1" w:color="auto"/>
          <w:left w:val="single" w:sz="4" w:space="4" w:color="auto"/>
          <w:bottom w:val="single" w:sz="4" w:space="1" w:color="auto"/>
          <w:right w:val="single" w:sz="4" w:space="4" w:color="auto"/>
        </w:pBdr>
        <w:spacing w:after="0" w:line="240" w:lineRule="auto"/>
        <w:jc w:val="both"/>
        <w:rPr>
          <w:sz w:val="12"/>
        </w:rPr>
      </w:pPr>
    </w:p>
    <w:p w:rsidR="00F04ED9" w:rsidRPr="00161248" w:rsidRDefault="00F04ED9" w:rsidP="00F04ED9">
      <w:pPr>
        <w:pBdr>
          <w:top w:val="single" w:sz="4" w:space="1" w:color="auto"/>
          <w:left w:val="single" w:sz="4" w:space="4" w:color="auto"/>
          <w:bottom w:val="single" w:sz="4" w:space="1" w:color="auto"/>
          <w:right w:val="single" w:sz="4" w:space="4" w:color="auto"/>
        </w:pBdr>
        <w:spacing w:after="0" w:line="240" w:lineRule="auto"/>
        <w:jc w:val="both"/>
      </w:pPr>
      <w:r w:rsidRPr="00161248">
        <w:t>Overall, this is an important are of wor</w:t>
      </w:r>
      <w:r>
        <w:t>k</w:t>
      </w:r>
      <w:r w:rsidRPr="00161248">
        <w:t xml:space="preserve"> that is directly pro-poor. However, many other donors are already active in this field, so that no significant role for UNDP in the specific energy projects is immediately obvious. However, lin</w:t>
      </w:r>
      <w:r>
        <w:t>k</w:t>
      </w:r>
      <w:r w:rsidRPr="00161248">
        <w:t xml:space="preserve">ing energy into other UNDP community and pro-poor initiatives is of high relevance, potentially in cooperation with any of the active agencies. </w:t>
      </w:r>
      <w:r>
        <w:t xml:space="preserve"> For example, GIZ has developed autonomous solar drinking water supply systems that are securing drinking water supply in times of flooding. </w:t>
      </w:r>
    </w:p>
    <w:p w:rsidR="00F04ED9" w:rsidRDefault="00F04ED9" w:rsidP="00F04ED9">
      <w:pPr>
        <w:spacing w:after="0" w:line="240" w:lineRule="auto"/>
        <w:jc w:val="both"/>
        <w:rPr>
          <w:b/>
          <w:sz w:val="24"/>
        </w:rPr>
      </w:pPr>
    </w:p>
    <w:p w:rsidR="00F04ED9" w:rsidRPr="00161248" w:rsidRDefault="00F04ED9" w:rsidP="00F04ED9">
      <w:pPr>
        <w:spacing w:after="0" w:line="240" w:lineRule="auto"/>
        <w:jc w:val="both"/>
        <w:rPr>
          <w:b/>
          <w:sz w:val="24"/>
        </w:rPr>
      </w:pPr>
      <w:r w:rsidRPr="00161248">
        <w:rPr>
          <w:b/>
          <w:sz w:val="24"/>
        </w:rPr>
        <w:t>Green Growth</w:t>
      </w:r>
    </w:p>
    <w:p w:rsidR="00F04ED9" w:rsidRPr="005A6558" w:rsidRDefault="00F04ED9" w:rsidP="00F04ED9">
      <w:pPr>
        <w:spacing w:after="0" w:line="240" w:lineRule="auto"/>
        <w:jc w:val="both"/>
      </w:pPr>
      <w:r w:rsidRPr="005A6558">
        <w:t>On its way to Middle Income Status, Bangladesh will be increasing the pressure on</w:t>
      </w:r>
      <w:r w:rsidR="009F468D">
        <w:t xml:space="preserve"> </w:t>
      </w:r>
      <w:r w:rsidRPr="005A6558">
        <w:t xml:space="preserve">natural resources as well as energy security. Adopting the paradigm of Green and Inclusive Growth and acting early can help mitigate potential negative consequences and avoid a number of negative effects that have been observed during rapid growth periods in many other parts of the World. The following sections discuss three examples where energy efficiency and protection of natural resources can be combined with support of UNDP, building on its established strengths of triggering technology transfer and energy efficiency standard development as well as support to </w:t>
      </w:r>
      <w:r w:rsidRPr="005A6558">
        <w:lastRenderedPageBreak/>
        <w:t>policy ma</w:t>
      </w:r>
      <w:r>
        <w:t>k</w:t>
      </w:r>
      <w:r w:rsidRPr="005A6558">
        <w:t xml:space="preserve">ers. UNDP should start a dialogue with the Government of Bangladesh on the feasibility of these projects, in order to prepare the foundation for long-term sustainability in the coming country programme and the one following. </w:t>
      </w:r>
    </w:p>
    <w:p w:rsidR="00F04ED9" w:rsidRDefault="00F04ED9" w:rsidP="00F04ED9">
      <w:pPr>
        <w:spacing w:after="0" w:line="240" w:lineRule="auto"/>
        <w:jc w:val="both"/>
      </w:pPr>
    </w:p>
    <w:p w:rsidR="00F04ED9" w:rsidRPr="00431625" w:rsidRDefault="00F04ED9" w:rsidP="00F04ED9">
      <w:pPr>
        <w:spacing w:after="0" w:line="240" w:lineRule="auto"/>
        <w:jc w:val="both"/>
        <w:rPr>
          <w:b/>
        </w:rPr>
      </w:pPr>
      <w:r>
        <w:rPr>
          <w:b/>
        </w:rPr>
        <w:t>AGRICULTURE,</w:t>
      </w:r>
      <w:r w:rsidRPr="00431625">
        <w:rPr>
          <w:b/>
        </w:rPr>
        <w:t xml:space="preserve"> FISHERIES</w:t>
      </w:r>
      <w:r>
        <w:rPr>
          <w:b/>
        </w:rPr>
        <w:t>,</w:t>
      </w:r>
      <w:r w:rsidRPr="00431625">
        <w:rPr>
          <w:b/>
        </w:rPr>
        <w:t xml:space="preserve"> AND FOOD PROCESSING</w:t>
      </w:r>
    </w:p>
    <w:p w:rsidR="00F04ED9" w:rsidRDefault="00F04ED9" w:rsidP="00F04ED9">
      <w:pPr>
        <w:spacing w:after="0" w:line="240" w:lineRule="auto"/>
        <w:jc w:val="both"/>
      </w:pPr>
      <w:r w:rsidRPr="00161248">
        <w:rPr>
          <w:sz w:val="24"/>
        </w:rPr>
        <w:t>Significant</w:t>
      </w:r>
      <w:r>
        <w:t xml:space="preserve"> growth of energy consumption can be expected here. Given that fish is one of the most important sources of protein in Bangladesh, the energy used for refrigeration and freezing is currently very limited. With increasing wealth and export orientation of this industry, the energy used for these purposes will grow. Similarly, refrigeration and freezing of fruit and crops will also increase. This has the potential co-benefit of reducing food waste. In the interest of energy security, care should be taken to provide and promote the most efficient appliances. If it is done well, chemical preservatives (formalin) inputs into agriculture can be reduced as well, saving not only the energy to produce and distribute it but also the water and energy used to wash it off the produce, as well as benefit public health and reduce pollution. Therefore, promoting extremely energy efficient cooling appliances in particular to the food processing industries is a highly relevant area for both, energy and food security as well as green growth in this area. </w:t>
      </w:r>
    </w:p>
    <w:p w:rsidR="00F04ED9" w:rsidRDefault="00F04ED9" w:rsidP="00F04ED9">
      <w:pPr>
        <w:spacing w:after="0" w:line="240" w:lineRule="auto"/>
        <w:jc w:val="both"/>
      </w:pPr>
    </w:p>
    <w:p w:rsidR="00F04ED9" w:rsidRPr="00431625" w:rsidRDefault="00F04ED9" w:rsidP="00F04ED9">
      <w:pPr>
        <w:keepNext/>
        <w:spacing w:after="0" w:line="240" w:lineRule="auto"/>
        <w:jc w:val="both"/>
        <w:rPr>
          <w:b/>
        </w:rPr>
      </w:pPr>
      <w:r w:rsidRPr="00431625">
        <w:rPr>
          <w:b/>
        </w:rPr>
        <w:t>INDUSTRIAL ENERGY EFFICIENCY</w:t>
      </w:r>
    </w:p>
    <w:p w:rsidR="00F04ED9" w:rsidRDefault="00F04ED9" w:rsidP="00F04ED9">
      <w:pPr>
        <w:spacing w:after="0" w:line="240" w:lineRule="auto"/>
        <w:jc w:val="both"/>
      </w:pPr>
      <w:r>
        <w:t xml:space="preserve">Bangladesh’s economic growth is based on relatively electricity-unintensive industries in the manufacturing (garment) sector has led to rising energy consumption but also reduced energy intensity of the economy, which is a good start. However, increased growth might change this picture as more energy intensive industries might be added (e.g. for providing construction materials like cement and glass). Unfortunately, no national industrialization and growth strategy exists that would help to understand the future energy demands. This in itself is a risk to energy security. </w:t>
      </w:r>
    </w:p>
    <w:p w:rsidR="00F04ED9" w:rsidRDefault="00F04ED9" w:rsidP="00F04ED9">
      <w:pPr>
        <w:spacing w:after="0" w:line="240" w:lineRule="auto"/>
        <w:jc w:val="both"/>
      </w:pPr>
    </w:p>
    <w:p w:rsidR="00F04ED9" w:rsidRDefault="00F04ED9" w:rsidP="00F04ED9">
      <w:pPr>
        <w:spacing w:after="0" w:line="240" w:lineRule="auto"/>
        <w:jc w:val="both"/>
      </w:pPr>
      <w:r>
        <w:t xml:space="preserve">In addition, it is to be expected that there will be a shift in the energy sources used towards electricity, away from directly burning fuel in industry, but also households, as well as increasing motorization and use of information and communication technology in manufacturing. Therefore the growth of (formal) energy and electricity consumption and GHG emissions will probably be more than proportional to economic growth, and industrial energy efficiency is a very important area for focus. </w:t>
      </w:r>
    </w:p>
    <w:p w:rsidR="00F04ED9" w:rsidRDefault="00F04ED9" w:rsidP="00F04ED9">
      <w:pPr>
        <w:spacing w:after="0" w:line="240" w:lineRule="auto"/>
        <w:jc w:val="both"/>
      </w:pPr>
    </w:p>
    <w:p w:rsidR="00F04ED9" w:rsidRDefault="00F04ED9" w:rsidP="00F04ED9">
      <w:pPr>
        <w:spacing w:after="0" w:line="240" w:lineRule="auto"/>
        <w:jc w:val="both"/>
      </w:pPr>
      <w:r>
        <w:t xml:space="preserve">There are a number of energy efficiency measures for industry that can be applied across industrial sectors. SREDA’s EE&amp;C Master Plan proposed to focus on Designated Large Consumers who have to implement energy efficiency measures. The Master Plan proposes to oblige them to operate energy management systems, have designated energy managers and set and implement energy savings targets, documented in an annual energy report. Currently, USAID is working with SREDA on energy audits and has trained around 70 Certified Energy Auditors across sectors. The 100 or so energy audits from companies that were available from that work served as a basis for the development of the EE&amp;C Master Plan. </w:t>
      </w:r>
    </w:p>
    <w:p w:rsidR="00F04ED9" w:rsidRDefault="00F04ED9" w:rsidP="00F04ED9">
      <w:pPr>
        <w:spacing w:after="0" w:line="240" w:lineRule="auto"/>
        <w:jc w:val="both"/>
      </w:pPr>
    </w:p>
    <w:p w:rsidR="00F04ED9" w:rsidRPr="00431625" w:rsidRDefault="00F04ED9" w:rsidP="00F04ED9">
      <w:pPr>
        <w:spacing w:after="0" w:line="240" w:lineRule="auto"/>
        <w:jc w:val="both"/>
        <w:rPr>
          <w:b/>
        </w:rPr>
      </w:pPr>
      <w:r w:rsidRPr="00431625">
        <w:rPr>
          <w:b/>
        </w:rPr>
        <w:t>INDUSTRIAL TECHNOLOGY TRANSFER AND BUSINESS MODEL DEVELOPMENT</w:t>
      </w:r>
    </w:p>
    <w:p w:rsidR="00F04ED9" w:rsidRDefault="00F04ED9" w:rsidP="00F04ED9">
      <w:pPr>
        <w:spacing w:after="0" w:line="240" w:lineRule="auto"/>
        <w:jc w:val="both"/>
      </w:pPr>
      <w:r w:rsidRPr="00E51C0F">
        <w:t xml:space="preserve">In addition, UNDP should draw on its specific </w:t>
      </w:r>
      <w:r>
        <w:t xml:space="preserve">experiences in triggering technology transfer, in particular resulting from the IKEBMI project. While the brick industry in Bangladesh was extremely traditional until very recently – in fact it was not even under the regulatory purview of the Ministry of Industry – there are other industries that can benefit significantly from </w:t>
      </w:r>
      <w:r>
        <w:lastRenderedPageBreak/>
        <w:t xml:space="preserve">technology transfer and the introduction of new business models that combine energy efficiency with energy security and reduction of environmental impact. </w:t>
      </w:r>
    </w:p>
    <w:p w:rsidR="00F04ED9" w:rsidRDefault="00F04ED9" w:rsidP="00F04ED9">
      <w:pPr>
        <w:spacing w:after="0" w:line="240" w:lineRule="auto"/>
        <w:jc w:val="both"/>
      </w:pPr>
    </w:p>
    <w:p w:rsidR="00F04ED9" w:rsidRDefault="00F04ED9" w:rsidP="00F04ED9">
      <w:pPr>
        <w:spacing w:after="0" w:line="240" w:lineRule="auto"/>
        <w:jc w:val="both"/>
      </w:pPr>
      <w:r>
        <w:t xml:space="preserve">One of the most important industries in Bangladesh is the export oriented garment and textile industry, with about 4500 factories. IFC’s PACT project provides walk-through and in-depth audits for some of the 1700 facilities in Washing-Dying-Finishing (WDF). These are characterized by high consumption of water, chemicals and energy. Their location in clusters would make joint investments into combined heat and power generation as well as effluent treatment plants cost effective investments. However, joint planning and financing would require facilitation from an outside partner and a demonstration of the viability of joint operations or a joint service provider as a business model. </w:t>
      </w:r>
    </w:p>
    <w:p w:rsidR="00F04ED9" w:rsidRDefault="00F04ED9" w:rsidP="00F04ED9">
      <w:pPr>
        <w:spacing w:after="0" w:line="240" w:lineRule="auto"/>
        <w:jc w:val="both"/>
      </w:pPr>
    </w:p>
    <w:p w:rsidR="00F04ED9" w:rsidRDefault="00F04ED9" w:rsidP="00F04ED9">
      <w:pPr>
        <w:spacing w:after="0" w:line="240" w:lineRule="auto"/>
        <w:jc w:val="both"/>
      </w:pPr>
      <w:r>
        <w:t xml:space="preserve">Other industries with high environmental impact and high energy consumption are operating in Bangladesh as well, including the chemicals, pharmaceuticals and fertilizer industries, iron and steel (re-)rolling and cement and clinker production. If the bricks project can find a way how to institutionalize the technology transfer process, and turn it into a mechanism that ensures continuous technology improvement throughout the industry, this holds great promise for all of these industries. </w:t>
      </w:r>
    </w:p>
    <w:p w:rsidR="00F04ED9" w:rsidRDefault="00F04ED9" w:rsidP="00F04ED9">
      <w:pPr>
        <w:spacing w:after="0" w:line="240" w:lineRule="auto"/>
        <w:jc w:val="both"/>
      </w:pPr>
    </w:p>
    <w:p w:rsidR="00F04ED9" w:rsidRDefault="00F04ED9" w:rsidP="00F04ED9">
      <w:pPr>
        <w:spacing w:after="0" w:line="240" w:lineRule="auto"/>
        <w:jc w:val="both"/>
      </w:pPr>
      <w:r>
        <w:t xml:space="preserve">Waste management is another area of growing importance. The energy sector offers two good illustrations for these challenges: Lead acid batteries from Solar Home Systems are sold after about 2 years of use to the local unregulated recycling industry which recycles the lead into “new” batteries and often disposes of the lead-containing acid in uncontrolled holes in the ground. This leads to uncontrolled heavy metal pollution </w:t>
      </w:r>
      <w:r w:rsidRPr="00F2454C">
        <w:t xml:space="preserve">of the area with the ensuing environmental and health hazards. Similarly, CFLs contain </w:t>
      </w:r>
      <w:r>
        <w:t xml:space="preserve">traces of </w:t>
      </w:r>
      <w:r w:rsidRPr="00F2454C">
        <w:t>highly toxic</w:t>
      </w:r>
      <w:r>
        <w:t xml:space="preserve"> mercury. As Bangladesh has recently ratified the Minamata Convention for which the GEF is a financial mechanism, this lends itself for UNDP action. </w:t>
      </w:r>
    </w:p>
    <w:p w:rsidR="00F04ED9" w:rsidRDefault="00F04ED9" w:rsidP="00F04ED9">
      <w:pPr>
        <w:spacing w:after="0" w:line="240" w:lineRule="auto"/>
        <w:jc w:val="both"/>
      </w:pPr>
    </w:p>
    <w:p w:rsidR="00F04ED9" w:rsidRDefault="00F04ED9" w:rsidP="00F04ED9">
      <w:pPr>
        <w:spacing w:after="0" w:line="240" w:lineRule="auto"/>
        <w:jc w:val="both"/>
        <w:rPr>
          <w:b/>
          <w:sz w:val="24"/>
        </w:rPr>
      </w:pPr>
      <w:r>
        <w:rPr>
          <w:b/>
          <w:sz w:val="24"/>
        </w:rPr>
        <w:t>Opportunities for UNDP in Bangladesh</w:t>
      </w:r>
    </w:p>
    <w:p w:rsidR="00F04ED9" w:rsidRDefault="00F04ED9" w:rsidP="00F04ED9">
      <w:pPr>
        <w:spacing w:after="0" w:line="240" w:lineRule="auto"/>
        <w:jc w:val="both"/>
      </w:pPr>
    </w:p>
    <w:p w:rsidR="00F04ED9" w:rsidRPr="00431625" w:rsidRDefault="00F04ED9" w:rsidP="001E161B">
      <w:pPr>
        <w:pStyle w:val="ListParagraph"/>
        <w:numPr>
          <w:ilvl w:val="0"/>
          <w:numId w:val="38"/>
        </w:numPr>
        <w:spacing w:after="0" w:line="240" w:lineRule="auto"/>
        <w:jc w:val="both"/>
        <w:rPr>
          <w:b/>
          <w:i/>
        </w:rPr>
      </w:pPr>
      <w:r w:rsidRPr="00431625">
        <w:rPr>
          <w:b/>
          <w:i/>
        </w:rPr>
        <w:t>Support to SREDA for renewable energy</w:t>
      </w:r>
    </w:p>
    <w:p w:rsidR="00F04ED9" w:rsidRDefault="00F04ED9" w:rsidP="00F04ED9">
      <w:pPr>
        <w:spacing w:after="0" w:line="240" w:lineRule="auto"/>
        <w:jc w:val="both"/>
      </w:pPr>
      <w:r>
        <w:t xml:space="preserve">The current SREPGen project is an excellent opportunity for UNDP to support a young government agency in providing efficient and effective action in this area. The project kick-off has already determined the first steps, while identifying activities in the previously designed work program that have been made redundant by the fast developments in this sector. </w:t>
      </w:r>
    </w:p>
    <w:p w:rsidR="00F04ED9" w:rsidRDefault="00F04ED9" w:rsidP="00F04ED9">
      <w:pPr>
        <w:spacing w:after="0" w:line="240" w:lineRule="auto"/>
        <w:jc w:val="both"/>
      </w:pPr>
    </w:p>
    <w:p w:rsidR="00F04ED9" w:rsidRDefault="00F04ED9" w:rsidP="00F04ED9">
      <w:pPr>
        <w:spacing w:after="0" w:line="240" w:lineRule="auto"/>
        <w:jc w:val="both"/>
      </w:pPr>
      <w:r>
        <w:t xml:space="preserve">While Bangladesh is a World leader on Solar Home Systems, other renewable energy sources have not enjoyed the same level of attention. Wind and biomass are to some degree already covered by activities under the SREPGen and it should be reviewed carefully if strengthening the efforts in these areas might make the support even more effective. While biomass is also seen as an area of potential action by some of the donors, wind is not considered relevant by many. Biogas could benefit from opening up the scope of technologies supported by IDCOL under advice of SREDA. </w:t>
      </w:r>
    </w:p>
    <w:p w:rsidR="00F04ED9" w:rsidRDefault="00F04ED9" w:rsidP="00F04ED9">
      <w:pPr>
        <w:spacing w:after="0" w:line="240" w:lineRule="auto"/>
        <w:jc w:val="both"/>
      </w:pPr>
    </w:p>
    <w:p w:rsidR="00F04ED9" w:rsidRDefault="00F04ED9" w:rsidP="00F04ED9">
      <w:pPr>
        <w:spacing w:after="0" w:line="240" w:lineRule="auto"/>
        <w:jc w:val="both"/>
      </w:pPr>
      <w:r>
        <w:t xml:space="preserve">The gap is even more obvious in the area of </w:t>
      </w:r>
      <w:r w:rsidRPr="00DA776A">
        <w:t>solar water heaters</w:t>
      </w:r>
      <w:r>
        <w:t xml:space="preserve">. This is </w:t>
      </w:r>
      <w:r w:rsidRPr="00DA776A">
        <w:t>part of the buildings</w:t>
      </w:r>
      <w:r>
        <w:t xml:space="preserve"> section of the EE&amp;C Masterplan, and also partially alluded to in the discussions within the SREPGen project</w:t>
      </w:r>
      <w:r w:rsidRPr="00DA776A">
        <w:t>.</w:t>
      </w:r>
      <w:r>
        <w:t xml:space="preserve"> This are can be very promising. An </w:t>
      </w:r>
      <w:r w:rsidRPr="00DA776A">
        <w:t>explicit mar</w:t>
      </w:r>
      <w:r>
        <w:t>k</w:t>
      </w:r>
      <w:r w:rsidRPr="00DA776A">
        <w:t xml:space="preserve">et introduction push would be </w:t>
      </w:r>
      <w:r w:rsidRPr="00DA776A">
        <w:lastRenderedPageBreak/>
        <w:t xml:space="preserve">necessary, </w:t>
      </w:r>
      <w:r>
        <w:t xml:space="preserve">drawing among other things on some of UNDP’s world global experiences in this area. </w:t>
      </w:r>
    </w:p>
    <w:p w:rsidR="00F04ED9" w:rsidRPr="00DA776A" w:rsidRDefault="00F04ED9" w:rsidP="00F04ED9">
      <w:pPr>
        <w:spacing w:after="0" w:line="240" w:lineRule="auto"/>
        <w:jc w:val="both"/>
      </w:pPr>
    </w:p>
    <w:p w:rsidR="00F04ED9" w:rsidRDefault="00F04ED9" w:rsidP="00F04ED9">
      <w:pPr>
        <w:spacing w:after="0" w:line="240" w:lineRule="auto"/>
        <w:jc w:val="both"/>
      </w:pPr>
      <w:r>
        <w:t>Waste-to-energy has been mentioned by many other development partners as an important and neglected area for activity. In addition, several donors pointed to the challenges faced by the need for battery recycling which is required by the IDCOL Solar program but not be enforced until now.</w:t>
      </w:r>
    </w:p>
    <w:p w:rsidR="00F04ED9" w:rsidRDefault="00F04ED9" w:rsidP="00F04ED9">
      <w:pPr>
        <w:spacing w:after="0" w:line="240" w:lineRule="auto"/>
        <w:jc w:val="both"/>
      </w:pPr>
    </w:p>
    <w:p w:rsidR="00F04ED9" w:rsidRDefault="00F04ED9" w:rsidP="001E161B">
      <w:pPr>
        <w:pStyle w:val="ListParagraph"/>
        <w:numPr>
          <w:ilvl w:val="0"/>
          <w:numId w:val="38"/>
        </w:numPr>
        <w:spacing w:after="0" w:line="240" w:lineRule="auto"/>
        <w:jc w:val="both"/>
        <w:rPr>
          <w:b/>
          <w:i/>
        </w:rPr>
      </w:pPr>
      <w:r w:rsidRPr="00431625">
        <w:rPr>
          <w:b/>
          <w:i/>
        </w:rPr>
        <w:t>Support to SREDA for energy efficiency</w:t>
      </w:r>
    </w:p>
    <w:p w:rsidR="00F04ED9" w:rsidRPr="00431625" w:rsidRDefault="00F04ED9" w:rsidP="00F04ED9">
      <w:pPr>
        <w:pStyle w:val="ListParagraph"/>
        <w:spacing w:after="0" w:line="240" w:lineRule="auto"/>
        <w:jc w:val="both"/>
        <w:rPr>
          <w:b/>
          <w:i/>
        </w:rPr>
      </w:pPr>
    </w:p>
    <w:p w:rsidR="00F04ED9" w:rsidRDefault="00F04ED9" w:rsidP="00F04ED9">
      <w:pPr>
        <w:spacing w:after="0" w:line="240" w:lineRule="auto"/>
        <w:jc w:val="both"/>
      </w:pPr>
      <w:r w:rsidRPr="00DA776A">
        <w:t>The EE&amp;C Master Plan ac</w:t>
      </w:r>
      <w:r>
        <w:t>k</w:t>
      </w:r>
      <w:r w:rsidRPr="00DA776A">
        <w:t xml:space="preserve">nowledges that the speed of its implementation is limited by the “administrative capacity” needed for implementation (p. 23). UNDP’s continued support to this sector is therefore very important. </w:t>
      </w:r>
      <w:r>
        <w:t xml:space="preserve">With the founding of SREDA it has taken on a central position in the efforts for more energy efficiency in Bangladesh and should be supported in its role as this central hub. </w:t>
      </w:r>
      <w:r w:rsidRPr="00DA776A">
        <w:t>Specifically, it is recommended that UNDP</w:t>
      </w:r>
      <w:r>
        <w:t xml:space="preserve"> support SREDA in the following area: </w:t>
      </w:r>
    </w:p>
    <w:p w:rsidR="00F04ED9" w:rsidRPr="00DA776A" w:rsidRDefault="00F04ED9" w:rsidP="00F04ED9">
      <w:pPr>
        <w:spacing w:after="0" w:line="240" w:lineRule="auto"/>
        <w:jc w:val="both"/>
      </w:pPr>
    </w:p>
    <w:p w:rsidR="00F04ED9" w:rsidRPr="00DA776A" w:rsidRDefault="00F04ED9" w:rsidP="001E161B">
      <w:pPr>
        <w:pStyle w:val="ListParagraph"/>
        <w:numPr>
          <w:ilvl w:val="0"/>
          <w:numId w:val="37"/>
        </w:numPr>
        <w:spacing w:after="0" w:line="240" w:lineRule="auto"/>
        <w:jc w:val="both"/>
      </w:pPr>
      <w:r>
        <w:t xml:space="preserve">The need for </w:t>
      </w:r>
      <w:r w:rsidRPr="00DA776A">
        <w:t>donor coordination is specifically expressed in the EE&amp;C Master Plan (p. 34) and UNDP is very well positioned</w:t>
      </w:r>
      <w:r>
        <w:t>, as has been confirmed by the donors directly</w:t>
      </w:r>
      <w:r w:rsidRPr="00DA776A">
        <w:t>.</w:t>
      </w:r>
    </w:p>
    <w:p w:rsidR="00F04ED9" w:rsidRPr="00DA776A" w:rsidRDefault="00F04ED9" w:rsidP="001E161B">
      <w:pPr>
        <w:pStyle w:val="ListParagraph"/>
        <w:numPr>
          <w:ilvl w:val="0"/>
          <w:numId w:val="37"/>
        </w:numPr>
        <w:spacing w:after="0" w:line="240" w:lineRule="auto"/>
        <w:jc w:val="both"/>
      </w:pPr>
      <w:r>
        <w:t xml:space="preserve">Collaborative efforts of </w:t>
      </w:r>
      <w:r w:rsidRPr="00DA776A">
        <w:t>BSTI and SREDA on energy efficiency standards and labels for as many appliances as possible, starting with those that are widely used and thus responsible for large energy consumption li</w:t>
      </w:r>
      <w:r>
        <w:t>k</w:t>
      </w:r>
      <w:r w:rsidRPr="00DA776A">
        <w:t>e refrigerators and TVs, but also including appliances that are more relevant for alleviating household chores, but might not be very popular in BD yet li</w:t>
      </w:r>
      <w:r>
        <w:t>k</w:t>
      </w:r>
      <w:r w:rsidRPr="00DA776A">
        <w:t>e</w:t>
      </w:r>
      <w:r>
        <w:t xml:space="preserve"> LED,</w:t>
      </w:r>
      <w:r w:rsidRPr="00DA776A">
        <w:t xml:space="preserve"> rice coo</w:t>
      </w:r>
      <w:r>
        <w:t>k</w:t>
      </w:r>
      <w:r w:rsidRPr="00DA776A">
        <w:t>ers, food blenders, microwaves  or washing machines</w:t>
      </w:r>
    </w:p>
    <w:p w:rsidR="00F04ED9" w:rsidRPr="00DA776A" w:rsidRDefault="00F04ED9" w:rsidP="001E161B">
      <w:pPr>
        <w:pStyle w:val="ListParagraph"/>
        <w:numPr>
          <w:ilvl w:val="0"/>
          <w:numId w:val="37"/>
        </w:numPr>
        <w:spacing w:after="0" w:line="240" w:lineRule="auto"/>
        <w:jc w:val="both"/>
      </w:pPr>
      <w:r w:rsidRPr="00DA776A">
        <w:t>Support SREDA in its efforts to ma</w:t>
      </w:r>
      <w:r>
        <w:t>k</w:t>
      </w:r>
      <w:r w:rsidRPr="00DA776A">
        <w:t>e the existing standards mandatory, enforce them and provide for regular review and tightening</w:t>
      </w:r>
    </w:p>
    <w:p w:rsidR="00F04ED9" w:rsidRPr="00DA776A" w:rsidRDefault="00F04ED9" w:rsidP="001E161B">
      <w:pPr>
        <w:pStyle w:val="ListParagraph"/>
        <w:numPr>
          <w:ilvl w:val="0"/>
          <w:numId w:val="37"/>
        </w:numPr>
        <w:spacing w:after="0" w:line="240" w:lineRule="auto"/>
        <w:jc w:val="both"/>
      </w:pPr>
      <w:r>
        <w:t>E</w:t>
      </w:r>
      <w:r w:rsidRPr="00DA776A">
        <w:t>stablishment of additional testing labs and the testing procedures that are proposed in the EE&amp;C Master Plan (p. 48)</w:t>
      </w:r>
    </w:p>
    <w:p w:rsidR="00F04ED9" w:rsidRPr="00DA776A" w:rsidRDefault="00F04ED9" w:rsidP="001E161B">
      <w:pPr>
        <w:pStyle w:val="ListParagraph"/>
        <w:numPr>
          <w:ilvl w:val="0"/>
          <w:numId w:val="37"/>
        </w:numPr>
        <w:spacing w:after="0" w:line="240" w:lineRule="auto"/>
        <w:jc w:val="both"/>
      </w:pPr>
      <w:r>
        <w:t xml:space="preserve">Filling gaps by </w:t>
      </w:r>
      <w:r w:rsidRPr="00DA776A">
        <w:t>addressing other barriers, li</w:t>
      </w:r>
      <w:r>
        <w:t>k</w:t>
      </w:r>
      <w:r w:rsidRPr="00DA776A">
        <w:t>e consumer awareness campaigns, “stic</w:t>
      </w:r>
      <w:r>
        <w:t>k</w:t>
      </w:r>
      <w:r w:rsidRPr="00DA776A">
        <w:t>s and carrots” to domestic appliance manufacturers, tax brea</w:t>
      </w:r>
      <w:r>
        <w:t>k</w:t>
      </w:r>
      <w:r w:rsidRPr="00DA776A">
        <w:t xml:space="preserve">s for the importation of energy efficient appliances, </w:t>
      </w:r>
    </w:p>
    <w:p w:rsidR="00F04ED9" w:rsidRDefault="00F04ED9" w:rsidP="001E161B">
      <w:pPr>
        <w:pStyle w:val="ListParagraph"/>
        <w:numPr>
          <w:ilvl w:val="0"/>
          <w:numId w:val="37"/>
        </w:numPr>
        <w:spacing w:after="0" w:line="240" w:lineRule="auto"/>
        <w:jc w:val="both"/>
      </w:pPr>
      <w:r w:rsidRPr="00DA776A">
        <w:t>Develop</w:t>
      </w:r>
      <w:r>
        <w:t>ment of</w:t>
      </w:r>
      <w:r w:rsidRPr="00DA776A">
        <w:t xml:space="preserve"> business models (drawing on the lessons from the renewable energy field) to ma</w:t>
      </w:r>
      <w:r>
        <w:t>k</w:t>
      </w:r>
      <w:r w:rsidRPr="00DA776A">
        <w:t xml:space="preserve">e energy efficient appliances affordable for the poor, </w:t>
      </w:r>
    </w:p>
    <w:p w:rsidR="00F04ED9" w:rsidRPr="00DA776A" w:rsidRDefault="00F04ED9" w:rsidP="001E161B">
      <w:pPr>
        <w:pStyle w:val="ListParagraph"/>
        <w:numPr>
          <w:ilvl w:val="0"/>
          <w:numId w:val="37"/>
        </w:numPr>
        <w:spacing w:after="0" w:line="240" w:lineRule="auto"/>
        <w:jc w:val="both"/>
      </w:pPr>
      <w:r>
        <w:t>S</w:t>
      </w:r>
      <w:r w:rsidRPr="00DA776A">
        <w:t>ignificant and systematic support in the implementation of the Designated Large Consumer scheme as well as the benchmar</w:t>
      </w:r>
      <w:r>
        <w:t>k</w:t>
      </w:r>
      <w:r w:rsidRPr="00DA776A">
        <w:t>ing system that they are proposing. Large amounts of data will be generated in these schemes that need appropriate processing and can provide the basis for powerful outreach to industry.</w:t>
      </w:r>
    </w:p>
    <w:p w:rsidR="00F04ED9" w:rsidRPr="00DA776A" w:rsidRDefault="00F04ED9" w:rsidP="001E161B">
      <w:pPr>
        <w:pStyle w:val="ListParagraph"/>
        <w:numPr>
          <w:ilvl w:val="0"/>
          <w:numId w:val="37"/>
        </w:numPr>
        <w:spacing w:after="0" w:line="240" w:lineRule="auto"/>
        <w:jc w:val="both"/>
      </w:pPr>
      <w:r w:rsidRPr="00DA776A">
        <w:t>Support SREDA in its beginning wor</w:t>
      </w:r>
      <w:r>
        <w:t>k</w:t>
      </w:r>
      <w:r w:rsidRPr="00DA776A">
        <w:t xml:space="preserve"> on the enforcement and review of the building code, including on government and donor coordination, </w:t>
      </w:r>
    </w:p>
    <w:p w:rsidR="00F04ED9" w:rsidRPr="00DA776A" w:rsidRDefault="00F04ED9" w:rsidP="001E161B">
      <w:pPr>
        <w:pStyle w:val="ListParagraph"/>
        <w:numPr>
          <w:ilvl w:val="0"/>
          <w:numId w:val="37"/>
        </w:numPr>
        <w:spacing w:after="0" w:line="240" w:lineRule="auto"/>
        <w:jc w:val="both"/>
      </w:pPr>
      <w:r w:rsidRPr="00DA776A">
        <w:t xml:space="preserve">Support SREDA in capacity building for energy managers and auditors as well as buildings </w:t>
      </w:r>
      <w:r>
        <w:t xml:space="preserve">energy efficiency specialists. </w:t>
      </w:r>
    </w:p>
    <w:p w:rsidR="00F04ED9" w:rsidRPr="00DA776A" w:rsidRDefault="00F04ED9" w:rsidP="001E161B">
      <w:pPr>
        <w:pStyle w:val="ListParagraph"/>
        <w:numPr>
          <w:ilvl w:val="0"/>
          <w:numId w:val="37"/>
        </w:numPr>
        <w:spacing w:after="0" w:line="240" w:lineRule="auto"/>
        <w:jc w:val="both"/>
      </w:pPr>
      <w:r w:rsidRPr="00DA776A">
        <w:t>Support SREDA in building capacity in the financial mar</w:t>
      </w:r>
      <w:r>
        <w:t>k</w:t>
      </w:r>
      <w:r w:rsidRPr="00DA776A">
        <w:t xml:space="preserve">et for providing concessional loans for energy efficient buildings. </w:t>
      </w:r>
    </w:p>
    <w:p w:rsidR="00F04ED9" w:rsidRPr="00DA776A" w:rsidRDefault="00F04ED9" w:rsidP="001E161B">
      <w:pPr>
        <w:pStyle w:val="ListParagraph"/>
        <w:numPr>
          <w:ilvl w:val="0"/>
          <w:numId w:val="37"/>
        </w:numPr>
        <w:spacing w:after="0" w:line="240" w:lineRule="auto"/>
        <w:jc w:val="both"/>
      </w:pPr>
      <w:r w:rsidRPr="00DA776A">
        <w:t>Support the public sector in implementing energy efficiency in their appliance purchase, construction, renovation and facility management activities, with financial and capacity buildings support. This includes not only office buildings on every level of government but also public service institutions li</w:t>
      </w:r>
      <w:r>
        <w:t>k</w:t>
      </w:r>
      <w:r w:rsidRPr="00DA776A">
        <w:t xml:space="preserve">e schools and hospitals (GCF funding). </w:t>
      </w:r>
    </w:p>
    <w:p w:rsidR="00F04ED9" w:rsidRDefault="00F04ED9" w:rsidP="001E161B">
      <w:pPr>
        <w:pStyle w:val="ListParagraph"/>
        <w:numPr>
          <w:ilvl w:val="0"/>
          <w:numId w:val="37"/>
        </w:numPr>
        <w:spacing w:after="0" w:line="240" w:lineRule="auto"/>
        <w:jc w:val="both"/>
      </w:pPr>
      <w:r w:rsidRPr="00DA776A">
        <w:t>Support SREDA in the MRV of the energy sector.</w:t>
      </w:r>
    </w:p>
    <w:p w:rsidR="00F04ED9" w:rsidRPr="00DA776A" w:rsidRDefault="00F04ED9" w:rsidP="00F04ED9">
      <w:pPr>
        <w:pStyle w:val="ListParagraph"/>
        <w:spacing w:after="0" w:line="240" w:lineRule="auto"/>
        <w:jc w:val="both"/>
      </w:pPr>
    </w:p>
    <w:p w:rsidR="00F04ED9" w:rsidRDefault="00F04ED9" w:rsidP="00F04ED9">
      <w:pPr>
        <w:spacing w:after="0" w:line="240" w:lineRule="auto"/>
        <w:jc w:val="both"/>
      </w:pPr>
      <w:r w:rsidRPr="00DA776A">
        <w:t>All of this will only be relevant if UNDP acts fast in this area. Potentially, these activities can be started in the form of an addition</w:t>
      </w:r>
      <w:r>
        <w:t xml:space="preserve"> to the current SREDA program, </w:t>
      </w:r>
      <w:r w:rsidRPr="00DA776A">
        <w:t xml:space="preserve">and by adding a second UNDP staff in the SREDA for energy efficiency. On that basis, an application for larger funds should from the GCF be prepared as soon as possible. </w:t>
      </w:r>
    </w:p>
    <w:p w:rsidR="00F04ED9" w:rsidRPr="00DA776A" w:rsidRDefault="00F04ED9" w:rsidP="00F04ED9">
      <w:pPr>
        <w:spacing w:after="0" w:line="240" w:lineRule="auto"/>
        <w:jc w:val="both"/>
      </w:pPr>
    </w:p>
    <w:p w:rsidR="00F04ED9" w:rsidRDefault="00F04ED9" w:rsidP="00F04ED9">
      <w:pPr>
        <w:spacing w:after="0" w:line="240" w:lineRule="auto"/>
        <w:jc w:val="both"/>
      </w:pPr>
      <w:r w:rsidRPr="00DA776A">
        <w:t>As the BRESL has demonstrated, saving electricity is a direct contribution to Bangladesh’s energy security. If the indicators of the Country Outcome Programme are reformulated in terms of households’ equivalents as proposed, these measures would directly contribute to the outcome indicators.</w:t>
      </w:r>
    </w:p>
    <w:p w:rsidR="00F04ED9" w:rsidRDefault="00F04ED9" w:rsidP="00F04ED9">
      <w:pPr>
        <w:spacing w:after="0" w:line="240" w:lineRule="auto"/>
        <w:jc w:val="both"/>
      </w:pPr>
    </w:p>
    <w:p w:rsidR="00F04ED9" w:rsidRPr="00E34C94" w:rsidRDefault="00F04ED9" w:rsidP="001E161B">
      <w:pPr>
        <w:pStyle w:val="ListParagraph"/>
        <w:numPr>
          <w:ilvl w:val="0"/>
          <w:numId w:val="38"/>
        </w:numPr>
        <w:spacing w:after="0" w:line="240" w:lineRule="auto"/>
        <w:jc w:val="both"/>
        <w:rPr>
          <w:b/>
          <w:i/>
        </w:rPr>
      </w:pPr>
      <w:r w:rsidRPr="00431625">
        <w:rPr>
          <w:b/>
          <w:i/>
        </w:rPr>
        <w:t>Initiation of a dialogue on Green Growth and technology transfer on the way to Bangladesh as a middle income country.</w:t>
      </w:r>
    </w:p>
    <w:p w:rsidR="00F04ED9" w:rsidRDefault="00F04ED9" w:rsidP="00F04ED9">
      <w:pPr>
        <w:spacing w:after="0" w:line="240" w:lineRule="auto"/>
        <w:jc w:val="both"/>
      </w:pPr>
      <w:r w:rsidRPr="00DA776A">
        <w:t xml:space="preserve">Industrial energy efficiency is an important field and the EE&amp;C Master Plan sets out ambitious activities that will require a large effort. Again, UNDP has collected some experience with industry, and can leverage it here. </w:t>
      </w:r>
      <w:r>
        <w:t xml:space="preserve">While </w:t>
      </w:r>
      <w:r w:rsidRPr="00DA776A">
        <w:t xml:space="preserve">SREDA will </w:t>
      </w:r>
      <w:r>
        <w:t xml:space="preserve">be an important player as discussed in the previous section, sectoral efforts with a focus that is broader than sustainable energy should also be triggered. Along the lines discussed, strategic discussions with private sector stakeholder, the government and also IFC can be started to find the right entry points and industries to support. </w:t>
      </w:r>
    </w:p>
    <w:p w:rsidR="00F04ED9" w:rsidRDefault="00F04ED9" w:rsidP="00F04ED9">
      <w:pPr>
        <w:spacing w:after="0" w:line="240" w:lineRule="auto"/>
        <w:jc w:val="both"/>
      </w:pPr>
    </w:p>
    <w:p w:rsidR="00F04ED9" w:rsidRDefault="00F04ED9" w:rsidP="00F04ED9">
      <w:pPr>
        <w:spacing w:after="0" w:line="240" w:lineRule="auto"/>
        <w:jc w:val="both"/>
      </w:pPr>
      <w:r>
        <w:t xml:space="preserve">It is very important for this strand of activity that the IKEBMI project succeeds in institutionalizing the Center for Excellence. Such sectoral centers can serve as focal points to get Bangladesh connected to international technology standards, while maintaining a focus specifically on the challenges found in Bangladesh, for example in terms of inclusive growth, gender and marginalized populations – or populations that are newly threatened by marginalization through increasing industrialization. </w:t>
      </w:r>
    </w:p>
    <w:p w:rsidR="00F04ED9" w:rsidRPr="00DA776A" w:rsidRDefault="00F04ED9" w:rsidP="00F04ED9">
      <w:pPr>
        <w:spacing w:after="0" w:line="240" w:lineRule="auto"/>
        <w:jc w:val="both"/>
      </w:pPr>
    </w:p>
    <w:p w:rsidR="00F04ED9" w:rsidRDefault="00F04ED9" w:rsidP="00F04ED9">
      <w:pPr>
        <w:spacing w:after="0" w:line="240" w:lineRule="auto"/>
        <w:jc w:val="both"/>
      </w:pPr>
      <w:r w:rsidRPr="00E21504">
        <w:t xml:space="preserve">However, there are also other ways for supporting </w:t>
      </w:r>
      <w:r>
        <w:t xml:space="preserve">sustained green growth, for example by providing business models for coordinated investment in waste and waste water treatment as well as CHP facilities. UNDP is in a unique position to facilitate the development of these models as a neutral and trusted partner of governments and NGOs. The overlap to the standardization efforts is also evident. </w:t>
      </w:r>
    </w:p>
    <w:p w:rsidR="00F04ED9" w:rsidRPr="00E21504" w:rsidRDefault="00F04ED9" w:rsidP="00F04ED9">
      <w:pPr>
        <w:spacing w:after="0" w:line="240" w:lineRule="auto"/>
        <w:jc w:val="both"/>
      </w:pPr>
    </w:p>
    <w:p w:rsidR="00F04ED9" w:rsidRPr="00E34C94" w:rsidRDefault="00F04ED9" w:rsidP="001E161B">
      <w:pPr>
        <w:pStyle w:val="ListParagraph"/>
        <w:numPr>
          <w:ilvl w:val="0"/>
          <w:numId w:val="38"/>
        </w:numPr>
        <w:spacing w:after="0" w:line="240" w:lineRule="auto"/>
        <w:jc w:val="both"/>
        <w:rPr>
          <w:b/>
          <w:i/>
        </w:rPr>
      </w:pPr>
      <w:r w:rsidRPr="00431625">
        <w:rPr>
          <w:b/>
          <w:i/>
        </w:rPr>
        <w:t>Leveraging synergies within the portfolio</w:t>
      </w:r>
    </w:p>
    <w:p w:rsidR="00F04ED9" w:rsidRPr="00DA776A" w:rsidRDefault="00F04ED9" w:rsidP="00F04ED9">
      <w:pPr>
        <w:spacing w:after="0" w:line="240" w:lineRule="auto"/>
        <w:jc w:val="both"/>
      </w:pPr>
      <w:r>
        <w:t xml:space="preserve">Several of these themes can be combined with other activities existing in the UNDP CCED portfolio. This is particularly relevant in the rural areas and with rural livelihoods, e.g. in </w:t>
      </w:r>
      <w:r w:rsidRPr="00DA776A">
        <w:t xml:space="preserve">agriculture and fisheries. If there are synergies with other parts of the Cluster portfolio, these should be leveraged. In India, for example, business models for solar-fueled community cooling facilities are being developed which might also be applicable in Bangladesh. </w:t>
      </w:r>
    </w:p>
    <w:p w:rsidR="00F04ED9" w:rsidRDefault="00F04ED9" w:rsidP="00F04ED9">
      <w:pPr>
        <w:spacing w:after="0" w:line="240" w:lineRule="auto"/>
        <w:jc w:val="both"/>
      </w:pPr>
    </w:p>
    <w:p w:rsidR="005E0C65" w:rsidRDefault="005E0C65" w:rsidP="00F04ED9">
      <w:pPr>
        <w:spacing w:after="0" w:line="240" w:lineRule="auto"/>
        <w:jc w:val="both"/>
      </w:pPr>
    </w:p>
    <w:p w:rsidR="005E0C65" w:rsidRDefault="005E0C65" w:rsidP="00F04ED9">
      <w:pPr>
        <w:spacing w:after="0" w:line="240" w:lineRule="auto"/>
        <w:jc w:val="both"/>
      </w:pPr>
    </w:p>
    <w:p w:rsidR="005E0C65" w:rsidRDefault="005E0C65" w:rsidP="00F04ED9">
      <w:pPr>
        <w:spacing w:after="0" w:line="240" w:lineRule="auto"/>
        <w:jc w:val="both"/>
      </w:pPr>
    </w:p>
    <w:p w:rsidR="005E0C65" w:rsidRDefault="005E0C65" w:rsidP="00F04ED9">
      <w:pPr>
        <w:spacing w:after="0" w:line="240" w:lineRule="auto"/>
        <w:jc w:val="both"/>
      </w:pPr>
    </w:p>
    <w:p w:rsidR="005E0C65" w:rsidRDefault="005E0C65" w:rsidP="00F04ED9">
      <w:pPr>
        <w:spacing w:after="0" w:line="240" w:lineRule="auto"/>
        <w:jc w:val="both"/>
      </w:pPr>
    </w:p>
    <w:p w:rsidR="005E0C65" w:rsidRDefault="005E0C65" w:rsidP="00F04ED9">
      <w:pPr>
        <w:spacing w:after="0" w:line="240" w:lineRule="auto"/>
        <w:jc w:val="both"/>
      </w:pPr>
    </w:p>
    <w:p w:rsidR="005E0C65" w:rsidRDefault="005E0C65" w:rsidP="00F04ED9">
      <w:pPr>
        <w:spacing w:after="0" w:line="240" w:lineRule="auto"/>
        <w:jc w:val="both"/>
      </w:pPr>
    </w:p>
    <w:p w:rsidR="005E0C65" w:rsidRDefault="005E0C65" w:rsidP="00F04ED9">
      <w:pPr>
        <w:spacing w:after="0" w:line="240" w:lineRule="auto"/>
        <w:jc w:val="both"/>
      </w:pPr>
    </w:p>
    <w:p w:rsidR="005E0C65" w:rsidRDefault="005E0C65" w:rsidP="00F04ED9">
      <w:pPr>
        <w:spacing w:after="0" w:line="240" w:lineRule="auto"/>
        <w:jc w:val="both"/>
      </w:pPr>
    </w:p>
    <w:p w:rsidR="00F04ED9" w:rsidRDefault="00F04ED9" w:rsidP="00F04ED9">
      <w:pPr>
        <w:spacing w:after="0" w:line="240" w:lineRule="auto"/>
        <w:jc w:val="both"/>
        <w:rPr>
          <w:lang w:val="en-GB"/>
        </w:rPr>
      </w:pPr>
    </w:p>
    <w:p w:rsidR="00F04ED9" w:rsidRPr="00AE6361" w:rsidRDefault="00F04ED9" w:rsidP="00F04ED9">
      <w:pPr>
        <w:shd w:val="clear" w:color="auto" w:fill="FABF8F" w:themeFill="accent6" w:themeFillTint="99"/>
        <w:spacing w:after="0" w:line="240" w:lineRule="auto"/>
        <w:jc w:val="center"/>
        <w:rPr>
          <w:b/>
        </w:rPr>
      </w:pPr>
      <w:r w:rsidRPr="00AE6361">
        <w:rPr>
          <w:b/>
        </w:rPr>
        <w:t>CASE STUDY</w:t>
      </w:r>
    </w:p>
    <w:p w:rsidR="00F04ED9" w:rsidRPr="00AE6361" w:rsidRDefault="00F04ED9" w:rsidP="00F04ED9">
      <w:pPr>
        <w:spacing w:after="0" w:line="240" w:lineRule="auto"/>
        <w:jc w:val="center"/>
        <w:rPr>
          <w:b/>
        </w:rPr>
      </w:pPr>
      <w:r w:rsidRPr="00AE6361">
        <w:rPr>
          <w:b/>
        </w:rPr>
        <w:t>BRESL – Barrier Removal to the Cost-Effective Development and Implementation of Energy Efficiency (BRESL)</w:t>
      </w:r>
    </w:p>
    <w:p w:rsidR="00F04ED9" w:rsidRPr="00AE6361" w:rsidRDefault="00F04ED9" w:rsidP="00F04ED9">
      <w:pPr>
        <w:spacing w:after="0" w:line="240" w:lineRule="auto"/>
        <w:jc w:val="center"/>
        <w:rPr>
          <w:b/>
        </w:rPr>
      </w:pPr>
      <w:r w:rsidRPr="00AE6361">
        <w:rPr>
          <w:b/>
        </w:rPr>
        <w:t>2006 - 2013</w:t>
      </w:r>
    </w:p>
    <w:p w:rsidR="00F04ED9" w:rsidRPr="00AE6361" w:rsidRDefault="00F04ED9" w:rsidP="00F04ED9">
      <w:pPr>
        <w:spacing w:after="0" w:line="240" w:lineRule="auto"/>
        <w:jc w:val="both"/>
        <w:rPr>
          <w:b/>
        </w:rPr>
      </w:pPr>
      <w:r w:rsidRPr="00AE6361">
        <w:rPr>
          <w:b/>
        </w:rPr>
        <w:t>General project bac</w:t>
      </w:r>
      <w:r>
        <w:rPr>
          <w:b/>
        </w:rPr>
        <w:t>k</w:t>
      </w:r>
      <w:r w:rsidRPr="00AE6361">
        <w:rPr>
          <w:b/>
        </w:rPr>
        <w:t xml:space="preserve">ground: </w:t>
      </w:r>
    </w:p>
    <w:p w:rsidR="00F04ED9" w:rsidRDefault="00F04ED9" w:rsidP="00F04ED9">
      <w:pPr>
        <w:spacing w:after="0" w:line="240" w:lineRule="auto"/>
        <w:jc w:val="both"/>
      </w:pPr>
      <w:r w:rsidRPr="00AE6361">
        <w:t>The Regional Project Barrier Removal to the Cost-Effective Development and Implementation of Energy Efficiency Standards and Labeling (BRESL) was aimed at rapidly accelerating the adoption and implementation of energy standards and labels in Asia, in order to bring about energy savings and thus contribute to the eradication of extreme poverty (e.g. through reducing energy costs or enhancing energy security). Coordinated from HQ in China, it attempted to harmonize test procedures and standards across 5 countries (Pa</w:t>
      </w:r>
      <w:r>
        <w:t>k</w:t>
      </w:r>
      <w:r w:rsidRPr="00AE6361">
        <w:t xml:space="preserve">istan, Bangladesh, Thailand, Vietnam, and China). </w:t>
      </w:r>
    </w:p>
    <w:p w:rsidR="00F04ED9" w:rsidRPr="002B41F6" w:rsidRDefault="00F04ED9" w:rsidP="00F04ED9">
      <w:pPr>
        <w:spacing w:after="0" w:line="240" w:lineRule="auto"/>
        <w:jc w:val="both"/>
        <w:rPr>
          <w:sz w:val="12"/>
        </w:rPr>
      </w:pPr>
    </w:p>
    <w:p w:rsidR="00F04ED9" w:rsidRDefault="00F04ED9" w:rsidP="00F04ED9">
      <w:pPr>
        <w:spacing w:after="0" w:line="240" w:lineRule="auto"/>
        <w:jc w:val="both"/>
      </w:pPr>
      <w:r w:rsidRPr="00AE6361">
        <w:t>Project was implemented as regional project. Most appliances are imported to Bangladesh (li</w:t>
      </w:r>
      <w:r>
        <w:t>k</w:t>
      </w:r>
      <w:r w:rsidRPr="00AE6361">
        <w:t>e to most other of the project countries) from China. A harmonization leads to a situation in which the ris</w:t>
      </w:r>
      <w:r>
        <w:t>k</w:t>
      </w:r>
      <w:r w:rsidRPr="00AE6361">
        <w:t xml:space="preserve"> is that China produces worse quality for export to Bangladesh than for use in China thus helping consumers save money spent on inferior quality appliances (e. g., on repairs and replacements). In addition, due to the rapid growth and inadequacy of the national energy system in Bangladesh, energy efficient appliances help save energy and mitigate energy shortage increases. </w:t>
      </w:r>
    </w:p>
    <w:p w:rsidR="00F04ED9" w:rsidRPr="002B41F6" w:rsidRDefault="00F04ED9" w:rsidP="00F04ED9">
      <w:pPr>
        <w:spacing w:after="0" w:line="240" w:lineRule="auto"/>
        <w:jc w:val="both"/>
        <w:rPr>
          <w:i/>
          <w:sz w:val="12"/>
        </w:rPr>
      </w:pPr>
    </w:p>
    <w:p w:rsidR="00F04ED9" w:rsidRPr="00AE6361" w:rsidRDefault="00F04ED9" w:rsidP="00F04ED9">
      <w:pPr>
        <w:spacing w:after="0" w:line="240" w:lineRule="auto"/>
        <w:jc w:val="both"/>
      </w:pPr>
      <w:r w:rsidRPr="00AE6361">
        <w:t xml:space="preserve">Before the project in 2006, no minimum energy performance standards existed in Bangladesh, and labels existed for residential fans, incandescent light bulbs and tube lamps only (Project document). Since the National Energy Policy in 1996, the Bangladesh Standards and Testing Institute had responsibility for the implementation of standards and labels.1 m USD of GEF funds were topped up be 2 m USD of GoB funds which indicates that the project was also of high relevance for the government. This was confirmed by interview with SREDA (Interview with MoI EE cell is still outstanding). </w:t>
      </w:r>
    </w:p>
    <w:p w:rsidR="00F04ED9" w:rsidRPr="002B41F6" w:rsidRDefault="00F04ED9" w:rsidP="00F04ED9">
      <w:pPr>
        <w:spacing w:after="0" w:line="240" w:lineRule="auto"/>
        <w:jc w:val="both"/>
        <w:rPr>
          <w:b/>
          <w:sz w:val="12"/>
        </w:rPr>
      </w:pPr>
    </w:p>
    <w:p w:rsidR="00F04ED9" w:rsidRPr="00AE6361" w:rsidRDefault="00F04ED9" w:rsidP="00F04ED9">
      <w:pPr>
        <w:spacing w:after="0" w:line="240" w:lineRule="auto"/>
        <w:jc w:val="both"/>
        <w:rPr>
          <w:b/>
        </w:rPr>
      </w:pPr>
      <w:r w:rsidRPr="00AE6361">
        <w:rPr>
          <w:b/>
        </w:rPr>
        <w:t>Implementation arrangements</w:t>
      </w:r>
    </w:p>
    <w:p w:rsidR="00F04ED9" w:rsidRPr="00AE6361" w:rsidRDefault="00F04ED9" w:rsidP="00F04ED9">
      <w:pPr>
        <w:spacing w:after="0" w:line="240" w:lineRule="auto"/>
        <w:jc w:val="both"/>
      </w:pPr>
      <w:r w:rsidRPr="00AE6361">
        <w:t>The projects was implemented through the Ministry of Industry’s BSTI (Bangladesh Standards and Testing Institute).Project implementation started only in 2010 as “finalization of TPP (approval), Administrative order of each initiation and hiring of project staff too</w:t>
      </w:r>
      <w:r>
        <w:t>k</w:t>
      </w:r>
      <w:r w:rsidRPr="00AE6361">
        <w:t xml:space="preserve"> almost 1 year” (Matrix on Project status). Therefore, project activities have been started from July 2010 by nominating one National Project Director (NPD) from BSTI under Ministry of Industries (MoI).</w:t>
      </w:r>
    </w:p>
    <w:p w:rsidR="00F04ED9" w:rsidRDefault="00F04ED9" w:rsidP="00F04ED9">
      <w:pPr>
        <w:spacing w:after="0" w:line="240" w:lineRule="auto"/>
        <w:jc w:val="both"/>
        <w:rPr>
          <w:b/>
        </w:rPr>
      </w:pPr>
    </w:p>
    <w:p w:rsidR="00F04ED9" w:rsidRPr="00AE6361" w:rsidRDefault="00F04ED9" w:rsidP="00F04ED9">
      <w:pPr>
        <w:spacing w:after="0" w:line="240" w:lineRule="auto"/>
        <w:jc w:val="both"/>
        <w:rPr>
          <w:b/>
        </w:rPr>
      </w:pPr>
      <w:r w:rsidRPr="00AE6361">
        <w:rPr>
          <w:b/>
        </w:rPr>
        <w:t xml:space="preserve">Impacts: </w:t>
      </w:r>
    </w:p>
    <w:p w:rsidR="00F04ED9" w:rsidRPr="00AE6361" w:rsidRDefault="00F04ED9" w:rsidP="00F04ED9">
      <w:pPr>
        <w:spacing w:after="0" w:line="240" w:lineRule="auto"/>
        <w:jc w:val="both"/>
      </w:pPr>
      <w:r w:rsidRPr="00AE6361">
        <w:t>In 2013, minimum standards and labels for 6 energy-efficient products (Room air-conditioners (A/Cs), Refrigerators, Electric fans, Electric motors, Ballasts for fluorescent tubes, and Compact Fluorescent Lamps (CFLs)).were adopted by the government (UNDP ROAR 2012-2013). The reduction in energy demand is estimated to equal the electricity needs of 100,000 households. “UNDP provided technical to the Standards and Testing Institute to establish and test equipment standards. UNDP supported national media campaigns for consumers that showcased environmental and household budgetary benefits. UNDP also assisted manufactures through capacity-building and technology transfer. As a result, 62 manufactures updated their product lines and met the ne</w:t>
      </w:r>
      <w:r w:rsidR="005E0C65">
        <w:t>w standards (BRESL Survey 2013)</w:t>
      </w:r>
      <w:r w:rsidRPr="00AE6361">
        <w:t>”(UNDP ROAR 2012-2013)</w:t>
      </w:r>
      <w:r w:rsidR="005E0C65">
        <w:t>.</w:t>
      </w:r>
    </w:p>
    <w:p w:rsidR="00F04ED9" w:rsidRDefault="00F04ED9" w:rsidP="00F04ED9">
      <w:pPr>
        <w:spacing w:after="0" w:line="240" w:lineRule="auto"/>
        <w:jc w:val="both"/>
      </w:pPr>
    </w:p>
    <w:p w:rsidR="00F04ED9" w:rsidRDefault="00F04ED9" w:rsidP="00F04ED9">
      <w:pPr>
        <w:spacing w:after="0" w:line="240" w:lineRule="auto"/>
        <w:jc w:val="both"/>
      </w:pPr>
      <w:r w:rsidRPr="00AE6361">
        <w:t>In terms of changing consumer behavior the project has not yet been very effective.. Public demand for efficient appliances seems low but slowly rising (e.gen 2014). Assessment is limited by lac</w:t>
      </w:r>
      <w:r>
        <w:t>k</w:t>
      </w:r>
      <w:r w:rsidRPr="00AE6361">
        <w:t xml:space="preserve"> of MTR or TE.</w:t>
      </w:r>
    </w:p>
    <w:p w:rsidR="00F04ED9" w:rsidRPr="002B41F6" w:rsidRDefault="00F04ED9" w:rsidP="00F04ED9">
      <w:pPr>
        <w:spacing w:after="0" w:line="240" w:lineRule="auto"/>
        <w:jc w:val="both"/>
        <w:rPr>
          <w:rFonts w:asciiTheme="majorHAnsi" w:hAnsiTheme="majorHAnsi"/>
          <w:sz w:val="12"/>
        </w:rPr>
      </w:pPr>
    </w:p>
    <w:p w:rsidR="00F04ED9" w:rsidRDefault="00F04ED9" w:rsidP="00F04ED9">
      <w:pPr>
        <w:spacing w:after="0" w:line="240" w:lineRule="auto"/>
        <w:jc w:val="both"/>
        <w:rPr>
          <w:i/>
        </w:rPr>
      </w:pPr>
      <w:r w:rsidRPr="00AE6361">
        <w:t>The project has resulted in some institutional change, for example the creation of an Energy Efficiency Cell in the Ministry of Industry. Testing facilities were established and support BSTI in the implementation and enforcement of the standards. Thus some of the preconditions for effective EE standards applications have been created</w:t>
      </w:r>
      <w:r w:rsidRPr="00AE6361">
        <w:rPr>
          <w:i/>
        </w:rPr>
        <w:t xml:space="preserve">. </w:t>
      </w:r>
    </w:p>
    <w:p w:rsidR="00F04ED9" w:rsidRPr="002B41F6" w:rsidRDefault="00F04ED9" w:rsidP="00F04ED9">
      <w:pPr>
        <w:spacing w:after="0" w:line="240" w:lineRule="auto"/>
        <w:jc w:val="both"/>
        <w:rPr>
          <w:i/>
          <w:sz w:val="12"/>
        </w:rPr>
      </w:pPr>
    </w:p>
    <w:p w:rsidR="00F04ED9" w:rsidRDefault="00F04ED9" w:rsidP="00F04ED9">
      <w:pPr>
        <w:spacing w:after="0" w:line="240" w:lineRule="auto"/>
        <w:jc w:val="both"/>
      </w:pPr>
      <w:r w:rsidRPr="00AE6361">
        <w:t xml:space="preserve">The standards have found entry into the EE&amp;C Master plan (March 2015). While they are not mandatory at this stage, they are scheduled to become mandatory over time. While this is a great success, it must be </w:t>
      </w:r>
      <w:r>
        <w:t>k</w:t>
      </w:r>
      <w:r w:rsidRPr="00AE6361">
        <w:t>ept in mind that two challenges remain: even if they are mandatory they might be only wea</w:t>
      </w:r>
      <w:r>
        <w:t>k</w:t>
      </w:r>
      <w:r w:rsidRPr="00AE6361">
        <w:t>ly enforced. And as technology development progresses, these standards need regular review and tightening. It is not clear from the documentation that this mandate is included in either the EE Master plan or the mandate of the EE Cell and whether it is a tas</w:t>
      </w:r>
      <w:r>
        <w:t>k</w:t>
      </w:r>
      <w:r w:rsidRPr="00AE6361">
        <w:t xml:space="preserve"> for the BSTI or the SEDA. </w:t>
      </w:r>
    </w:p>
    <w:p w:rsidR="00F04ED9" w:rsidRPr="002B41F6" w:rsidRDefault="00F04ED9" w:rsidP="00F04ED9">
      <w:pPr>
        <w:spacing w:after="0" w:line="240" w:lineRule="auto"/>
        <w:jc w:val="both"/>
        <w:rPr>
          <w:sz w:val="12"/>
        </w:rPr>
      </w:pPr>
    </w:p>
    <w:p w:rsidR="00F04ED9" w:rsidRDefault="00F04ED9" w:rsidP="00F04ED9">
      <w:pPr>
        <w:spacing w:after="0" w:line="240" w:lineRule="auto"/>
        <w:jc w:val="both"/>
      </w:pPr>
      <w:r w:rsidRPr="00AE6361">
        <w:t>Another open questions with respect to the effectiveness and sustainability is the question whether the energy efficiency standards can and will be effectively enforced once they are binding. This implies that all appliances that are on a mar</w:t>
      </w:r>
      <w:r>
        <w:t>k</w:t>
      </w:r>
      <w:r w:rsidRPr="00AE6361">
        <w:t xml:space="preserve">et are in compliance with the standards. </w:t>
      </w:r>
    </w:p>
    <w:p w:rsidR="00F04ED9" w:rsidRPr="002B41F6" w:rsidRDefault="00F04ED9" w:rsidP="00F04ED9">
      <w:pPr>
        <w:spacing w:after="0" w:line="240" w:lineRule="auto"/>
        <w:jc w:val="both"/>
        <w:rPr>
          <w:sz w:val="12"/>
        </w:rPr>
      </w:pPr>
    </w:p>
    <w:p w:rsidR="00F04ED9" w:rsidRDefault="00F04ED9" w:rsidP="00F04ED9">
      <w:pPr>
        <w:spacing w:after="0" w:line="240" w:lineRule="auto"/>
        <w:jc w:val="both"/>
      </w:pPr>
      <w:r w:rsidRPr="00AE6361">
        <w:t>Thirdly, for lasting and full impact it is necessary to constantly amend the list of appliances with mandatory energy efficiency standard. The original project document identified 22</w:t>
      </w:r>
      <w:r w:rsidRPr="00AE6361">
        <w:rPr>
          <w:rStyle w:val="FootnoteReference"/>
        </w:rPr>
        <w:footnoteReference w:id="71"/>
      </w:r>
      <w:r w:rsidRPr="00AE6361">
        <w:t xml:space="preserve"> appliances. BRESL created EE standards for 6 of these projects, which leaves another 16, and the list leaves out important appliances li</w:t>
      </w:r>
      <w:r>
        <w:t>k</w:t>
      </w:r>
      <w:r w:rsidRPr="00AE6361">
        <w:t xml:space="preserve">e water pumps or all information, communication and entertainment techno (e.g. TVs). In addition, while the project provided a voluntary CFL standard, the relevant light source today is already the LED. </w:t>
      </w:r>
    </w:p>
    <w:p w:rsidR="00F04ED9" w:rsidRPr="00AE6361" w:rsidRDefault="00F04ED9" w:rsidP="00F04ED9">
      <w:pPr>
        <w:spacing w:after="0" w:line="240" w:lineRule="auto"/>
        <w:jc w:val="both"/>
      </w:pPr>
    </w:p>
    <w:p w:rsidR="00F04ED9" w:rsidRPr="00AE6361" w:rsidRDefault="00F04ED9" w:rsidP="00F04ED9">
      <w:pPr>
        <w:spacing w:after="0" w:line="240" w:lineRule="auto"/>
        <w:jc w:val="both"/>
        <w:rPr>
          <w:b/>
        </w:rPr>
      </w:pPr>
      <w:r w:rsidRPr="00AE6361">
        <w:rPr>
          <w:b/>
        </w:rPr>
        <w:t>Gender dimension, disadvantaged social groups and cross-cutting issues:</w:t>
      </w:r>
    </w:p>
    <w:p w:rsidR="00F04ED9" w:rsidRDefault="00F04ED9" w:rsidP="00F04ED9">
      <w:pPr>
        <w:spacing w:after="0" w:line="240" w:lineRule="auto"/>
        <w:jc w:val="both"/>
      </w:pPr>
      <w:r w:rsidRPr="00AE6361">
        <w:t>Gender was not an explicit dimension in this project. Energy efficiency standards and labels typically do have very limited gender aspects. On the other hand, in this case considerations for disadvantaged social groups could have been integrated in three ways. The push for off-grid energy is introducing a specific strand of energy efficient appliances, in particular DC appliances, that can be used with solar systems. This has been disregarded in the project. The choice of products did also not focus on appliances that are important for food preparation, li</w:t>
      </w:r>
      <w:r>
        <w:t>k</w:t>
      </w:r>
      <w:r w:rsidRPr="00AE6361">
        <w:t>e rice coo</w:t>
      </w:r>
      <w:r>
        <w:t>k</w:t>
      </w:r>
      <w:r w:rsidRPr="00AE6361">
        <w:t>ers, water heating etc. These two dimensions and the specific requirement of the Bangladeshi mar</w:t>
      </w:r>
      <w:r>
        <w:t>k</w:t>
      </w:r>
      <w:r w:rsidRPr="00AE6361">
        <w:t>et could have been included in the choice of appliances. In addition, the project reports show that significant barriers for the mar</w:t>
      </w:r>
      <w:r>
        <w:t>k</w:t>
      </w:r>
      <w:r w:rsidRPr="00AE6361">
        <w:t>et upta</w:t>
      </w:r>
      <w:r>
        <w:t>k</w:t>
      </w:r>
      <w:r w:rsidRPr="00AE6361">
        <w:t>e of energy efficient appliances are the higher investment costs for these appliances (even if the total cost of ownership might be cheaper in the long run due to the electricity savings). These are in many cases only affordable by the richer tiers. Combination with financing schemes could ma</w:t>
      </w:r>
      <w:r>
        <w:t>k</w:t>
      </w:r>
      <w:r w:rsidRPr="00AE6361">
        <w:t xml:space="preserve">e these affordable to a broader range of groups. Due to the international nature of the project, the choice of appliances was not fully in the hands of the country office. But in a next phase these considerations could be included. As the project was not contributing to the outcome indicators of the country program, this did not negatively affect the rating. </w:t>
      </w:r>
    </w:p>
    <w:p w:rsidR="00F04ED9" w:rsidRPr="00AE6361" w:rsidRDefault="00F04ED9" w:rsidP="00F04ED9">
      <w:pPr>
        <w:spacing w:after="0" w:line="240" w:lineRule="auto"/>
        <w:jc w:val="both"/>
      </w:pPr>
    </w:p>
    <w:p w:rsidR="00F04ED9" w:rsidRPr="00AE6361" w:rsidRDefault="00F04ED9" w:rsidP="00F04ED9">
      <w:pPr>
        <w:spacing w:after="0" w:line="240" w:lineRule="auto"/>
        <w:jc w:val="both"/>
        <w:rPr>
          <w:b/>
        </w:rPr>
      </w:pPr>
      <w:r w:rsidRPr="00AE6361">
        <w:rPr>
          <w:b/>
        </w:rPr>
        <w:t xml:space="preserve">Role of the private sector: </w:t>
      </w:r>
    </w:p>
    <w:p w:rsidR="00F04ED9" w:rsidRPr="00AE6361" w:rsidRDefault="00F04ED9" w:rsidP="00F04ED9">
      <w:pPr>
        <w:spacing w:after="0" w:line="240" w:lineRule="auto"/>
        <w:jc w:val="both"/>
      </w:pPr>
      <w:r w:rsidRPr="00AE6361">
        <w:t>In this project, the private sector played an important role. Many of the products are in fact manufactured to a significant degree in Bangladesh. Therefore, the project also provided direct assistance to manufacturers to invest in upgrading their facilities for the production of energy efficient appliances, and achieving star ratings (Cf. e.gen 2014). The project provided support to manufacturers of energy efficient appliances on the mar</w:t>
      </w:r>
      <w:r>
        <w:t>k</w:t>
      </w:r>
      <w:r w:rsidRPr="00AE6361">
        <w:t>eting and advertising strategies. Extensive consultations too</w:t>
      </w:r>
      <w:r>
        <w:t>k</w:t>
      </w:r>
      <w:r w:rsidRPr="00AE6361">
        <w:t xml:space="preserve"> place through which UNDP should have a reliable networ</w:t>
      </w:r>
      <w:r>
        <w:t>k</w:t>
      </w:r>
      <w:r w:rsidRPr="00AE6361">
        <w:t xml:space="preserve"> of private sector partners in the area of appliances and components. </w:t>
      </w:r>
    </w:p>
    <w:p w:rsidR="00F04ED9" w:rsidRDefault="00F04ED9" w:rsidP="00F04ED9">
      <w:pPr>
        <w:spacing w:after="0" w:line="240" w:lineRule="auto"/>
        <w:jc w:val="both"/>
        <w:rPr>
          <w:b/>
        </w:rPr>
      </w:pPr>
    </w:p>
    <w:p w:rsidR="00F04ED9" w:rsidRPr="00AE6361" w:rsidRDefault="00F04ED9" w:rsidP="00F04ED9">
      <w:pPr>
        <w:spacing w:after="0" w:line="240" w:lineRule="auto"/>
        <w:jc w:val="both"/>
      </w:pPr>
      <w:r w:rsidRPr="00AE6361">
        <w:rPr>
          <w:b/>
        </w:rPr>
        <w:t>Special aspects:</w:t>
      </w:r>
    </w:p>
    <w:p w:rsidR="00F04ED9" w:rsidRDefault="00F04ED9" w:rsidP="00F04ED9">
      <w:pPr>
        <w:spacing w:after="0" w:line="240" w:lineRule="auto"/>
        <w:jc w:val="both"/>
      </w:pPr>
      <w:r w:rsidRPr="00AE6361">
        <w:t>An interesting aspect is the comparison with the standardization wor</w:t>
      </w:r>
      <w:r>
        <w:t>k</w:t>
      </w:r>
      <w:r w:rsidRPr="00AE6361">
        <w:t xml:space="preserve"> going on under the rural energy access programs. It is probably fair to say that the benchmar</w:t>
      </w:r>
      <w:r>
        <w:t>k</w:t>
      </w:r>
      <w:r w:rsidRPr="00AE6361">
        <w:t xml:space="preserve"> for effective standards in Bangladesh is the standardization and quality assurance wor</w:t>
      </w:r>
      <w:r>
        <w:t>k</w:t>
      </w:r>
      <w:r w:rsidRPr="00AE6361">
        <w:t xml:space="preserve"> conducted by IDCOL’s Technical Standards Committee. While this is not an official government institution, their standards are the basis for IDCOL financing which basically means that all systems on the mar</w:t>
      </w:r>
      <w:r>
        <w:t>k</w:t>
      </w:r>
      <w:r w:rsidRPr="00AE6361">
        <w:t>et automatically adhere to these standards. While it can be argued that this is much harder to achieve for established mass mar</w:t>
      </w:r>
      <w:r>
        <w:t>k</w:t>
      </w:r>
      <w:r w:rsidRPr="00AE6361">
        <w:t>et appliances that are imported according to international standards and the IDCOL-affected appliances are more specialized for the off-grid mar</w:t>
      </w:r>
      <w:r>
        <w:t>k</w:t>
      </w:r>
      <w:r w:rsidRPr="00AE6361">
        <w:t>et, one must recognize that the off-grid mar</w:t>
      </w:r>
      <w:r>
        <w:t>k</w:t>
      </w:r>
      <w:r w:rsidRPr="00AE6361">
        <w:t>et in Bangladesh comprises more than 60 million people and each month 50.000 SHS systems are installed in Bangladesh under enforcement of the IDCOL standards. The future wor</w:t>
      </w:r>
      <w:r>
        <w:t>k</w:t>
      </w:r>
      <w:r w:rsidRPr="00AE6361">
        <w:t xml:space="preserve"> on energy efficiency standards – which will be done under SREDA just li</w:t>
      </w:r>
      <w:r>
        <w:t>k</w:t>
      </w:r>
      <w:r w:rsidRPr="00AE6361">
        <w:t>e the IDCOL wor</w:t>
      </w:r>
      <w:r>
        <w:t>k</w:t>
      </w:r>
      <w:r w:rsidRPr="00AE6361">
        <w:t xml:space="preserve"> – should try to leverage the experience from both standardization strands to come up with a lean but effective standardization and enforcement mechanism. </w:t>
      </w:r>
    </w:p>
    <w:p w:rsidR="00F04ED9" w:rsidRPr="00AE6361" w:rsidRDefault="00F04ED9" w:rsidP="00F04ED9">
      <w:pPr>
        <w:spacing w:after="0" w:line="240" w:lineRule="auto"/>
        <w:jc w:val="both"/>
      </w:pPr>
    </w:p>
    <w:p w:rsidR="00F04ED9" w:rsidRPr="00AE6361" w:rsidRDefault="00F04ED9" w:rsidP="00F04ED9">
      <w:pPr>
        <w:spacing w:after="0" w:line="240" w:lineRule="auto"/>
        <w:jc w:val="both"/>
      </w:pPr>
      <w:r w:rsidRPr="00AE6361">
        <w:t>During the project implementation, the national Sustainable and Renewable Energy Development Authority has been created and tas</w:t>
      </w:r>
      <w:r>
        <w:t>k</w:t>
      </w:r>
      <w:r w:rsidRPr="00AE6361">
        <w:t>ed with the supervision of energy efficiency. It has published an Energy Efficiency And Conservation Master Plan in March 2015, which puts significant importance on energy efficiency standards and labels. UNDP is already supporting SREDA with a project on renewable energy. It would be very important to continue the wor</w:t>
      </w:r>
      <w:r>
        <w:t>k</w:t>
      </w:r>
      <w:r w:rsidRPr="00AE6361">
        <w:t xml:space="preserve"> in the standards and labels area in the context of a similar project with SREDA, that possibly also comprises building energy efficiency. </w:t>
      </w:r>
    </w:p>
    <w:p w:rsidR="00F04ED9" w:rsidRDefault="00F04ED9" w:rsidP="00F04ED9">
      <w:pPr>
        <w:spacing w:after="0" w:line="240" w:lineRule="auto"/>
        <w:jc w:val="both"/>
        <w:rPr>
          <w:b/>
        </w:rPr>
      </w:pPr>
    </w:p>
    <w:p w:rsidR="00F04ED9" w:rsidRPr="00AE6361" w:rsidRDefault="00F04ED9" w:rsidP="00F04ED9">
      <w:pPr>
        <w:spacing w:after="0" w:line="240" w:lineRule="auto"/>
        <w:jc w:val="both"/>
        <w:rPr>
          <w:b/>
        </w:rPr>
      </w:pPr>
      <w:r w:rsidRPr="00AE6361">
        <w:rPr>
          <w:b/>
        </w:rPr>
        <w:t xml:space="preserve">Project-specific documentation used for this assessment: </w:t>
      </w:r>
    </w:p>
    <w:p w:rsidR="00F04ED9" w:rsidRPr="00AE6361" w:rsidRDefault="00F04ED9" w:rsidP="001E161B">
      <w:pPr>
        <w:pStyle w:val="ListParagraph"/>
        <w:numPr>
          <w:ilvl w:val="0"/>
          <w:numId w:val="67"/>
        </w:numPr>
        <w:spacing w:after="0" w:line="240" w:lineRule="auto"/>
        <w:jc w:val="both"/>
      </w:pPr>
      <w:r w:rsidRPr="00AE6361">
        <w:t>Project document (2006)</w:t>
      </w:r>
    </w:p>
    <w:p w:rsidR="00F04ED9" w:rsidRPr="00AE6361" w:rsidRDefault="00F04ED9" w:rsidP="001E161B">
      <w:pPr>
        <w:pStyle w:val="ListParagraph"/>
        <w:numPr>
          <w:ilvl w:val="0"/>
          <w:numId w:val="67"/>
        </w:numPr>
        <w:spacing w:after="0" w:line="240" w:lineRule="auto"/>
        <w:jc w:val="both"/>
      </w:pPr>
      <w:r w:rsidRPr="00AE6361">
        <w:t>Interview with Program Manager Alamgir Hossain</w:t>
      </w:r>
    </w:p>
    <w:p w:rsidR="00F04ED9" w:rsidRPr="00AE6361" w:rsidRDefault="00F04ED9" w:rsidP="001E161B">
      <w:pPr>
        <w:pStyle w:val="ListParagraph"/>
        <w:numPr>
          <w:ilvl w:val="0"/>
          <w:numId w:val="67"/>
        </w:numPr>
        <w:spacing w:after="0" w:line="240" w:lineRule="auto"/>
        <w:jc w:val="both"/>
        <w:rPr>
          <w:b/>
        </w:rPr>
      </w:pPr>
      <w:r w:rsidRPr="00AE6361">
        <w:t>Interview with Project Manager ShahjahanChaudhury</w:t>
      </w:r>
    </w:p>
    <w:p w:rsidR="00F04ED9" w:rsidRPr="00AE6361" w:rsidRDefault="00F04ED9" w:rsidP="001E161B">
      <w:pPr>
        <w:pStyle w:val="ListParagraph"/>
        <w:numPr>
          <w:ilvl w:val="0"/>
          <w:numId w:val="67"/>
        </w:numPr>
        <w:spacing w:after="0" w:line="240" w:lineRule="auto"/>
        <w:jc w:val="both"/>
        <w:rPr>
          <w:b/>
        </w:rPr>
      </w:pPr>
      <w:r w:rsidRPr="00AE6361">
        <w:t>Project monitoring documents for period 2012 to 2014</w:t>
      </w:r>
    </w:p>
    <w:p w:rsidR="00F04ED9" w:rsidRPr="00AE6361" w:rsidRDefault="00F04ED9" w:rsidP="001E161B">
      <w:pPr>
        <w:pStyle w:val="ListParagraph"/>
        <w:numPr>
          <w:ilvl w:val="0"/>
          <w:numId w:val="67"/>
        </w:numPr>
        <w:spacing w:after="0" w:line="240" w:lineRule="auto"/>
        <w:jc w:val="both"/>
        <w:rPr>
          <w:b/>
        </w:rPr>
      </w:pPr>
      <w:r w:rsidRPr="00AE6361">
        <w:t>UNDP ROAR 2012-2013</w:t>
      </w:r>
    </w:p>
    <w:p w:rsidR="00F04ED9" w:rsidRPr="00AE6361" w:rsidRDefault="00F04ED9" w:rsidP="001E161B">
      <w:pPr>
        <w:pStyle w:val="ListParagraph"/>
        <w:numPr>
          <w:ilvl w:val="0"/>
          <w:numId w:val="67"/>
        </w:numPr>
        <w:spacing w:after="0" w:line="240" w:lineRule="auto"/>
        <w:jc w:val="both"/>
        <w:rPr>
          <w:b/>
        </w:rPr>
      </w:pPr>
      <w:r w:rsidRPr="00AE6361">
        <w:t>EE Master plan (March 2015)</w:t>
      </w:r>
    </w:p>
    <w:p w:rsidR="00F04ED9" w:rsidRPr="00AE6361" w:rsidRDefault="00F04ED9" w:rsidP="001E161B">
      <w:pPr>
        <w:pStyle w:val="ListParagraph"/>
        <w:numPr>
          <w:ilvl w:val="0"/>
          <w:numId w:val="67"/>
        </w:numPr>
        <w:spacing w:after="0" w:line="240" w:lineRule="auto"/>
        <w:jc w:val="both"/>
        <w:rPr>
          <w:b/>
        </w:rPr>
      </w:pPr>
      <w:r w:rsidRPr="00AE6361">
        <w:t>E.gen (2014) Report on several components of a mar</w:t>
      </w:r>
      <w:r>
        <w:t>k</w:t>
      </w:r>
      <w:r w:rsidRPr="00AE6361">
        <w:t>et research and data collection consulting contract</w:t>
      </w:r>
    </w:p>
    <w:p w:rsidR="00F04ED9" w:rsidRPr="005E0C65" w:rsidRDefault="00F04ED9" w:rsidP="00F04ED9">
      <w:pPr>
        <w:pStyle w:val="ListParagraph"/>
        <w:numPr>
          <w:ilvl w:val="0"/>
          <w:numId w:val="67"/>
        </w:numPr>
        <w:spacing w:after="0" w:line="240" w:lineRule="auto"/>
        <w:jc w:val="both"/>
        <w:rPr>
          <w:b/>
        </w:rPr>
      </w:pPr>
      <w:r w:rsidRPr="00AE6361">
        <w:t>Matrix on Project status provided by UNDP CO</w:t>
      </w:r>
    </w:p>
    <w:p w:rsidR="00F04ED9" w:rsidRDefault="00F04ED9" w:rsidP="00F04ED9">
      <w:pPr>
        <w:spacing w:after="0" w:line="240" w:lineRule="auto"/>
        <w:jc w:val="both"/>
        <w:rPr>
          <w:b/>
        </w:rPr>
      </w:pPr>
    </w:p>
    <w:p w:rsidR="00F04ED9" w:rsidRPr="00AE6361" w:rsidRDefault="00F04ED9" w:rsidP="00F04ED9">
      <w:pPr>
        <w:spacing w:after="0" w:line="240" w:lineRule="auto"/>
        <w:jc w:val="both"/>
        <w:rPr>
          <w:b/>
        </w:rPr>
      </w:pPr>
      <w:r w:rsidRPr="00AE6361">
        <w:rPr>
          <w:b/>
        </w:rPr>
        <w:t xml:space="preserve">Not available so far: </w:t>
      </w:r>
    </w:p>
    <w:p w:rsidR="00F04ED9" w:rsidRPr="00AE6361" w:rsidRDefault="00F04ED9" w:rsidP="001E161B">
      <w:pPr>
        <w:pStyle w:val="ListParagraph"/>
        <w:numPr>
          <w:ilvl w:val="0"/>
          <w:numId w:val="68"/>
        </w:numPr>
        <w:spacing w:after="0" w:line="240" w:lineRule="auto"/>
        <w:jc w:val="both"/>
      </w:pPr>
      <w:r w:rsidRPr="00AE6361">
        <w:t>Final and comprehensive project report</w:t>
      </w:r>
    </w:p>
    <w:p w:rsidR="00F04ED9" w:rsidRDefault="00F04ED9" w:rsidP="001E161B">
      <w:pPr>
        <w:pStyle w:val="ListParagraph"/>
        <w:numPr>
          <w:ilvl w:val="0"/>
          <w:numId w:val="68"/>
        </w:numPr>
        <w:spacing w:after="0" w:line="240" w:lineRule="auto"/>
        <w:jc w:val="both"/>
      </w:pPr>
      <w:r w:rsidRPr="00AE6361">
        <w:t>Interview with EE Cell at Ministry of Industry</w:t>
      </w:r>
    </w:p>
    <w:p w:rsidR="00F04ED9" w:rsidRDefault="00F04ED9" w:rsidP="009F468D">
      <w:pPr>
        <w:pStyle w:val="ListParagraph"/>
        <w:spacing w:after="0" w:line="240" w:lineRule="auto"/>
        <w:jc w:val="both"/>
      </w:pPr>
    </w:p>
    <w:p w:rsidR="009F468D" w:rsidRDefault="009F468D" w:rsidP="009F468D">
      <w:pPr>
        <w:pStyle w:val="ListParagraph"/>
        <w:spacing w:after="0" w:line="240" w:lineRule="auto"/>
        <w:jc w:val="both"/>
      </w:pPr>
    </w:p>
    <w:p w:rsidR="00F04ED9" w:rsidRPr="00D376C6" w:rsidRDefault="00F04ED9" w:rsidP="00F04ED9">
      <w:pPr>
        <w:shd w:val="clear" w:color="auto" w:fill="FABF8F" w:themeFill="accent6" w:themeFillTint="99"/>
        <w:spacing w:after="0" w:line="240" w:lineRule="auto"/>
        <w:jc w:val="center"/>
        <w:rPr>
          <w:b/>
        </w:rPr>
      </w:pPr>
      <w:r w:rsidRPr="00D376C6">
        <w:rPr>
          <w:b/>
        </w:rPr>
        <w:t>CASE STUDY</w:t>
      </w:r>
    </w:p>
    <w:p w:rsidR="00F04ED9" w:rsidRPr="00D376C6" w:rsidRDefault="00F04ED9" w:rsidP="00F04ED9">
      <w:pPr>
        <w:spacing w:after="0" w:line="240" w:lineRule="auto"/>
        <w:jc w:val="center"/>
        <w:rPr>
          <w:b/>
        </w:rPr>
      </w:pPr>
      <w:r w:rsidRPr="00D376C6">
        <w:rPr>
          <w:b/>
        </w:rPr>
        <w:t>The I</w:t>
      </w:r>
      <w:r>
        <w:rPr>
          <w:b/>
        </w:rPr>
        <w:t>K</w:t>
      </w:r>
      <w:r w:rsidRPr="00D376C6">
        <w:rPr>
          <w:b/>
        </w:rPr>
        <w:t>EMBI (Green Bric</w:t>
      </w:r>
      <w:r>
        <w:rPr>
          <w:b/>
        </w:rPr>
        <w:t>k</w:t>
      </w:r>
      <w:r w:rsidRPr="00D376C6">
        <w:rPr>
          <w:b/>
        </w:rPr>
        <w:t>s) project</w:t>
      </w:r>
    </w:p>
    <w:p w:rsidR="00F04ED9" w:rsidRPr="00D376C6" w:rsidRDefault="00F04ED9" w:rsidP="00F04ED9">
      <w:pPr>
        <w:spacing w:after="0" w:line="240" w:lineRule="auto"/>
        <w:jc w:val="center"/>
        <w:rPr>
          <w:b/>
        </w:rPr>
      </w:pPr>
      <w:r w:rsidRPr="00D376C6">
        <w:rPr>
          <w:b/>
        </w:rPr>
        <w:t>2006 / 2009 - 2014</w:t>
      </w:r>
    </w:p>
    <w:p w:rsidR="00F04ED9" w:rsidRPr="00D376C6" w:rsidRDefault="00F04ED9" w:rsidP="00F04ED9">
      <w:pPr>
        <w:spacing w:after="0" w:line="240" w:lineRule="auto"/>
        <w:jc w:val="both"/>
        <w:rPr>
          <w:b/>
        </w:rPr>
      </w:pPr>
      <w:r w:rsidRPr="00D376C6">
        <w:rPr>
          <w:b/>
        </w:rPr>
        <w:t>General project bac</w:t>
      </w:r>
      <w:r>
        <w:rPr>
          <w:b/>
        </w:rPr>
        <w:t>k</w:t>
      </w:r>
      <w:r w:rsidRPr="00D376C6">
        <w:rPr>
          <w:b/>
        </w:rPr>
        <w:t xml:space="preserve">ground: </w:t>
      </w:r>
    </w:p>
    <w:p w:rsidR="00F04ED9" w:rsidRPr="00D376C6" w:rsidRDefault="00F04ED9" w:rsidP="00F04ED9">
      <w:pPr>
        <w:spacing w:after="0" w:line="240" w:lineRule="auto"/>
        <w:jc w:val="both"/>
      </w:pPr>
      <w:r w:rsidRPr="00D376C6">
        <w:t>The project addressed an important sector of the rural economy of Bangladesh. 8000 traditional bric</w:t>
      </w:r>
      <w:r>
        <w:t>kk</w:t>
      </w:r>
      <w:r w:rsidRPr="00D376C6">
        <w:t>ilns operate on a seasonal basis relying mainly on about 2 million migratory labor. The inefficient traditional bric</w:t>
      </w:r>
      <w:r>
        <w:t>k</w:t>
      </w:r>
      <w:r w:rsidRPr="00D376C6">
        <w:t xml:space="preserve"> burning process in sum constitutes one of the biggest stationary sources of Green House Gases in Bangladesh. The project to introduce a more robust but also more costly bric</w:t>
      </w:r>
      <w:r>
        <w:t>k</w:t>
      </w:r>
      <w:r w:rsidRPr="00D376C6">
        <w:t xml:space="preserve"> oven design that can be operated year round was initiated by a Chinese technology supplier who approached the UNDP to modernize this sector with the so-called Hybrid-Hoffmann-</w:t>
      </w:r>
      <w:r>
        <w:t>K</w:t>
      </w:r>
      <w:r w:rsidRPr="00D376C6">
        <w:t>iln technology, including some mechanization of the preparatory steps in terms of clay mixing and bric</w:t>
      </w:r>
      <w:r>
        <w:t>k</w:t>
      </w:r>
      <w:r w:rsidRPr="00D376C6">
        <w:t xml:space="preserve"> molding. </w:t>
      </w:r>
    </w:p>
    <w:p w:rsidR="00F04ED9" w:rsidRPr="00D376C6" w:rsidRDefault="00F04ED9" w:rsidP="00F04ED9">
      <w:pPr>
        <w:spacing w:after="0" w:line="240" w:lineRule="auto"/>
        <w:jc w:val="both"/>
        <w:rPr>
          <w:b/>
        </w:rPr>
      </w:pPr>
    </w:p>
    <w:p w:rsidR="00F04ED9" w:rsidRPr="00D376C6" w:rsidRDefault="00F04ED9" w:rsidP="00F04ED9">
      <w:pPr>
        <w:spacing w:after="0" w:line="240" w:lineRule="auto"/>
        <w:jc w:val="both"/>
        <w:rPr>
          <w:b/>
        </w:rPr>
      </w:pPr>
      <w:r w:rsidRPr="00D376C6">
        <w:rPr>
          <w:b/>
        </w:rPr>
        <w:t>Project implementation</w:t>
      </w:r>
    </w:p>
    <w:p w:rsidR="00F04ED9" w:rsidRPr="00D376C6" w:rsidRDefault="00F04ED9" w:rsidP="00F04ED9">
      <w:pPr>
        <w:spacing w:after="0" w:line="240" w:lineRule="auto"/>
        <w:jc w:val="both"/>
      </w:pPr>
      <w:r w:rsidRPr="00D376C6">
        <w:t xml:space="preserve">The project was implemented by a PMU at the UNDP offices. It experienced significant delays, in particular between the end of the PDF-B phase in 2007 and the start of the project in 2010. One reason given for that by the mid-term review are differences over the UNDP fee. The project intended to showcase the technology in 15 demonstration projects, of which 4 were completed and one or two are operating as of the time of the midterm-review (end 2014), </w:t>
      </w:r>
    </w:p>
    <w:p w:rsidR="00F04ED9" w:rsidRPr="00D376C6" w:rsidRDefault="00F04ED9" w:rsidP="00F04ED9">
      <w:pPr>
        <w:spacing w:after="0" w:line="240" w:lineRule="auto"/>
        <w:jc w:val="both"/>
      </w:pPr>
    </w:p>
    <w:p w:rsidR="00F04ED9" w:rsidRPr="00D376C6" w:rsidRDefault="00F04ED9" w:rsidP="00F04ED9">
      <w:pPr>
        <w:spacing w:after="0" w:line="240" w:lineRule="auto"/>
        <w:jc w:val="both"/>
      </w:pPr>
      <w:r w:rsidRPr="00D376C6">
        <w:t>The MTR attests a too strong focus on these demonstration projects. Some, but maybe not enough effort went into training of staff, for example from the Chinese technology supplier. Active media and outreach led to a high visibility of this project.  The project also too</w:t>
      </w:r>
      <w:r>
        <w:t>k</w:t>
      </w:r>
      <w:r w:rsidRPr="00D376C6">
        <w:t xml:space="preserve"> some extra effort to monitor and enhance the social and health situation of the wor</w:t>
      </w:r>
      <w:r>
        <w:t>k</w:t>
      </w:r>
      <w:r w:rsidRPr="00D376C6">
        <w:t xml:space="preserve">ers. It implemented a specific small gender subcomponent, which included visit by a doctor to the </w:t>
      </w:r>
      <w:r>
        <w:t>k</w:t>
      </w:r>
      <w:r w:rsidRPr="00D376C6">
        <w:t>iln, separate toilet facilities, and a strong emphasis on the gender aspect in the monitoring activities of the program management.</w:t>
      </w:r>
    </w:p>
    <w:p w:rsidR="00F04ED9" w:rsidRPr="00D376C6" w:rsidRDefault="00F04ED9" w:rsidP="00F04ED9">
      <w:pPr>
        <w:spacing w:after="0" w:line="240" w:lineRule="auto"/>
        <w:jc w:val="both"/>
      </w:pPr>
    </w:p>
    <w:p w:rsidR="00F04ED9" w:rsidRDefault="00F04ED9" w:rsidP="00F04ED9">
      <w:pPr>
        <w:spacing w:after="0" w:line="240" w:lineRule="auto"/>
        <w:jc w:val="both"/>
      </w:pPr>
      <w:r w:rsidRPr="00D376C6">
        <w:t>Implementation challenges were manifold. For once, the project design envisioned an unreasonably high number of demonstration plan, ignoring the potential ris</w:t>
      </w:r>
      <w:r>
        <w:t>k</w:t>
      </w:r>
      <w:r w:rsidRPr="00D376C6">
        <w:t xml:space="preserve">s for fast project implementation and corruption. Overall, the project has led until now to one demonstration </w:t>
      </w:r>
      <w:r>
        <w:t>k</w:t>
      </w:r>
      <w:r w:rsidRPr="00D376C6">
        <w:t xml:space="preserve">iln that has been in continuous operation, another one that has been built but not operated and several approved not unbuilt facilities. </w:t>
      </w:r>
    </w:p>
    <w:p w:rsidR="00F04ED9" w:rsidRPr="00D376C6" w:rsidRDefault="00F04ED9" w:rsidP="00F04ED9">
      <w:pPr>
        <w:spacing w:after="0" w:line="240" w:lineRule="auto"/>
        <w:jc w:val="both"/>
      </w:pPr>
    </w:p>
    <w:p w:rsidR="00F04ED9" w:rsidRPr="00D376C6" w:rsidRDefault="00F04ED9" w:rsidP="00F04ED9">
      <w:pPr>
        <w:spacing w:after="0" w:line="240" w:lineRule="auto"/>
        <w:jc w:val="both"/>
      </w:pPr>
      <w:r w:rsidRPr="00D376C6">
        <w:t>Secondly, after the initial successes, the main contractor was approached by other development agencies to help them also develop bric</w:t>
      </w:r>
      <w:r>
        <w:t>kk</w:t>
      </w:r>
      <w:r w:rsidRPr="00D376C6">
        <w:t>iln projects (including the WB) which distracted him from the UNDP project. Overall, there have been between 40 and 62 HH</w:t>
      </w:r>
      <w:r>
        <w:t>K</w:t>
      </w:r>
      <w:r w:rsidRPr="00D376C6">
        <w:t xml:space="preserve">s (sources diverge) built after the initial triggering of the discussion and first demonstration built by UNDP. While this leads to frustration and bad ratings on the UNDP project as their immediate output targets are not fulfilled, these funds can now – as recommended by the mid-term review – be spent on more “soft support” in the form of capacity building, policy advice, mitigation of social and environmental concerns and continuing the search for the technology most appropriate for Bangladesh. </w:t>
      </w:r>
    </w:p>
    <w:p w:rsidR="00F04ED9" w:rsidRPr="00D376C6" w:rsidRDefault="00F04ED9" w:rsidP="00F04ED9">
      <w:pPr>
        <w:spacing w:after="0" w:line="240" w:lineRule="auto"/>
        <w:jc w:val="both"/>
      </w:pPr>
    </w:p>
    <w:p w:rsidR="00F04ED9" w:rsidRPr="00D376C6" w:rsidRDefault="00F04ED9" w:rsidP="00F04ED9">
      <w:pPr>
        <w:spacing w:after="0" w:line="240" w:lineRule="auto"/>
        <w:jc w:val="both"/>
      </w:pPr>
      <w:r w:rsidRPr="00D376C6">
        <w:t>The aspect to criticize most strongly about the bric</w:t>
      </w:r>
      <w:r>
        <w:t>k</w:t>
      </w:r>
      <w:r w:rsidRPr="00D376C6">
        <w:t xml:space="preserve">s project is the choice of technology: While offering significant improvements about the current practice in terms of productivity, energy </w:t>
      </w:r>
      <w:r w:rsidRPr="00D376C6">
        <w:lastRenderedPageBreak/>
        <w:t>efficiency and labor conditions (see below), HH</w:t>
      </w:r>
      <w:r>
        <w:t>K</w:t>
      </w:r>
      <w:r w:rsidRPr="00D376C6">
        <w:t xml:space="preserve"> is still a technology from the early days of industrialization.  A number of the efficiency enhancing components, li</w:t>
      </w:r>
      <w:r>
        <w:t>k</w:t>
      </w:r>
      <w:r w:rsidRPr="00D376C6">
        <w:t>e the semi-automatic bric</w:t>
      </w:r>
      <w:r>
        <w:t>k</w:t>
      </w:r>
      <w:r w:rsidRPr="00D376C6">
        <w:t xml:space="preserve"> molding or the use of recovered heat for drying, could theoretically also be implemented in the traditional </w:t>
      </w:r>
      <w:r>
        <w:t>k</w:t>
      </w:r>
      <w:r w:rsidRPr="00D376C6">
        <w:t xml:space="preserve">ilns and might lead to higher quality output there. </w:t>
      </w:r>
    </w:p>
    <w:p w:rsidR="00F04ED9" w:rsidRDefault="00F04ED9" w:rsidP="00F04ED9">
      <w:pPr>
        <w:spacing w:after="0" w:line="240" w:lineRule="auto"/>
        <w:jc w:val="both"/>
        <w:rPr>
          <w:b/>
        </w:rPr>
      </w:pPr>
    </w:p>
    <w:p w:rsidR="00F04ED9" w:rsidRPr="00D376C6" w:rsidRDefault="00F04ED9" w:rsidP="00F04ED9">
      <w:pPr>
        <w:spacing w:after="0" w:line="240" w:lineRule="auto"/>
        <w:jc w:val="both"/>
        <w:rPr>
          <w:b/>
        </w:rPr>
      </w:pPr>
      <w:r w:rsidRPr="00D376C6">
        <w:rPr>
          <w:b/>
        </w:rPr>
        <w:t xml:space="preserve">Impacts: </w:t>
      </w:r>
    </w:p>
    <w:p w:rsidR="00F04ED9" w:rsidRPr="00D376C6" w:rsidRDefault="00F04ED9" w:rsidP="00F04ED9">
      <w:pPr>
        <w:spacing w:after="0" w:line="240" w:lineRule="auto"/>
        <w:jc w:val="both"/>
      </w:pPr>
      <w:r w:rsidRPr="00D376C6">
        <w:t xml:space="preserve">Frequent visits to the demonstration plants – in particular to the demonstration plant from the PDF-B phase - by parties interested in the technology demonstrate the high level of interest in the technology and in technological development in this sector. (cf. Annual Results Report 2012, 2013). A number of impacts have been demonstrated: </w:t>
      </w:r>
    </w:p>
    <w:p w:rsidR="00F04ED9" w:rsidRPr="00D376C6" w:rsidRDefault="00F04ED9" w:rsidP="001E161B">
      <w:pPr>
        <w:pStyle w:val="ListParagraph"/>
        <w:numPr>
          <w:ilvl w:val="0"/>
          <w:numId w:val="69"/>
        </w:numPr>
        <w:spacing w:after="0" w:line="240" w:lineRule="auto"/>
        <w:jc w:val="both"/>
      </w:pPr>
      <w:r w:rsidRPr="00D376C6">
        <w:t>Investments:  Currently there are over 50 non-project HH</w:t>
      </w:r>
      <w:r>
        <w:t>K</w:t>
      </w:r>
      <w:r w:rsidRPr="00D376C6">
        <w:t>s in Bangladesh, over $50 million from private-sector investors. At least 9 HH</w:t>
      </w:r>
      <w:r>
        <w:t>K</w:t>
      </w:r>
      <w:r w:rsidRPr="00D376C6">
        <w:t>s have been supported by the CDM through the World Ban</w:t>
      </w:r>
      <w:r>
        <w:t>k</w:t>
      </w:r>
      <w:r w:rsidRPr="00D376C6">
        <w:t xml:space="preserve"> (WB Implementation Status Report 2010). For more than half of the non-project HH</w:t>
      </w:r>
      <w:r>
        <w:t>K</w:t>
      </w:r>
      <w:r w:rsidRPr="00D376C6">
        <w:t>S a causal lin</w:t>
      </w:r>
      <w:r>
        <w:t>k</w:t>
      </w:r>
      <w:r w:rsidRPr="00D376C6">
        <w:t xml:space="preserve"> to the UNDP project has been demonstrated (Chisty 2013). The Mid-term Review reasons that in actuality more such causal lin</w:t>
      </w:r>
      <w:r>
        <w:t>k</w:t>
      </w:r>
      <w:r w:rsidRPr="00D376C6">
        <w:t>s might exist.  UNDP claims that the enterprises followed a ‘decent wor</w:t>
      </w:r>
      <w:r>
        <w:t>k</w:t>
      </w:r>
      <w:r w:rsidRPr="00D376C6">
        <w:t>’ model with improved wor</w:t>
      </w:r>
      <w:r>
        <w:t>k</w:t>
      </w:r>
      <w:r w:rsidRPr="00D376C6">
        <w:t>ing conditions, reasonable salaries, wor</w:t>
      </w:r>
      <w:r>
        <w:t>k</w:t>
      </w:r>
      <w:r w:rsidRPr="00D376C6">
        <w:t>ing hours, leave, and women-friendly facilities. (ROAR 2012 – 2013).</w:t>
      </w:r>
    </w:p>
    <w:p w:rsidR="00F04ED9" w:rsidRPr="00D376C6" w:rsidRDefault="00F04ED9" w:rsidP="001E161B">
      <w:pPr>
        <w:pStyle w:val="ListParagraph"/>
        <w:numPr>
          <w:ilvl w:val="0"/>
          <w:numId w:val="69"/>
        </w:numPr>
        <w:spacing w:after="0" w:line="240" w:lineRule="auto"/>
        <w:jc w:val="both"/>
      </w:pPr>
      <w:r w:rsidRPr="00D376C6">
        <w:t>Policy / legislation: The Bric</w:t>
      </w:r>
      <w:r>
        <w:t>k</w:t>
      </w:r>
      <w:r w:rsidRPr="00D376C6">
        <w:t xml:space="preserve"> Manufacturing Control Act of 2013bans the use of timber and agricultural top soil for bric</w:t>
      </w:r>
      <w:r>
        <w:t>k</w:t>
      </w:r>
      <w:r w:rsidRPr="00D376C6">
        <w:t>s, which will reduce deforestation, enhance food security and reduce GHG emissions. Again, Chisty (2013) provided a causal lin</w:t>
      </w:r>
      <w:r>
        <w:t>k</w:t>
      </w:r>
      <w:r w:rsidRPr="00D376C6">
        <w:t xml:space="preserve"> from the UNDP project via a non-UNDP project that has significantly influenced the policy development process. </w:t>
      </w:r>
    </w:p>
    <w:p w:rsidR="00F04ED9" w:rsidRDefault="00F04ED9" w:rsidP="001E161B">
      <w:pPr>
        <w:pStyle w:val="ListParagraph"/>
        <w:numPr>
          <w:ilvl w:val="0"/>
          <w:numId w:val="69"/>
        </w:numPr>
        <w:spacing w:after="0" w:line="240" w:lineRule="auto"/>
        <w:jc w:val="both"/>
      </w:pPr>
      <w:r w:rsidRPr="00D376C6">
        <w:t>The more efficient burning processes results in GHG emission reductions: “In 2013, green bric</w:t>
      </w:r>
      <w:r>
        <w:t>k</w:t>
      </w:r>
      <w:r w:rsidRPr="00D376C6">
        <w:t xml:space="preserve"> enterprises reduced carbon emissions by 100,000 tons (UNDP, 2013, Socio-economic Survey).”(ROAR 2012 – 2013) </w:t>
      </w:r>
    </w:p>
    <w:p w:rsidR="00F04ED9" w:rsidRPr="00D376C6" w:rsidRDefault="00F04ED9" w:rsidP="00F04ED9">
      <w:pPr>
        <w:pStyle w:val="ListParagraph"/>
        <w:spacing w:after="0" w:line="240" w:lineRule="auto"/>
        <w:jc w:val="both"/>
      </w:pPr>
    </w:p>
    <w:p w:rsidR="00F04ED9" w:rsidRPr="00D376C6" w:rsidRDefault="00F04ED9" w:rsidP="00F04ED9">
      <w:pPr>
        <w:spacing w:after="0" w:line="240" w:lineRule="auto"/>
        <w:jc w:val="both"/>
      </w:pPr>
      <w:r w:rsidRPr="00D376C6">
        <w:t>Thus, UNDP overall demonstrated a successful technology transfer approach. Follow-up and scale-up activities are ta</w:t>
      </w:r>
      <w:r>
        <w:t>k</w:t>
      </w:r>
      <w:r w:rsidRPr="00D376C6">
        <w:t>en on by the CASE project of the World Ban</w:t>
      </w:r>
      <w:r>
        <w:t>k</w:t>
      </w:r>
      <w:r w:rsidRPr="00D376C6">
        <w:t>The ADB as well as Bangladesh Ban</w:t>
      </w:r>
      <w:r>
        <w:t>k</w:t>
      </w:r>
      <w:r w:rsidRPr="00D376C6">
        <w:t xml:space="preserve"> and IDCOL have initiated credit lines for investments into more efficient </w:t>
      </w:r>
      <w:r>
        <w:t>k</w:t>
      </w:r>
      <w:r w:rsidRPr="00D376C6">
        <w:t>ilns.</w:t>
      </w:r>
    </w:p>
    <w:p w:rsidR="00F04ED9" w:rsidRPr="00D376C6" w:rsidRDefault="00F04ED9" w:rsidP="00F04ED9">
      <w:pPr>
        <w:spacing w:after="0" w:line="240" w:lineRule="auto"/>
        <w:jc w:val="both"/>
      </w:pPr>
    </w:p>
    <w:p w:rsidR="00F04ED9" w:rsidRPr="00D376C6" w:rsidRDefault="00F04ED9" w:rsidP="00F04ED9">
      <w:pPr>
        <w:spacing w:after="0" w:line="240" w:lineRule="auto"/>
        <w:jc w:val="both"/>
      </w:pPr>
      <w:r w:rsidRPr="00D376C6">
        <w:t>Still, a number of open questions remain. For example, a significant scale-up of capacity building activities is necessary for the appropriate operation of the HH</w:t>
      </w:r>
      <w:r>
        <w:t>K</w:t>
      </w:r>
      <w:r w:rsidRPr="00D376C6">
        <w:t xml:space="preserve"> While the project has triggered an interesting development, challenges also lie in a significant range of diversity of the sector, and its high level of informality. For example, the responsible project officer at UNDP estimates that only 5% of the </w:t>
      </w:r>
      <w:r>
        <w:t>k</w:t>
      </w:r>
      <w:r w:rsidRPr="00D376C6">
        <w:t>ilns in Bangladesh are suited for the specific technical and financial characteristics of the chosen technology. While the traditional bric</w:t>
      </w:r>
      <w:r>
        <w:t>k</w:t>
      </w:r>
      <w:r w:rsidRPr="00D376C6">
        <w:t xml:space="preserve"> manufacturers do not avail of the necessary capital to invest in HH</w:t>
      </w:r>
      <w:r>
        <w:t>K</w:t>
      </w:r>
      <w:r w:rsidRPr="00D376C6">
        <w:t xml:space="preserve"> technology, HH</w:t>
      </w:r>
      <w:r>
        <w:t>K</w:t>
      </w:r>
      <w:r w:rsidRPr="00D376C6">
        <w:t xml:space="preserve">s themselves might not be able to compete against the more modern tunnel </w:t>
      </w:r>
      <w:r>
        <w:t>k</w:t>
      </w:r>
      <w:r w:rsidRPr="00D376C6">
        <w:t xml:space="preserve">ilns which are again an order of magnitude larger in size. </w:t>
      </w:r>
    </w:p>
    <w:p w:rsidR="00F04ED9" w:rsidRDefault="00F04ED9" w:rsidP="00F04ED9">
      <w:pPr>
        <w:spacing w:after="0" w:line="240" w:lineRule="auto"/>
        <w:jc w:val="both"/>
        <w:rPr>
          <w:b/>
        </w:rPr>
      </w:pPr>
    </w:p>
    <w:p w:rsidR="00F04ED9" w:rsidRPr="00D376C6" w:rsidRDefault="00F04ED9" w:rsidP="00F04ED9">
      <w:pPr>
        <w:spacing w:after="0" w:line="240" w:lineRule="auto"/>
        <w:jc w:val="both"/>
        <w:rPr>
          <w:b/>
        </w:rPr>
      </w:pPr>
    </w:p>
    <w:p w:rsidR="00F04ED9" w:rsidRPr="00D376C6" w:rsidRDefault="00F04ED9" w:rsidP="00F04ED9">
      <w:pPr>
        <w:spacing w:after="0" w:line="240" w:lineRule="auto"/>
        <w:jc w:val="both"/>
      </w:pPr>
      <w:r w:rsidRPr="00D376C6">
        <w:rPr>
          <w:b/>
        </w:rPr>
        <w:t xml:space="preserve">Social and cross-cutting aspects: </w:t>
      </w:r>
    </w:p>
    <w:p w:rsidR="00F04ED9" w:rsidRPr="00D376C6" w:rsidRDefault="00F04ED9" w:rsidP="00F04ED9">
      <w:pPr>
        <w:spacing w:after="0" w:line="240" w:lineRule="auto"/>
        <w:jc w:val="both"/>
        <w:rPr>
          <w:b/>
        </w:rPr>
      </w:pPr>
    </w:p>
    <w:p w:rsidR="00F04ED9" w:rsidRPr="00D376C6" w:rsidRDefault="00F04ED9" w:rsidP="00F04ED9">
      <w:pPr>
        <w:spacing w:after="0" w:line="240" w:lineRule="auto"/>
        <w:jc w:val="both"/>
        <w:rPr>
          <w:b/>
        </w:rPr>
      </w:pPr>
      <w:r w:rsidRPr="00D376C6">
        <w:rPr>
          <w:b/>
        </w:rPr>
        <w:t>Employment aspects</w:t>
      </w:r>
    </w:p>
    <w:p w:rsidR="00F04ED9" w:rsidRPr="00D376C6" w:rsidRDefault="00F04ED9" w:rsidP="00F04ED9">
      <w:pPr>
        <w:spacing w:after="0" w:line="240" w:lineRule="auto"/>
        <w:jc w:val="both"/>
      </w:pPr>
      <w:r w:rsidRPr="00D376C6">
        <w:t>The MTR notes that the new bric</w:t>
      </w:r>
      <w:r>
        <w:t>kk</w:t>
      </w:r>
      <w:r w:rsidRPr="00D376C6">
        <w:t>iln technology offers significantly fewer jobs than the traditional way of bric</w:t>
      </w:r>
      <w:r>
        <w:t>k</w:t>
      </w:r>
      <w:r w:rsidRPr="00D376C6">
        <w:t xml:space="preserve"> ma</w:t>
      </w:r>
      <w:r>
        <w:t xml:space="preserve">king. On the other hand, an assessment of the </w:t>
      </w:r>
      <w:r w:rsidRPr="00D376C6">
        <w:t>socio-econo</w:t>
      </w:r>
      <w:r>
        <w:t>mic profile of the project revealed</w:t>
      </w:r>
      <w:r w:rsidRPr="00D376C6">
        <w:t xml:space="preserve"> a number of advantages of the HH</w:t>
      </w:r>
      <w:r>
        <w:t>K</w:t>
      </w:r>
      <w:r w:rsidRPr="00D376C6">
        <w:t xml:space="preserve"> for occupational health and safety as </w:t>
      </w:r>
      <w:r w:rsidRPr="00D376C6">
        <w:lastRenderedPageBreak/>
        <w:t>well as income situation</w:t>
      </w:r>
      <w:r>
        <w:rPr>
          <w:rStyle w:val="FootnoteReference"/>
        </w:rPr>
        <w:footnoteReference w:id="72"/>
      </w:r>
      <w:r w:rsidRPr="00D376C6">
        <w:t>. The level of permanent positions in HH</w:t>
      </w:r>
      <w:r>
        <w:t>K</w:t>
      </w:r>
      <w:r w:rsidRPr="00D376C6">
        <w:t xml:space="preserve"> is at 64% and much higher than in the traditional </w:t>
      </w:r>
      <w:r>
        <w:t>k</w:t>
      </w:r>
      <w:r w:rsidRPr="00D376C6">
        <w:t>iln. The need for s</w:t>
      </w:r>
      <w:r>
        <w:t>k</w:t>
      </w:r>
      <w:r w:rsidRPr="00D376C6">
        <w:t>illed labor is also shifted upwards to 57%. Instead of only 20% now 49% of the wor</w:t>
      </w:r>
      <w:r>
        <w:t>k</w:t>
      </w:r>
      <w:r w:rsidRPr="00D376C6">
        <w:t>force is local which has positive impacts on family coherence and child wellbeing. While hiring through middlemen which limits the applicability of labor laws is still a prevailing practice, most laborers are now receiving a monthly payment (instead of payment on the basis of jobs completed), although for men this does not result in higher average salaries during the wor</w:t>
      </w:r>
      <w:r>
        <w:t>k</w:t>
      </w:r>
      <w:r w:rsidRPr="00D376C6">
        <w:t xml:space="preserve">ing season of traditional </w:t>
      </w:r>
      <w:r>
        <w:t>k</w:t>
      </w:r>
      <w:r w:rsidRPr="00D376C6">
        <w:t xml:space="preserve">ilns. Income spent on food is 2.5 times higher than in the baseline </w:t>
      </w:r>
      <w:r>
        <w:t>k</w:t>
      </w:r>
      <w:r w:rsidRPr="00D376C6">
        <w:t>ilns, signifying lessened concerns over the nutritional status of the wor</w:t>
      </w:r>
      <w:r>
        <w:t>k</w:t>
      </w:r>
      <w:r w:rsidRPr="00D376C6">
        <w:t xml:space="preserve">force. </w:t>
      </w:r>
    </w:p>
    <w:p w:rsidR="00F04ED9" w:rsidRPr="00D376C6" w:rsidRDefault="00F04ED9" w:rsidP="00F04ED9">
      <w:pPr>
        <w:spacing w:after="0" w:line="240" w:lineRule="auto"/>
        <w:jc w:val="both"/>
        <w:rPr>
          <w:b/>
        </w:rPr>
      </w:pPr>
    </w:p>
    <w:p w:rsidR="00F04ED9" w:rsidRPr="00D376C6" w:rsidRDefault="00F04ED9" w:rsidP="00F04ED9">
      <w:pPr>
        <w:spacing w:after="0" w:line="240" w:lineRule="auto"/>
        <w:jc w:val="both"/>
      </w:pPr>
      <w:r w:rsidRPr="00D376C6">
        <w:rPr>
          <w:b/>
        </w:rPr>
        <w:t>Gender dimension</w:t>
      </w:r>
      <w:r w:rsidRPr="00D376C6">
        <w:t xml:space="preserve">: </w:t>
      </w:r>
    </w:p>
    <w:p w:rsidR="00F04ED9" w:rsidRPr="00D376C6" w:rsidRDefault="00F04ED9" w:rsidP="00F04ED9">
      <w:pPr>
        <w:spacing w:after="0" w:line="240" w:lineRule="auto"/>
        <w:jc w:val="both"/>
      </w:pPr>
      <w:r w:rsidRPr="00D376C6">
        <w:t>A gender study commissioned by the project found that while there are still income differences between male and female wor</w:t>
      </w:r>
      <w:r>
        <w:t>k</w:t>
      </w:r>
      <w:r w:rsidRPr="00D376C6">
        <w:t>ers this might have to do more with the type of wor</w:t>
      </w:r>
      <w:r>
        <w:t>k</w:t>
      </w:r>
      <w:r w:rsidRPr="00D376C6">
        <w:t xml:space="preserve"> that women are mostly providing (stac</w:t>
      </w:r>
      <w:r>
        <w:t>k</w:t>
      </w:r>
      <w:r w:rsidRPr="00D376C6">
        <w:t>ing bric</w:t>
      </w:r>
      <w:r>
        <w:t>k</w:t>
      </w:r>
      <w:r w:rsidRPr="00D376C6">
        <w:t>s)</w:t>
      </w:r>
      <w:r>
        <w:rPr>
          <w:rStyle w:val="FootnoteReference"/>
        </w:rPr>
        <w:footnoteReference w:id="73"/>
      </w:r>
      <w:r w:rsidRPr="00D376C6">
        <w:t>. The more specialized tas</w:t>
      </w:r>
      <w:r>
        <w:t>k</w:t>
      </w:r>
      <w:r w:rsidRPr="00D376C6">
        <w:t>s are typically provided by men. For the same wor</w:t>
      </w:r>
      <w:r>
        <w:t>k</w:t>
      </w:r>
      <w:r w:rsidRPr="00D376C6">
        <w:t>, the pay is usually similar for both sexes. A crucial fact is that women are now more often permanent staff, and are paid directly even iftheir husbands wor</w:t>
      </w:r>
      <w:r>
        <w:t>k</w:t>
      </w:r>
      <w:r w:rsidRPr="00D376C6">
        <w:t xml:space="preserve"> in the same plant. Out  of  5  women who were giving birth, just  1  remained  jobless  while 4  said  they were  paid  by  owners  during pregnancy leave -“a scenario quite unimaginable in the traditional system.” </w:t>
      </w:r>
      <w:r w:rsidRPr="00B228B0">
        <w:rPr>
          <w:rStyle w:val="FootnoteReference"/>
        </w:rPr>
        <w:footnoteReference w:id="74"/>
      </w:r>
    </w:p>
    <w:p w:rsidR="00F04ED9" w:rsidRPr="00D376C6" w:rsidRDefault="00F04ED9" w:rsidP="00F04ED9">
      <w:pPr>
        <w:spacing w:after="0" w:line="240" w:lineRule="auto"/>
        <w:jc w:val="both"/>
      </w:pPr>
      <w:r w:rsidRPr="00D376C6">
        <w:t>The gender-related activities and successes of the project also were disseminated to other bric</w:t>
      </w:r>
      <w:r>
        <w:t>kk</w:t>
      </w:r>
      <w:r w:rsidRPr="00D376C6">
        <w:t>ilns. The Annual Results Report 2012 specifies for example that around 300 Bric</w:t>
      </w:r>
      <w:r>
        <w:t>k</w:t>
      </w:r>
      <w:r w:rsidRPr="00D376C6">
        <w:t xml:space="preserve"> Mill Owners participated on wor</w:t>
      </w:r>
      <w:r>
        <w:t>k</w:t>
      </w:r>
      <w:r w:rsidRPr="00D376C6">
        <w:t>shops on the topic “How Gender Matters”.</w:t>
      </w:r>
    </w:p>
    <w:p w:rsidR="00F04ED9" w:rsidRPr="00D376C6" w:rsidRDefault="00F04ED9" w:rsidP="00F04ED9">
      <w:pPr>
        <w:spacing w:after="0" w:line="240" w:lineRule="auto"/>
        <w:jc w:val="both"/>
        <w:rPr>
          <w:b/>
        </w:rPr>
      </w:pPr>
    </w:p>
    <w:p w:rsidR="00F04ED9" w:rsidRPr="00D376C6" w:rsidRDefault="00F04ED9" w:rsidP="00F04ED9">
      <w:pPr>
        <w:spacing w:after="0" w:line="240" w:lineRule="auto"/>
        <w:jc w:val="both"/>
      </w:pPr>
      <w:r w:rsidRPr="00D376C6">
        <w:rPr>
          <w:b/>
        </w:rPr>
        <w:t>Private sector engagement dimension</w:t>
      </w:r>
      <w:r w:rsidRPr="00D376C6">
        <w:t xml:space="preserve">:  </w:t>
      </w:r>
    </w:p>
    <w:p w:rsidR="00F04ED9" w:rsidRPr="00D376C6" w:rsidRDefault="00F04ED9" w:rsidP="00F04ED9">
      <w:pPr>
        <w:spacing w:after="0" w:line="240" w:lineRule="auto"/>
        <w:jc w:val="both"/>
      </w:pPr>
      <w:r w:rsidRPr="00D376C6">
        <w:t>The project was initiated and borne by one private sector entity who was pursuing commercial interest in the promotion of the specific technology (HH</w:t>
      </w:r>
      <w:r>
        <w:t>K</w:t>
      </w:r>
      <w:r w:rsidRPr="00D376C6">
        <w:t>) but was comparatively less successful than other such entities. The Bric</w:t>
      </w:r>
      <w:r>
        <w:t>k</w:t>
      </w:r>
      <w:r w:rsidRPr="00D376C6">
        <w:t>s MTR finds that some of the challenges of the project might be associated with faulty assessments by the project implementer and suggest that  “lessons to UNDP in structuring partnerships, quality assurance,  monitoring the “big picture” (in addition to the SMART indicators), and how to design demo projects may all be derived from this experience.”</w:t>
      </w:r>
    </w:p>
    <w:p w:rsidR="00F04ED9" w:rsidRPr="00D376C6" w:rsidRDefault="00F04ED9" w:rsidP="00F04ED9">
      <w:pPr>
        <w:spacing w:after="0" w:line="240" w:lineRule="auto"/>
        <w:jc w:val="both"/>
      </w:pPr>
    </w:p>
    <w:p w:rsidR="00F04ED9" w:rsidRDefault="00F04ED9" w:rsidP="00F04ED9">
      <w:pPr>
        <w:spacing w:after="0" w:line="240" w:lineRule="auto"/>
        <w:jc w:val="both"/>
      </w:pPr>
      <w:r w:rsidRPr="00D376C6">
        <w:t>The sole implementation through a private sector entity might also have reduced the visibility of the policy impact. If policy ma</w:t>
      </w:r>
      <w:r>
        <w:t>k</w:t>
      </w:r>
      <w:r w:rsidRPr="00D376C6">
        <w:t>ers are unaware of UNDP’s involvement in this issue, obviously UNDP’s policy influence has also not been leveraged in this project. In parallel to the wor</w:t>
      </w:r>
      <w:r>
        <w:t>k</w:t>
      </w:r>
      <w:r w:rsidRPr="00D376C6">
        <w:t xml:space="preserve"> with the </w:t>
      </w:r>
      <w:r>
        <w:t>k</w:t>
      </w:r>
      <w:r w:rsidRPr="00D376C6">
        <w:t xml:space="preserve">iln industry through the private sector partner, a policy dialogue should have been searched that might also have been suitable to develop solutions for the social, gender and potential environmental aspect of the project. </w:t>
      </w:r>
    </w:p>
    <w:p w:rsidR="009F468D" w:rsidRDefault="009F468D" w:rsidP="00F04ED9">
      <w:pPr>
        <w:spacing w:after="0" w:line="240" w:lineRule="auto"/>
        <w:jc w:val="both"/>
        <w:rPr>
          <w:b/>
        </w:rPr>
      </w:pPr>
    </w:p>
    <w:p w:rsidR="009F468D" w:rsidRDefault="009F468D" w:rsidP="00F04ED9">
      <w:pPr>
        <w:spacing w:after="0" w:line="240" w:lineRule="auto"/>
        <w:jc w:val="both"/>
        <w:rPr>
          <w:b/>
        </w:rPr>
      </w:pPr>
    </w:p>
    <w:p w:rsidR="005E0C65" w:rsidRPr="00D376C6" w:rsidRDefault="005E0C65" w:rsidP="00F04ED9">
      <w:pPr>
        <w:spacing w:after="0" w:line="240" w:lineRule="auto"/>
        <w:jc w:val="both"/>
        <w:rPr>
          <w:b/>
        </w:rPr>
      </w:pPr>
    </w:p>
    <w:p w:rsidR="00F04ED9" w:rsidRDefault="00F04ED9" w:rsidP="00F04ED9">
      <w:pPr>
        <w:spacing w:after="0" w:line="240" w:lineRule="auto"/>
        <w:jc w:val="both"/>
        <w:rPr>
          <w:b/>
        </w:rPr>
      </w:pPr>
      <w:r w:rsidRPr="00D376C6">
        <w:rPr>
          <w:b/>
        </w:rPr>
        <w:lastRenderedPageBreak/>
        <w:t xml:space="preserve">Sustainability: </w:t>
      </w:r>
    </w:p>
    <w:p w:rsidR="00F04ED9" w:rsidRPr="00D376C6" w:rsidRDefault="00F04ED9" w:rsidP="00F04ED9">
      <w:pPr>
        <w:spacing w:after="0" w:line="240" w:lineRule="auto"/>
        <w:jc w:val="both"/>
        <w:rPr>
          <w:b/>
        </w:rPr>
      </w:pPr>
    </w:p>
    <w:p w:rsidR="00F04ED9" w:rsidRPr="00D376C6" w:rsidRDefault="00F04ED9" w:rsidP="00F04ED9">
      <w:pPr>
        <w:spacing w:after="0" w:line="240" w:lineRule="auto"/>
        <w:jc w:val="both"/>
        <w:rPr>
          <w:b/>
        </w:rPr>
      </w:pPr>
      <w:r w:rsidRPr="00D376C6">
        <w:rPr>
          <w:b/>
        </w:rPr>
        <w:t>Overall, the project was the first of a larger group of efforts to promote investments into more modern bric</w:t>
      </w:r>
      <w:r>
        <w:rPr>
          <w:b/>
        </w:rPr>
        <w:t>k</w:t>
      </w:r>
      <w:r w:rsidRPr="00D376C6">
        <w:rPr>
          <w:b/>
        </w:rPr>
        <w:t xml:space="preserve"> technologies – a trend that is going to continue. </w:t>
      </w:r>
    </w:p>
    <w:p w:rsidR="00F04ED9" w:rsidRPr="00D376C6" w:rsidRDefault="00F04ED9" w:rsidP="00F04ED9">
      <w:pPr>
        <w:spacing w:after="0" w:line="240" w:lineRule="auto"/>
        <w:jc w:val="both"/>
      </w:pPr>
    </w:p>
    <w:p w:rsidR="00F04ED9" w:rsidRPr="00D376C6" w:rsidRDefault="00F04ED9" w:rsidP="00F04ED9">
      <w:pPr>
        <w:spacing w:after="0" w:line="240" w:lineRule="auto"/>
        <w:jc w:val="both"/>
      </w:pPr>
      <w:r w:rsidRPr="00D376C6">
        <w:t>The ADB, the World Ban</w:t>
      </w:r>
      <w:r>
        <w:t>k</w:t>
      </w:r>
      <w:r w:rsidRPr="00D376C6">
        <w:t>, IDCOL and a number of national institutions are now providing financing to more modern bric</w:t>
      </w:r>
      <w:r>
        <w:t>kk</w:t>
      </w:r>
      <w:r w:rsidRPr="00D376C6">
        <w:t xml:space="preserve">iln investments, including tunnel </w:t>
      </w:r>
      <w:r>
        <w:t>k</w:t>
      </w:r>
      <w:r w:rsidRPr="00D376C6">
        <w:t xml:space="preserve">ilns (which is the technology used in Europe). </w:t>
      </w:r>
    </w:p>
    <w:p w:rsidR="00F04ED9" w:rsidRPr="00D376C6" w:rsidRDefault="00F04ED9" w:rsidP="00F04ED9">
      <w:pPr>
        <w:spacing w:after="0" w:line="240" w:lineRule="auto"/>
        <w:jc w:val="both"/>
        <w:rPr>
          <w:b/>
        </w:rPr>
      </w:pPr>
    </w:p>
    <w:p w:rsidR="00F04ED9" w:rsidRPr="00D376C6" w:rsidRDefault="00F04ED9" w:rsidP="00F04ED9">
      <w:pPr>
        <w:spacing w:after="0" w:line="240" w:lineRule="auto"/>
        <w:jc w:val="both"/>
      </w:pPr>
      <w:r w:rsidRPr="00D376C6">
        <w:rPr>
          <w:b/>
        </w:rPr>
        <w:t>Mechanics of technology transfer require constant learning and strategy adjustment</w:t>
      </w:r>
      <w:r w:rsidRPr="00D376C6">
        <w:t>:</w:t>
      </w:r>
    </w:p>
    <w:p w:rsidR="00F04ED9" w:rsidRPr="00D376C6" w:rsidRDefault="00F04ED9" w:rsidP="00F04ED9">
      <w:pPr>
        <w:spacing w:after="0" w:line="240" w:lineRule="auto"/>
        <w:jc w:val="both"/>
      </w:pPr>
      <w:r w:rsidRPr="00D376C6">
        <w:t>The MTR holds a number of examples for how Technology Transfer is a convoluted, stepwise and slow process full of incomplete and hardly traceable feedbac</w:t>
      </w:r>
      <w:r>
        <w:t>k</w:t>
      </w:r>
      <w:r w:rsidRPr="00D376C6">
        <w:t xml:space="preserve"> cycles. For example, one of the government representatives responsible for the Bric</w:t>
      </w:r>
      <w:r>
        <w:t>k</w:t>
      </w:r>
      <w:r w:rsidRPr="00D376C6">
        <w:t xml:space="preserve"> Ma</w:t>
      </w:r>
      <w:r>
        <w:t>k</w:t>
      </w:r>
      <w:r w:rsidRPr="00D376C6">
        <w:t xml:space="preserve">ing Act did not confirm influence of the UNDP project on the Act, as “they” learned about the project only long after the initiation of the legislative process. However, the project that inspired him was in itself influenced by the project. </w:t>
      </w:r>
    </w:p>
    <w:p w:rsidR="00F04ED9" w:rsidRPr="00D376C6" w:rsidRDefault="00F04ED9" w:rsidP="00F04ED9">
      <w:pPr>
        <w:spacing w:after="0" w:line="240" w:lineRule="auto"/>
        <w:jc w:val="both"/>
      </w:pPr>
    </w:p>
    <w:p w:rsidR="00F04ED9" w:rsidRPr="00D376C6" w:rsidRDefault="00F04ED9" w:rsidP="00F04ED9">
      <w:pPr>
        <w:spacing w:after="0" w:line="240" w:lineRule="auto"/>
        <w:jc w:val="both"/>
      </w:pPr>
      <w:r w:rsidRPr="00D376C6">
        <w:t>Similarly, the focus on just one technology might have limited implementation speed and impact of the project, and a broader variety of technologies should be promoted in the future. The focus on one technology, one provider and one promoter is criticized in the MTR and among UNDP project officers as well as by the evaluation team. However, without some initial focus on a narrowed subset of problems, the success of the project would also have been more questionable and the offering of a broader palette of technologies and promoter might have been impossible or at least diluted the approach. Still, after the (very long) PDF-B period, in which the first and most effective demonstration plant was built, this step could have been ta</w:t>
      </w:r>
      <w:r>
        <w:t>k</w:t>
      </w:r>
      <w:r w:rsidRPr="00D376C6">
        <w:t xml:space="preserve">en immediately which might have multiplied the impact of the project. </w:t>
      </w:r>
    </w:p>
    <w:p w:rsidR="00F04ED9" w:rsidRPr="00D376C6" w:rsidRDefault="00F04ED9" w:rsidP="00F04ED9">
      <w:pPr>
        <w:spacing w:after="0" w:line="240" w:lineRule="auto"/>
        <w:jc w:val="both"/>
      </w:pPr>
    </w:p>
    <w:p w:rsidR="00F04ED9" w:rsidRPr="00D376C6" w:rsidRDefault="00F04ED9" w:rsidP="00F04ED9">
      <w:pPr>
        <w:spacing w:after="0" w:line="240" w:lineRule="auto"/>
        <w:jc w:val="both"/>
      </w:pPr>
      <w:r w:rsidRPr="00D376C6">
        <w:t>Currently, the UNDP strives to institutionalize a Center of Excellence for Bric</w:t>
      </w:r>
      <w:r>
        <w:t>k</w:t>
      </w:r>
      <w:r w:rsidRPr="00D376C6">
        <w:t xml:space="preserve"> technology. This could be a place for continued discussions about the future of the sector, but will need to be much more independent of mar</w:t>
      </w:r>
      <w:r>
        <w:t>k</w:t>
      </w:r>
      <w:r w:rsidRPr="00D376C6">
        <w:t>et participants than the project was so far. The Center will have to play the role of a platform for technology-focused discussions, and potentially donor coordination, policy advice as well as technical capacity building, while at the same time remaining a place for constant monitoring of mar</w:t>
      </w:r>
      <w:r>
        <w:t>k</w:t>
      </w:r>
      <w:r w:rsidRPr="00D376C6">
        <w:t>et trends as well as the social and environmental consequences of transforming the bric</w:t>
      </w:r>
      <w:r>
        <w:t>k</w:t>
      </w:r>
      <w:r w:rsidRPr="00D376C6">
        <w:t xml:space="preserve">s industry in Bangladesh. </w:t>
      </w:r>
    </w:p>
    <w:p w:rsidR="00F04ED9" w:rsidRPr="008341FF" w:rsidRDefault="00F04ED9" w:rsidP="00F04ED9">
      <w:pPr>
        <w:spacing w:after="0" w:line="240" w:lineRule="auto"/>
        <w:jc w:val="both"/>
      </w:pPr>
    </w:p>
    <w:p w:rsidR="00F04ED9" w:rsidRDefault="00F04ED9" w:rsidP="005F5DC3">
      <w:pPr>
        <w:tabs>
          <w:tab w:val="left" w:pos="2595"/>
        </w:tabs>
        <w:rPr>
          <w:rFonts w:asciiTheme="minorHAnsi" w:hAnsiTheme="minorHAnsi"/>
        </w:rPr>
      </w:pPr>
    </w:p>
    <w:p w:rsidR="00F04ED9" w:rsidRDefault="00F04ED9"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DC7285" w:rsidRDefault="00DC7285" w:rsidP="005F5DC3">
      <w:pPr>
        <w:tabs>
          <w:tab w:val="left" w:pos="2595"/>
        </w:tabs>
        <w:rPr>
          <w:rFonts w:asciiTheme="minorHAnsi" w:hAnsiTheme="minorHAnsi"/>
        </w:rPr>
      </w:pPr>
    </w:p>
    <w:p w:rsidR="009F468D" w:rsidRDefault="009F468D" w:rsidP="009F468D">
      <w:pPr>
        <w:spacing w:after="0" w:line="240" w:lineRule="auto"/>
        <w:jc w:val="center"/>
        <w:rPr>
          <w:b/>
        </w:rPr>
      </w:pPr>
      <w:r>
        <w:rPr>
          <w:b/>
        </w:rPr>
        <w:lastRenderedPageBreak/>
        <w:t xml:space="preserve">Annex X: Components of </w:t>
      </w:r>
      <w:r w:rsidRPr="00D77BD9">
        <w:rPr>
          <w:b/>
        </w:rPr>
        <w:t>Resilience</w:t>
      </w:r>
      <w:r>
        <w:rPr>
          <w:b/>
        </w:rPr>
        <w:t xml:space="preserve"> by Thematic Area</w:t>
      </w:r>
    </w:p>
    <w:tbl>
      <w:tblPr>
        <w:tblStyle w:val="MediumShading2-Accent5"/>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30"/>
      </w:tblGrid>
      <w:tr w:rsidR="009F468D" w:rsidRPr="00D77BD9" w:rsidTr="009F46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C6D9F1" w:themeFill="text2" w:themeFillTint="33"/>
          </w:tcPr>
          <w:p w:rsidR="009F468D" w:rsidRPr="006D784E" w:rsidRDefault="009F468D" w:rsidP="009F468D">
            <w:pPr>
              <w:rPr>
                <w:rFonts w:cstheme="minorHAnsi"/>
                <w:color w:val="auto"/>
              </w:rPr>
            </w:pPr>
            <w:r w:rsidRPr="006D784E">
              <w:rPr>
                <w:rFonts w:cstheme="minorHAnsi"/>
                <w:bCs w:val="0"/>
                <w:color w:val="auto"/>
              </w:rPr>
              <w:t>Thematic area</w:t>
            </w:r>
          </w:p>
        </w:tc>
        <w:tc>
          <w:tcPr>
            <w:tcW w:w="6930" w:type="dxa"/>
            <w:tcBorders>
              <w:top w:val="none" w:sz="0" w:space="0" w:color="auto"/>
              <w:left w:val="none" w:sz="0" w:space="0" w:color="auto"/>
              <w:bottom w:val="none" w:sz="0" w:space="0" w:color="auto"/>
              <w:right w:val="none" w:sz="0" w:space="0" w:color="auto"/>
            </w:tcBorders>
            <w:shd w:val="clear" w:color="auto" w:fill="C6D9F1" w:themeFill="text2" w:themeFillTint="33"/>
          </w:tcPr>
          <w:p w:rsidR="009F468D" w:rsidRPr="006D784E" w:rsidRDefault="009F468D" w:rsidP="009F468D">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6D784E">
              <w:rPr>
                <w:rFonts w:cstheme="minorHAnsi"/>
                <w:bCs w:val="0"/>
                <w:color w:val="auto"/>
              </w:rPr>
              <w:t>Components of resilience</w:t>
            </w:r>
          </w:p>
        </w:tc>
      </w:tr>
      <w:tr w:rsidR="009F468D" w:rsidRPr="00D77BD9" w:rsidTr="009F4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C6D9F1" w:themeFill="text2" w:themeFillTint="33"/>
          </w:tcPr>
          <w:p w:rsidR="009F468D" w:rsidRPr="00D77BD9" w:rsidRDefault="009F468D" w:rsidP="009F468D">
            <w:pPr>
              <w:rPr>
                <w:rFonts w:cstheme="minorHAnsi"/>
                <w:color w:val="auto"/>
              </w:rPr>
            </w:pPr>
            <w:r w:rsidRPr="00D77BD9">
              <w:rPr>
                <w:rFonts w:cstheme="minorHAnsi"/>
                <w:color w:val="auto"/>
              </w:rPr>
              <w:t>1</w:t>
            </w:r>
            <w:r>
              <w:rPr>
                <w:rFonts w:cstheme="minorHAnsi"/>
                <w:color w:val="auto"/>
              </w:rPr>
              <w:t>.</w:t>
            </w:r>
            <w:r w:rsidRPr="00D77BD9">
              <w:rPr>
                <w:rFonts w:cstheme="minorHAnsi"/>
                <w:color w:val="auto"/>
              </w:rPr>
              <w:t xml:space="preserve"> Governance</w:t>
            </w:r>
          </w:p>
        </w:tc>
        <w:tc>
          <w:tcPr>
            <w:tcW w:w="6930" w:type="dxa"/>
          </w:tcPr>
          <w:p w:rsidR="009F468D" w:rsidRPr="00D77BD9" w:rsidRDefault="009F468D" w:rsidP="001E161B">
            <w:pPr>
              <w:pStyle w:val="ListParagraph"/>
              <w:numPr>
                <w:ilvl w:val="0"/>
                <w:numId w:val="39"/>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Policy, planning, priorities and political commitment.</w:t>
            </w:r>
          </w:p>
          <w:p w:rsidR="009F468D" w:rsidRPr="00D77BD9" w:rsidRDefault="009F468D" w:rsidP="001E161B">
            <w:pPr>
              <w:pStyle w:val="ListParagraph"/>
              <w:numPr>
                <w:ilvl w:val="0"/>
                <w:numId w:val="39"/>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Legal and regulatory systems</w:t>
            </w:r>
          </w:p>
          <w:p w:rsidR="009F468D" w:rsidRPr="00D77BD9" w:rsidRDefault="009F468D" w:rsidP="001E161B">
            <w:pPr>
              <w:pStyle w:val="ListParagraph"/>
              <w:numPr>
                <w:ilvl w:val="0"/>
                <w:numId w:val="39"/>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Integration with development policies and planning</w:t>
            </w:r>
          </w:p>
          <w:p w:rsidR="009F468D" w:rsidRPr="00D77BD9" w:rsidRDefault="009F468D" w:rsidP="001E161B">
            <w:pPr>
              <w:pStyle w:val="ListParagraph"/>
              <w:numPr>
                <w:ilvl w:val="0"/>
                <w:numId w:val="39"/>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Integration with emergency response and recovery</w:t>
            </w:r>
          </w:p>
          <w:p w:rsidR="009F468D" w:rsidRPr="00D77BD9" w:rsidRDefault="009F468D" w:rsidP="001E161B">
            <w:pPr>
              <w:pStyle w:val="ListParagraph"/>
              <w:numPr>
                <w:ilvl w:val="0"/>
                <w:numId w:val="39"/>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Institutional mechanisms, capacities and structures; allocation of responsibilities</w:t>
            </w:r>
          </w:p>
          <w:p w:rsidR="009F468D" w:rsidRPr="00D77BD9" w:rsidRDefault="009F468D" w:rsidP="001E161B">
            <w:pPr>
              <w:pStyle w:val="ListParagraph"/>
              <w:numPr>
                <w:ilvl w:val="0"/>
                <w:numId w:val="39"/>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Partnerships</w:t>
            </w:r>
          </w:p>
          <w:p w:rsidR="009F468D" w:rsidRPr="00D77BD9" w:rsidRDefault="009F468D" w:rsidP="001E161B">
            <w:pPr>
              <w:pStyle w:val="ListParagraph"/>
              <w:numPr>
                <w:ilvl w:val="0"/>
                <w:numId w:val="39"/>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Accountability and community participation</w:t>
            </w:r>
          </w:p>
          <w:p w:rsidR="009F468D" w:rsidRPr="00D77BD9" w:rsidRDefault="009F468D" w:rsidP="001E161B">
            <w:pPr>
              <w:pStyle w:val="ListParagraph"/>
              <w:numPr>
                <w:ilvl w:val="0"/>
                <w:numId w:val="39"/>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Gender equality and women empowerment</w:t>
            </w:r>
          </w:p>
          <w:p w:rsidR="009F468D" w:rsidRPr="00D77BD9" w:rsidRDefault="009F468D" w:rsidP="001E161B">
            <w:pPr>
              <w:pStyle w:val="ListParagraph"/>
              <w:numPr>
                <w:ilvl w:val="0"/>
                <w:numId w:val="39"/>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Institutionalization and mainstreaming</w:t>
            </w:r>
          </w:p>
          <w:p w:rsidR="009F468D" w:rsidRDefault="009F468D" w:rsidP="001E161B">
            <w:pPr>
              <w:pStyle w:val="ListParagraph"/>
              <w:numPr>
                <w:ilvl w:val="0"/>
                <w:numId w:val="39"/>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Achievements and wea</w:t>
            </w:r>
            <w:r>
              <w:rPr>
                <w:rFonts w:cstheme="minorHAnsi"/>
              </w:rPr>
              <w:t>k</w:t>
            </w:r>
            <w:r w:rsidRPr="00D77BD9">
              <w:rPr>
                <w:rFonts w:cstheme="minorHAnsi"/>
              </w:rPr>
              <w:t>nesses in programmes</w:t>
            </w:r>
          </w:p>
          <w:p w:rsidR="009F468D" w:rsidRPr="00D77BD9" w:rsidRDefault="009F468D" w:rsidP="009F468D">
            <w:pPr>
              <w:pStyle w:val="ListParagraph"/>
              <w:autoSpaceDE w:val="0"/>
              <w:autoSpaceDN w:val="0"/>
              <w:adjustRightInd w:val="0"/>
              <w:ind w:left="162"/>
              <w:cnfStyle w:val="000000100000" w:firstRow="0" w:lastRow="0" w:firstColumn="0" w:lastColumn="0" w:oddVBand="0" w:evenVBand="0" w:oddHBand="1" w:evenHBand="0" w:firstRowFirstColumn="0" w:firstRowLastColumn="0" w:lastRowFirstColumn="0" w:lastRowLastColumn="0"/>
              <w:rPr>
                <w:rFonts w:cstheme="minorHAnsi"/>
              </w:rPr>
            </w:pPr>
          </w:p>
        </w:tc>
      </w:tr>
      <w:tr w:rsidR="009F468D" w:rsidRPr="00D77BD9" w:rsidTr="009F468D">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C6D9F1" w:themeFill="text2" w:themeFillTint="33"/>
          </w:tcPr>
          <w:p w:rsidR="009F468D" w:rsidRPr="00D77BD9" w:rsidRDefault="009F468D" w:rsidP="009F468D">
            <w:pPr>
              <w:rPr>
                <w:rFonts w:cstheme="minorHAnsi"/>
                <w:color w:val="auto"/>
              </w:rPr>
            </w:pPr>
            <w:r w:rsidRPr="00D77BD9">
              <w:rPr>
                <w:rFonts w:cstheme="minorHAnsi"/>
                <w:color w:val="auto"/>
              </w:rPr>
              <w:t>2</w:t>
            </w:r>
            <w:r>
              <w:rPr>
                <w:rFonts w:cstheme="minorHAnsi"/>
                <w:color w:val="auto"/>
              </w:rPr>
              <w:t>.</w:t>
            </w:r>
            <w:r w:rsidRPr="00D77BD9">
              <w:rPr>
                <w:rFonts w:cstheme="minorHAnsi"/>
                <w:color w:val="auto"/>
              </w:rPr>
              <w:t xml:space="preserve"> Ris</w:t>
            </w:r>
            <w:r>
              <w:rPr>
                <w:rFonts w:cstheme="minorHAnsi"/>
                <w:color w:val="auto"/>
              </w:rPr>
              <w:t>k</w:t>
            </w:r>
            <w:r w:rsidRPr="00D77BD9">
              <w:rPr>
                <w:rFonts w:cstheme="minorHAnsi"/>
                <w:color w:val="auto"/>
              </w:rPr>
              <w:t xml:space="preserve"> assessment</w:t>
            </w:r>
          </w:p>
        </w:tc>
        <w:tc>
          <w:tcPr>
            <w:tcW w:w="6930" w:type="dxa"/>
          </w:tcPr>
          <w:p w:rsidR="009F468D" w:rsidRPr="00D77BD9" w:rsidRDefault="009F468D" w:rsidP="001E161B">
            <w:pPr>
              <w:pStyle w:val="ListParagraph"/>
              <w:numPr>
                <w:ilvl w:val="0"/>
                <w:numId w:val="40"/>
              </w:numPr>
              <w:autoSpaceDE w:val="0"/>
              <w:autoSpaceDN w:val="0"/>
              <w:adjustRightInd w:val="0"/>
              <w:spacing w:after="0" w:line="240" w:lineRule="auto"/>
              <w:ind w:left="162" w:hanging="270"/>
              <w:cnfStyle w:val="000000000000" w:firstRow="0" w:lastRow="0" w:firstColumn="0" w:lastColumn="0" w:oddVBand="0" w:evenVBand="0" w:oddHBand="0" w:evenHBand="0" w:firstRowFirstColumn="0" w:firstRowLastColumn="0" w:lastRowFirstColumn="0" w:lastRowLastColumn="0"/>
              <w:rPr>
                <w:rFonts w:cstheme="minorHAnsi"/>
              </w:rPr>
            </w:pPr>
            <w:r w:rsidRPr="00D77BD9">
              <w:rPr>
                <w:rFonts w:cstheme="minorHAnsi"/>
              </w:rPr>
              <w:t>Hazards/ris</w:t>
            </w:r>
            <w:r>
              <w:rPr>
                <w:rFonts w:cstheme="minorHAnsi"/>
              </w:rPr>
              <w:t>k</w:t>
            </w:r>
            <w:r w:rsidRPr="00D77BD9">
              <w:rPr>
                <w:rFonts w:cstheme="minorHAnsi"/>
              </w:rPr>
              <w:t xml:space="preserve"> data and assessment</w:t>
            </w:r>
          </w:p>
          <w:p w:rsidR="009F468D" w:rsidRPr="00D77BD9" w:rsidRDefault="009F468D" w:rsidP="001E161B">
            <w:pPr>
              <w:pStyle w:val="ListParagraph"/>
              <w:numPr>
                <w:ilvl w:val="0"/>
                <w:numId w:val="40"/>
              </w:numPr>
              <w:autoSpaceDE w:val="0"/>
              <w:autoSpaceDN w:val="0"/>
              <w:adjustRightInd w:val="0"/>
              <w:spacing w:after="0" w:line="240" w:lineRule="auto"/>
              <w:ind w:left="162" w:hanging="270"/>
              <w:cnfStyle w:val="000000000000" w:firstRow="0" w:lastRow="0" w:firstColumn="0" w:lastColumn="0" w:oddVBand="0" w:evenVBand="0" w:oddHBand="0" w:evenHBand="0" w:firstRowFirstColumn="0" w:firstRowLastColumn="0" w:lastRowFirstColumn="0" w:lastRowLastColumn="0"/>
              <w:rPr>
                <w:rFonts w:cstheme="minorHAnsi"/>
              </w:rPr>
            </w:pPr>
            <w:r w:rsidRPr="00D77BD9">
              <w:rPr>
                <w:rFonts w:cstheme="minorHAnsi"/>
              </w:rPr>
              <w:t>Vulnerability and impact data and assessment</w:t>
            </w:r>
          </w:p>
          <w:p w:rsidR="009F468D" w:rsidRDefault="009F468D" w:rsidP="001E161B">
            <w:pPr>
              <w:pStyle w:val="ListParagraph"/>
              <w:numPr>
                <w:ilvl w:val="0"/>
                <w:numId w:val="40"/>
              </w:numPr>
              <w:autoSpaceDE w:val="0"/>
              <w:autoSpaceDN w:val="0"/>
              <w:adjustRightInd w:val="0"/>
              <w:spacing w:after="0" w:line="240" w:lineRule="auto"/>
              <w:ind w:left="162" w:hanging="270"/>
              <w:cnfStyle w:val="000000000000" w:firstRow="0" w:lastRow="0" w:firstColumn="0" w:lastColumn="0" w:oddVBand="0" w:evenVBand="0" w:oddHBand="0" w:evenHBand="0" w:firstRowFirstColumn="0" w:firstRowLastColumn="0" w:lastRowFirstColumn="0" w:lastRowLastColumn="0"/>
              <w:rPr>
                <w:rFonts w:cstheme="minorHAnsi"/>
              </w:rPr>
            </w:pPr>
            <w:r w:rsidRPr="00D77BD9">
              <w:rPr>
                <w:rFonts w:cstheme="minorHAnsi"/>
              </w:rPr>
              <w:t>Scientific and technical capacities and innovation</w:t>
            </w:r>
          </w:p>
          <w:p w:rsidR="009F468D" w:rsidRPr="00D77BD9" w:rsidRDefault="009F468D" w:rsidP="009F468D">
            <w:pPr>
              <w:pStyle w:val="ListParagraph"/>
              <w:autoSpaceDE w:val="0"/>
              <w:autoSpaceDN w:val="0"/>
              <w:adjustRightInd w:val="0"/>
              <w:ind w:left="162"/>
              <w:cnfStyle w:val="000000000000" w:firstRow="0" w:lastRow="0" w:firstColumn="0" w:lastColumn="0" w:oddVBand="0" w:evenVBand="0" w:oddHBand="0" w:evenHBand="0" w:firstRowFirstColumn="0" w:firstRowLastColumn="0" w:lastRowFirstColumn="0" w:lastRowLastColumn="0"/>
              <w:rPr>
                <w:rFonts w:cstheme="minorHAnsi"/>
              </w:rPr>
            </w:pPr>
          </w:p>
        </w:tc>
      </w:tr>
      <w:tr w:rsidR="009F468D" w:rsidRPr="00D77BD9" w:rsidTr="009F4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C6D9F1" w:themeFill="text2" w:themeFillTint="33"/>
          </w:tcPr>
          <w:p w:rsidR="009F468D" w:rsidRPr="00D77BD9" w:rsidRDefault="009F468D" w:rsidP="009F468D">
            <w:pPr>
              <w:rPr>
                <w:rFonts w:cstheme="minorHAnsi"/>
                <w:color w:val="auto"/>
              </w:rPr>
            </w:pPr>
            <w:r w:rsidRPr="00D77BD9">
              <w:rPr>
                <w:rFonts w:cstheme="minorHAnsi"/>
                <w:color w:val="auto"/>
              </w:rPr>
              <w:t>3</w:t>
            </w:r>
            <w:r>
              <w:rPr>
                <w:rFonts w:cstheme="minorHAnsi"/>
                <w:color w:val="auto"/>
              </w:rPr>
              <w:t>.K</w:t>
            </w:r>
            <w:r w:rsidRPr="00D77BD9">
              <w:rPr>
                <w:rFonts w:cstheme="minorHAnsi"/>
                <w:color w:val="auto"/>
              </w:rPr>
              <w:t>nowledge and education</w:t>
            </w:r>
          </w:p>
        </w:tc>
        <w:tc>
          <w:tcPr>
            <w:tcW w:w="6930" w:type="dxa"/>
          </w:tcPr>
          <w:p w:rsidR="009F468D" w:rsidRPr="00D77BD9" w:rsidRDefault="009F468D" w:rsidP="001E161B">
            <w:pPr>
              <w:pStyle w:val="ListParagraph"/>
              <w:numPr>
                <w:ilvl w:val="0"/>
                <w:numId w:val="41"/>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 xml:space="preserve">Public awareness, </w:t>
            </w:r>
            <w:r>
              <w:rPr>
                <w:rFonts w:cstheme="minorHAnsi"/>
              </w:rPr>
              <w:t>k</w:t>
            </w:r>
            <w:r w:rsidRPr="00D77BD9">
              <w:rPr>
                <w:rFonts w:cstheme="minorHAnsi"/>
              </w:rPr>
              <w:t>nowledge and s</w:t>
            </w:r>
            <w:r>
              <w:rPr>
                <w:rFonts w:cstheme="minorHAnsi"/>
              </w:rPr>
              <w:t>k</w:t>
            </w:r>
            <w:r w:rsidRPr="00D77BD9">
              <w:rPr>
                <w:rFonts w:cstheme="minorHAnsi"/>
              </w:rPr>
              <w:t>ills</w:t>
            </w:r>
          </w:p>
          <w:p w:rsidR="009F468D" w:rsidRPr="00D77BD9" w:rsidRDefault="009F468D" w:rsidP="001E161B">
            <w:pPr>
              <w:pStyle w:val="ListParagraph"/>
              <w:numPr>
                <w:ilvl w:val="0"/>
                <w:numId w:val="41"/>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 xml:space="preserve"> Information management and sharing</w:t>
            </w:r>
          </w:p>
          <w:p w:rsidR="009F468D" w:rsidRPr="00D77BD9" w:rsidRDefault="009F468D" w:rsidP="001E161B">
            <w:pPr>
              <w:pStyle w:val="ListParagraph"/>
              <w:numPr>
                <w:ilvl w:val="0"/>
                <w:numId w:val="41"/>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Access to information</w:t>
            </w:r>
          </w:p>
          <w:p w:rsidR="009F468D" w:rsidRPr="00D77BD9" w:rsidRDefault="009F468D" w:rsidP="001E161B">
            <w:pPr>
              <w:pStyle w:val="ListParagraph"/>
              <w:numPr>
                <w:ilvl w:val="0"/>
                <w:numId w:val="41"/>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 xml:space="preserve"> Education and training</w:t>
            </w:r>
          </w:p>
          <w:p w:rsidR="009F468D" w:rsidRPr="00D77BD9" w:rsidRDefault="009F468D" w:rsidP="001E161B">
            <w:pPr>
              <w:pStyle w:val="ListParagraph"/>
              <w:numPr>
                <w:ilvl w:val="0"/>
                <w:numId w:val="41"/>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Cultures, attitudes, motivation</w:t>
            </w:r>
          </w:p>
          <w:p w:rsidR="009F468D" w:rsidRDefault="009F468D" w:rsidP="001E161B">
            <w:pPr>
              <w:pStyle w:val="ListParagraph"/>
              <w:numPr>
                <w:ilvl w:val="0"/>
                <w:numId w:val="41"/>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Learning and research</w:t>
            </w:r>
          </w:p>
          <w:p w:rsidR="009F468D" w:rsidRPr="00D77BD9" w:rsidRDefault="009F468D" w:rsidP="009F468D">
            <w:pPr>
              <w:pStyle w:val="ListParagraph"/>
              <w:autoSpaceDE w:val="0"/>
              <w:autoSpaceDN w:val="0"/>
              <w:adjustRightInd w:val="0"/>
              <w:ind w:left="162"/>
              <w:cnfStyle w:val="000000100000" w:firstRow="0" w:lastRow="0" w:firstColumn="0" w:lastColumn="0" w:oddVBand="0" w:evenVBand="0" w:oddHBand="1" w:evenHBand="0" w:firstRowFirstColumn="0" w:firstRowLastColumn="0" w:lastRowFirstColumn="0" w:lastRowLastColumn="0"/>
              <w:rPr>
                <w:rFonts w:cstheme="minorHAnsi"/>
              </w:rPr>
            </w:pPr>
          </w:p>
        </w:tc>
      </w:tr>
      <w:tr w:rsidR="009F468D" w:rsidRPr="00D77BD9" w:rsidTr="009F468D">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C6D9F1" w:themeFill="text2" w:themeFillTint="33"/>
          </w:tcPr>
          <w:p w:rsidR="009F468D" w:rsidRPr="00D77BD9" w:rsidRDefault="009F468D" w:rsidP="009F468D">
            <w:pPr>
              <w:autoSpaceDE w:val="0"/>
              <w:autoSpaceDN w:val="0"/>
              <w:adjustRightInd w:val="0"/>
              <w:rPr>
                <w:rFonts w:cstheme="minorHAnsi"/>
                <w:color w:val="auto"/>
              </w:rPr>
            </w:pPr>
            <w:r w:rsidRPr="00D77BD9">
              <w:rPr>
                <w:rFonts w:cstheme="minorHAnsi"/>
                <w:color w:val="auto"/>
              </w:rPr>
              <w:t>4</w:t>
            </w:r>
            <w:r>
              <w:rPr>
                <w:rFonts w:cstheme="minorHAnsi"/>
                <w:color w:val="auto"/>
              </w:rPr>
              <w:t>.</w:t>
            </w:r>
            <w:r w:rsidRPr="00D77BD9">
              <w:rPr>
                <w:rFonts w:cstheme="minorHAnsi"/>
                <w:color w:val="auto"/>
              </w:rPr>
              <w:t xml:space="preserve"> Ris</w:t>
            </w:r>
            <w:r>
              <w:rPr>
                <w:rFonts w:cstheme="minorHAnsi"/>
                <w:color w:val="auto"/>
              </w:rPr>
              <w:t>k</w:t>
            </w:r>
            <w:r w:rsidRPr="00D77BD9">
              <w:rPr>
                <w:rFonts w:cstheme="minorHAnsi"/>
                <w:color w:val="auto"/>
              </w:rPr>
              <w:t xml:space="preserve"> management and  vulnerability reduction</w:t>
            </w:r>
          </w:p>
        </w:tc>
        <w:tc>
          <w:tcPr>
            <w:tcW w:w="6930" w:type="dxa"/>
          </w:tcPr>
          <w:p w:rsidR="009F468D" w:rsidRPr="00D77BD9" w:rsidRDefault="009F468D" w:rsidP="001E161B">
            <w:pPr>
              <w:pStyle w:val="ListParagraph"/>
              <w:numPr>
                <w:ilvl w:val="0"/>
                <w:numId w:val="42"/>
              </w:numPr>
              <w:autoSpaceDE w:val="0"/>
              <w:autoSpaceDN w:val="0"/>
              <w:adjustRightInd w:val="0"/>
              <w:spacing w:after="0" w:line="240" w:lineRule="auto"/>
              <w:ind w:left="162" w:hanging="270"/>
              <w:cnfStyle w:val="000000000000" w:firstRow="0" w:lastRow="0" w:firstColumn="0" w:lastColumn="0" w:oddVBand="0" w:evenVBand="0" w:oddHBand="0" w:evenHBand="0" w:firstRowFirstColumn="0" w:firstRowLastColumn="0" w:lastRowFirstColumn="0" w:lastRowLastColumn="0"/>
              <w:rPr>
                <w:rFonts w:cstheme="minorHAnsi"/>
              </w:rPr>
            </w:pPr>
            <w:r w:rsidRPr="00D77BD9">
              <w:rPr>
                <w:rFonts w:cstheme="minorHAnsi"/>
              </w:rPr>
              <w:t>Environmental and natural resource management</w:t>
            </w:r>
          </w:p>
          <w:p w:rsidR="009F468D" w:rsidRPr="00D77BD9" w:rsidRDefault="009F468D" w:rsidP="001E161B">
            <w:pPr>
              <w:pStyle w:val="ListParagraph"/>
              <w:numPr>
                <w:ilvl w:val="0"/>
                <w:numId w:val="42"/>
              </w:numPr>
              <w:autoSpaceDE w:val="0"/>
              <w:autoSpaceDN w:val="0"/>
              <w:adjustRightInd w:val="0"/>
              <w:spacing w:after="0" w:line="240" w:lineRule="auto"/>
              <w:ind w:left="162" w:hanging="270"/>
              <w:cnfStyle w:val="000000000000" w:firstRow="0" w:lastRow="0" w:firstColumn="0" w:lastColumn="0" w:oddVBand="0" w:evenVBand="0" w:oddHBand="0" w:evenHBand="0" w:firstRowFirstColumn="0" w:firstRowLastColumn="0" w:lastRowFirstColumn="0" w:lastRowLastColumn="0"/>
              <w:rPr>
                <w:rFonts w:cstheme="minorHAnsi"/>
              </w:rPr>
            </w:pPr>
            <w:r w:rsidRPr="00D77BD9">
              <w:rPr>
                <w:rFonts w:cstheme="minorHAnsi"/>
              </w:rPr>
              <w:t>Health and well being</w:t>
            </w:r>
          </w:p>
          <w:p w:rsidR="009F468D" w:rsidRPr="00D77BD9" w:rsidRDefault="009F468D" w:rsidP="001E161B">
            <w:pPr>
              <w:pStyle w:val="ListParagraph"/>
              <w:numPr>
                <w:ilvl w:val="0"/>
                <w:numId w:val="42"/>
              </w:numPr>
              <w:autoSpaceDE w:val="0"/>
              <w:autoSpaceDN w:val="0"/>
              <w:adjustRightInd w:val="0"/>
              <w:spacing w:after="0" w:line="240" w:lineRule="auto"/>
              <w:ind w:left="162" w:hanging="270"/>
              <w:cnfStyle w:val="000000000000" w:firstRow="0" w:lastRow="0" w:firstColumn="0" w:lastColumn="0" w:oddVBand="0" w:evenVBand="0" w:oddHBand="0" w:evenHBand="0" w:firstRowFirstColumn="0" w:firstRowLastColumn="0" w:lastRowFirstColumn="0" w:lastRowLastColumn="0"/>
              <w:rPr>
                <w:rFonts w:cstheme="minorHAnsi"/>
              </w:rPr>
            </w:pPr>
            <w:r w:rsidRPr="00D77BD9">
              <w:rPr>
                <w:rFonts w:cstheme="minorHAnsi"/>
              </w:rPr>
              <w:t>Sustainable livelihoods</w:t>
            </w:r>
          </w:p>
          <w:p w:rsidR="009F468D" w:rsidRPr="00D77BD9" w:rsidRDefault="009F468D" w:rsidP="001E161B">
            <w:pPr>
              <w:pStyle w:val="ListParagraph"/>
              <w:numPr>
                <w:ilvl w:val="0"/>
                <w:numId w:val="42"/>
              </w:numPr>
              <w:autoSpaceDE w:val="0"/>
              <w:autoSpaceDN w:val="0"/>
              <w:adjustRightInd w:val="0"/>
              <w:spacing w:after="0" w:line="240" w:lineRule="auto"/>
              <w:ind w:left="162" w:hanging="270"/>
              <w:cnfStyle w:val="000000000000" w:firstRow="0" w:lastRow="0" w:firstColumn="0" w:lastColumn="0" w:oddVBand="0" w:evenVBand="0" w:oddHBand="0" w:evenHBand="0" w:firstRowFirstColumn="0" w:firstRowLastColumn="0" w:lastRowFirstColumn="0" w:lastRowLastColumn="0"/>
              <w:rPr>
                <w:rFonts w:cstheme="minorHAnsi"/>
              </w:rPr>
            </w:pPr>
            <w:r w:rsidRPr="00D77BD9">
              <w:rPr>
                <w:rFonts w:cstheme="minorHAnsi"/>
              </w:rPr>
              <w:t>Safety net and social protection</w:t>
            </w:r>
          </w:p>
          <w:p w:rsidR="009F468D" w:rsidRPr="00D77BD9" w:rsidRDefault="009F468D" w:rsidP="001E161B">
            <w:pPr>
              <w:pStyle w:val="ListParagraph"/>
              <w:numPr>
                <w:ilvl w:val="0"/>
                <w:numId w:val="42"/>
              </w:numPr>
              <w:autoSpaceDE w:val="0"/>
              <w:autoSpaceDN w:val="0"/>
              <w:adjustRightInd w:val="0"/>
              <w:spacing w:after="0" w:line="240" w:lineRule="auto"/>
              <w:ind w:left="162" w:hanging="270"/>
              <w:cnfStyle w:val="000000000000" w:firstRow="0" w:lastRow="0" w:firstColumn="0" w:lastColumn="0" w:oddVBand="0" w:evenVBand="0" w:oddHBand="0" w:evenHBand="0" w:firstRowFirstColumn="0" w:firstRowLastColumn="0" w:lastRowFirstColumn="0" w:lastRowLastColumn="0"/>
              <w:rPr>
                <w:rFonts w:cstheme="minorHAnsi"/>
              </w:rPr>
            </w:pPr>
            <w:r w:rsidRPr="00D77BD9">
              <w:rPr>
                <w:rFonts w:cstheme="minorHAnsi"/>
              </w:rPr>
              <w:t>Financial instruments</w:t>
            </w:r>
          </w:p>
          <w:p w:rsidR="009F468D" w:rsidRPr="00D77BD9" w:rsidRDefault="009F468D" w:rsidP="001E161B">
            <w:pPr>
              <w:pStyle w:val="ListParagraph"/>
              <w:numPr>
                <w:ilvl w:val="0"/>
                <w:numId w:val="42"/>
              </w:numPr>
              <w:autoSpaceDE w:val="0"/>
              <w:autoSpaceDN w:val="0"/>
              <w:adjustRightInd w:val="0"/>
              <w:spacing w:after="0" w:line="240" w:lineRule="auto"/>
              <w:ind w:left="162" w:hanging="270"/>
              <w:cnfStyle w:val="000000000000" w:firstRow="0" w:lastRow="0" w:firstColumn="0" w:lastColumn="0" w:oddVBand="0" w:evenVBand="0" w:oddHBand="0" w:evenHBand="0" w:firstRowFirstColumn="0" w:firstRowLastColumn="0" w:lastRowFirstColumn="0" w:lastRowLastColumn="0"/>
              <w:rPr>
                <w:rFonts w:cstheme="minorHAnsi"/>
              </w:rPr>
            </w:pPr>
            <w:r w:rsidRPr="00D77BD9">
              <w:rPr>
                <w:rFonts w:cstheme="minorHAnsi"/>
              </w:rPr>
              <w:t>Physical protection; structural and technical measures</w:t>
            </w:r>
          </w:p>
          <w:p w:rsidR="009F468D" w:rsidRDefault="009F468D" w:rsidP="001E161B">
            <w:pPr>
              <w:pStyle w:val="ListParagraph"/>
              <w:numPr>
                <w:ilvl w:val="0"/>
                <w:numId w:val="42"/>
              </w:numPr>
              <w:autoSpaceDE w:val="0"/>
              <w:autoSpaceDN w:val="0"/>
              <w:adjustRightInd w:val="0"/>
              <w:spacing w:after="0" w:line="240" w:lineRule="auto"/>
              <w:ind w:left="162" w:hanging="270"/>
              <w:cnfStyle w:val="000000000000" w:firstRow="0" w:lastRow="0" w:firstColumn="0" w:lastColumn="0" w:oddVBand="0" w:evenVBand="0" w:oddHBand="0" w:evenHBand="0" w:firstRowFirstColumn="0" w:firstRowLastColumn="0" w:lastRowFirstColumn="0" w:lastRowLastColumn="0"/>
              <w:rPr>
                <w:rFonts w:cstheme="minorHAnsi"/>
              </w:rPr>
            </w:pPr>
            <w:r w:rsidRPr="00D77BD9">
              <w:rPr>
                <w:rFonts w:cstheme="minorHAnsi"/>
              </w:rPr>
              <w:t xml:space="preserve">Planning </w:t>
            </w:r>
            <w:r>
              <w:rPr>
                <w:rFonts w:cstheme="minorHAnsi"/>
              </w:rPr>
              <w:t>regimes</w:t>
            </w:r>
          </w:p>
          <w:p w:rsidR="009F468D" w:rsidRPr="00D77BD9" w:rsidRDefault="009F468D" w:rsidP="009F468D">
            <w:pPr>
              <w:pStyle w:val="ListParagraph"/>
              <w:autoSpaceDE w:val="0"/>
              <w:autoSpaceDN w:val="0"/>
              <w:adjustRightInd w:val="0"/>
              <w:ind w:left="162"/>
              <w:cnfStyle w:val="000000000000" w:firstRow="0" w:lastRow="0" w:firstColumn="0" w:lastColumn="0" w:oddVBand="0" w:evenVBand="0" w:oddHBand="0" w:evenHBand="0" w:firstRowFirstColumn="0" w:firstRowLastColumn="0" w:lastRowFirstColumn="0" w:lastRowLastColumn="0"/>
              <w:rPr>
                <w:rFonts w:cstheme="minorHAnsi"/>
              </w:rPr>
            </w:pPr>
          </w:p>
        </w:tc>
      </w:tr>
      <w:tr w:rsidR="009F468D" w:rsidRPr="00D77BD9" w:rsidTr="009F4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C6D9F1" w:themeFill="text2" w:themeFillTint="33"/>
          </w:tcPr>
          <w:p w:rsidR="009F468D" w:rsidRPr="00D77BD9" w:rsidRDefault="009F468D" w:rsidP="009F468D">
            <w:pPr>
              <w:rPr>
                <w:rFonts w:cstheme="minorHAnsi"/>
                <w:color w:val="auto"/>
              </w:rPr>
            </w:pPr>
            <w:r w:rsidRPr="00D77BD9">
              <w:rPr>
                <w:rFonts w:cstheme="minorHAnsi"/>
                <w:color w:val="auto"/>
              </w:rPr>
              <w:t>5</w:t>
            </w:r>
            <w:r>
              <w:rPr>
                <w:rFonts w:cstheme="minorHAnsi"/>
                <w:color w:val="auto"/>
              </w:rPr>
              <w:t>.</w:t>
            </w:r>
            <w:r w:rsidRPr="00D77BD9">
              <w:rPr>
                <w:rFonts w:cstheme="minorHAnsi"/>
                <w:color w:val="auto"/>
              </w:rPr>
              <w:t xml:space="preserve"> Disaster preparedness and response</w:t>
            </w:r>
          </w:p>
        </w:tc>
        <w:tc>
          <w:tcPr>
            <w:tcW w:w="6930" w:type="dxa"/>
          </w:tcPr>
          <w:p w:rsidR="009F468D" w:rsidRPr="00D77BD9" w:rsidRDefault="009F468D" w:rsidP="001E161B">
            <w:pPr>
              <w:pStyle w:val="ListParagraph"/>
              <w:numPr>
                <w:ilvl w:val="0"/>
                <w:numId w:val="43"/>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Organizational capacities and coordination</w:t>
            </w:r>
          </w:p>
          <w:p w:rsidR="009F468D" w:rsidRPr="00D77BD9" w:rsidRDefault="009F468D" w:rsidP="001E161B">
            <w:pPr>
              <w:pStyle w:val="ListParagraph"/>
              <w:numPr>
                <w:ilvl w:val="0"/>
                <w:numId w:val="43"/>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Early warning systems</w:t>
            </w:r>
          </w:p>
          <w:p w:rsidR="009F468D" w:rsidRPr="00D77BD9" w:rsidRDefault="009F468D" w:rsidP="001E161B">
            <w:pPr>
              <w:pStyle w:val="ListParagraph"/>
              <w:numPr>
                <w:ilvl w:val="0"/>
                <w:numId w:val="43"/>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Preparedness and contingency planning</w:t>
            </w:r>
          </w:p>
          <w:p w:rsidR="009F468D" w:rsidRPr="00D77BD9" w:rsidRDefault="009F468D" w:rsidP="001E161B">
            <w:pPr>
              <w:pStyle w:val="ListParagraph"/>
              <w:numPr>
                <w:ilvl w:val="0"/>
                <w:numId w:val="43"/>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Early recovery facility</w:t>
            </w:r>
          </w:p>
          <w:p w:rsidR="009F468D" w:rsidRPr="00D77BD9" w:rsidRDefault="009F468D" w:rsidP="001E161B">
            <w:pPr>
              <w:pStyle w:val="ListParagraph"/>
              <w:numPr>
                <w:ilvl w:val="0"/>
                <w:numId w:val="43"/>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Emergency resources and infrastructure</w:t>
            </w:r>
          </w:p>
          <w:p w:rsidR="009F468D" w:rsidRPr="00D77BD9" w:rsidRDefault="009F468D" w:rsidP="001E161B">
            <w:pPr>
              <w:pStyle w:val="ListParagraph"/>
              <w:numPr>
                <w:ilvl w:val="0"/>
                <w:numId w:val="43"/>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Emergency response and recovery</w:t>
            </w:r>
          </w:p>
          <w:p w:rsidR="009F468D" w:rsidRDefault="009F468D" w:rsidP="001E161B">
            <w:pPr>
              <w:pStyle w:val="ListParagraph"/>
              <w:numPr>
                <w:ilvl w:val="0"/>
                <w:numId w:val="43"/>
              </w:numPr>
              <w:autoSpaceDE w:val="0"/>
              <w:autoSpaceDN w:val="0"/>
              <w:adjustRightInd w:val="0"/>
              <w:spacing w:after="0" w:line="240" w:lineRule="auto"/>
              <w:ind w:left="162" w:hanging="270"/>
              <w:cnfStyle w:val="000000100000" w:firstRow="0" w:lastRow="0" w:firstColumn="0" w:lastColumn="0" w:oddVBand="0" w:evenVBand="0" w:oddHBand="1" w:evenHBand="0" w:firstRowFirstColumn="0" w:firstRowLastColumn="0" w:lastRowFirstColumn="0" w:lastRowLastColumn="0"/>
              <w:rPr>
                <w:rFonts w:cstheme="minorHAnsi"/>
              </w:rPr>
            </w:pPr>
            <w:r w:rsidRPr="00D77BD9">
              <w:rPr>
                <w:rFonts w:cstheme="minorHAnsi"/>
              </w:rPr>
              <w:t>Participation, voluntarism, accountability</w:t>
            </w:r>
          </w:p>
          <w:p w:rsidR="009F468D" w:rsidRPr="00D77BD9" w:rsidRDefault="009F468D" w:rsidP="009F468D">
            <w:pPr>
              <w:pStyle w:val="ListParagraph"/>
              <w:autoSpaceDE w:val="0"/>
              <w:autoSpaceDN w:val="0"/>
              <w:adjustRightInd w:val="0"/>
              <w:ind w:left="162"/>
              <w:cnfStyle w:val="000000100000" w:firstRow="0" w:lastRow="0" w:firstColumn="0" w:lastColumn="0" w:oddVBand="0" w:evenVBand="0" w:oddHBand="1" w:evenHBand="0" w:firstRowFirstColumn="0" w:firstRowLastColumn="0" w:lastRowFirstColumn="0" w:lastRowLastColumn="0"/>
              <w:rPr>
                <w:rFonts w:cstheme="minorHAnsi"/>
              </w:rPr>
            </w:pPr>
          </w:p>
        </w:tc>
      </w:tr>
    </w:tbl>
    <w:p w:rsidR="009F468D" w:rsidRDefault="009F468D" w:rsidP="009F468D">
      <w:r>
        <w:t>Source: After Twigg. 2007.</w:t>
      </w:r>
    </w:p>
    <w:p w:rsidR="009F468D" w:rsidRDefault="009F468D" w:rsidP="009F468D">
      <w:pPr>
        <w:tabs>
          <w:tab w:val="left" w:pos="2235"/>
        </w:tabs>
        <w:jc w:val="center"/>
        <w:rPr>
          <w:b/>
          <w:szCs w:val="18"/>
        </w:rPr>
      </w:pPr>
      <w:r>
        <w:rPr>
          <w:b/>
          <w:szCs w:val="18"/>
        </w:rPr>
        <w:lastRenderedPageBreak/>
        <w:t>Annex XI</w:t>
      </w:r>
      <w:r w:rsidRPr="003A5417">
        <w:rPr>
          <w:b/>
          <w:szCs w:val="18"/>
        </w:rPr>
        <w:t>:</w:t>
      </w:r>
      <w:r>
        <w:rPr>
          <w:b/>
          <w:szCs w:val="18"/>
        </w:rPr>
        <w:t xml:space="preserve"> </w:t>
      </w:r>
      <w:r w:rsidRPr="003A5417">
        <w:rPr>
          <w:rFonts w:cstheme="minorHAnsi"/>
          <w:b/>
        </w:rPr>
        <w:t>Gender Mar</w:t>
      </w:r>
      <w:r>
        <w:rPr>
          <w:rFonts w:cstheme="minorHAnsi"/>
          <w:b/>
        </w:rPr>
        <w:t>k</w:t>
      </w:r>
      <w:r w:rsidRPr="003A5417">
        <w:rPr>
          <w:rFonts w:cstheme="minorHAnsi"/>
          <w:b/>
        </w:rPr>
        <w:t>er for UNDP CCED Cluster Projects</w:t>
      </w:r>
      <w:r>
        <w:rPr>
          <w:b/>
          <w:szCs w:val="18"/>
        </w:rPr>
        <w:t>2014-15</w:t>
      </w:r>
    </w:p>
    <w:tbl>
      <w:tblPr>
        <w:tblStyle w:val="MediumShading2-Accent5"/>
        <w:tblW w:w="7928" w:type="dxa"/>
        <w:jc w:val="center"/>
        <w:tblLook w:val="04A0" w:firstRow="1" w:lastRow="0" w:firstColumn="1" w:lastColumn="0" w:noHBand="0" w:noVBand="1"/>
      </w:tblPr>
      <w:tblGrid>
        <w:gridCol w:w="1550"/>
        <w:gridCol w:w="1134"/>
        <w:gridCol w:w="3543"/>
        <w:gridCol w:w="1701"/>
      </w:tblGrid>
      <w:tr w:rsidR="009F468D" w:rsidRPr="003D2F10" w:rsidTr="009F468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BGD Outcome</w:t>
            </w:r>
          </w:p>
        </w:tc>
        <w:tc>
          <w:tcPr>
            <w:tcW w:w="1134" w:type="dxa"/>
            <w:shd w:val="clear" w:color="auto" w:fill="F2DBDB" w:themeFill="accent2" w:themeFillTint="33"/>
            <w:noWrap/>
            <w:hideMark/>
          </w:tcPr>
          <w:p w:rsidR="009F468D" w:rsidRPr="003D2F10" w:rsidRDefault="009F468D" w:rsidP="009F468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Project ID</w:t>
            </w:r>
          </w:p>
        </w:tc>
        <w:tc>
          <w:tcPr>
            <w:tcW w:w="3543" w:type="dxa"/>
            <w:shd w:val="clear" w:color="auto" w:fill="F2DBDB" w:themeFill="accent2" w:themeFillTint="33"/>
            <w:noWrap/>
            <w:hideMark/>
          </w:tcPr>
          <w:p w:rsidR="009F468D" w:rsidRPr="003D2F10" w:rsidRDefault="009F468D" w:rsidP="009F468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Project name</w:t>
            </w:r>
          </w:p>
        </w:tc>
        <w:tc>
          <w:tcPr>
            <w:tcW w:w="1701" w:type="dxa"/>
            <w:shd w:val="clear" w:color="auto" w:fill="F2DBDB" w:themeFill="accent2" w:themeFillTint="33"/>
            <w:noWrap/>
            <w:hideMark/>
          </w:tcPr>
          <w:p w:rsidR="009F468D" w:rsidRPr="003D2F10" w:rsidRDefault="009F468D" w:rsidP="009F468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Gender Mar</w:t>
            </w:r>
            <w:r>
              <w:rPr>
                <w:rFonts w:ascii="Calibri" w:eastAsia="Times New Roman" w:hAnsi="Calibri" w:cs="Calibri"/>
                <w:color w:val="000000"/>
              </w:rPr>
              <w:t>k</w:t>
            </w:r>
            <w:r w:rsidRPr="003D2F10">
              <w:rPr>
                <w:rFonts w:ascii="Calibri" w:eastAsia="Times New Roman" w:hAnsi="Calibri" w:cs="Calibri"/>
                <w:color w:val="000000"/>
              </w:rPr>
              <w:t>er</w:t>
            </w:r>
          </w:p>
        </w:tc>
      </w:tr>
      <w:tr w:rsidR="009F468D" w:rsidRPr="003D2F10" w:rsidTr="009F46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Outcome 3.1</w:t>
            </w:r>
          </w:p>
        </w:tc>
        <w:tc>
          <w:tcPr>
            <w:tcW w:w="1134"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62536</w:t>
            </w:r>
          </w:p>
        </w:tc>
        <w:tc>
          <w:tcPr>
            <w:tcW w:w="3543"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 xml:space="preserve">Coastal </w:t>
            </w:r>
            <w:r w:rsidRPr="003D2F10">
              <w:rPr>
                <w:rFonts w:cstheme="minorHAnsi"/>
                <w:color w:val="000000"/>
              </w:rPr>
              <w:t>Afforestation</w:t>
            </w:r>
          </w:p>
        </w:tc>
        <w:tc>
          <w:tcPr>
            <w:tcW w:w="1701"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GEN2</w:t>
            </w:r>
          </w:p>
        </w:tc>
      </w:tr>
      <w:tr w:rsidR="009F468D" w:rsidRPr="003D2F10" w:rsidTr="009F468D">
        <w:trPr>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73416</w:t>
            </w:r>
          </w:p>
        </w:tc>
        <w:tc>
          <w:tcPr>
            <w:tcW w:w="3543"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CDMP Phase II</w:t>
            </w:r>
          </w:p>
        </w:tc>
        <w:tc>
          <w:tcPr>
            <w:tcW w:w="1701"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GEN2</w:t>
            </w:r>
          </w:p>
        </w:tc>
      </w:tr>
      <w:tr w:rsidR="009F468D" w:rsidRPr="003D2F10" w:rsidTr="009F46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77582</w:t>
            </w:r>
          </w:p>
        </w:tc>
        <w:tc>
          <w:tcPr>
            <w:tcW w:w="3543"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Early Recovery Facility (ERF)</w:t>
            </w:r>
          </w:p>
        </w:tc>
        <w:tc>
          <w:tcPr>
            <w:tcW w:w="1701"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GEN1</w:t>
            </w:r>
          </w:p>
        </w:tc>
      </w:tr>
      <w:tr w:rsidR="009F468D" w:rsidRPr="003D2F10" w:rsidTr="009F468D">
        <w:trPr>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81303</w:t>
            </w:r>
          </w:p>
        </w:tc>
        <w:tc>
          <w:tcPr>
            <w:tcW w:w="3543"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Integrating Community-based Ad</w:t>
            </w:r>
          </w:p>
        </w:tc>
        <w:tc>
          <w:tcPr>
            <w:tcW w:w="1701"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GEN0</w:t>
            </w:r>
          </w:p>
        </w:tc>
      </w:tr>
      <w:tr w:rsidR="009F468D" w:rsidRPr="003D2F10" w:rsidTr="009F46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92207</w:t>
            </w:r>
          </w:p>
        </w:tc>
        <w:tc>
          <w:tcPr>
            <w:tcW w:w="3543"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Waterlogged Communities</w:t>
            </w:r>
          </w:p>
        </w:tc>
        <w:tc>
          <w:tcPr>
            <w:tcW w:w="1701"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GEN1</w:t>
            </w:r>
          </w:p>
        </w:tc>
      </w:tr>
      <w:tr w:rsidR="009F468D" w:rsidRPr="003D2F10" w:rsidTr="009F468D">
        <w:trPr>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Outcome 3.2</w:t>
            </w:r>
          </w:p>
        </w:tc>
        <w:tc>
          <w:tcPr>
            <w:tcW w:w="1134"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45948</w:t>
            </w:r>
          </w:p>
        </w:tc>
        <w:tc>
          <w:tcPr>
            <w:tcW w:w="3543"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Sustainable Land Management</w:t>
            </w:r>
          </w:p>
        </w:tc>
        <w:tc>
          <w:tcPr>
            <w:tcW w:w="1701"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GEN2</w:t>
            </w:r>
          </w:p>
        </w:tc>
      </w:tr>
      <w:tr w:rsidR="009F468D" w:rsidRPr="003D2F10" w:rsidTr="009F46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46281</w:t>
            </w:r>
          </w:p>
        </w:tc>
        <w:tc>
          <w:tcPr>
            <w:tcW w:w="3543"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PIMS 2961 EA-SNC</w:t>
            </w:r>
          </w:p>
        </w:tc>
        <w:tc>
          <w:tcPr>
            <w:tcW w:w="1701"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GEN2</w:t>
            </w:r>
          </w:p>
        </w:tc>
      </w:tr>
      <w:tr w:rsidR="009F468D" w:rsidRPr="003D2F10" w:rsidTr="009F468D">
        <w:trPr>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57386</w:t>
            </w:r>
          </w:p>
        </w:tc>
        <w:tc>
          <w:tcPr>
            <w:tcW w:w="3543"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National ODS Phase-out Plan</w:t>
            </w:r>
          </w:p>
        </w:tc>
        <w:tc>
          <w:tcPr>
            <w:tcW w:w="1701"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GEN1</w:t>
            </w:r>
          </w:p>
        </w:tc>
      </w:tr>
      <w:tr w:rsidR="009F468D" w:rsidRPr="003D2F10" w:rsidTr="009F46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62091</w:t>
            </w:r>
          </w:p>
        </w:tc>
        <w:tc>
          <w:tcPr>
            <w:tcW w:w="3543"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Phase-out of CFC consumption</w:t>
            </w:r>
          </w:p>
        </w:tc>
        <w:tc>
          <w:tcPr>
            <w:tcW w:w="1701"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GEN0</w:t>
            </w:r>
          </w:p>
        </w:tc>
      </w:tr>
      <w:tr w:rsidR="009F468D" w:rsidRPr="003D2F10" w:rsidTr="009F468D">
        <w:trPr>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62270</w:t>
            </w:r>
          </w:p>
        </w:tc>
        <w:tc>
          <w:tcPr>
            <w:tcW w:w="3543"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PECM : Poverty Environment</w:t>
            </w:r>
          </w:p>
        </w:tc>
        <w:tc>
          <w:tcPr>
            <w:tcW w:w="1701"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GEN2</w:t>
            </w:r>
          </w:p>
        </w:tc>
      </w:tr>
      <w:tr w:rsidR="009F468D" w:rsidRPr="003D2F10" w:rsidTr="009F46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74185</w:t>
            </w:r>
          </w:p>
        </w:tc>
        <w:tc>
          <w:tcPr>
            <w:tcW w:w="3543"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Barrier Removal Energy Standar</w:t>
            </w:r>
            <w:r w:rsidRPr="003D2F10">
              <w:rPr>
                <w:rFonts w:cstheme="minorHAnsi"/>
                <w:color w:val="000000"/>
              </w:rPr>
              <w:t>d</w:t>
            </w:r>
          </w:p>
        </w:tc>
        <w:tc>
          <w:tcPr>
            <w:tcW w:w="1701"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GEN0</w:t>
            </w:r>
          </w:p>
        </w:tc>
      </w:tr>
      <w:tr w:rsidR="009F468D" w:rsidRPr="003D2F10" w:rsidTr="009F468D">
        <w:trPr>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75326</w:t>
            </w:r>
          </w:p>
        </w:tc>
        <w:tc>
          <w:tcPr>
            <w:tcW w:w="3543"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Improving Bric</w:t>
            </w:r>
            <w:r>
              <w:rPr>
                <w:rFonts w:ascii="Calibri" w:eastAsia="Times New Roman" w:hAnsi="Calibri" w:cs="Calibri"/>
                <w:color w:val="000000"/>
              </w:rPr>
              <w:t>kK</w:t>
            </w:r>
            <w:r w:rsidRPr="003D2F10">
              <w:rPr>
                <w:rFonts w:ascii="Calibri" w:eastAsia="Times New Roman" w:hAnsi="Calibri" w:cs="Calibri"/>
                <w:color w:val="000000"/>
              </w:rPr>
              <w:t xml:space="preserve">iln </w:t>
            </w:r>
            <w:r w:rsidRPr="003D2F10">
              <w:rPr>
                <w:rFonts w:cstheme="minorHAnsi"/>
                <w:color w:val="000000"/>
              </w:rPr>
              <w:t>Efficiency</w:t>
            </w:r>
          </w:p>
        </w:tc>
        <w:tc>
          <w:tcPr>
            <w:tcW w:w="1701"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GEN2</w:t>
            </w:r>
          </w:p>
        </w:tc>
      </w:tr>
      <w:tr w:rsidR="009F468D" w:rsidRPr="003D2F10" w:rsidTr="009F46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79998</w:t>
            </w:r>
          </w:p>
        </w:tc>
        <w:tc>
          <w:tcPr>
            <w:tcW w:w="3543"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 xml:space="preserve">Bangladesh Green Dev. </w:t>
            </w:r>
            <w:r w:rsidRPr="003D2F10">
              <w:rPr>
                <w:rFonts w:cstheme="minorHAnsi"/>
                <w:color w:val="000000"/>
              </w:rPr>
              <w:t>Program</w:t>
            </w:r>
          </w:p>
        </w:tc>
        <w:tc>
          <w:tcPr>
            <w:tcW w:w="1701"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GEN2</w:t>
            </w:r>
          </w:p>
        </w:tc>
      </w:tr>
      <w:tr w:rsidR="009F468D" w:rsidRPr="003D2F10" w:rsidTr="009F468D">
        <w:trPr>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80108</w:t>
            </w:r>
          </w:p>
        </w:tc>
        <w:tc>
          <w:tcPr>
            <w:tcW w:w="3543"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Sustainable Energy Generation</w:t>
            </w:r>
          </w:p>
        </w:tc>
        <w:tc>
          <w:tcPr>
            <w:tcW w:w="1701"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GEN0</w:t>
            </w:r>
          </w:p>
        </w:tc>
      </w:tr>
      <w:tr w:rsidR="009F468D" w:rsidRPr="003D2F10" w:rsidTr="009F46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80696</w:t>
            </w:r>
          </w:p>
        </w:tc>
        <w:tc>
          <w:tcPr>
            <w:tcW w:w="3543"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Institutional StrengtheningODS</w:t>
            </w:r>
          </w:p>
        </w:tc>
        <w:tc>
          <w:tcPr>
            <w:tcW w:w="1701"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GEN0</w:t>
            </w:r>
          </w:p>
        </w:tc>
      </w:tr>
      <w:tr w:rsidR="009F468D" w:rsidRPr="003D2F10" w:rsidTr="009F468D">
        <w:trPr>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81038</w:t>
            </w:r>
          </w:p>
        </w:tc>
        <w:tc>
          <w:tcPr>
            <w:tcW w:w="3543"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Conversion Cyclopentane techno</w:t>
            </w:r>
          </w:p>
        </w:tc>
        <w:tc>
          <w:tcPr>
            <w:tcW w:w="1701"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GEN1</w:t>
            </w:r>
          </w:p>
        </w:tc>
      </w:tr>
      <w:tr w:rsidR="009F468D" w:rsidRPr="003D2F10" w:rsidTr="009F46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83557</w:t>
            </w:r>
          </w:p>
        </w:tc>
        <w:tc>
          <w:tcPr>
            <w:tcW w:w="3543"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Support to implement REDD+</w:t>
            </w:r>
          </w:p>
        </w:tc>
        <w:tc>
          <w:tcPr>
            <w:tcW w:w="1701"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GEN1</w:t>
            </w:r>
          </w:p>
        </w:tc>
      </w:tr>
      <w:tr w:rsidR="009F468D" w:rsidRPr="003D2F10" w:rsidTr="009F468D">
        <w:trPr>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85647</w:t>
            </w:r>
          </w:p>
        </w:tc>
        <w:tc>
          <w:tcPr>
            <w:tcW w:w="3543"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Sustainable Environmental Gove</w:t>
            </w:r>
          </w:p>
        </w:tc>
        <w:tc>
          <w:tcPr>
            <w:tcW w:w="1701"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GEN1</w:t>
            </w:r>
          </w:p>
        </w:tc>
      </w:tr>
      <w:tr w:rsidR="009F468D" w:rsidRPr="003D2F10" w:rsidTr="009F46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85938</w:t>
            </w:r>
          </w:p>
        </w:tc>
        <w:tc>
          <w:tcPr>
            <w:tcW w:w="3543"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Expanding the PA system</w:t>
            </w:r>
          </w:p>
        </w:tc>
        <w:tc>
          <w:tcPr>
            <w:tcW w:w="1701"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GEN0</w:t>
            </w:r>
          </w:p>
        </w:tc>
      </w:tr>
      <w:tr w:rsidR="009F468D" w:rsidRPr="003D2F10" w:rsidTr="009F468D">
        <w:trPr>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85997</w:t>
            </w:r>
          </w:p>
        </w:tc>
        <w:tc>
          <w:tcPr>
            <w:tcW w:w="3543"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National Capacity Development</w:t>
            </w:r>
          </w:p>
        </w:tc>
        <w:tc>
          <w:tcPr>
            <w:tcW w:w="1701"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GEN0</w:t>
            </w:r>
          </w:p>
        </w:tc>
      </w:tr>
      <w:tr w:rsidR="009F468D" w:rsidRPr="003D2F10" w:rsidTr="009F46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86516</w:t>
            </w:r>
          </w:p>
        </w:tc>
        <w:tc>
          <w:tcPr>
            <w:tcW w:w="3543"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Development of Sustainable Ren</w:t>
            </w:r>
          </w:p>
        </w:tc>
        <w:tc>
          <w:tcPr>
            <w:tcW w:w="1701"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GEN1</w:t>
            </w:r>
          </w:p>
        </w:tc>
      </w:tr>
      <w:tr w:rsidR="009F468D" w:rsidRPr="003D2F10" w:rsidTr="009F468D">
        <w:trPr>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86756</w:t>
            </w:r>
          </w:p>
        </w:tc>
        <w:tc>
          <w:tcPr>
            <w:tcW w:w="3543"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 xml:space="preserve">Third National Communication </w:t>
            </w:r>
          </w:p>
        </w:tc>
        <w:tc>
          <w:tcPr>
            <w:tcW w:w="1701"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GEN1</w:t>
            </w:r>
          </w:p>
        </w:tc>
      </w:tr>
      <w:tr w:rsidR="009F468D" w:rsidRPr="003D2F10" w:rsidTr="009F46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88463</w:t>
            </w:r>
          </w:p>
        </w:tc>
        <w:tc>
          <w:tcPr>
            <w:tcW w:w="3543"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USAID Watershed Co management</w:t>
            </w:r>
          </w:p>
        </w:tc>
        <w:tc>
          <w:tcPr>
            <w:tcW w:w="1701" w:type="dxa"/>
            <w:noWrap/>
            <w:hideMark/>
          </w:tcPr>
          <w:p w:rsidR="009F468D" w:rsidRPr="003D2F10" w:rsidRDefault="009F468D" w:rsidP="009F468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GEN3</w:t>
            </w:r>
          </w:p>
        </w:tc>
      </w:tr>
      <w:tr w:rsidR="009F468D" w:rsidRPr="003D2F10" w:rsidTr="009F468D">
        <w:trPr>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F2DBDB" w:themeFill="accent2" w:themeFillTint="33"/>
            <w:noWrap/>
            <w:hideMark/>
          </w:tcPr>
          <w:p w:rsidR="009F468D" w:rsidRPr="003D2F10" w:rsidRDefault="009F468D" w:rsidP="009F468D">
            <w:pPr>
              <w:spacing w:after="0" w:line="240" w:lineRule="auto"/>
              <w:jc w:val="both"/>
              <w:rPr>
                <w:rFonts w:ascii="Calibri" w:eastAsia="Times New Roman" w:hAnsi="Calibri" w:cs="Calibri"/>
                <w:color w:val="000000"/>
              </w:rPr>
            </w:pPr>
            <w:r w:rsidRPr="003D2F10">
              <w:rPr>
                <w:rFonts w:ascii="Calibri" w:eastAsia="Times New Roman" w:hAnsi="Calibri" w:cs="Calibri"/>
                <w:color w:val="000000"/>
              </w:rPr>
              <w:t> </w:t>
            </w:r>
          </w:p>
        </w:tc>
        <w:tc>
          <w:tcPr>
            <w:tcW w:w="1134"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b/>
                <w:bCs/>
                <w:color w:val="000000"/>
              </w:rPr>
              <w:t>90906</w:t>
            </w:r>
          </w:p>
        </w:tc>
        <w:tc>
          <w:tcPr>
            <w:tcW w:w="3543"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ODS VII</w:t>
            </w:r>
          </w:p>
        </w:tc>
        <w:tc>
          <w:tcPr>
            <w:tcW w:w="1701" w:type="dxa"/>
            <w:noWrap/>
            <w:hideMark/>
          </w:tcPr>
          <w:p w:rsidR="009F468D" w:rsidRPr="003D2F10" w:rsidRDefault="009F468D" w:rsidP="009F468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2F10">
              <w:rPr>
                <w:rFonts w:ascii="Calibri" w:eastAsia="Times New Roman" w:hAnsi="Calibri" w:cs="Calibri"/>
                <w:color w:val="000000"/>
              </w:rPr>
              <w:t>GEN0</w:t>
            </w:r>
          </w:p>
        </w:tc>
      </w:tr>
    </w:tbl>
    <w:p w:rsidR="009F468D" w:rsidRPr="003A5417" w:rsidRDefault="009F468D" w:rsidP="009F468D">
      <w:pPr>
        <w:tabs>
          <w:tab w:val="left" w:pos="2235"/>
        </w:tabs>
        <w:jc w:val="center"/>
        <w:rPr>
          <w:b/>
          <w:szCs w:val="18"/>
        </w:rPr>
      </w:pPr>
    </w:p>
    <w:p w:rsidR="009F468D" w:rsidRDefault="009F468D" w:rsidP="005F5DC3">
      <w:pPr>
        <w:tabs>
          <w:tab w:val="left" w:pos="2595"/>
        </w:tabs>
        <w:rPr>
          <w:rFonts w:asciiTheme="minorHAnsi" w:hAnsiTheme="minorHAnsi"/>
        </w:rPr>
      </w:pPr>
    </w:p>
    <w:p w:rsidR="00F04ED9" w:rsidRDefault="00F04ED9" w:rsidP="005F5DC3">
      <w:pPr>
        <w:tabs>
          <w:tab w:val="left" w:pos="2595"/>
        </w:tabs>
        <w:rPr>
          <w:rFonts w:asciiTheme="minorHAnsi" w:hAnsiTheme="minorHAnsi"/>
        </w:rPr>
      </w:pPr>
    </w:p>
    <w:p w:rsidR="00F04ED9" w:rsidRDefault="00F04ED9"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9F468D">
      <w:pPr>
        <w:spacing w:after="0" w:line="240" w:lineRule="auto"/>
        <w:jc w:val="center"/>
        <w:rPr>
          <w:rFonts w:cs="Calibri"/>
          <w:b/>
        </w:rPr>
      </w:pPr>
      <w:r>
        <w:rPr>
          <w:b/>
          <w:szCs w:val="18"/>
        </w:rPr>
        <w:lastRenderedPageBreak/>
        <w:t>Annex XII.a</w:t>
      </w:r>
      <w:r w:rsidRPr="00FA66A9">
        <w:rPr>
          <w:b/>
          <w:szCs w:val="18"/>
        </w:rPr>
        <w:t xml:space="preserve">: </w:t>
      </w:r>
      <w:r w:rsidRPr="00FA66A9">
        <w:rPr>
          <w:rFonts w:cs="Calibri"/>
          <w:b/>
        </w:rPr>
        <w:t xml:space="preserve"> Output Achievements </w:t>
      </w:r>
      <w:r>
        <w:rPr>
          <w:rFonts w:cs="Calibri"/>
          <w:b/>
        </w:rPr>
        <w:t>in CCA and DRR (Outcome) by UNDP Interventions d</w:t>
      </w:r>
      <w:r w:rsidRPr="00FA66A9">
        <w:rPr>
          <w:rFonts w:cs="Calibri"/>
          <w:b/>
        </w:rPr>
        <w:t xml:space="preserve">uring 2012-2014 and </w:t>
      </w:r>
      <w:r>
        <w:rPr>
          <w:rFonts w:cs="Calibri"/>
          <w:b/>
        </w:rPr>
        <w:t xml:space="preserve">a </w:t>
      </w:r>
      <w:r w:rsidRPr="00FA66A9">
        <w:rPr>
          <w:rFonts w:cs="Calibri"/>
          <w:b/>
        </w:rPr>
        <w:t>Qualitative Assessment</w:t>
      </w:r>
    </w:p>
    <w:tbl>
      <w:tblPr>
        <w:tblW w:w="9918" w:type="dxa"/>
        <w:tblBorders>
          <w:top w:val="single" w:sz="18" w:space="0" w:color="auto"/>
          <w:bottom w:val="single" w:sz="18" w:space="0" w:color="auto"/>
          <w:insideH w:val="single" w:sz="4" w:space="0" w:color="auto"/>
          <w:insideV w:val="single" w:sz="4" w:space="0" w:color="auto"/>
        </w:tblBorders>
        <w:tblLayout w:type="fixed"/>
        <w:tblLook w:val="04A0" w:firstRow="1" w:lastRow="0" w:firstColumn="1" w:lastColumn="0" w:noHBand="0" w:noVBand="1"/>
      </w:tblPr>
      <w:tblGrid>
        <w:gridCol w:w="2268"/>
        <w:gridCol w:w="2790"/>
        <w:gridCol w:w="180"/>
        <w:gridCol w:w="1152"/>
        <w:gridCol w:w="108"/>
        <w:gridCol w:w="3420"/>
      </w:tblGrid>
      <w:tr w:rsidR="009F468D" w:rsidRPr="00FA66A9" w:rsidTr="009F468D">
        <w:tc>
          <w:tcPr>
            <w:tcW w:w="9918" w:type="dxa"/>
            <w:gridSpan w:val="6"/>
            <w:tcBorders>
              <w:top w:val="double" w:sz="4" w:space="0" w:color="auto"/>
              <w:left w:val="double" w:sz="4" w:space="0" w:color="auto"/>
              <w:right w:val="double" w:sz="4" w:space="0" w:color="auto"/>
            </w:tcBorders>
            <w:shd w:val="clear" w:color="auto" w:fill="B6DDE8"/>
          </w:tcPr>
          <w:p w:rsidR="009F468D" w:rsidRPr="00FA66A9" w:rsidRDefault="009F468D" w:rsidP="009F468D">
            <w:pPr>
              <w:spacing w:after="0" w:line="240" w:lineRule="auto"/>
              <w:jc w:val="center"/>
              <w:rPr>
                <w:rFonts w:cstheme="minorHAnsi"/>
                <w:b/>
                <w:bCs/>
                <w:sz w:val="20"/>
                <w:szCs w:val="20"/>
              </w:rPr>
            </w:pPr>
            <w:r w:rsidRPr="00FA66A9">
              <w:rPr>
                <w:rFonts w:cstheme="minorHAnsi"/>
                <w:b/>
                <w:bCs/>
                <w:sz w:val="20"/>
                <w:szCs w:val="20"/>
              </w:rPr>
              <w:t>2012</w:t>
            </w:r>
          </w:p>
        </w:tc>
      </w:tr>
      <w:tr w:rsidR="009F468D" w:rsidRPr="00FA66A9" w:rsidTr="009F468D">
        <w:tc>
          <w:tcPr>
            <w:tcW w:w="2268" w:type="dxa"/>
            <w:tcBorders>
              <w:left w:val="double" w:sz="4" w:space="0" w:color="auto"/>
              <w:bottom w:val="nil"/>
              <w:right w:val="nil"/>
            </w:tcBorders>
            <w:shd w:val="clear" w:color="auto" w:fill="B6DDE8"/>
          </w:tcPr>
          <w:p w:rsidR="009F468D" w:rsidRPr="00FA66A9" w:rsidRDefault="009F468D" w:rsidP="009F468D">
            <w:pPr>
              <w:spacing w:after="0" w:line="240" w:lineRule="auto"/>
              <w:rPr>
                <w:rFonts w:cstheme="minorHAnsi"/>
                <w:b/>
                <w:bCs/>
                <w:sz w:val="20"/>
                <w:szCs w:val="20"/>
              </w:rPr>
            </w:pPr>
            <w:r w:rsidRPr="00FA66A9">
              <w:rPr>
                <w:rFonts w:cstheme="minorHAnsi"/>
                <w:b/>
                <w:bCs/>
                <w:sz w:val="20"/>
                <w:szCs w:val="20"/>
              </w:rPr>
              <w:t>Significant Output Achievements</w:t>
            </w:r>
          </w:p>
        </w:tc>
        <w:tc>
          <w:tcPr>
            <w:tcW w:w="2790" w:type="dxa"/>
            <w:shd w:val="clear" w:color="auto" w:fill="D8D8D8"/>
          </w:tcPr>
          <w:p w:rsidR="009F468D" w:rsidRPr="00FA66A9" w:rsidRDefault="009F468D" w:rsidP="009F468D">
            <w:pPr>
              <w:spacing w:after="0" w:line="240" w:lineRule="auto"/>
              <w:jc w:val="center"/>
              <w:rPr>
                <w:rFonts w:cstheme="minorHAnsi"/>
                <w:b/>
                <w:sz w:val="20"/>
                <w:szCs w:val="20"/>
              </w:rPr>
            </w:pPr>
            <w:r w:rsidRPr="00FA66A9">
              <w:rPr>
                <w:rFonts w:cstheme="minorHAnsi"/>
                <w:b/>
                <w:sz w:val="20"/>
                <w:szCs w:val="20"/>
              </w:rPr>
              <w:t>Indicators</w:t>
            </w:r>
          </w:p>
        </w:tc>
        <w:tc>
          <w:tcPr>
            <w:tcW w:w="1332" w:type="dxa"/>
            <w:gridSpan w:val="2"/>
            <w:shd w:val="clear" w:color="auto" w:fill="D8D8D8"/>
          </w:tcPr>
          <w:p w:rsidR="009F468D" w:rsidRPr="00FA66A9" w:rsidRDefault="009F468D" w:rsidP="009F468D">
            <w:pPr>
              <w:spacing w:after="0" w:line="240" w:lineRule="auto"/>
              <w:jc w:val="center"/>
              <w:rPr>
                <w:rFonts w:cstheme="minorHAnsi"/>
                <w:b/>
                <w:sz w:val="20"/>
                <w:szCs w:val="20"/>
              </w:rPr>
            </w:pPr>
            <w:r w:rsidRPr="00FA66A9">
              <w:rPr>
                <w:rFonts w:cstheme="minorHAnsi"/>
                <w:b/>
                <w:sz w:val="20"/>
                <w:szCs w:val="20"/>
              </w:rPr>
              <w:t>Project Intervention</w:t>
            </w:r>
          </w:p>
        </w:tc>
        <w:tc>
          <w:tcPr>
            <w:tcW w:w="3528" w:type="dxa"/>
            <w:gridSpan w:val="2"/>
            <w:tcBorders>
              <w:right w:val="double" w:sz="4" w:space="0" w:color="auto"/>
            </w:tcBorders>
            <w:shd w:val="clear" w:color="auto" w:fill="D8D8D8"/>
          </w:tcPr>
          <w:p w:rsidR="009F468D" w:rsidRPr="00FA66A9" w:rsidRDefault="009F468D" w:rsidP="009F468D">
            <w:pPr>
              <w:spacing w:after="0" w:line="240" w:lineRule="auto"/>
              <w:jc w:val="center"/>
              <w:rPr>
                <w:rFonts w:cstheme="minorHAnsi"/>
                <w:sz w:val="20"/>
                <w:szCs w:val="20"/>
              </w:rPr>
            </w:pPr>
            <w:r w:rsidRPr="00FA66A9">
              <w:rPr>
                <w:rFonts w:cstheme="minorHAnsi"/>
                <w:b/>
                <w:sz w:val="20"/>
                <w:szCs w:val="20"/>
              </w:rPr>
              <w:t>Evaluation Remar</w:t>
            </w:r>
            <w:r>
              <w:rPr>
                <w:rFonts w:cstheme="minorHAnsi"/>
                <w:b/>
                <w:sz w:val="20"/>
                <w:szCs w:val="20"/>
              </w:rPr>
              <w:t>k</w:t>
            </w:r>
            <w:r w:rsidRPr="00FA66A9">
              <w:rPr>
                <w:rFonts w:cstheme="minorHAnsi"/>
                <w:b/>
                <w:sz w:val="20"/>
                <w:szCs w:val="20"/>
              </w:rPr>
              <w:t>s</w:t>
            </w:r>
          </w:p>
        </w:tc>
      </w:tr>
      <w:tr w:rsidR="009F468D" w:rsidRPr="00FA66A9" w:rsidTr="009F468D">
        <w:tc>
          <w:tcPr>
            <w:tcW w:w="2268" w:type="dxa"/>
            <w:tcBorders>
              <w:left w:val="double" w:sz="4" w:space="0" w:color="auto"/>
            </w:tcBorders>
            <w:shd w:val="clear" w:color="auto" w:fill="B6DDE8"/>
          </w:tcPr>
          <w:p w:rsidR="009F468D" w:rsidRPr="00FA66A9" w:rsidRDefault="009F468D" w:rsidP="001E161B">
            <w:pPr>
              <w:pStyle w:val="ListParagraph"/>
              <w:numPr>
                <w:ilvl w:val="0"/>
                <w:numId w:val="44"/>
              </w:numPr>
              <w:spacing w:after="0" w:line="240" w:lineRule="auto"/>
              <w:ind w:left="72" w:hanging="162"/>
              <w:rPr>
                <w:rFonts w:cstheme="minorHAnsi"/>
                <w:b/>
                <w:bCs/>
                <w:sz w:val="20"/>
                <w:szCs w:val="20"/>
              </w:rPr>
            </w:pPr>
            <w:r w:rsidRPr="00FA66A9">
              <w:rPr>
                <w:rFonts w:cstheme="minorHAnsi"/>
                <w:b/>
                <w:bCs/>
                <w:sz w:val="20"/>
                <w:szCs w:val="20"/>
              </w:rPr>
              <w:t>Disaster Management Act 2012</w:t>
            </w:r>
          </w:p>
        </w:tc>
        <w:tc>
          <w:tcPr>
            <w:tcW w:w="2790" w:type="dxa"/>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Institutionalization through legislative measure (1)</w:t>
            </w:r>
          </w:p>
        </w:tc>
        <w:tc>
          <w:tcPr>
            <w:tcW w:w="1332"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CDMP-II</w:t>
            </w:r>
          </w:p>
        </w:tc>
        <w:tc>
          <w:tcPr>
            <w:tcW w:w="3528" w:type="dxa"/>
            <w:gridSpan w:val="2"/>
            <w:tcBorders>
              <w:right w:val="double" w:sz="4" w:space="0" w:color="auto"/>
            </w:tcBorders>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Good progress in strengthening management and governance structure in DM</w:t>
            </w:r>
          </w:p>
        </w:tc>
      </w:tr>
      <w:tr w:rsidR="009F468D" w:rsidRPr="00FA66A9" w:rsidTr="009F468D">
        <w:tc>
          <w:tcPr>
            <w:tcW w:w="226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72" w:hanging="162"/>
              <w:rPr>
                <w:rFonts w:cstheme="minorHAnsi"/>
                <w:b/>
                <w:bCs/>
                <w:sz w:val="20"/>
                <w:szCs w:val="20"/>
              </w:rPr>
            </w:pPr>
            <w:r w:rsidRPr="00FA66A9">
              <w:rPr>
                <w:rFonts w:cstheme="minorHAnsi"/>
                <w:b/>
                <w:bCs/>
                <w:sz w:val="20"/>
                <w:szCs w:val="20"/>
              </w:rPr>
              <w:t>Incorporation of DRR/CCA in sectoral plans and guidelines</w:t>
            </w:r>
          </w:p>
        </w:tc>
        <w:tc>
          <w:tcPr>
            <w:tcW w:w="2790" w:type="dxa"/>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Adoption by 13 Government ministries</w:t>
            </w:r>
          </w:p>
        </w:tc>
        <w:tc>
          <w:tcPr>
            <w:tcW w:w="1332"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CDMP-II &amp;</w:t>
            </w:r>
          </w:p>
          <w:p w:rsidR="009F468D" w:rsidRPr="00FA66A9" w:rsidRDefault="009F468D" w:rsidP="009F468D">
            <w:pPr>
              <w:spacing w:after="0" w:line="240" w:lineRule="auto"/>
              <w:rPr>
                <w:rFonts w:cstheme="minorHAnsi"/>
                <w:sz w:val="20"/>
                <w:szCs w:val="20"/>
              </w:rPr>
            </w:pPr>
            <w:r w:rsidRPr="00FA66A9">
              <w:rPr>
                <w:rFonts w:cstheme="minorHAnsi"/>
                <w:sz w:val="20"/>
                <w:szCs w:val="20"/>
              </w:rPr>
              <w:t>PECM</w:t>
            </w:r>
          </w:p>
        </w:tc>
        <w:tc>
          <w:tcPr>
            <w:tcW w:w="3528" w:type="dxa"/>
            <w:gridSpan w:val="2"/>
            <w:tcBorders>
              <w:right w:val="double" w:sz="4" w:space="0" w:color="auto"/>
            </w:tcBorders>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Remar</w:t>
            </w:r>
            <w:r>
              <w:rPr>
                <w:rFonts w:cstheme="minorHAnsi"/>
                <w:sz w:val="20"/>
                <w:szCs w:val="20"/>
              </w:rPr>
              <w:t>k</w:t>
            </w:r>
            <w:r w:rsidRPr="00FA66A9">
              <w:rPr>
                <w:rFonts w:cstheme="minorHAnsi"/>
                <w:sz w:val="20"/>
                <w:szCs w:val="20"/>
              </w:rPr>
              <w:t>able institution building effort and success in DRR/CCA areas: adoption of DRR/CCA in local level development initiative and implementation is largely missing (i.e., bottom up approach from Union Parisahd)</w:t>
            </w:r>
          </w:p>
        </w:tc>
      </w:tr>
      <w:tr w:rsidR="009F468D" w:rsidRPr="00FA66A9" w:rsidTr="009F468D">
        <w:tc>
          <w:tcPr>
            <w:tcW w:w="2268" w:type="dxa"/>
            <w:tcBorders>
              <w:left w:val="double" w:sz="4" w:space="0" w:color="auto"/>
            </w:tcBorders>
            <w:shd w:val="clear" w:color="auto" w:fill="B6DDE8"/>
          </w:tcPr>
          <w:p w:rsidR="009F468D" w:rsidRPr="00FA66A9" w:rsidRDefault="009F468D" w:rsidP="001E161B">
            <w:pPr>
              <w:pStyle w:val="ListParagraph"/>
              <w:numPr>
                <w:ilvl w:val="0"/>
                <w:numId w:val="44"/>
              </w:numPr>
              <w:spacing w:after="0" w:line="240" w:lineRule="auto"/>
              <w:ind w:left="72" w:hanging="162"/>
              <w:rPr>
                <w:rFonts w:cstheme="minorHAnsi"/>
                <w:b/>
                <w:bCs/>
                <w:sz w:val="20"/>
                <w:szCs w:val="20"/>
              </w:rPr>
            </w:pPr>
            <w:r w:rsidRPr="00FA66A9">
              <w:rPr>
                <w:rFonts w:cstheme="minorHAnsi"/>
                <w:b/>
                <w:bCs/>
                <w:sz w:val="20"/>
                <w:szCs w:val="20"/>
              </w:rPr>
              <w:t>Development of disaster volunteerism</w:t>
            </w:r>
          </w:p>
        </w:tc>
        <w:tc>
          <w:tcPr>
            <w:tcW w:w="2790" w:type="dxa"/>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15000 urban volunteers mobilized (e.g., no fatality in the target areas affected by landslides by 2012)</w:t>
            </w:r>
          </w:p>
        </w:tc>
        <w:tc>
          <w:tcPr>
            <w:tcW w:w="1332"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CDMP-II</w:t>
            </w:r>
          </w:p>
        </w:tc>
        <w:tc>
          <w:tcPr>
            <w:tcW w:w="3528" w:type="dxa"/>
            <w:gridSpan w:val="2"/>
            <w:tcBorders>
              <w:right w:val="double" w:sz="4" w:space="0" w:color="auto"/>
            </w:tcBorders>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 xml:space="preserve">An innovative effort in much needed rapidly growing  towns and cities; sustainability would be a challenge </w:t>
            </w:r>
          </w:p>
        </w:tc>
      </w:tr>
      <w:tr w:rsidR="009F468D" w:rsidRPr="00FA66A9" w:rsidTr="009F468D">
        <w:tc>
          <w:tcPr>
            <w:tcW w:w="226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72" w:hanging="180"/>
              <w:rPr>
                <w:rFonts w:cstheme="minorHAnsi"/>
                <w:b/>
                <w:bCs/>
                <w:sz w:val="20"/>
                <w:szCs w:val="20"/>
              </w:rPr>
            </w:pPr>
            <w:r w:rsidRPr="00FA66A9">
              <w:rPr>
                <w:rFonts w:cstheme="minorHAnsi"/>
                <w:b/>
                <w:bCs/>
                <w:sz w:val="20"/>
                <w:szCs w:val="20"/>
              </w:rPr>
              <w:t>Improved access to early warning, mechanisms to reach shelters, and better access to first aid/relief goods/services</w:t>
            </w:r>
          </w:p>
        </w:tc>
        <w:tc>
          <w:tcPr>
            <w:tcW w:w="2790" w:type="dxa"/>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Coverage of additional 10.6 million people; enhanced awareness among local government officials and community members on DRR and CCA</w:t>
            </w:r>
          </w:p>
        </w:tc>
        <w:tc>
          <w:tcPr>
            <w:tcW w:w="1332"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CDMP-II</w:t>
            </w:r>
          </w:p>
        </w:tc>
        <w:tc>
          <w:tcPr>
            <w:tcW w:w="3528" w:type="dxa"/>
            <w:gridSpan w:val="2"/>
            <w:tcBorders>
              <w:right w:val="double" w:sz="4" w:space="0" w:color="auto"/>
            </w:tcBorders>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Strengthened local capacities to prepare for cyclone disasters and ris</w:t>
            </w:r>
            <w:r>
              <w:rPr>
                <w:rFonts w:cstheme="minorHAnsi"/>
                <w:sz w:val="20"/>
                <w:szCs w:val="20"/>
              </w:rPr>
              <w:t>k</w:t>
            </w:r>
            <w:r w:rsidRPr="00FA66A9">
              <w:rPr>
                <w:rFonts w:cstheme="minorHAnsi"/>
                <w:sz w:val="20"/>
                <w:szCs w:val="20"/>
              </w:rPr>
              <w:t xml:space="preserve"> arising climate change</w:t>
            </w:r>
          </w:p>
        </w:tc>
      </w:tr>
      <w:tr w:rsidR="009F468D" w:rsidRPr="00FA66A9" w:rsidTr="009F468D">
        <w:tc>
          <w:tcPr>
            <w:tcW w:w="226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72" w:hanging="158"/>
              <w:rPr>
                <w:rFonts w:cstheme="minorHAnsi"/>
                <w:b/>
                <w:bCs/>
                <w:sz w:val="20"/>
                <w:szCs w:val="20"/>
              </w:rPr>
            </w:pPr>
            <w:r w:rsidRPr="00FA66A9">
              <w:rPr>
                <w:rFonts w:cstheme="minorHAnsi"/>
                <w:b/>
                <w:bCs/>
                <w:sz w:val="20"/>
                <w:szCs w:val="20"/>
              </w:rPr>
              <w:t>Indicator framewor</w:t>
            </w:r>
            <w:r>
              <w:rPr>
                <w:rFonts w:cstheme="minorHAnsi"/>
                <w:b/>
                <w:bCs/>
                <w:sz w:val="20"/>
                <w:szCs w:val="20"/>
              </w:rPr>
              <w:t>k</w:t>
            </w:r>
            <w:r w:rsidRPr="00FA66A9">
              <w:rPr>
                <w:rFonts w:cstheme="minorHAnsi"/>
                <w:b/>
                <w:bCs/>
                <w:sz w:val="20"/>
                <w:szCs w:val="20"/>
              </w:rPr>
              <w:t xml:space="preserve"> for pro-poor, environment friendly, low emission, and climate resilient development developed by planning commission</w:t>
            </w:r>
          </w:p>
        </w:tc>
        <w:tc>
          <w:tcPr>
            <w:tcW w:w="2790" w:type="dxa"/>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Published Government documents</w:t>
            </w:r>
          </w:p>
        </w:tc>
        <w:tc>
          <w:tcPr>
            <w:tcW w:w="1332"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PECM</w:t>
            </w:r>
          </w:p>
        </w:tc>
        <w:tc>
          <w:tcPr>
            <w:tcW w:w="3528" w:type="dxa"/>
            <w:gridSpan w:val="2"/>
            <w:tcBorders>
              <w:right w:val="double" w:sz="4" w:space="0" w:color="auto"/>
            </w:tcBorders>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Systematic monitoring helps country move towards climate resilient development</w:t>
            </w:r>
          </w:p>
        </w:tc>
      </w:tr>
      <w:tr w:rsidR="009F468D" w:rsidRPr="00FA66A9" w:rsidTr="009F468D">
        <w:tc>
          <w:tcPr>
            <w:tcW w:w="2268" w:type="dxa"/>
            <w:tcBorders>
              <w:left w:val="double" w:sz="4" w:space="0" w:color="auto"/>
            </w:tcBorders>
            <w:shd w:val="clear" w:color="auto" w:fill="B6DDE8"/>
          </w:tcPr>
          <w:p w:rsidR="009F468D" w:rsidRPr="00FA66A9" w:rsidRDefault="009F468D" w:rsidP="001E161B">
            <w:pPr>
              <w:pStyle w:val="ListParagraph"/>
              <w:numPr>
                <w:ilvl w:val="0"/>
                <w:numId w:val="44"/>
              </w:numPr>
              <w:spacing w:after="0" w:line="240" w:lineRule="auto"/>
              <w:ind w:left="72" w:hanging="180"/>
              <w:rPr>
                <w:rFonts w:cstheme="minorHAnsi"/>
                <w:b/>
                <w:bCs/>
                <w:sz w:val="20"/>
                <w:szCs w:val="20"/>
              </w:rPr>
            </w:pPr>
            <w:r w:rsidRPr="00FA66A9">
              <w:rPr>
                <w:rFonts w:cstheme="minorHAnsi"/>
                <w:b/>
                <w:bCs/>
                <w:sz w:val="20"/>
                <w:szCs w:val="20"/>
              </w:rPr>
              <w:t>Strengthening of early warning capacity through capacity building of the Flood Forecasting and Warning Center</w:t>
            </w:r>
          </w:p>
        </w:tc>
        <w:tc>
          <w:tcPr>
            <w:tcW w:w="2790" w:type="dxa"/>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 xml:space="preserve">Lead time flood forecast for the Brahmaputra Basin extended from 3 to 5 days; existing flood forecasting model upgraded </w:t>
            </w:r>
          </w:p>
        </w:tc>
        <w:tc>
          <w:tcPr>
            <w:tcW w:w="1332"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CDMP-II</w:t>
            </w:r>
          </w:p>
        </w:tc>
        <w:tc>
          <w:tcPr>
            <w:tcW w:w="3528" w:type="dxa"/>
            <w:gridSpan w:val="2"/>
            <w:tcBorders>
              <w:right w:val="double" w:sz="4" w:space="0" w:color="auto"/>
            </w:tcBorders>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Improved flood forecasting lead time: Built capacity but some gaps remain (e.g., North-East region)</w:t>
            </w:r>
          </w:p>
        </w:tc>
      </w:tr>
      <w:tr w:rsidR="009F468D" w:rsidRPr="00FA66A9" w:rsidTr="009F468D">
        <w:tc>
          <w:tcPr>
            <w:tcW w:w="226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90" w:hanging="198"/>
              <w:rPr>
                <w:rFonts w:cstheme="minorHAnsi"/>
                <w:b/>
                <w:bCs/>
                <w:sz w:val="20"/>
                <w:szCs w:val="20"/>
              </w:rPr>
            </w:pPr>
            <w:r w:rsidRPr="00FA66A9">
              <w:rPr>
                <w:rFonts w:cstheme="minorHAnsi"/>
                <w:b/>
                <w:bCs/>
                <w:sz w:val="20"/>
                <w:szCs w:val="20"/>
              </w:rPr>
              <w:t>Scaling –up of  disaster management and earthqua</w:t>
            </w:r>
            <w:r>
              <w:rPr>
                <w:rFonts w:cstheme="minorHAnsi"/>
                <w:b/>
                <w:bCs/>
                <w:sz w:val="20"/>
                <w:szCs w:val="20"/>
              </w:rPr>
              <w:t>k</w:t>
            </w:r>
            <w:r w:rsidRPr="00FA66A9">
              <w:rPr>
                <w:rFonts w:cstheme="minorHAnsi"/>
                <w:b/>
                <w:bCs/>
                <w:sz w:val="20"/>
                <w:szCs w:val="20"/>
              </w:rPr>
              <w:t xml:space="preserve">e drill in schools </w:t>
            </w:r>
          </w:p>
        </w:tc>
        <w:tc>
          <w:tcPr>
            <w:tcW w:w="2790" w:type="dxa"/>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30,000 primary schools and 268 secondary schools organized earthqua</w:t>
            </w:r>
            <w:r>
              <w:rPr>
                <w:rFonts w:cstheme="minorHAnsi"/>
                <w:sz w:val="20"/>
                <w:szCs w:val="20"/>
              </w:rPr>
              <w:t>k</w:t>
            </w:r>
            <w:r w:rsidRPr="00FA66A9">
              <w:rPr>
                <w:rFonts w:cstheme="minorHAnsi"/>
                <w:sz w:val="20"/>
                <w:szCs w:val="20"/>
              </w:rPr>
              <w:t>e drills</w:t>
            </w:r>
          </w:p>
        </w:tc>
        <w:tc>
          <w:tcPr>
            <w:tcW w:w="1332"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CDMP-II</w:t>
            </w:r>
          </w:p>
        </w:tc>
        <w:tc>
          <w:tcPr>
            <w:tcW w:w="3528" w:type="dxa"/>
            <w:gridSpan w:val="2"/>
            <w:tcBorders>
              <w:right w:val="double" w:sz="4" w:space="0" w:color="auto"/>
            </w:tcBorders>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Introduction of disaster and earthqua</w:t>
            </w:r>
            <w:r>
              <w:rPr>
                <w:rFonts w:cstheme="minorHAnsi"/>
                <w:sz w:val="20"/>
                <w:szCs w:val="20"/>
              </w:rPr>
              <w:t>k</w:t>
            </w:r>
            <w:r w:rsidRPr="00FA66A9">
              <w:rPr>
                <w:rFonts w:cstheme="minorHAnsi"/>
                <w:sz w:val="20"/>
                <w:szCs w:val="20"/>
              </w:rPr>
              <w:t>e drills in schools as an innovative idea and practice: further scaling-up is needed</w:t>
            </w:r>
          </w:p>
        </w:tc>
      </w:tr>
      <w:tr w:rsidR="009F468D" w:rsidRPr="00FA66A9" w:rsidTr="009F468D">
        <w:tc>
          <w:tcPr>
            <w:tcW w:w="2268" w:type="dxa"/>
            <w:tcBorders>
              <w:left w:val="double" w:sz="4" w:space="0" w:color="auto"/>
            </w:tcBorders>
            <w:shd w:val="clear" w:color="auto" w:fill="B6DDE8"/>
          </w:tcPr>
          <w:p w:rsidR="009F468D" w:rsidRPr="00FA66A9" w:rsidRDefault="009F468D" w:rsidP="001E161B">
            <w:pPr>
              <w:pStyle w:val="ListParagraph"/>
              <w:numPr>
                <w:ilvl w:val="0"/>
                <w:numId w:val="44"/>
              </w:numPr>
              <w:spacing w:after="0" w:line="240" w:lineRule="auto"/>
              <w:ind w:left="90" w:hanging="198"/>
              <w:rPr>
                <w:rFonts w:cstheme="minorHAnsi"/>
                <w:b/>
                <w:bCs/>
                <w:sz w:val="20"/>
                <w:szCs w:val="20"/>
              </w:rPr>
            </w:pPr>
            <w:r w:rsidRPr="00FA66A9">
              <w:rPr>
                <w:rFonts w:cstheme="minorHAnsi"/>
                <w:b/>
                <w:bCs/>
                <w:sz w:val="20"/>
                <w:szCs w:val="20"/>
              </w:rPr>
              <w:t>Development of “Guidelines for humanitarian assistance programme implementation”.</w:t>
            </w:r>
          </w:p>
        </w:tc>
        <w:tc>
          <w:tcPr>
            <w:tcW w:w="2790" w:type="dxa"/>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Institutionalization of effective and efficient humanitarian response in times of crises</w:t>
            </w:r>
          </w:p>
        </w:tc>
        <w:tc>
          <w:tcPr>
            <w:tcW w:w="1332"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ERF</w:t>
            </w:r>
          </w:p>
        </w:tc>
        <w:tc>
          <w:tcPr>
            <w:tcW w:w="3528" w:type="dxa"/>
            <w:gridSpan w:val="2"/>
            <w:tcBorders>
              <w:right w:val="double" w:sz="4" w:space="0" w:color="auto"/>
            </w:tcBorders>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Enhanced efficiency in delivering and responding to humanitarian needs</w:t>
            </w:r>
          </w:p>
        </w:tc>
      </w:tr>
      <w:tr w:rsidR="009F468D" w:rsidRPr="00FA66A9" w:rsidTr="009F468D">
        <w:tc>
          <w:tcPr>
            <w:tcW w:w="9918" w:type="dxa"/>
            <w:gridSpan w:val="6"/>
            <w:tcBorders>
              <w:left w:val="double" w:sz="4" w:space="0" w:color="auto"/>
              <w:right w:val="double" w:sz="4" w:space="0" w:color="auto"/>
            </w:tcBorders>
            <w:shd w:val="clear" w:color="auto" w:fill="B6DDE8"/>
          </w:tcPr>
          <w:p w:rsidR="009F468D" w:rsidRPr="00FA66A9" w:rsidRDefault="009F468D" w:rsidP="009F468D">
            <w:pPr>
              <w:spacing w:after="0" w:line="240" w:lineRule="auto"/>
              <w:jc w:val="center"/>
              <w:rPr>
                <w:rFonts w:cstheme="minorHAnsi"/>
                <w:b/>
                <w:bCs/>
                <w:sz w:val="20"/>
                <w:szCs w:val="20"/>
              </w:rPr>
            </w:pPr>
            <w:r w:rsidRPr="00FA66A9">
              <w:rPr>
                <w:rFonts w:cstheme="minorHAnsi"/>
                <w:b/>
                <w:bCs/>
                <w:sz w:val="20"/>
                <w:szCs w:val="20"/>
              </w:rPr>
              <w:t>2013</w:t>
            </w:r>
          </w:p>
        </w:tc>
      </w:tr>
      <w:tr w:rsidR="009F468D" w:rsidRPr="00FA66A9" w:rsidTr="009F468D">
        <w:tc>
          <w:tcPr>
            <w:tcW w:w="2268" w:type="dxa"/>
            <w:tcBorders>
              <w:left w:val="double" w:sz="4" w:space="0" w:color="auto"/>
            </w:tcBorders>
            <w:shd w:val="clear" w:color="auto" w:fill="B6DDE8"/>
          </w:tcPr>
          <w:p w:rsidR="009F468D" w:rsidRPr="00FA66A9" w:rsidRDefault="009F468D" w:rsidP="001E161B">
            <w:pPr>
              <w:pStyle w:val="ListParagraph"/>
              <w:numPr>
                <w:ilvl w:val="0"/>
                <w:numId w:val="44"/>
              </w:numPr>
              <w:spacing w:after="0" w:line="240" w:lineRule="auto"/>
              <w:ind w:left="72" w:hanging="180"/>
              <w:rPr>
                <w:rFonts w:cstheme="minorHAnsi"/>
                <w:b/>
                <w:bCs/>
                <w:sz w:val="20"/>
                <w:szCs w:val="20"/>
              </w:rPr>
            </w:pPr>
            <w:r w:rsidRPr="00FA66A9">
              <w:rPr>
                <w:rFonts w:cstheme="minorHAnsi"/>
                <w:b/>
                <w:bCs/>
                <w:sz w:val="20"/>
                <w:szCs w:val="20"/>
              </w:rPr>
              <w:t>Introduction to vulnerability index and community asset score</w:t>
            </w:r>
          </w:p>
        </w:tc>
        <w:tc>
          <w:tcPr>
            <w:tcW w:w="2970"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 xml:space="preserve">Applied in 19 coastal districts </w:t>
            </w:r>
          </w:p>
        </w:tc>
        <w:tc>
          <w:tcPr>
            <w:tcW w:w="1260"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CDMP-II</w:t>
            </w:r>
          </w:p>
        </w:tc>
        <w:tc>
          <w:tcPr>
            <w:tcW w:w="3420" w:type="dxa"/>
            <w:tcBorders>
              <w:right w:val="double" w:sz="4" w:space="0" w:color="auto"/>
            </w:tcBorders>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 xml:space="preserve">Stepping towards developing an effective tool for measuring DRR; commendable coverage (100%) of all </w:t>
            </w:r>
            <w:r w:rsidRPr="00FA66A9">
              <w:rPr>
                <w:rFonts w:cstheme="minorHAnsi"/>
                <w:sz w:val="20"/>
                <w:szCs w:val="20"/>
              </w:rPr>
              <w:lastRenderedPageBreak/>
              <w:t>vulnerable coastal districts. However how these indices will be applied to local level planning and implementation has not been explicitly addressed.</w:t>
            </w:r>
          </w:p>
        </w:tc>
      </w:tr>
      <w:tr w:rsidR="009F468D" w:rsidRPr="00FA66A9" w:rsidTr="009F468D">
        <w:tc>
          <w:tcPr>
            <w:tcW w:w="226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72" w:hanging="180"/>
              <w:rPr>
                <w:rFonts w:cstheme="minorHAnsi"/>
                <w:b/>
                <w:bCs/>
                <w:sz w:val="20"/>
                <w:szCs w:val="20"/>
              </w:rPr>
            </w:pPr>
            <w:r w:rsidRPr="00FA66A9">
              <w:rPr>
                <w:rFonts w:cstheme="minorHAnsi"/>
                <w:b/>
                <w:bCs/>
                <w:sz w:val="20"/>
                <w:szCs w:val="20"/>
              </w:rPr>
              <w:lastRenderedPageBreak/>
              <w:t>Extension of coverage of early warning systems</w:t>
            </w:r>
          </w:p>
        </w:tc>
        <w:tc>
          <w:tcPr>
            <w:tcW w:w="2970"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112 million people received and access early warning and disaster related information; 10,000 disaster management focal point equipped</w:t>
            </w:r>
          </w:p>
        </w:tc>
        <w:tc>
          <w:tcPr>
            <w:tcW w:w="1260"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CDMP-II</w:t>
            </w:r>
          </w:p>
        </w:tc>
        <w:tc>
          <w:tcPr>
            <w:tcW w:w="3420" w:type="dxa"/>
            <w:tcBorders>
              <w:right w:val="double" w:sz="4" w:space="0" w:color="auto"/>
            </w:tcBorders>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Further coverage of (e.g., North-Eastern region)  early warning system (EWS) for flash flood is needed; EWS need to consider low intensity cyclone: sustainability of focal point capacities should be examined</w:t>
            </w:r>
          </w:p>
        </w:tc>
      </w:tr>
      <w:tr w:rsidR="009F468D" w:rsidRPr="00FA66A9" w:rsidTr="009F468D">
        <w:tc>
          <w:tcPr>
            <w:tcW w:w="2268" w:type="dxa"/>
            <w:tcBorders>
              <w:left w:val="double" w:sz="4" w:space="0" w:color="auto"/>
            </w:tcBorders>
            <w:shd w:val="clear" w:color="auto" w:fill="B6DDE8"/>
          </w:tcPr>
          <w:p w:rsidR="009F468D" w:rsidRPr="00FA66A9" w:rsidRDefault="009F468D" w:rsidP="001E161B">
            <w:pPr>
              <w:pStyle w:val="ListParagraph"/>
              <w:numPr>
                <w:ilvl w:val="0"/>
                <w:numId w:val="44"/>
              </w:numPr>
              <w:spacing w:after="0" w:line="240" w:lineRule="auto"/>
              <w:ind w:left="162" w:hanging="270"/>
              <w:rPr>
                <w:rFonts w:cstheme="minorHAnsi"/>
                <w:b/>
                <w:bCs/>
                <w:sz w:val="20"/>
                <w:szCs w:val="20"/>
              </w:rPr>
            </w:pPr>
            <w:r w:rsidRPr="00FA66A9">
              <w:rPr>
                <w:rFonts w:cstheme="minorHAnsi"/>
                <w:b/>
                <w:bCs/>
                <w:sz w:val="20"/>
                <w:szCs w:val="20"/>
              </w:rPr>
              <w:t xml:space="preserve">Mobilization of volunteers through using cell-based EWS; collaboration with the Bangladesh Scouts </w:t>
            </w:r>
          </w:p>
        </w:tc>
        <w:tc>
          <w:tcPr>
            <w:tcW w:w="2970"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Government capacity to mobilize additional 1 million volunteers to help emergency management (1.1 million people were evacuated during cyclone Mohasen)</w:t>
            </w:r>
          </w:p>
        </w:tc>
        <w:tc>
          <w:tcPr>
            <w:tcW w:w="1260"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CDMP-II</w:t>
            </w:r>
          </w:p>
        </w:tc>
        <w:tc>
          <w:tcPr>
            <w:tcW w:w="3420" w:type="dxa"/>
            <w:tcBorders>
              <w:right w:val="double" w:sz="4" w:space="0" w:color="auto"/>
            </w:tcBorders>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Evacuation capacity enhanced; sustainability would be a challenge</w:t>
            </w:r>
          </w:p>
        </w:tc>
      </w:tr>
      <w:tr w:rsidR="009F468D" w:rsidRPr="00FA66A9" w:rsidTr="009F468D">
        <w:tc>
          <w:tcPr>
            <w:tcW w:w="226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162" w:hanging="180"/>
              <w:rPr>
                <w:rFonts w:cstheme="minorHAnsi"/>
                <w:b/>
                <w:bCs/>
                <w:sz w:val="20"/>
                <w:szCs w:val="20"/>
              </w:rPr>
            </w:pPr>
            <w:r w:rsidRPr="00FA66A9">
              <w:rPr>
                <w:rFonts w:cstheme="minorHAnsi"/>
                <w:b/>
                <w:bCs/>
                <w:sz w:val="20"/>
                <w:szCs w:val="20"/>
              </w:rPr>
              <w:t>Local level funding schemes for reducing natural disasters and climate change ris</w:t>
            </w:r>
            <w:r>
              <w:rPr>
                <w:rFonts w:cstheme="minorHAnsi"/>
                <w:b/>
                <w:bCs/>
                <w:sz w:val="20"/>
                <w:szCs w:val="20"/>
              </w:rPr>
              <w:t>k</w:t>
            </w:r>
            <w:r w:rsidRPr="00FA66A9">
              <w:rPr>
                <w:rFonts w:cstheme="minorHAnsi"/>
                <w:b/>
                <w:bCs/>
                <w:sz w:val="20"/>
                <w:szCs w:val="20"/>
              </w:rPr>
              <w:t xml:space="preserve"> introduced</w:t>
            </w:r>
          </w:p>
        </w:tc>
        <w:tc>
          <w:tcPr>
            <w:tcW w:w="2970"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1200 schemes were implemented benefiting 3million vulnerable people (45% women)</w:t>
            </w:r>
          </w:p>
        </w:tc>
        <w:tc>
          <w:tcPr>
            <w:tcW w:w="1260"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CDMP-II</w:t>
            </w:r>
          </w:p>
        </w:tc>
        <w:tc>
          <w:tcPr>
            <w:tcW w:w="3420" w:type="dxa"/>
            <w:tcBorders>
              <w:right w:val="double" w:sz="4" w:space="0" w:color="auto"/>
            </w:tcBorders>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Good coverage, particularly women; local level resource capacity built: scaling-up needed</w:t>
            </w:r>
          </w:p>
        </w:tc>
      </w:tr>
      <w:tr w:rsidR="009F468D" w:rsidRPr="00FA66A9" w:rsidTr="009F468D">
        <w:tc>
          <w:tcPr>
            <w:tcW w:w="2268" w:type="dxa"/>
            <w:tcBorders>
              <w:left w:val="double" w:sz="4" w:space="0" w:color="auto"/>
            </w:tcBorders>
            <w:shd w:val="clear" w:color="auto" w:fill="B6DDE8"/>
          </w:tcPr>
          <w:p w:rsidR="009F468D" w:rsidRPr="00FA66A9" w:rsidRDefault="009F468D" w:rsidP="001E161B">
            <w:pPr>
              <w:pStyle w:val="ListParagraph"/>
              <w:numPr>
                <w:ilvl w:val="0"/>
                <w:numId w:val="44"/>
              </w:numPr>
              <w:spacing w:after="0" w:line="240" w:lineRule="auto"/>
              <w:ind w:left="72" w:hanging="180"/>
              <w:rPr>
                <w:rFonts w:cstheme="minorHAnsi"/>
                <w:b/>
                <w:bCs/>
                <w:sz w:val="20"/>
                <w:szCs w:val="20"/>
              </w:rPr>
            </w:pPr>
            <w:r w:rsidRPr="00FA66A9">
              <w:rPr>
                <w:rFonts w:cstheme="minorHAnsi"/>
                <w:b/>
                <w:bCs/>
                <w:sz w:val="20"/>
                <w:szCs w:val="20"/>
              </w:rPr>
              <w:t>DRR and CCA education programs and curriculum introduced for human resource development</w:t>
            </w:r>
          </w:p>
        </w:tc>
        <w:tc>
          <w:tcPr>
            <w:tcW w:w="2970"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18 million students (8-17 years old covered); incorporation of disaster ris</w:t>
            </w:r>
            <w:r>
              <w:rPr>
                <w:rFonts w:cstheme="minorHAnsi"/>
                <w:sz w:val="20"/>
                <w:szCs w:val="20"/>
              </w:rPr>
              <w:t>k</w:t>
            </w:r>
            <w:r w:rsidRPr="00FA66A9">
              <w:rPr>
                <w:rFonts w:cstheme="minorHAnsi"/>
                <w:sz w:val="20"/>
                <w:szCs w:val="20"/>
              </w:rPr>
              <w:t xml:space="preserve"> and CC into 39 text boo</w:t>
            </w:r>
            <w:r>
              <w:rPr>
                <w:rFonts w:cstheme="minorHAnsi"/>
                <w:sz w:val="20"/>
                <w:szCs w:val="20"/>
              </w:rPr>
              <w:t>k</w:t>
            </w:r>
            <w:r w:rsidRPr="00FA66A9">
              <w:rPr>
                <w:rFonts w:cstheme="minorHAnsi"/>
                <w:sz w:val="20"/>
                <w:szCs w:val="20"/>
              </w:rPr>
              <w:t>s; few universities and training institutions infrastructure and academic capacity built</w:t>
            </w:r>
          </w:p>
        </w:tc>
        <w:tc>
          <w:tcPr>
            <w:tcW w:w="1260"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CDMP-II</w:t>
            </w:r>
          </w:p>
        </w:tc>
        <w:tc>
          <w:tcPr>
            <w:tcW w:w="3420" w:type="dxa"/>
            <w:tcBorders>
              <w:right w:val="double" w:sz="4" w:space="0" w:color="auto"/>
            </w:tcBorders>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Students wor</w:t>
            </w:r>
            <w:r>
              <w:rPr>
                <w:rFonts w:cstheme="minorHAnsi"/>
                <w:sz w:val="20"/>
                <w:szCs w:val="20"/>
              </w:rPr>
              <w:t>k</w:t>
            </w:r>
            <w:r w:rsidRPr="00FA66A9">
              <w:rPr>
                <w:rFonts w:cstheme="minorHAnsi"/>
                <w:sz w:val="20"/>
                <w:szCs w:val="20"/>
              </w:rPr>
              <w:t xml:space="preserve"> as a change agent for the society in DRR and CCA areas; li</w:t>
            </w:r>
            <w:r>
              <w:rPr>
                <w:rFonts w:cstheme="minorHAnsi"/>
                <w:sz w:val="20"/>
                <w:szCs w:val="20"/>
              </w:rPr>
              <w:t>k</w:t>
            </w:r>
            <w:r w:rsidRPr="00FA66A9">
              <w:rPr>
                <w:rFonts w:cstheme="minorHAnsi"/>
                <w:sz w:val="20"/>
                <w:szCs w:val="20"/>
              </w:rPr>
              <w:t>ely to have played a role in triggering transformational change</w:t>
            </w:r>
          </w:p>
        </w:tc>
      </w:tr>
      <w:tr w:rsidR="009F468D" w:rsidRPr="00FA66A9" w:rsidTr="009F468D">
        <w:tc>
          <w:tcPr>
            <w:tcW w:w="9918" w:type="dxa"/>
            <w:gridSpan w:val="6"/>
            <w:tcBorders>
              <w:left w:val="double" w:sz="4" w:space="0" w:color="auto"/>
              <w:right w:val="double" w:sz="4" w:space="0" w:color="auto"/>
            </w:tcBorders>
            <w:shd w:val="clear" w:color="auto" w:fill="B6DDE8"/>
          </w:tcPr>
          <w:p w:rsidR="009F468D" w:rsidRPr="00FA66A9" w:rsidRDefault="009F468D" w:rsidP="009F468D">
            <w:pPr>
              <w:spacing w:after="0" w:line="240" w:lineRule="auto"/>
              <w:jc w:val="center"/>
              <w:rPr>
                <w:rFonts w:cstheme="minorHAnsi"/>
                <w:b/>
                <w:bCs/>
                <w:sz w:val="20"/>
                <w:szCs w:val="20"/>
              </w:rPr>
            </w:pPr>
            <w:r w:rsidRPr="00FA66A9">
              <w:rPr>
                <w:rFonts w:cstheme="minorHAnsi"/>
                <w:b/>
                <w:bCs/>
                <w:sz w:val="20"/>
                <w:szCs w:val="20"/>
              </w:rPr>
              <w:t>2014</w:t>
            </w:r>
          </w:p>
        </w:tc>
      </w:tr>
      <w:tr w:rsidR="009F468D" w:rsidRPr="00FA66A9" w:rsidTr="009F468D">
        <w:tc>
          <w:tcPr>
            <w:tcW w:w="2268" w:type="dxa"/>
            <w:tcBorders>
              <w:left w:val="double" w:sz="4" w:space="0" w:color="auto"/>
            </w:tcBorders>
            <w:shd w:val="clear" w:color="auto" w:fill="B6DDE8"/>
          </w:tcPr>
          <w:p w:rsidR="009F468D" w:rsidRPr="00FA66A9" w:rsidRDefault="009F468D" w:rsidP="001E161B">
            <w:pPr>
              <w:pStyle w:val="ListParagraph"/>
              <w:numPr>
                <w:ilvl w:val="0"/>
                <w:numId w:val="44"/>
              </w:numPr>
              <w:spacing w:after="0" w:line="240" w:lineRule="auto"/>
              <w:ind w:left="72" w:hanging="180"/>
              <w:rPr>
                <w:rFonts w:cstheme="minorHAnsi"/>
                <w:b/>
                <w:bCs/>
                <w:sz w:val="20"/>
                <w:szCs w:val="20"/>
              </w:rPr>
            </w:pPr>
            <w:r w:rsidRPr="00FA66A9">
              <w:rPr>
                <w:rFonts w:cstheme="minorHAnsi"/>
                <w:b/>
                <w:bCs/>
                <w:sz w:val="20"/>
                <w:szCs w:val="20"/>
              </w:rPr>
              <w:t>Disaster ris</w:t>
            </w:r>
            <w:r>
              <w:rPr>
                <w:rFonts w:cstheme="minorHAnsi"/>
                <w:b/>
                <w:bCs/>
                <w:sz w:val="20"/>
                <w:szCs w:val="20"/>
              </w:rPr>
              <w:t>k</w:t>
            </w:r>
            <w:r w:rsidRPr="00FA66A9">
              <w:rPr>
                <w:rFonts w:cstheme="minorHAnsi"/>
                <w:b/>
                <w:bCs/>
                <w:sz w:val="20"/>
                <w:szCs w:val="20"/>
              </w:rPr>
              <w:t xml:space="preserve"> reduction of vulnerable population at the local level</w:t>
            </w:r>
          </w:p>
        </w:tc>
        <w:tc>
          <w:tcPr>
            <w:tcW w:w="2970"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Nearly 2.8 million people, of which 47% were women) benefitted from disaster resilient jobs and livelihood opportunities created through DRR schemes (e.g., emban</w:t>
            </w:r>
            <w:r>
              <w:rPr>
                <w:rFonts w:cstheme="minorHAnsi"/>
                <w:sz w:val="20"/>
                <w:szCs w:val="20"/>
              </w:rPr>
              <w:t>k</w:t>
            </w:r>
            <w:r w:rsidRPr="00FA66A9">
              <w:rPr>
                <w:rFonts w:cstheme="minorHAnsi"/>
                <w:sz w:val="20"/>
                <w:szCs w:val="20"/>
              </w:rPr>
              <w:t>ments, shelters, ponds, roads).</w:t>
            </w:r>
          </w:p>
        </w:tc>
        <w:tc>
          <w:tcPr>
            <w:tcW w:w="1260"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CDMP-II</w:t>
            </w:r>
          </w:p>
        </w:tc>
        <w:tc>
          <w:tcPr>
            <w:tcW w:w="3420" w:type="dxa"/>
            <w:tcBorders>
              <w:right w:val="double" w:sz="4" w:space="0" w:color="auto"/>
            </w:tcBorders>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Both physical exposure to natural hazards and social vulnerability were addressed, with large scale population coverage. Scaling up will help to enhance resilience.</w:t>
            </w:r>
          </w:p>
        </w:tc>
      </w:tr>
      <w:tr w:rsidR="009F468D" w:rsidRPr="00FA66A9" w:rsidTr="009F468D">
        <w:tc>
          <w:tcPr>
            <w:tcW w:w="226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5"/>
              </w:numPr>
              <w:spacing w:after="0" w:line="240" w:lineRule="auto"/>
              <w:ind w:left="30" w:hanging="142"/>
              <w:rPr>
                <w:rFonts w:cstheme="minorHAnsi"/>
                <w:b/>
                <w:bCs/>
                <w:sz w:val="20"/>
                <w:szCs w:val="20"/>
              </w:rPr>
            </w:pPr>
            <w:r w:rsidRPr="00FA66A9">
              <w:rPr>
                <w:rFonts w:cstheme="minorHAnsi"/>
                <w:b/>
                <w:bCs/>
                <w:sz w:val="20"/>
                <w:szCs w:val="20"/>
              </w:rPr>
              <w:t>Intersectoral integration for building disaster-resilient villages was achieved</w:t>
            </w:r>
          </w:p>
        </w:tc>
        <w:tc>
          <w:tcPr>
            <w:tcW w:w="2970"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Establishment of disaster-resilient model villages, construction of environment-friendly housing and promotion of safe agricultural practices</w:t>
            </w:r>
          </w:p>
        </w:tc>
        <w:tc>
          <w:tcPr>
            <w:tcW w:w="1260"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CDMP-II</w:t>
            </w:r>
          </w:p>
        </w:tc>
        <w:tc>
          <w:tcPr>
            <w:tcW w:w="3420" w:type="dxa"/>
            <w:tcBorders>
              <w:right w:val="double" w:sz="4" w:space="0" w:color="auto"/>
            </w:tcBorders>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Lin</w:t>
            </w:r>
            <w:r>
              <w:rPr>
                <w:rFonts w:cstheme="minorHAnsi"/>
                <w:sz w:val="20"/>
                <w:szCs w:val="20"/>
              </w:rPr>
              <w:t>k</w:t>
            </w:r>
            <w:r w:rsidRPr="00FA66A9">
              <w:rPr>
                <w:rFonts w:cstheme="minorHAnsi"/>
                <w:sz w:val="20"/>
                <w:szCs w:val="20"/>
              </w:rPr>
              <w:t xml:space="preserve">ing DRR intervention with sustainable livelihoods for enhancing resilience has demonstrated promising outputs and outcomes. </w:t>
            </w:r>
          </w:p>
        </w:tc>
      </w:tr>
      <w:tr w:rsidR="009F468D" w:rsidRPr="00FA66A9" w:rsidTr="009F468D">
        <w:tc>
          <w:tcPr>
            <w:tcW w:w="2268" w:type="dxa"/>
            <w:tcBorders>
              <w:left w:val="double" w:sz="4" w:space="0" w:color="auto"/>
            </w:tcBorders>
            <w:shd w:val="clear" w:color="auto" w:fill="B6DDE8"/>
          </w:tcPr>
          <w:p w:rsidR="009F468D" w:rsidRPr="00FA66A9" w:rsidRDefault="009F468D" w:rsidP="001E161B">
            <w:pPr>
              <w:pStyle w:val="ListParagraph"/>
              <w:numPr>
                <w:ilvl w:val="0"/>
                <w:numId w:val="44"/>
              </w:numPr>
              <w:spacing w:after="0" w:line="240" w:lineRule="auto"/>
              <w:ind w:left="0" w:hanging="90"/>
              <w:rPr>
                <w:rFonts w:cstheme="minorHAnsi"/>
                <w:b/>
                <w:bCs/>
                <w:sz w:val="20"/>
                <w:szCs w:val="20"/>
              </w:rPr>
            </w:pPr>
            <w:r w:rsidRPr="00FA66A9">
              <w:rPr>
                <w:rFonts w:cstheme="minorHAnsi"/>
                <w:b/>
                <w:bCs/>
                <w:sz w:val="20"/>
                <w:szCs w:val="20"/>
              </w:rPr>
              <w:t xml:space="preserve">Early warning system improved and vulnerability reduction enhanced </w:t>
            </w:r>
          </w:p>
        </w:tc>
        <w:tc>
          <w:tcPr>
            <w:tcW w:w="2970"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Flood forecast coverage was expanded by the Flood Forecasting and Warning Centre</w:t>
            </w:r>
          </w:p>
        </w:tc>
        <w:tc>
          <w:tcPr>
            <w:tcW w:w="1260"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CDMP-II</w:t>
            </w:r>
          </w:p>
        </w:tc>
        <w:tc>
          <w:tcPr>
            <w:tcW w:w="3420" w:type="dxa"/>
            <w:tcBorders>
              <w:right w:val="double" w:sz="4" w:space="0" w:color="auto"/>
            </w:tcBorders>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Commendable progress achieved in improving early warning of floods; however, coverage of floodplains was limited. Also, response of potential flood affected  population to early warning needs to be monitored, and any deficiency needs to addressed</w:t>
            </w:r>
          </w:p>
        </w:tc>
      </w:tr>
      <w:tr w:rsidR="009F468D" w:rsidRPr="00FA66A9" w:rsidTr="009F468D">
        <w:tc>
          <w:tcPr>
            <w:tcW w:w="226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0" w:hanging="90"/>
              <w:rPr>
                <w:rFonts w:cstheme="minorHAnsi"/>
                <w:b/>
                <w:bCs/>
                <w:sz w:val="20"/>
                <w:szCs w:val="20"/>
              </w:rPr>
            </w:pPr>
            <w:r w:rsidRPr="00FA66A9">
              <w:rPr>
                <w:rFonts w:cstheme="minorHAnsi"/>
                <w:b/>
                <w:bCs/>
                <w:sz w:val="20"/>
                <w:szCs w:val="20"/>
              </w:rPr>
              <w:t xml:space="preserve">DRR in urban areas through addressing chronic </w:t>
            </w:r>
            <w:r w:rsidRPr="00FA66A9">
              <w:rPr>
                <w:rFonts w:cstheme="minorHAnsi"/>
                <w:b/>
                <w:bCs/>
                <w:sz w:val="20"/>
                <w:szCs w:val="20"/>
              </w:rPr>
              <w:lastRenderedPageBreak/>
              <w:t>flooding, water logging was achieved</w:t>
            </w:r>
          </w:p>
        </w:tc>
        <w:tc>
          <w:tcPr>
            <w:tcW w:w="2970"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lastRenderedPageBreak/>
              <w:t>a)Reduction of disaster ris</w:t>
            </w:r>
            <w:r>
              <w:rPr>
                <w:rFonts w:cstheme="minorHAnsi"/>
                <w:sz w:val="20"/>
                <w:szCs w:val="20"/>
              </w:rPr>
              <w:t>k</w:t>
            </w:r>
            <w:r w:rsidRPr="00FA66A9">
              <w:rPr>
                <w:rFonts w:cstheme="minorHAnsi"/>
                <w:sz w:val="20"/>
                <w:szCs w:val="20"/>
              </w:rPr>
              <w:t xml:space="preserve"> in urban areas benefitting 80,000 residents, of which 50% were </w:t>
            </w:r>
            <w:r w:rsidRPr="00FA66A9">
              <w:rPr>
                <w:rFonts w:cstheme="minorHAnsi"/>
                <w:sz w:val="20"/>
                <w:szCs w:val="20"/>
              </w:rPr>
              <w:lastRenderedPageBreak/>
              <w:t>women</w:t>
            </w:r>
          </w:p>
          <w:p w:rsidR="009F468D" w:rsidRPr="00FA66A9" w:rsidRDefault="009F468D" w:rsidP="009F468D">
            <w:pPr>
              <w:spacing w:after="0" w:line="240" w:lineRule="auto"/>
              <w:rPr>
                <w:rFonts w:cstheme="minorHAnsi"/>
                <w:sz w:val="20"/>
                <w:szCs w:val="20"/>
              </w:rPr>
            </w:pPr>
            <w:r w:rsidRPr="00FA66A9">
              <w:rPr>
                <w:rFonts w:cstheme="minorHAnsi"/>
                <w:sz w:val="20"/>
                <w:szCs w:val="20"/>
              </w:rPr>
              <w:t>b) 26, 500 urban volunteers were trained to act as first responder during disasters</w:t>
            </w:r>
          </w:p>
          <w:p w:rsidR="009F468D" w:rsidRPr="00FA66A9" w:rsidRDefault="009F468D" w:rsidP="009F468D">
            <w:pPr>
              <w:spacing w:after="0" w:line="240" w:lineRule="auto"/>
              <w:rPr>
                <w:rFonts w:cstheme="minorHAnsi"/>
                <w:sz w:val="20"/>
                <w:szCs w:val="20"/>
              </w:rPr>
            </w:pPr>
            <w:r w:rsidRPr="00FA66A9">
              <w:rPr>
                <w:rFonts w:cstheme="minorHAnsi"/>
                <w:sz w:val="20"/>
                <w:szCs w:val="20"/>
              </w:rPr>
              <w:t>c) Seismic ris</w:t>
            </w:r>
            <w:r>
              <w:rPr>
                <w:rFonts w:cstheme="minorHAnsi"/>
                <w:sz w:val="20"/>
                <w:szCs w:val="20"/>
              </w:rPr>
              <w:t>k</w:t>
            </w:r>
            <w:r w:rsidRPr="00FA66A9">
              <w:rPr>
                <w:rFonts w:cstheme="minorHAnsi"/>
                <w:sz w:val="20"/>
                <w:szCs w:val="20"/>
              </w:rPr>
              <w:t xml:space="preserve"> maps to assist informed planning and design of disaster-resilient urban buildings were prepared</w:t>
            </w:r>
          </w:p>
        </w:tc>
        <w:tc>
          <w:tcPr>
            <w:tcW w:w="1260"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lastRenderedPageBreak/>
              <w:t>CDMP-II</w:t>
            </w:r>
          </w:p>
        </w:tc>
        <w:tc>
          <w:tcPr>
            <w:tcW w:w="3420" w:type="dxa"/>
            <w:tcBorders>
              <w:right w:val="double" w:sz="4" w:space="0" w:color="auto"/>
            </w:tcBorders>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Attention to urban disaster ris</w:t>
            </w:r>
            <w:r>
              <w:rPr>
                <w:rFonts w:cstheme="minorHAnsi"/>
                <w:sz w:val="20"/>
                <w:szCs w:val="20"/>
              </w:rPr>
              <w:t>k</w:t>
            </w:r>
            <w:r w:rsidRPr="00FA66A9">
              <w:rPr>
                <w:rFonts w:cstheme="minorHAnsi"/>
                <w:sz w:val="20"/>
                <w:szCs w:val="20"/>
              </w:rPr>
              <w:t xml:space="preserve"> and vulnerability was given, which is usually ignored. Initiative for scaling up </w:t>
            </w:r>
            <w:r w:rsidRPr="00FA66A9">
              <w:rPr>
                <w:rFonts w:cstheme="minorHAnsi"/>
                <w:sz w:val="20"/>
                <w:szCs w:val="20"/>
              </w:rPr>
              <w:lastRenderedPageBreak/>
              <w:t>is needed in light of country’s present trend of rapid urbanization</w:t>
            </w:r>
          </w:p>
        </w:tc>
      </w:tr>
      <w:tr w:rsidR="009F468D" w:rsidRPr="00FA66A9" w:rsidTr="009F468D">
        <w:tc>
          <w:tcPr>
            <w:tcW w:w="226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72" w:hanging="180"/>
              <w:rPr>
                <w:rFonts w:cstheme="minorHAnsi"/>
                <w:b/>
                <w:bCs/>
                <w:sz w:val="20"/>
                <w:szCs w:val="20"/>
              </w:rPr>
            </w:pPr>
            <w:r w:rsidRPr="00FA66A9">
              <w:rPr>
                <w:rFonts w:cstheme="minorHAnsi"/>
                <w:b/>
                <w:bCs/>
                <w:sz w:val="20"/>
                <w:szCs w:val="20"/>
              </w:rPr>
              <w:lastRenderedPageBreak/>
              <w:t>Climate finance framewor</w:t>
            </w:r>
            <w:r>
              <w:rPr>
                <w:rFonts w:cstheme="minorHAnsi"/>
                <w:b/>
                <w:bCs/>
                <w:sz w:val="20"/>
                <w:szCs w:val="20"/>
              </w:rPr>
              <w:t>k</w:t>
            </w:r>
            <w:r w:rsidRPr="00FA66A9">
              <w:rPr>
                <w:rFonts w:cstheme="minorHAnsi"/>
                <w:b/>
                <w:bCs/>
                <w:sz w:val="20"/>
                <w:szCs w:val="20"/>
              </w:rPr>
              <w:t xml:space="preserve"> adopted </w:t>
            </w:r>
          </w:p>
        </w:tc>
        <w:tc>
          <w:tcPr>
            <w:tcW w:w="2970"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Published Government documents</w:t>
            </w:r>
          </w:p>
        </w:tc>
        <w:tc>
          <w:tcPr>
            <w:tcW w:w="1260"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PECM</w:t>
            </w:r>
          </w:p>
        </w:tc>
        <w:tc>
          <w:tcPr>
            <w:tcW w:w="3420" w:type="dxa"/>
            <w:tcBorders>
              <w:right w:val="double" w:sz="4" w:space="0" w:color="auto"/>
            </w:tcBorders>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Enables planning trac</w:t>
            </w:r>
            <w:r>
              <w:rPr>
                <w:rFonts w:cstheme="minorHAnsi"/>
                <w:sz w:val="20"/>
                <w:szCs w:val="20"/>
              </w:rPr>
              <w:t>k</w:t>
            </w:r>
            <w:r w:rsidRPr="00FA66A9">
              <w:rPr>
                <w:rFonts w:cstheme="minorHAnsi"/>
                <w:sz w:val="20"/>
                <w:szCs w:val="20"/>
              </w:rPr>
              <w:t>ing and monitoring of climate finance in the government budget; enhanced governance</w:t>
            </w:r>
          </w:p>
        </w:tc>
      </w:tr>
      <w:tr w:rsidR="009F468D" w:rsidRPr="00FA66A9" w:rsidTr="009F468D">
        <w:tc>
          <w:tcPr>
            <w:tcW w:w="2268" w:type="dxa"/>
            <w:tcBorders>
              <w:left w:val="double" w:sz="4" w:space="0" w:color="auto"/>
              <w:bottom w:val="double" w:sz="4" w:space="0" w:color="auto"/>
            </w:tcBorders>
            <w:shd w:val="clear" w:color="auto" w:fill="B6DDE8"/>
          </w:tcPr>
          <w:p w:rsidR="009F468D" w:rsidRPr="00FA66A9" w:rsidRDefault="009F468D" w:rsidP="001E161B">
            <w:pPr>
              <w:pStyle w:val="ListParagraph"/>
              <w:numPr>
                <w:ilvl w:val="0"/>
                <w:numId w:val="44"/>
              </w:numPr>
              <w:spacing w:after="0" w:line="240" w:lineRule="auto"/>
              <w:ind w:left="0" w:hanging="108"/>
              <w:rPr>
                <w:rFonts w:cstheme="minorHAnsi"/>
                <w:b/>
                <w:bCs/>
                <w:sz w:val="20"/>
                <w:szCs w:val="20"/>
              </w:rPr>
            </w:pPr>
            <w:r w:rsidRPr="00FA66A9">
              <w:rPr>
                <w:rFonts w:cstheme="minorHAnsi"/>
                <w:b/>
                <w:bCs/>
                <w:sz w:val="20"/>
                <w:szCs w:val="20"/>
              </w:rPr>
              <w:t>Mainstreaming disaster and climate ris</w:t>
            </w:r>
            <w:r>
              <w:rPr>
                <w:rFonts w:cstheme="minorHAnsi"/>
                <w:b/>
                <w:bCs/>
                <w:sz w:val="20"/>
                <w:szCs w:val="20"/>
              </w:rPr>
              <w:t>k</w:t>
            </w:r>
            <w:r w:rsidRPr="00FA66A9">
              <w:rPr>
                <w:rFonts w:cstheme="minorHAnsi"/>
                <w:b/>
                <w:bCs/>
                <w:sz w:val="20"/>
                <w:szCs w:val="20"/>
              </w:rPr>
              <w:t xml:space="preserve"> reduction across all sectors was attempted, and successfully implemented.</w:t>
            </w:r>
          </w:p>
        </w:tc>
        <w:tc>
          <w:tcPr>
            <w:tcW w:w="2970" w:type="dxa"/>
            <w:gridSpan w:val="2"/>
            <w:tcBorders>
              <w:bottom w:val="double" w:sz="4" w:space="0" w:color="auto"/>
            </w:tcBorders>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Across all sectors of government portfolios, policies and mechanisms for disaster and climate ris</w:t>
            </w:r>
            <w:r>
              <w:rPr>
                <w:rFonts w:cstheme="minorHAnsi"/>
                <w:sz w:val="20"/>
                <w:szCs w:val="20"/>
              </w:rPr>
              <w:t>k</w:t>
            </w:r>
            <w:r w:rsidRPr="00FA66A9">
              <w:rPr>
                <w:rFonts w:cstheme="minorHAnsi"/>
                <w:sz w:val="20"/>
                <w:szCs w:val="20"/>
              </w:rPr>
              <w:t>s have been formulated. For examples, the Ministries of Finance and Agriculture increased their budget for climate finance; the Ministry of Agriculture supported the adaptation of existing farmers’ field schools; the Department of Disaster Management developed 9 enforcement rules to operationalized the Disaster Management Act</w:t>
            </w:r>
          </w:p>
        </w:tc>
        <w:tc>
          <w:tcPr>
            <w:tcW w:w="1260" w:type="dxa"/>
            <w:gridSpan w:val="2"/>
            <w:tcBorders>
              <w:bottom w:val="double" w:sz="4" w:space="0" w:color="auto"/>
            </w:tcBorders>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PECM &amp;</w:t>
            </w:r>
          </w:p>
          <w:p w:rsidR="009F468D" w:rsidRPr="00FA66A9" w:rsidRDefault="009F468D" w:rsidP="009F468D">
            <w:pPr>
              <w:spacing w:after="0" w:line="240" w:lineRule="auto"/>
              <w:rPr>
                <w:rFonts w:cstheme="minorHAnsi"/>
                <w:sz w:val="20"/>
                <w:szCs w:val="20"/>
              </w:rPr>
            </w:pPr>
            <w:r w:rsidRPr="00FA66A9">
              <w:rPr>
                <w:rFonts w:cstheme="minorHAnsi"/>
                <w:sz w:val="20"/>
                <w:szCs w:val="20"/>
              </w:rPr>
              <w:t>CDMP-II</w:t>
            </w:r>
          </w:p>
        </w:tc>
        <w:tc>
          <w:tcPr>
            <w:tcW w:w="3420" w:type="dxa"/>
            <w:tcBorders>
              <w:bottom w:val="double" w:sz="4" w:space="0" w:color="auto"/>
              <w:right w:val="double" w:sz="4" w:space="0" w:color="auto"/>
            </w:tcBorders>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Sustainability institutionalization of disaster and climate ris</w:t>
            </w:r>
            <w:r>
              <w:rPr>
                <w:rFonts w:cstheme="minorHAnsi"/>
                <w:sz w:val="20"/>
                <w:szCs w:val="20"/>
              </w:rPr>
              <w:t>k</w:t>
            </w:r>
            <w:r w:rsidRPr="00FA66A9">
              <w:rPr>
                <w:rFonts w:cstheme="minorHAnsi"/>
                <w:sz w:val="20"/>
                <w:szCs w:val="20"/>
              </w:rPr>
              <w:t xml:space="preserve">s reduction across all sectors will require sustained human resource development, new </w:t>
            </w:r>
            <w:r>
              <w:rPr>
                <w:rFonts w:cstheme="minorHAnsi"/>
                <w:sz w:val="20"/>
                <w:szCs w:val="20"/>
              </w:rPr>
              <w:t>k</w:t>
            </w:r>
            <w:r w:rsidRPr="00FA66A9">
              <w:rPr>
                <w:rFonts w:cstheme="minorHAnsi"/>
                <w:sz w:val="20"/>
                <w:szCs w:val="20"/>
              </w:rPr>
              <w:t>nowledge creation and promotion of best practices. Championing ministry/department to promote and sustain disaster and climate ris</w:t>
            </w:r>
            <w:r>
              <w:rPr>
                <w:rFonts w:cstheme="minorHAnsi"/>
                <w:sz w:val="20"/>
                <w:szCs w:val="20"/>
              </w:rPr>
              <w:t>k</w:t>
            </w:r>
            <w:r w:rsidRPr="00FA66A9">
              <w:rPr>
                <w:rFonts w:cstheme="minorHAnsi"/>
                <w:sz w:val="20"/>
                <w:szCs w:val="20"/>
              </w:rPr>
              <w:t xml:space="preserve"> reduction should be supported financially, technically and politically, particularly to monitor the status of disaster and climate ris</w:t>
            </w:r>
            <w:r>
              <w:rPr>
                <w:rFonts w:cstheme="minorHAnsi"/>
                <w:sz w:val="20"/>
                <w:szCs w:val="20"/>
              </w:rPr>
              <w:t>k</w:t>
            </w:r>
            <w:r w:rsidRPr="00FA66A9">
              <w:rPr>
                <w:rFonts w:cstheme="minorHAnsi"/>
                <w:sz w:val="20"/>
                <w:szCs w:val="20"/>
              </w:rPr>
              <w:t xml:space="preserve"> reduction activities in various ministries and government departments.  </w:t>
            </w:r>
          </w:p>
        </w:tc>
      </w:tr>
    </w:tbl>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9F468D">
      <w:pPr>
        <w:spacing w:after="0" w:line="240" w:lineRule="auto"/>
        <w:jc w:val="center"/>
        <w:rPr>
          <w:rFonts w:cs="Calibri"/>
          <w:b/>
        </w:rPr>
      </w:pPr>
      <w:r>
        <w:rPr>
          <w:rFonts w:cs="Calibri"/>
          <w:b/>
        </w:rPr>
        <w:lastRenderedPageBreak/>
        <w:t xml:space="preserve">Annex XII.b: </w:t>
      </w:r>
      <w:r w:rsidRPr="00FA66A9">
        <w:rPr>
          <w:rFonts w:cs="Calibri"/>
          <w:b/>
        </w:rPr>
        <w:t>Output Achievements</w:t>
      </w:r>
      <w:r>
        <w:rPr>
          <w:rFonts w:cs="Calibri"/>
          <w:b/>
        </w:rPr>
        <w:t xml:space="preserve"> in NRM and Energy (Outcome) by UNDP Interventions d</w:t>
      </w:r>
      <w:r w:rsidRPr="00FA66A9">
        <w:rPr>
          <w:rFonts w:cs="Calibri"/>
          <w:b/>
        </w:rPr>
        <w:t xml:space="preserve">uring 2012-2014 and </w:t>
      </w:r>
      <w:r>
        <w:rPr>
          <w:rFonts w:cs="Calibri"/>
          <w:b/>
        </w:rPr>
        <w:t xml:space="preserve">a </w:t>
      </w:r>
      <w:r w:rsidRPr="00FA66A9">
        <w:rPr>
          <w:rFonts w:cs="Calibri"/>
          <w:b/>
        </w:rPr>
        <w:t>Qualitative   Assessment</w:t>
      </w:r>
    </w:p>
    <w:tbl>
      <w:tblPr>
        <w:tblW w:w="964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520"/>
        <w:gridCol w:w="90"/>
        <w:gridCol w:w="990"/>
        <w:gridCol w:w="180"/>
        <w:gridCol w:w="2970"/>
      </w:tblGrid>
      <w:tr w:rsidR="009F468D" w:rsidRPr="00FA66A9" w:rsidTr="009F468D">
        <w:tc>
          <w:tcPr>
            <w:tcW w:w="9648" w:type="dxa"/>
            <w:gridSpan w:val="6"/>
            <w:tcBorders>
              <w:top w:val="double" w:sz="4" w:space="0" w:color="auto"/>
              <w:left w:val="double" w:sz="4" w:space="0" w:color="auto"/>
              <w:right w:val="double" w:sz="4" w:space="0" w:color="auto"/>
            </w:tcBorders>
            <w:shd w:val="clear" w:color="auto" w:fill="B6DDE8"/>
          </w:tcPr>
          <w:p w:rsidR="009F468D" w:rsidRPr="00FA66A9" w:rsidRDefault="009F468D" w:rsidP="009F468D">
            <w:pPr>
              <w:spacing w:after="0" w:line="240" w:lineRule="auto"/>
              <w:jc w:val="center"/>
              <w:rPr>
                <w:rFonts w:cstheme="minorHAnsi"/>
                <w:b/>
                <w:bCs/>
                <w:sz w:val="20"/>
                <w:szCs w:val="20"/>
              </w:rPr>
            </w:pPr>
            <w:r w:rsidRPr="00FA66A9">
              <w:rPr>
                <w:rFonts w:cstheme="minorHAnsi"/>
                <w:b/>
                <w:bCs/>
                <w:sz w:val="20"/>
                <w:szCs w:val="20"/>
              </w:rPr>
              <w:t>2012</w:t>
            </w:r>
          </w:p>
        </w:tc>
      </w:tr>
      <w:tr w:rsidR="009F468D" w:rsidRPr="00FA66A9" w:rsidTr="009F468D">
        <w:tc>
          <w:tcPr>
            <w:tcW w:w="2898" w:type="dxa"/>
            <w:tcBorders>
              <w:left w:val="double" w:sz="4" w:space="0" w:color="auto"/>
              <w:bottom w:val="nil"/>
              <w:right w:val="nil"/>
            </w:tcBorders>
            <w:shd w:val="clear" w:color="auto" w:fill="B6DDE8"/>
          </w:tcPr>
          <w:p w:rsidR="009F468D" w:rsidRPr="00FA66A9" w:rsidRDefault="009F468D" w:rsidP="009F468D">
            <w:pPr>
              <w:spacing w:after="0" w:line="240" w:lineRule="auto"/>
              <w:rPr>
                <w:rFonts w:cstheme="minorHAnsi"/>
                <w:b/>
                <w:bCs/>
                <w:sz w:val="20"/>
                <w:szCs w:val="20"/>
              </w:rPr>
            </w:pPr>
            <w:r w:rsidRPr="00FA66A9">
              <w:rPr>
                <w:rFonts w:cstheme="minorHAnsi"/>
                <w:b/>
                <w:bCs/>
                <w:sz w:val="20"/>
                <w:szCs w:val="20"/>
              </w:rPr>
              <w:t>Significant Output Achievements</w:t>
            </w:r>
          </w:p>
        </w:tc>
        <w:tc>
          <w:tcPr>
            <w:tcW w:w="2520" w:type="dxa"/>
            <w:shd w:val="clear" w:color="auto" w:fill="D8D8D8"/>
          </w:tcPr>
          <w:p w:rsidR="009F468D" w:rsidRPr="00FA66A9" w:rsidRDefault="009F468D" w:rsidP="009F468D">
            <w:pPr>
              <w:spacing w:after="0" w:line="240" w:lineRule="auto"/>
              <w:jc w:val="center"/>
              <w:rPr>
                <w:rFonts w:cstheme="minorHAnsi"/>
                <w:b/>
                <w:sz w:val="20"/>
                <w:szCs w:val="20"/>
              </w:rPr>
            </w:pPr>
            <w:r w:rsidRPr="00FA66A9">
              <w:rPr>
                <w:rFonts w:cstheme="minorHAnsi"/>
                <w:b/>
                <w:sz w:val="20"/>
                <w:szCs w:val="20"/>
              </w:rPr>
              <w:t>Indicators</w:t>
            </w:r>
          </w:p>
        </w:tc>
        <w:tc>
          <w:tcPr>
            <w:tcW w:w="1260" w:type="dxa"/>
            <w:gridSpan w:val="3"/>
            <w:shd w:val="clear" w:color="auto" w:fill="D8D8D8"/>
          </w:tcPr>
          <w:p w:rsidR="009F468D" w:rsidRPr="00FA66A9" w:rsidRDefault="009F468D" w:rsidP="009F468D">
            <w:pPr>
              <w:spacing w:after="0" w:line="240" w:lineRule="auto"/>
              <w:jc w:val="center"/>
              <w:rPr>
                <w:rFonts w:cstheme="minorHAnsi"/>
                <w:b/>
                <w:sz w:val="20"/>
                <w:szCs w:val="20"/>
              </w:rPr>
            </w:pPr>
            <w:r w:rsidRPr="00FA66A9">
              <w:rPr>
                <w:rFonts w:cstheme="minorHAnsi"/>
                <w:b/>
                <w:sz w:val="20"/>
                <w:szCs w:val="20"/>
              </w:rPr>
              <w:t>Project Intervention</w:t>
            </w:r>
          </w:p>
        </w:tc>
        <w:tc>
          <w:tcPr>
            <w:tcW w:w="2970" w:type="dxa"/>
            <w:tcBorders>
              <w:right w:val="double" w:sz="4" w:space="0" w:color="auto"/>
            </w:tcBorders>
            <w:shd w:val="clear" w:color="auto" w:fill="D8D8D8"/>
          </w:tcPr>
          <w:p w:rsidR="009F468D" w:rsidRPr="00FA66A9" w:rsidRDefault="009F468D" w:rsidP="009F468D">
            <w:pPr>
              <w:spacing w:after="0" w:line="240" w:lineRule="auto"/>
              <w:jc w:val="center"/>
              <w:rPr>
                <w:rFonts w:cstheme="minorHAnsi"/>
                <w:sz w:val="20"/>
                <w:szCs w:val="20"/>
              </w:rPr>
            </w:pPr>
            <w:r w:rsidRPr="00FA66A9">
              <w:rPr>
                <w:rFonts w:cstheme="minorHAnsi"/>
                <w:b/>
                <w:sz w:val="20"/>
                <w:szCs w:val="20"/>
              </w:rPr>
              <w:t>Evaluation Remar</w:t>
            </w:r>
            <w:r>
              <w:rPr>
                <w:rFonts w:cstheme="minorHAnsi"/>
                <w:b/>
                <w:sz w:val="20"/>
                <w:szCs w:val="20"/>
              </w:rPr>
              <w:t>k</w:t>
            </w:r>
            <w:r w:rsidRPr="00FA66A9">
              <w:rPr>
                <w:rFonts w:cstheme="minorHAnsi"/>
                <w:b/>
                <w:sz w:val="20"/>
                <w:szCs w:val="20"/>
              </w:rPr>
              <w:t>s</w:t>
            </w:r>
          </w:p>
        </w:tc>
      </w:tr>
      <w:tr w:rsidR="009F468D" w:rsidRPr="00FA66A9" w:rsidTr="009F468D">
        <w:tc>
          <w:tcPr>
            <w:tcW w:w="289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72" w:hanging="162"/>
              <w:rPr>
                <w:rFonts w:cstheme="minorHAnsi"/>
                <w:b/>
                <w:bCs/>
                <w:sz w:val="20"/>
                <w:szCs w:val="20"/>
              </w:rPr>
            </w:pPr>
            <w:r w:rsidRPr="00FA66A9">
              <w:rPr>
                <w:rFonts w:cstheme="minorHAnsi"/>
                <w:b/>
                <w:bCs/>
                <w:sz w:val="20"/>
                <w:szCs w:val="20"/>
              </w:rPr>
              <w:t xml:space="preserve">Development and adoption of NSDS 2011-2021 </w:t>
            </w:r>
          </w:p>
        </w:tc>
        <w:tc>
          <w:tcPr>
            <w:tcW w:w="2520" w:type="dxa"/>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Published Government documents</w:t>
            </w:r>
          </w:p>
        </w:tc>
        <w:tc>
          <w:tcPr>
            <w:tcW w:w="1260" w:type="dxa"/>
            <w:gridSpan w:val="3"/>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UNDP CCED Cluster</w:t>
            </w:r>
          </w:p>
        </w:tc>
        <w:tc>
          <w:tcPr>
            <w:tcW w:w="2970" w:type="dxa"/>
            <w:tcBorders>
              <w:right w:val="double" w:sz="4" w:space="0" w:color="auto"/>
            </w:tcBorders>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Impacted national planning process</w:t>
            </w:r>
          </w:p>
        </w:tc>
      </w:tr>
      <w:tr w:rsidR="009F468D" w:rsidRPr="00FA66A9" w:rsidTr="009F468D">
        <w:tc>
          <w:tcPr>
            <w:tcW w:w="289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72" w:hanging="162"/>
              <w:rPr>
                <w:rFonts w:cstheme="minorHAnsi"/>
                <w:b/>
                <w:bCs/>
                <w:sz w:val="20"/>
                <w:szCs w:val="20"/>
              </w:rPr>
            </w:pPr>
            <w:r w:rsidRPr="00FA66A9">
              <w:rPr>
                <w:rFonts w:cstheme="minorHAnsi"/>
                <w:b/>
                <w:bCs/>
                <w:sz w:val="20"/>
                <w:szCs w:val="20"/>
              </w:rPr>
              <w:t xml:space="preserve">Voluntary policy for energy efficiency standards for variety of products piloted, 3 manufacturers awarded EE labels for CFL </w:t>
            </w:r>
          </w:p>
        </w:tc>
        <w:tc>
          <w:tcPr>
            <w:tcW w:w="2520" w:type="dxa"/>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 xml:space="preserve">Published in gazette </w:t>
            </w:r>
          </w:p>
        </w:tc>
        <w:tc>
          <w:tcPr>
            <w:tcW w:w="1260" w:type="dxa"/>
            <w:gridSpan w:val="3"/>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BRESL</w:t>
            </w:r>
          </w:p>
        </w:tc>
        <w:tc>
          <w:tcPr>
            <w:tcW w:w="2970" w:type="dxa"/>
            <w:tcBorders>
              <w:right w:val="double" w:sz="4" w:space="0" w:color="auto"/>
            </w:tcBorders>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First steps towards energy efficiency at households level</w:t>
            </w:r>
          </w:p>
        </w:tc>
      </w:tr>
      <w:tr w:rsidR="009F468D" w:rsidRPr="00FA66A9" w:rsidTr="009F468D">
        <w:tc>
          <w:tcPr>
            <w:tcW w:w="289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72" w:hanging="180"/>
              <w:rPr>
                <w:rFonts w:cstheme="minorHAnsi"/>
                <w:b/>
                <w:bCs/>
                <w:sz w:val="20"/>
                <w:szCs w:val="20"/>
              </w:rPr>
            </w:pPr>
            <w:r w:rsidRPr="00FA66A9">
              <w:rPr>
                <w:rFonts w:cstheme="minorHAnsi"/>
                <w:b/>
                <w:bCs/>
                <w:sz w:val="20"/>
                <w:szCs w:val="20"/>
              </w:rPr>
              <w:t>Policy dialogue leading to SREDA Act</w:t>
            </w:r>
          </w:p>
        </w:tc>
        <w:tc>
          <w:tcPr>
            <w:tcW w:w="2520" w:type="dxa"/>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Published Government documents</w:t>
            </w:r>
          </w:p>
        </w:tc>
        <w:tc>
          <w:tcPr>
            <w:tcW w:w="1260" w:type="dxa"/>
            <w:gridSpan w:val="3"/>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BRESL</w:t>
            </w:r>
          </w:p>
        </w:tc>
        <w:tc>
          <w:tcPr>
            <w:tcW w:w="2970" w:type="dxa"/>
            <w:tcBorders>
              <w:right w:val="double" w:sz="4" w:space="0" w:color="auto"/>
            </w:tcBorders>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 xml:space="preserve">Contribution to institutionalizing renewable energy capacity in the government </w:t>
            </w:r>
          </w:p>
        </w:tc>
      </w:tr>
      <w:tr w:rsidR="009F468D" w:rsidRPr="00FA66A9" w:rsidTr="009F468D">
        <w:tc>
          <w:tcPr>
            <w:tcW w:w="2898" w:type="dxa"/>
            <w:tcBorders>
              <w:left w:val="double" w:sz="4" w:space="0" w:color="auto"/>
              <w:bottom w:val="nil"/>
              <w:right w:val="nil"/>
            </w:tcBorders>
            <w:shd w:val="clear" w:color="auto" w:fill="B6DDE8"/>
          </w:tcPr>
          <w:p w:rsidR="009F468D" w:rsidRPr="00FA66A9" w:rsidRDefault="009F468D" w:rsidP="001E161B">
            <w:pPr>
              <w:numPr>
                <w:ilvl w:val="0"/>
                <w:numId w:val="44"/>
              </w:numPr>
              <w:spacing w:after="0" w:line="240" w:lineRule="auto"/>
              <w:ind w:left="72" w:hanging="180"/>
              <w:rPr>
                <w:rFonts w:cstheme="minorHAnsi"/>
                <w:b/>
                <w:bCs/>
                <w:sz w:val="20"/>
                <w:szCs w:val="20"/>
              </w:rPr>
            </w:pPr>
            <w:r w:rsidRPr="00FA66A9">
              <w:rPr>
                <w:rFonts w:cstheme="minorHAnsi"/>
                <w:b/>
                <w:bCs/>
                <w:sz w:val="20"/>
                <w:szCs w:val="20"/>
              </w:rPr>
              <w:t>REDD+ readiness road map finalized and approved</w:t>
            </w:r>
          </w:p>
        </w:tc>
        <w:tc>
          <w:tcPr>
            <w:tcW w:w="2520" w:type="dxa"/>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Published document</w:t>
            </w:r>
          </w:p>
        </w:tc>
        <w:tc>
          <w:tcPr>
            <w:tcW w:w="1260" w:type="dxa"/>
            <w:gridSpan w:val="3"/>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REDD+</w:t>
            </w:r>
          </w:p>
        </w:tc>
        <w:tc>
          <w:tcPr>
            <w:tcW w:w="2970" w:type="dxa"/>
            <w:tcBorders>
              <w:right w:val="double" w:sz="4" w:space="0" w:color="auto"/>
            </w:tcBorders>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First step towards REDD+ financing</w:t>
            </w:r>
          </w:p>
        </w:tc>
      </w:tr>
      <w:tr w:rsidR="009F468D" w:rsidRPr="00FA66A9" w:rsidTr="009F468D">
        <w:tc>
          <w:tcPr>
            <w:tcW w:w="2898" w:type="dxa"/>
            <w:tcBorders>
              <w:left w:val="double" w:sz="4" w:space="0" w:color="auto"/>
              <w:bottom w:val="nil"/>
              <w:right w:val="nil"/>
            </w:tcBorders>
            <w:shd w:val="clear" w:color="auto" w:fill="B6DDE8"/>
          </w:tcPr>
          <w:p w:rsidR="009F468D" w:rsidRPr="00FA66A9" w:rsidRDefault="009F468D" w:rsidP="001E161B">
            <w:pPr>
              <w:numPr>
                <w:ilvl w:val="0"/>
                <w:numId w:val="44"/>
              </w:numPr>
              <w:spacing w:after="0" w:line="240" w:lineRule="auto"/>
              <w:ind w:left="72" w:hanging="180"/>
              <w:rPr>
                <w:rFonts w:cstheme="minorHAnsi"/>
                <w:b/>
                <w:bCs/>
                <w:sz w:val="20"/>
                <w:szCs w:val="20"/>
              </w:rPr>
            </w:pPr>
            <w:r w:rsidRPr="00FA66A9">
              <w:rPr>
                <w:rFonts w:cstheme="minorHAnsi"/>
                <w:b/>
                <w:bCs/>
                <w:sz w:val="20"/>
                <w:szCs w:val="20"/>
              </w:rPr>
              <w:t>CFC use in MDIs phased out</w:t>
            </w:r>
          </w:p>
        </w:tc>
        <w:tc>
          <w:tcPr>
            <w:tcW w:w="2520" w:type="dxa"/>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Leading companies in Bangladesh has retrofitted 7 HFC based formulations available</w:t>
            </w:r>
          </w:p>
        </w:tc>
        <w:tc>
          <w:tcPr>
            <w:tcW w:w="1260" w:type="dxa"/>
            <w:gridSpan w:val="3"/>
            <w:shd w:val="clear" w:color="auto" w:fill="D8D8D8"/>
          </w:tcPr>
          <w:p w:rsidR="009F468D" w:rsidRPr="00FA66A9" w:rsidRDefault="009F468D" w:rsidP="009F468D">
            <w:pPr>
              <w:spacing w:after="0" w:line="240" w:lineRule="auto"/>
              <w:rPr>
                <w:rFonts w:cstheme="minorHAnsi"/>
                <w:sz w:val="20"/>
                <w:szCs w:val="20"/>
                <w:highlight w:val="yellow"/>
              </w:rPr>
            </w:pPr>
            <w:r w:rsidRPr="00FA66A9">
              <w:rPr>
                <w:rFonts w:cstheme="minorHAnsi"/>
                <w:sz w:val="20"/>
                <w:szCs w:val="20"/>
              </w:rPr>
              <w:t>MDIs</w:t>
            </w:r>
          </w:p>
        </w:tc>
        <w:tc>
          <w:tcPr>
            <w:tcW w:w="2970" w:type="dxa"/>
            <w:tcBorders>
              <w:right w:val="double" w:sz="4" w:space="0" w:color="auto"/>
            </w:tcBorders>
            <w:shd w:val="clear" w:color="auto" w:fill="D8D8D8"/>
          </w:tcPr>
          <w:p w:rsidR="009F468D" w:rsidRPr="00FA66A9" w:rsidRDefault="009F468D" w:rsidP="009F468D">
            <w:pPr>
              <w:spacing w:after="0" w:line="240" w:lineRule="auto"/>
              <w:rPr>
                <w:rFonts w:cstheme="minorHAnsi"/>
                <w:sz w:val="20"/>
                <w:szCs w:val="20"/>
                <w:highlight w:val="yellow"/>
              </w:rPr>
            </w:pPr>
            <w:r w:rsidRPr="00FA66A9">
              <w:rPr>
                <w:rFonts w:cstheme="minorHAnsi"/>
                <w:sz w:val="20"/>
                <w:szCs w:val="20"/>
              </w:rPr>
              <w:t>Voluntary phased out is significant achievement</w:t>
            </w:r>
          </w:p>
        </w:tc>
      </w:tr>
      <w:tr w:rsidR="009F468D" w:rsidRPr="00FA66A9" w:rsidTr="009F468D">
        <w:tc>
          <w:tcPr>
            <w:tcW w:w="9648" w:type="dxa"/>
            <w:gridSpan w:val="6"/>
            <w:tcBorders>
              <w:left w:val="double" w:sz="4" w:space="0" w:color="auto"/>
              <w:right w:val="double" w:sz="4" w:space="0" w:color="auto"/>
            </w:tcBorders>
            <w:shd w:val="clear" w:color="auto" w:fill="B6DDE8"/>
          </w:tcPr>
          <w:p w:rsidR="009F468D" w:rsidRPr="00FA66A9" w:rsidRDefault="009F468D" w:rsidP="009F468D">
            <w:pPr>
              <w:spacing w:after="0" w:line="240" w:lineRule="auto"/>
              <w:jc w:val="center"/>
              <w:rPr>
                <w:rFonts w:cstheme="minorHAnsi"/>
                <w:b/>
                <w:bCs/>
                <w:sz w:val="20"/>
                <w:szCs w:val="20"/>
              </w:rPr>
            </w:pPr>
            <w:r w:rsidRPr="00FA66A9">
              <w:rPr>
                <w:rFonts w:cstheme="minorHAnsi"/>
                <w:b/>
                <w:bCs/>
                <w:sz w:val="20"/>
                <w:szCs w:val="20"/>
              </w:rPr>
              <w:t>2013</w:t>
            </w:r>
          </w:p>
        </w:tc>
      </w:tr>
      <w:tr w:rsidR="009F468D" w:rsidRPr="00FA66A9" w:rsidTr="009F468D">
        <w:tc>
          <w:tcPr>
            <w:tcW w:w="289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72" w:hanging="180"/>
              <w:rPr>
                <w:rFonts w:cstheme="minorHAnsi"/>
                <w:b/>
                <w:bCs/>
                <w:sz w:val="20"/>
                <w:szCs w:val="20"/>
              </w:rPr>
            </w:pPr>
            <w:r w:rsidRPr="00FA66A9">
              <w:rPr>
                <w:rFonts w:cstheme="minorHAnsi"/>
                <w:b/>
                <w:bCs/>
                <w:sz w:val="20"/>
                <w:szCs w:val="20"/>
              </w:rPr>
              <w:t>Bric</w:t>
            </w:r>
            <w:r>
              <w:rPr>
                <w:rFonts w:cstheme="minorHAnsi"/>
                <w:b/>
                <w:bCs/>
                <w:sz w:val="20"/>
                <w:szCs w:val="20"/>
              </w:rPr>
              <w:t>k</w:t>
            </w:r>
            <w:r w:rsidRPr="00FA66A9">
              <w:rPr>
                <w:rFonts w:cstheme="minorHAnsi"/>
                <w:b/>
                <w:bCs/>
                <w:sz w:val="20"/>
                <w:szCs w:val="20"/>
              </w:rPr>
              <w:t xml:space="preserve"> manufacturing control Act</w:t>
            </w:r>
          </w:p>
        </w:tc>
        <w:tc>
          <w:tcPr>
            <w:tcW w:w="2610"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Published in gazette on 20.11.2013</w:t>
            </w:r>
          </w:p>
        </w:tc>
        <w:tc>
          <w:tcPr>
            <w:tcW w:w="1170"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I</w:t>
            </w:r>
            <w:r>
              <w:rPr>
                <w:rFonts w:cstheme="minorHAnsi"/>
                <w:sz w:val="20"/>
                <w:szCs w:val="20"/>
              </w:rPr>
              <w:t>K</w:t>
            </w:r>
            <w:r w:rsidRPr="00FA66A9">
              <w:rPr>
                <w:rFonts w:cstheme="minorHAnsi"/>
                <w:sz w:val="20"/>
                <w:szCs w:val="20"/>
              </w:rPr>
              <w:t>EBMI</w:t>
            </w:r>
          </w:p>
        </w:tc>
        <w:tc>
          <w:tcPr>
            <w:tcW w:w="2970" w:type="dxa"/>
            <w:tcBorders>
              <w:right w:val="double" w:sz="4" w:space="0" w:color="auto"/>
            </w:tcBorders>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Leading to reduced environmental impacts of bric</w:t>
            </w:r>
            <w:r>
              <w:rPr>
                <w:rFonts w:cstheme="minorHAnsi"/>
                <w:sz w:val="20"/>
                <w:szCs w:val="20"/>
              </w:rPr>
              <w:t>k</w:t>
            </w:r>
            <w:r w:rsidRPr="00FA66A9">
              <w:rPr>
                <w:rFonts w:cstheme="minorHAnsi"/>
                <w:sz w:val="20"/>
                <w:szCs w:val="20"/>
              </w:rPr>
              <w:t xml:space="preserve"> ma</w:t>
            </w:r>
            <w:r>
              <w:rPr>
                <w:rFonts w:cstheme="minorHAnsi"/>
                <w:sz w:val="20"/>
                <w:szCs w:val="20"/>
              </w:rPr>
              <w:t>k</w:t>
            </w:r>
            <w:r w:rsidRPr="00FA66A9">
              <w:rPr>
                <w:rFonts w:cstheme="minorHAnsi"/>
                <w:sz w:val="20"/>
                <w:szCs w:val="20"/>
              </w:rPr>
              <w:t>ing industry</w:t>
            </w:r>
          </w:p>
        </w:tc>
      </w:tr>
      <w:tr w:rsidR="009F468D" w:rsidRPr="00FA66A9" w:rsidTr="009F468D">
        <w:tc>
          <w:tcPr>
            <w:tcW w:w="289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72" w:hanging="180"/>
              <w:rPr>
                <w:rFonts w:cstheme="minorHAnsi"/>
                <w:b/>
                <w:bCs/>
                <w:sz w:val="20"/>
                <w:szCs w:val="20"/>
              </w:rPr>
            </w:pPr>
            <w:r w:rsidRPr="00FA66A9">
              <w:rPr>
                <w:rFonts w:cstheme="minorHAnsi"/>
                <w:b/>
                <w:bCs/>
                <w:sz w:val="20"/>
                <w:szCs w:val="20"/>
              </w:rPr>
              <w:t>52 Bric</w:t>
            </w:r>
            <w:r>
              <w:rPr>
                <w:rFonts w:cstheme="minorHAnsi"/>
                <w:b/>
                <w:bCs/>
                <w:sz w:val="20"/>
                <w:szCs w:val="20"/>
              </w:rPr>
              <w:t>k</w:t>
            </w:r>
            <w:r w:rsidRPr="00FA66A9">
              <w:rPr>
                <w:rFonts w:cstheme="minorHAnsi"/>
                <w:b/>
                <w:bCs/>
                <w:sz w:val="20"/>
                <w:szCs w:val="20"/>
              </w:rPr>
              <w:t xml:space="preserve"> enterprises invested in HH</w:t>
            </w:r>
            <w:r>
              <w:rPr>
                <w:rFonts w:cstheme="minorHAnsi"/>
                <w:b/>
                <w:bCs/>
                <w:sz w:val="20"/>
                <w:szCs w:val="20"/>
              </w:rPr>
              <w:t>K</w:t>
            </w:r>
          </w:p>
        </w:tc>
        <w:tc>
          <w:tcPr>
            <w:tcW w:w="2610"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 xml:space="preserve">Project survey </w:t>
            </w:r>
          </w:p>
        </w:tc>
        <w:tc>
          <w:tcPr>
            <w:tcW w:w="1170"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I</w:t>
            </w:r>
            <w:r>
              <w:rPr>
                <w:rFonts w:cstheme="minorHAnsi"/>
                <w:sz w:val="20"/>
                <w:szCs w:val="20"/>
              </w:rPr>
              <w:t>K</w:t>
            </w:r>
            <w:r w:rsidRPr="00FA66A9">
              <w:rPr>
                <w:rFonts w:cstheme="minorHAnsi"/>
                <w:sz w:val="20"/>
                <w:szCs w:val="20"/>
              </w:rPr>
              <w:t>EBMI</w:t>
            </w:r>
          </w:p>
        </w:tc>
        <w:tc>
          <w:tcPr>
            <w:tcW w:w="2970" w:type="dxa"/>
            <w:tcBorders>
              <w:right w:val="double" w:sz="4" w:space="0" w:color="auto"/>
            </w:tcBorders>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Leading to reduced environmental impacts of bric</w:t>
            </w:r>
            <w:r>
              <w:rPr>
                <w:rFonts w:cstheme="minorHAnsi"/>
                <w:sz w:val="20"/>
                <w:szCs w:val="20"/>
              </w:rPr>
              <w:t>k</w:t>
            </w:r>
            <w:r w:rsidRPr="00FA66A9">
              <w:rPr>
                <w:rFonts w:cstheme="minorHAnsi"/>
                <w:sz w:val="20"/>
                <w:szCs w:val="20"/>
              </w:rPr>
              <w:t xml:space="preserve"> ma</w:t>
            </w:r>
            <w:r>
              <w:rPr>
                <w:rFonts w:cstheme="minorHAnsi"/>
                <w:sz w:val="20"/>
                <w:szCs w:val="20"/>
              </w:rPr>
              <w:t>k</w:t>
            </w:r>
            <w:r w:rsidRPr="00FA66A9">
              <w:rPr>
                <w:rFonts w:cstheme="minorHAnsi"/>
                <w:sz w:val="20"/>
                <w:szCs w:val="20"/>
              </w:rPr>
              <w:t>ing industry</w:t>
            </w:r>
          </w:p>
        </w:tc>
      </w:tr>
      <w:tr w:rsidR="009F468D" w:rsidRPr="00FA66A9" w:rsidTr="009F468D">
        <w:tc>
          <w:tcPr>
            <w:tcW w:w="289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162" w:hanging="162"/>
              <w:rPr>
                <w:rFonts w:cstheme="minorHAnsi"/>
                <w:b/>
                <w:bCs/>
                <w:sz w:val="20"/>
                <w:szCs w:val="20"/>
              </w:rPr>
            </w:pPr>
            <w:r w:rsidRPr="00FA66A9">
              <w:rPr>
                <w:rFonts w:cstheme="minorHAnsi"/>
                <w:b/>
                <w:bCs/>
                <w:sz w:val="20"/>
                <w:szCs w:val="20"/>
              </w:rPr>
              <w:t>Enhanced sales of energy efficient products</w:t>
            </w:r>
          </w:p>
        </w:tc>
        <w:tc>
          <w:tcPr>
            <w:tcW w:w="2610"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 xml:space="preserve">Project survey; </w:t>
            </w:r>
          </w:p>
          <w:p w:rsidR="009F468D" w:rsidRPr="00FA66A9" w:rsidRDefault="009F468D" w:rsidP="009F468D">
            <w:pPr>
              <w:spacing w:after="0" w:line="240" w:lineRule="auto"/>
              <w:rPr>
                <w:rFonts w:cstheme="minorHAnsi"/>
                <w:sz w:val="20"/>
                <w:szCs w:val="20"/>
              </w:rPr>
            </w:pPr>
            <w:r w:rsidRPr="00FA66A9">
              <w:rPr>
                <w:rFonts w:cstheme="minorHAnsi"/>
                <w:sz w:val="20"/>
                <w:szCs w:val="20"/>
              </w:rPr>
              <w:t>$ 6.5 million EE products sold, 62 manufacturers updated product line</w:t>
            </w:r>
          </w:p>
        </w:tc>
        <w:tc>
          <w:tcPr>
            <w:tcW w:w="1170"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BRESL</w:t>
            </w:r>
          </w:p>
        </w:tc>
        <w:tc>
          <w:tcPr>
            <w:tcW w:w="2970" w:type="dxa"/>
            <w:tcBorders>
              <w:right w:val="double" w:sz="4" w:space="0" w:color="auto"/>
            </w:tcBorders>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Significant electricity savings equivalent to consumption of 100, 000 households</w:t>
            </w:r>
          </w:p>
        </w:tc>
      </w:tr>
      <w:tr w:rsidR="009F468D" w:rsidRPr="00FA66A9" w:rsidTr="009F468D">
        <w:tc>
          <w:tcPr>
            <w:tcW w:w="289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72" w:hanging="180"/>
              <w:rPr>
                <w:rFonts w:cstheme="minorHAnsi"/>
                <w:b/>
                <w:bCs/>
                <w:sz w:val="20"/>
                <w:szCs w:val="20"/>
              </w:rPr>
            </w:pPr>
            <w:r w:rsidRPr="00FA66A9">
              <w:rPr>
                <w:rFonts w:cstheme="minorHAnsi"/>
                <w:b/>
                <w:bCs/>
                <w:sz w:val="20"/>
                <w:szCs w:val="20"/>
              </w:rPr>
              <w:t>Bangladesh becomes eligible for UN-REDD funding</w:t>
            </w:r>
          </w:p>
        </w:tc>
        <w:tc>
          <w:tcPr>
            <w:tcW w:w="2610"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Acceptance by the UN REDD policy board</w:t>
            </w:r>
          </w:p>
        </w:tc>
        <w:tc>
          <w:tcPr>
            <w:tcW w:w="1170"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REDD+</w:t>
            </w:r>
          </w:p>
        </w:tc>
        <w:tc>
          <w:tcPr>
            <w:tcW w:w="2970" w:type="dxa"/>
            <w:tcBorders>
              <w:right w:val="double" w:sz="4" w:space="0" w:color="auto"/>
            </w:tcBorders>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Accessing to more climate finance facilitated</w:t>
            </w:r>
          </w:p>
        </w:tc>
      </w:tr>
      <w:tr w:rsidR="009F468D" w:rsidRPr="00FA66A9" w:rsidTr="009F468D">
        <w:tc>
          <w:tcPr>
            <w:tcW w:w="289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72" w:hanging="180"/>
              <w:rPr>
                <w:rFonts w:cstheme="minorHAnsi"/>
                <w:b/>
                <w:bCs/>
                <w:sz w:val="20"/>
                <w:szCs w:val="20"/>
              </w:rPr>
            </w:pPr>
            <w:r w:rsidRPr="00FA66A9">
              <w:rPr>
                <w:rFonts w:cstheme="minorHAnsi"/>
                <w:b/>
                <w:bCs/>
                <w:sz w:val="20"/>
                <w:szCs w:val="20"/>
              </w:rPr>
              <w:t>Ozone Act bans use of CFC in MDIs</w:t>
            </w:r>
          </w:p>
        </w:tc>
        <w:tc>
          <w:tcPr>
            <w:tcW w:w="2610" w:type="dxa"/>
            <w:gridSpan w:val="2"/>
            <w:shd w:val="clear" w:color="auto" w:fill="D8D8D8"/>
          </w:tcPr>
          <w:p w:rsidR="009F468D" w:rsidRPr="00FA66A9" w:rsidRDefault="009F468D" w:rsidP="009F468D">
            <w:pPr>
              <w:spacing w:after="0" w:line="240" w:lineRule="auto"/>
              <w:rPr>
                <w:rFonts w:cstheme="minorHAnsi"/>
                <w:color w:val="FF0000"/>
                <w:sz w:val="20"/>
                <w:szCs w:val="20"/>
              </w:rPr>
            </w:pPr>
          </w:p>
        </w:tc>
        <w:tc>
          <w:tcPr>
            <w:tcW w:w="1170" w:type="dxa"/>
            <w:gridSpan w:val="2"/>
            <w:shd w:val="clear" w:color="auto" w:fill="D8D8D8"/>
          </w:tcPr>
          <w:p w:rsidR="009F468D" w:rsidRPr="00FA66A9" w:rsidRDefault="009F468D" w:rsidP="009F468D">
            <w:pPr>
              <w:spacing w:after="0" w:line="240" w:lineRule="auto"/>
              <w:rPr>
                <w:rFonts w:cstheme="minorHAnsi"/>
                <w:sz w:val="20"/>
                <w:szCs w:val="20"/>
                <w:highlight w:val="yellow"/>
              </w:rPr>
            </w:pPr>
            <w:r w:rsidRPr="00FA66A9">
              <w:rPr>
                <w:rFonts w:cstheme="minorHAnsi"/>
                <w:sz w:val="20"/>
                <w:szCs w:val="20"/>
              </w:rPr>
              <w:t>ODS</w:t>
            </w:r>
          </w:p>
        </w:tc>
        <w:tc>
          <w:tcPr>
            <w:tcW w:w="2970" w:type="dxa"/>
            <w:tcBorders>
              <w:right w:val="double" w:sz="4" w:space="0" w:color="auto"/>
            </w:tcBorders>
            <w:shd w:val="clear" w:color="auto" w:fill="D8D8D8"/>
          </w:tcPr>
          <w:p w:rsidR="009F468D" w:rsidRPr="00FA66A9" w:rsidRDefault="009F468D" w:rsidP="009F468D">
            <w:pPr>
              <w:spacing w:after="0" w:line="240" w:lineRule="auto"/>
              <w:rPr>
                <w:rFonts w:cstheme="minorHAnsi"/>
                <w:sz w:val="20"/>
                <w:szCs w:val="20"/>
                <w:highlight w:val="yellow"/>
              </w:rPr>
            </w:pPr>
            <w:r w:rsidRPr="00FA66A9">
              <w:rPr>
                <w:rFonts w:cstheme="minorHAnsi"/>
                <w:sz w:val="20"/>
                <w:szCs w:val="20"/>
              </w:rPr>
              <w:t>Legal guarantee ma</w:t>
            </w:r>
            <w:r>
              <w:rPr>
                <w:rFonts w:cstheme="minorHAnsi"/>
                <w:sz w:val="20"/>
                <w:szCs w:val="20"/>
              </w:rPr>
              <w:t>k</w:t>
            </w:r>
            <w:r w:rsidRPr="00FA66A9">
              <w:rPr>
                <w:rFonts w:cstheme="minorHAnsi"/>
                <w:sz w:val="20"/>
                <w:szCs w:val="20"/>
              </w:rPr>
              <w:t>es results sustainable</w:t>
            </w:r>
          </w:p>
        </w:tc>
      </w:tr>
      <w:tr w:rsidR="009F468D" w:rsidRPr="00FA66A9" w:rsidTr="009F468D">
        <w:tc>
          <w:tcPr>
            <w:tcW w:w="289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72" w:hanging="180"/>
              <w:rPr>
                <w:rFonts w:cstheme="minorHAnsi"/>
                <w:b/>
                <w:bCs/>
                <w:sz w:val="20"/>
                <w:szCs w:val="20"/>
              </w:rPr>
            </w:pPr>
            <w:r w:rsidRPr="00FA66A9">
              <w:rPr>
                <w:rFonts w:cstheme="minorHAnsi"/>
                <w:b/>
                <w:bCs/>
                <w:sz w:val="20"/>
                <w:szCs w:val="20"/>
              </w:rPr>
              <w:t>Coastal afforestation li</w:t>
            </w:r>
            <w:r>
              <w:rPr>
                <w:rFonts w:cstheme="minorHAnsi"/>
                <w:b/>
                <w:bCs/>
                <w:sz w:val="20"/>
                <w:szCs w:val="20"/>
              </w:rPr>
              <w:t>k</w:t>
            </w:r>
            <w:r w:rsidRPr="00FA66A9">
              <w:rPr>
                <w:rFonts w:cstheme="minorHAnsi"/>
                <w:b/>
                <w:bCs/>
                <w:sz w:val="20"/>
                <w:szCs w:val="20"/>
              </w:rPr>
              <w:t>ely to have reduced carbon emission: enhanced income, employment and livelihood opportunities; act as protection from tidal surges</w:t>
            </w:r>
          </w:p>
        </w:tc>
        <w:tc>
          <w:tcPr>
            <w:tcW w:w="2610" w:type="dxa"/>
            <w:gridSpan w:val="2"/>
            <w:shd w:val="clear" w:color="auto" w:fill="auto"/>
          </w:tcPr>
          <w:p w:rsidR="009F468D" w:rsidRPr="00FA66A9" w:rsidRDefault="009F468D" w:rsidP="009F468D">
            <w:pPr>
              <w:spacing w:after="0" w:line="240" w:lineRule="auto"/>
              <w:rPr>
                <w:rFonts w:cstheme="minorHAnsi"/>
                <w:sz w:val="20"/>
                <w:szCs w:val="20"/>
                <w:highlight w:val="yellow"/>
              </w:rPr>
            </w:pPr>
            <w:r w:rsidRPr="00FA66A9">
              <w:rPr>
                <w:rFonts w:cstheme="minorHAnsi"/>
                <w:sz w:val="20"/>
                <w:szCs w:val="20"/>
              </w:rPr>
              <w:t>2500 ha added to the total of 8550 ha of coastal forest, benefitting 800,000 (cumulative) vulnerable women; 4380 HHs receiving direct support</w:t>
            </w:r>
          </w:p>
        </w:tc>
        <w:tc>
          <w:tcPr>
            <w:tcW w:w="1170"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CBACC-CF</w:t>
            </w:r>
          </w:p>
        </w:tc>
        <w:tc>
          <w:tcPr>
            <w:tcW w:w="2970" w:type="dxa"/>
            <w:tcBorders>
              <w:right w:val="double" w:sz="4" w:space="0" w:color="auto"/>
            </w:tcBorders>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Economically and financially viable, with positive lin</w:t>
            </w:r>
            <w:r>
              <w:rPr>
                <w:rFonts w:cstheme="minorHAnsi"/>
                <w:sz w:val="20"/>
                <w:szCs w:val="20"/>
              </w:rPr>
              <w:t>k</w:t>
            </w:r>
            <w:r w:rsidRPr="00FA66A9">
              <w:rPr>
                <w:rFonts w:cstheme="minorHAnsi"/>
                <w:sz w:val="20"/>
                <w:szCs w:val="20"/>
              </w:rPr>
              <w:t xml:space="preserve">age effect in other sustainability dimensions; food security, nutrition, and poverty reduction </w:t>
            </w:r>
          </w:p>
        </w:tc>
      </w:tr>
      <w:tr w:rsidR="009F468D" w:rsidRPr="00FA66A9" w:rsidTr="009F468D">
        <w:tc>
          <w:tcPr>
            <w:tcW w:w="289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72" w:hanging="180"/>
              <w:rPr>
                <w:rFonts w:cstheme="minorHAnsi"/>
                <w:b/>
                <w:bCs/>
                <w:sz w:val="20"/>
                <w:szCs w:val="20"/>
              </w:rPr>
            </w:pPr>
            <w:r w:rsidRPr="00FA66A9">
              <w:rPr>
                <w:rFonts w:cstheme="minorHAnsi"/>
                <w:b/>
                <w:bCs/>
                <w:sz w:val="20"/>
                <w:szCs w:val="20"/>
              </w:rPr>
              <w:t xml:space="preserve"> Community based adaptation plan developed</w:t>
            </w:r>
          </w:p>
        </w:tc>
        <w:tc>
          <w:tcPr>
            <w:tcW w:w="2610"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Pilot projects being implemented</w:t>
            </w:r>
          </w:p>
        </w:tc>
        <w:tc>
          <w:tcPr>
            <w:tcW w:w="1170"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CBACC-CF</w:t>
            </w:r>
          </w:p>
        </w:tc>
        <w:tc>
          <w:tcPr>
            <w:tcW w:w="2970" w:type="dxa"/>
            <w:tcBorders>
              <w:right w:val="double" w:sz="4" w:space="0" w:color="auto"/>
            </w:tcBorders>
            <w:shd w:val="clear" w:color="auto" w:fill="D8D8D8"/>
          </w:tcPr>
          <w:p w:rsidR="009F468D" w:rsidRPr="00FA66A9" w:rsidRDefault="009F468D" w:rsidP="009F468D">
            <w:pPr>
              <w:spacing w:after="0" w:line="240" w:lineRule="auto"/>
              <w:rPr>
                <w:rFonts w:cstheme="minorHAnsi"/>
                <w:color w:val="FF0000"/>
                <w:sz w:val="20"/>
                <w:szCs w:val="20"/>
                <w:highlight w:val="yellow"/>
              </w:rPr>
            </w:pPr>
          </w:p>
        </w:tc>
      </w:tr>
      <w:tr w:rsidR="009F468D" w:rsidRPr="00FA66A9" w:rsidTr="009F468D">
        <w:tc>
          <w:tcPr>
            <w:tcW w:w="9648" w:type="dxa"/>
            <w:gridSpan w:val="6"/>
            <w:tcBorders>
              <w:left w:val="double" w:sz="4" w:space="0" w:color="auto"/>
              <w:right w:val="double" w:sz="4" w:space="0" w:color="auto"/>
            </w:tcBorders>
            <w:shd w:val="clear" w:color="auto" w:fill="B6DDE8"/>
          </w:tcPr>
          <w:p w:rsidR="009F468D" w:rsidRPr="00FA66A9" w:rsidRDefault="009F468D" w:rsidP="009F468D">
            <w:pPr>
              <w:spacing w:after="0" w:line="240" w:lineRule="auto"/>
              <w:jc w:val="center"/>
              <w:rPr>
                <w:rFonts w:cstheme="minorHAnsi"/>
                <w:b/>
                <w:bCs/>
                <w:sz w:val="20"/>
                <w:szCs w:val="20"/>
              </w:rPr>
            </w:pPr>
            <w:r w:rsidRPr="00FA66A9">
              <w:rPr>
                <w:rFonts w:cstheme="minorHAnsi"/>
                <w:b/>
                <w:bCs/>
                <w:sz w:val="20"/>
                <w:szCs w:val="20"/>
              </w:rPr>
              <w:t>2014</w:t>
            </w:r>
          </w:p>
        </w:tc>
      </w:tr>
      <w:tr w:rsidR="009F468D" w:rsidRPr="00FA66A9" w:rsidTr="009F468D">
        <w:tc>
          <w:tcPr>
            <w:tcW w:w="289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90" w:hanging="180"/>
              <w:rPr>
                <w:rFonts w:cstheme="minorHAnsi"/>
                <w:b/>
                <w:bCs/>
                <w:sz w:val="20"/>
                <w:szCs w:val="20"/>
              </w:rPr>
            </w:pPr>
            <w:r w:rsidRPr="00FA66A9">
              <w:rPr>
                <w:rFonts w:cstheme="minorHAnsi"/>
                <w:b/>
                <w:bCs/>
                <w:sz w:val="20"/>
                <w:szCs w:val="20"/>
              </w:rPr>
              <w:t>Standard and testing institute strengthened ; resource allocated for establishing an energy efficiency cell, Government of Bangladesh</w:t>
            </w:r>
          </w:p>
        </w:tc>
        <w:tc>
          <w:tcPr>
            <w:tcW w:w="2610"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Additional standards</w:t>
            </w:r>
          </w:p>
        </w:tc>
        <w:tc>
          <w:tcPr>
            <w:tcW w:w="990" w:type="dxa"/>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BRESL</w:t>
            </w:r>
          </w:p>
        </w:tc>
        <w:tc>
          <w:tcPr>
            <w:tcW w:w="3150" w:type="dxa"/>
            <w:gridSpan w:val="2"/>
            <w:tcBorders>
              <w:right w:val="double" w:sz="4" w:space="0" w:color="auto"/>
            </w:tcBorders>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Expansion to new products; institutionalization of energy efficiency</w:t>
            </w:r>
          </w:p>
        </w:tc>
      </w:tr>
      <w:tr w:rsidR="009F468D" w:rsidRPr="00FA66A9" w:rsidTr="009F468D">
        <w:tc>
          <w:tcPr>
            <w:tcW w:w="289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162" w:hanging="162"/>
              <w:rPr>
                <w:rFonts w:cstheme="minorHAnsi"/>
                <w:b/>
                <w:bCs/>
                <w:sz w:val="20"/>
                <w:szCs w:val="20"/>
              </w:rPr>
            </w:pPr>
            <w:r w:rsidRPr="00FA66A9">
              <w:rPr>
                <w:rFonts w:cstheme="minorHAnsi"/>
                <w:b/>
                <w:bCs/>
                <w:sz w:val="20"/>
                <w:szCs w:val="20"/>
              </w:rPr>
              <w:t xml:space="preserve">Enhanced sales of energy </w:t>
            </w:r>
            <w:r w:rsidRPr="00FA66A9">
              <w:rPr>
                <w:rFonts w:cstheme="minorHAnsi"/>
                <w:b/>
                <w:bCs/>
                <w:sz w:val="20"/>
                <w:szCs w:val="20"/>
              </w:rPr>
              <w:lastRenderedPageBreak/>
              <w:t>efficient products</w:t>
            </w:r>
          </w:p>
        </w:tc>
        <w:tc>
          <w:tcPr>
            <w:tcW w:w="2610" w:type="dxa"/>
            <w:gridSpan w:val="2"/>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lastRenderedPageBreak/>
              <w:t>2.3 million</w:t>
            </w:r>
          </w:p>
          <w:p w:rsidR="009F468D" w:rsidRPr="00FA66A9" w:rsidRDefault="009F468D" w:rsidP="009F468D">
            <w:pPr>
              <w:spacing w:after="0" w:line="240" w:lineRule="auto"/>
              <w:rPr>
                <w:rFonts w:cstheme="minorHAnsi"/>
                <w:sz w:val="20"/>
                <w:szCs w:val="20"/>
              </w:rPr>
            </w:pPr>
            <w:r w:rsidRPr="00FA66A9">
              <w:rPr>
                <w:rFonts w:cstheme="minorHAnsi"/>
                <w:sz w:val="20"/>
                <w:szCs w:val="20"/>
              </w:rPr>
              <w:lastRenderedPageBreak/>
              <w:t>CFLs and 5000 0 energy efficient fans were manufactured and sold, offsetting 180 MW and 1000 ton GHG</w:t>
            </w:r>
          </w:p>
        </w:tc>
        <w:tc>
          <w:tcPr>
            <w:tcW w:w="990" w:type="dxa"/>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lastRenderedPageBreak/>
              <w:t>BRESL</w:t>
            </w:r>
          </w:p>
        </w:tc>
        <w:tc>
          <w:tcPr>
            <w:tcW w:w="3150" w:type="dxa"/>
            <w:gridSpan w:val="2"/>
            <w:tcBorders>
              <w:right w:val="double" w:sz="4" w:space="0" w:color="auto"/>
            </w:tcBorders>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 xml:space="preserve">Energy efficient product becoming </w:t>
            </w:r>
            <w:r w:rsidRPr="00FA66A9">
              <w:rPr>
                <w:rFonts w:cstheme="minorHAnsi"/>
                <w:sz w:val="20"/>
                <w:szCs w:val="20"/>
              </w:rPr>
              <w:lastRenderedPageBreak/>
              <w:t>popular</w:t>
            </w:r>
          </w:p>
        </w:tc>
      </w:tr>
      <w:tr w:rsidR="009F468D" w:rsidRPr="00FA66A9" w:rsidTr="009F468D">
        <w:tc>
          <w:tcPr>
            <w:tcW w:w="2898" w:type="dxa"/>
            <w:tcBorders>
              <w:left w:val="double" w:sz="4" w:space="0" w:color="auto"/>
              <w:bottom w:val="nil"/>
              <w:right w:val="nil"/>
            </w:tcBorders>
            <w:shd w:val="clear" w:color="auto" w:fill="B6DDE8"/>
          </w:tcPr>
          <w:p w:rsidR="009F468D" w:rsidRPr="00FA66A9" w:rsidRDefault="009F468D" w:rsidP="001E161B">
            <w:pPr>
              <w:pStyle w:val="ListParagraph"/>
              <w:numPr>
                <w:ilvl w:val="0"/>
                <w:numId w:val="44"/>
              </w:numPr>
              <w:spacing w:after="0" w:line="240" w:lineRule="auto"/>
              <w:ind w:left="360"/>
              <w:rPr>
                <w:rFonts w:cstheme="minorHAnsi"/>
                <w:b/>
                <w:bCs/>
                <w:sz w:val="20"/>
                <w:szCs w:val="20"/>
              </w:rPr>
            </w:pPr>
            <w:r w:rsidRPr="00FA66A9">
              <w:rPr>
                <w:rFonts w:cstheme="minorHAnsi"/>
                <w:b/>
                <w:bCs/>
                <w:sz w:val="20"/>
                <w:szCs w:val="20"/>
              </w:rPr>
              <w:lastRenderedPageBreak/>
              <w:t>Rules on ODS passed</w:t>
            </w:r>
          </w:p>
        </w:tc>
        <w:tc>
          <w:tcPr>
            <w:tcW w:w="2610" w:type="dxa"/>
            <w:gridSpan w:val="2"/>
            <w:shd w:val="clear" w:color="auto" w:fill="auto"/>
          </w:tcPr>
          <w:p w:rsidR="009F468D" w:rsidRPr="00FA66A9" w:rsidRDefault="009F468D" w:rsidP="009F468D">
            <w:pPr>
              <w:spacing w:after="0" w:line="240" w:lineRule="auto"/>
              <w:rPr>
                <w:rFonts w:cstheme="minorHAnsi"/>
                <w:sz w:val="20"/>
                <w:szCs w:val="20"/>
              </w:rPr>
            </w:pPr>
            <w:r w:rsidRPr="00FA66A9">
              <w:rPr>
                <w:rFonts w:cstheme="minorHAnsi"/>
                <w:sz w:val="20"/>
                <w:szCs w:val="20"/>
              </w:rPr>
              <w:t xml:space="preserve">Published in gazette </w:t>
            </w:r>
          </w:p>
        </w:tc>
        <w:tc>
          <w:tcPr>
            <w:tcW w:w="990" w:type="dxa"/>
            <w:shd w:val="clear" w:color="auto" w:fill="auto"/>
          </w:tcPr>
          <w:p w:rsidR="009F468D" w:rsidRPr="00FA66A9" w:rsidRDefault="009F468D" w:rsidP="009F468D">
            <w:pPr>
              <w:spacing w:after="0" w:line="240" w:lineRule="auto"/>
              <w:rPr>
                <w:rFonts w:cstheme="minorHAnsi"/>
                <w:sz w:val="20"/>
                <w:szCs w:val="20"/>
                <w:highlight w:val="yellow"/>
              </w:rPr>
            </w:pPr>
            <w:r w:rsidRPr="00FA66A9">
              <w:rPr>
                <w:rFonts w:cstheme="minorHAnsi"/>
                <w:sz w:val="20"/>
                <w:szCs w:val="20"/>
              </w:rPr>
              <w:t>ODS</w:t>
            </w:r>
          </w:p>
        </w:tc>
        <w:tc>
          <w:tcPr>
            <w:tcW w:w="3150" w:type="dxa"/>
            <w:gridSpan w:val="2"/>
            <w:tcBorders>
              <w:right w:val="double" w:sz="4" w:space="0" w:color="auto"/>
            </w:tcBorders>
            <w:shd w:val="clear" w:color="auto" w:fill="auto"/>
          </w:tcPr>
          <w:p w:rsidR="009F468D" w:rsidRPr="00FA66A9" w:rsidRDefault="009F468D" w:rsidP="009F468D">
            <w:pPr>
              <w:spacing w:after="0" w:line="240" w:lineRule="auto"/>
              <w:rPr>
                <w:rFonts w:cstheme="minorHAnsi"/>
                <w:sz w:val="20"/>
                <w:szCs w:val="20"/>
                <w:highlight w:val="yellow"/>
              </w:rPr>
            </w:pPr>
            <w:r w:rsidRPr="00FA66A9">
              <w:rPr>
                <w:rFonts w:cstheme="minorHAnsi"/>
                <w:sz w:val="20"/>
                <w:szCs w:val="20"/>
              </w:rPr>
              <w:t>Legal guarantee ma</w:t>
            </w:r>
            <w:r>
              <w:rPr>
                <w:rFonts w:cstheme="minorHAnsi"/>
                <w:sz w:val="20"/>
                <w:szCs w:val="20"/>
              </w:rPr>
              <w:t>k</w:t>
            </w:r>
            <w:r w:rsidRPr="00FA66A9">
              <w:rPr>
                <w:rFonts w:cstheme="minorHAnsi"/>
                <w:sz w:val="20"/>
                <w:szCs w:val="20"/>
              </w:rPr>
              <w:t>es results sustainable</w:t>
            </w:r>
          </w:p>
        </w:tc>
      </w:tr>
      <w:tr w:rsidR="009F468D" w:rsidRPr="00FA66A9" w:rsidTr="009F468D">
        <w:tc>
          <w:tcPr>
            <w:tcW w:w="2898" w:type="dxa"/>
            <w:tcBorders>
              <w:left w:val="double" w:sz="4" w:space="0" w:color="auto"/>
              <w:bottom w:val="double" w:sz="4" w:space="0" w:color="auto"/>
              <w:right w:val="nil"/>
            </w:tcBorders>
            <w:shd w:val="clear" w:color="auto" w:fill="B6DDE8"/>
          </w:tcPr>
          <w:p w:rsidR="009F468D" w:rsidRPr="00FA66A9" w:rsidRDefault="009F468D" w:rsidP="001E161B">
            <w:pPr>
              <w:pStyle w:val="ListParagraph"/>
              <w:numPr>
                <w:ilvl w:val="0"/>
                <w:numId w:val="44"/>
              </w:numPr>
              <w:spacing w:after="0" w:line="240" w:lineRule="auto"/>
              <w:ind w:left="162" w:hanging="180"/>
              <w:rPr>
                <w:rFonts w:cstheme="minorHAnsi"/>
                <w:b/>
                <w:bCs/>
                <w:sz w:val="20"/>
                <w:szCs w:val="20"/>
              </w:rPr>
            </w:pPr>
            <w:r w:rsidRPr="00FA66A9">
              <w:rPr>
                <w:rFonts w:cstheme="minorHAnsi"/>
                <w:b/>
                <w:bCs/>
                <w:sz w:val="20"/>
                <w:szCs w:val="20"/>
              </w:rPr>
              <w:t xml:space="preserve">Scaling-up of FFF model </w:t>
            </w:r>
          </w:p>
        </w:tc>
        <w:tc>
          <w:tcPr>
            <w:tcW w:w="2610" w:type="dxa"/>
            <w:gridSpan w:val="2"/>
            <w:tcBorders>
              <w:bottom w:val="double" w:sz="4" w:space="0" w:color="auto"/>
            </w:tcBorders>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9 coastal districts were covered involving 100,000 people</w:t>
            </w:r>
          </w:p>
        </w:tc>
        <w:tc>
          <w:tcPr>
            <w:tcW w:w="990" w:type="dxa"/>
            <w:tcBorders>
              <w:bottom w:val="double" w:sz="4" w:space="0" w:color="auto"/>
            </w:tcBorders>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CBACC-CF</w:t>
            </w:r>
          </w:p>
        </w:tc>
        <w:tc>
          <w:tcPr>
            <w:tcW w:w="3150" w:type="dxa"/>
            <w:gridSpan w:val="2"/>
            <w:tcBorders>
              <w:bottom w:val="double" w:sz="4" w:space="0" w:color="auto"/>
              <w:right w:val="double" w:sz="4" w:space="0" w:color="auto"/>
            </w:tcBorders>
            <w:shd w:val="clear" w:color="auto" w:fill="D8D8D8"/>
          </w:tcPr>
          <w:p w:rsidR="009F468D" w:rsidRPr="00FA66A9" w:rsidRDefault="009F468D" w:rsidP="009F468D">
            <w:pPr>
              <w:spacing w:after="0" w:line="240" w:lineRule="auto"/>
              <w:rPr>
                <w:rFonts w:cstheme="minorHAnsi"/>
                <w:sz w:val="20"/>
                <w:szCs w:val="20"/>
              </w:rPr>
            </w:pPr>
            <w:r w:rsidRPr="00FA66A9">
              <w:rPr>
                <w:rFonts w:cstheme="minorHAnsi"/>
                <w:sz w:val="20"/>
                <w:szCs w:val="20"/>
              </w:rPr>
              <w:t>Good progress: needs to further scale-up to 7 coastal districts</w:t>
            </w:r>
          </w:p>
        </w:tc>
      </w:tr>
    </w:tbl>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Default="009F468D" w:rsidP="005F5DC3">
      <w:pPr>
        <w:tabs>
          <w:tab w:val="left" w:pos="2595"/>
        </w:tabs>
        <w:rPr>
          <w:rFonts w:asciiTheme="minorHAnsi" w:hAnsiTheme="minorHAnsi"/>
        </w:rPr>
      </w:pPr>
    </w:p>
    <w:p w:rsidR="009F468D" w:rsidRPr="00973BA4" w:rsidRDefault="009F468D" w:rsidP="009F468D">
      <w:pPr>
        <w:spacing w:after="0" w:line="240" w:lineRule="auto"/>
        <w:jc w:val="center"/>
        <w:rPr>
          <w:rFonts w:cs="Calibri"/>
          <w:b/>
          <w:sz w:val="24"/>
          <w:szCs w:val="24"/>
        </w:rPr>
      </w:pPr>
      <w:r w:rsidRPr="00973BA4">
        <w:rPr>
          <w:rFonts w:cs="Calibri"/>
          <w:b/>
          <w:sz w:val="24"/>
          <w:szCs w:val="24"/>
        </w:rPr>
        <w:lastRenderedPageBreak/>
        <w:t xml:space="preserve">Annex XIII: Value for Money (VfM) Analysis for Selected Project Components </w:t>
      </w:r>
    </w:p>
    <w:p w:rsidR="009F468D" w:rsidRPr="000F7045" w:rsidRDefault="009F468D" w:rsidP="009F468D">
      <w:pPr>
        <w:pStyle w:val="NormalWeb"/>
        <w:spacing w:before="0" w:beforeAutospacing="0" w:after="0" w:afterAutospacing="0"/>
        <w:jc w:val="center"/>
        <w:rPr>
          <w:rFonts w:ascii="Calibri" w:hAnsi="Calibri" w:cs="Calibri"/>
          <w:b/>
          <w:sz w:val="22"/>
          <w:szCs w:val="22"/>
        </w:rPr>
      </w:pPr>
      <w:bookmarkStart w:id="7" w:name="_Toc388697477"/>
    </w:p>
    <w:bookmarkEnd w:id="7"/>
    <w:p w:rsidR="009F468D" w:rsidRPr="0069012D" w:rsidRDefault="009F468D" w:rsidP="001219B8">
      <w:pPr>
        <w:pStyle w:val="NormalWeb"/>
        <w:spacing w:before="0" w:beforeAutospacing="0" w:after="0" w:afterAutospacing="0"/>
        <w:jc w:val="both"/>
        <w:rPr>
          <w:rFonts w:ascii="Calibri" w:hAnsi="Calibri"/>
          <w:sz w:val="22"/>
          <w:szCs w:val="22"/>
        </w:rPr>
      </w:pPr>
      <w:r w:rsidRPr="00EA3BA4">
        <w:rPr>
          <w:rFonts w:ascii="Calibri" w:hAnsi="Calibri"/>
          <w:sz w:val="22"/>
          <w:szCs w:val="22"/>
        </w:rPr>
        <w:t xml:space="preserve">The concept of Value for Money (VfM) is </w:t>
      </w:r>
      <w:r>
        <w:rPr>
          <w:rFonts w:ascii="Calibri" w:hAnsi="Calibri"/>
          <w:sz w:val="22"/>
          <w:szCs w:val="22"/>
        </w:rPr>
        <w:t xml:space="preserve">widely used for economic efficiency and effectiveness analysis; however, it is a </w:t>
      </w:r>
      <w:r w:rsidRPr="00EA3BA4">
        <w:rPr>
          <w:rFonts w:ascii="Calibri" w:hAnsi="Calibri"/>
          <w:sz w:val="22"/>
          <w:szCs w:val="22"/>
        </w:rPr>
        <w:t>debatable</w:t>
      </w:r>
      <w:r>
        <w:rPr>
          <w:rFonts w:ascii="Calibri" w:hAnsi="Calibri"/>
          <w:sz w:val="22"/>
          <w:szCs w:val="22"/>
        </w:rPr>
        <w:t xml:space="preserve"> domain</w:t>
      </w:r>
      <w:r w:rsidRPr="00EA3BA4">
        <w:rPr>
          <w:rFonts w:ascii="Calibri" w:hAnsi="Calibri"/>
          <w:sz w:val="22"/>
          <w:szCs w:val="22"/>
        </w:rPr>
        <w:t>. Most commonly, it includes an assessment of the cost of running the program</w:t>
      </w:r>
      <w:r>
        <w:rPr>
          <w:rFonts w:ascii="Calibri" w:hAnsi="Calibri"/>
          <w:sz w:val="22"/>
          <w:szCs w:val="22"/>
        </w:rPr>
        <w:t xml:space="preserve"> intervention</w:t>
      </w:r>
      <w:r w:rsidRPr="00EA3BA4">
        <w:rPr>
          <w:rFonts w:ascii="Calibri" w:hAnsi="Calibri"/>
          <w:sz w:val="22"/>
          <w:szCs w:val="22"/>
        </w:rPr>
        <w:t>, its efficiency (the outputs it achieves for its inputs) and its effectiveness (the extent t</w:t>
      </w:r>
      <w:r>
        <w:rPr>
          <w:rFonts w:ascii="Calibri" w:hAnsi="Calibri"/>
          <w:sz w:val="22"/>
          <w:szCs w:val="22"/>
        </w:rPr>
        <w:t>o which it has achieved</w:t>
      </w:r>
      <w:r w:rsidRPr="00EA3BA4">
        <w:rPr>
          <w:rFonts w:ascii="Calibri" w:hAnsi="Calibri"/>
          <w:sz w:val="22"/>
          <w:szCs w:val="22"/>
        </w:rPr>
        <w:t xml:space="preserve"> outcomes).</w:t>
      </w:r>
      <w:r>
        <w:rPr>
          <w:rFonts w:ascii="Calibri" w:hAnsi="Calibri"/>
          <w:sz w:val="22"/>
          <w:szCs w:val="22"/>
        </w:rPr>
        <w:t xml:space="preserve"> There are various approaches to economic efficiency analysis, and each</w:t>
      </w:r>
      <w:r w:rsidRPr="00EA3BA4">
        <w:rPr>
          <w:rFonts w:ascii="Calibri" w:hAnsi="Calibri"/>
        </w:rPr>
        <w:t xml:space="preserve"> approach has </w:t>
      </w:r>
      <w:r>
        <w:rPr>
          <w:rFonts w:ascii="Calibri" w:hAnsi="Calibri"/>
        </w:rPr>
        <w:t>its own merits and</w:t>
      </w:r>
      <w:r w:rsidRPr="00EA3BA4">
        <w:rPr>
          <w:rFonts w:ascii="Calibri" w:hAnsi="Calibri"/>
        </w:rPr>
        <w:t xml:space="preserve"> limitations</w:t>
      </w:r>
      <w:r>
        <w:rPr>
          <w:rFonts w:ascii="Calibri" w:hAnsi="Calibri"/>
        </w:rPr>
        <w:t>. Each approach provides a perspective of the assessment of the relationship between costs and benefits. One such approach is known as Cost-Benefit Analysis.</w:t>
      </w:r>
    </w:p>
    <w:p w:rsidR="009F468D" w:rsidRPr="00EA3BA4" w:rsidRDefault="009F468D" w:rsidP="001219B8">
      <w:pPr>
        <w:pStyle w:val="NormalWeb"/>
        <w:spacing w:before="0" w:beforeAutospacing="0" w:after="0" w:afterAutospacing="0"/>
        <w:jc w:val="both"/>
        <w:rPr>
          <w:rFonts w:ascii="Calibri" w:hAnsi="Calibri"/>
          <w:sz w:val="22"/>
          <w:szCs w:val="22"/>
        </w:rPr>
      </w:pPr>
    </w:p>
    <w:p w:rsidR="009F468D" w:rsidRPr="00EA3BA4" w:rsidRDefault="009F468D" w:rsidP="001219B8">
      <w:pPr>
        <w:pStyle w:val="NormalWeb"/>
        <w:spacing w:before="0" w:beforeAutospacing="0" w:after="0" w:afterAutospacing="0"/>
        <w:jc w:val="both"/>
        <w:rPr>
          <w:rFonts w:ascii="Calibri" w:hAnsi="Calibri"/>
          <w:sz w:val="22"/>
          <w:szCs w:val="22"/>
        </w:rPr>
      </w:pPr>
      <w:r w:rsidRPr="00EA3BA4">
        <w:rPr>
          <w:rFonts w:ascii="Calibri" w:hAnsi="Calibri"/>
          <w:sz w:val="22"/>
          <w:szCs w:val="22"/>
        </w:rPr>
        <w:t xml:space="preserve">A </w:t>
      </w:r>
      <w:r>
        <w:rPr>
          <w:rFonts w:ascii="Calibri" w:hAnsi="Calibri"/>
          <w:sz w:val="22"/>
          <w:szCs w:val="22"/>
        </w:rPr>
        <w:t>Cost-B</w:t>
      </w:r>
      <w:r w:rsidRPr="00EA3BA4">
        <w:rPr>
          <w:rFonts w:ascii="Calibri" w:hAnsi="Calibri"/>
          <w:sz w:val="22"/>
          <w:szCs w:val="22"/>
        </w:rPr>
        <w:t xml:space="preserve">enefit analysis </w:t>
      </w:r>
      <w:r>
        <w:rPr>
          <w:rFonts w:ascii="Calibri" w:hAnsi="Calibri"/>
          <w:sz w:val="22"/>
          <w:szCs w:val="22"/>
        </w:rPr>
        <w:t xml:space="preserve">(CBA) </w:t>
      </w:r>
      <w:r w:rsidRPr="00EA3BA4">
        <w:rPr>
          <w:rFonts w:ascii="Calibri" w:hAnsi="Calibri"/>
          <w:sz w:val="22"/>
          <w:szCs w:val="22"/>
        </w:rPr>
        <w:t>is an evaluation of alternatives by identifying the cost and benefits of each alternative in mone</w:t>
      </w:r>
      <w:r>
        <w:rPr>
          <w:rFonts w:ascii="Calibri" w:hAnsi="Calibri"/>
          <w:sz w:val="22"/>
          <w:szCs w:val="22"/>
        </w:rPr>
        <w:t xml:space="preserve">tary </w:t>
      </w:r>
      <w:r w:rsidRPr="00EA3BA4">
        <w:rPr>
          <w:rFonts w:ascii="Calibri" w:hAnsi="Calibri"/>
          <w:sz w:val="22"/>
          <w:szCs w:val="22"/>
        </w:rPr>
        <w:t xml:space="preserve">terms, and adjusting for time. This method can be used to identify if a course of action is worthwhile in an absolute sense; that is, whether the costs outweigh the benefits. It is best used when the majority of </w:t>
      </w:r>
      <w:r>
        <w:rPr>
          <w:rFonts w:ascii="Calibri" w:hAnsi="Calibri"/>
          <w:sz w:val="22"/>
          <w:szCs w:val="22"/>
        </w:rPr>
        <w:t xml:space="preserve">the </w:t>
      </w:r>
      <w:r w:rsidRPr="00EA3BA4">
        <w:rPr>
          <w:rFonts w:ascii="Calibri" w:hAnsi="Calibri"/>
          <w:sz w:val="22"/>
          <w:szCs w:val="22"/>
        </w:rPr>
        <w:t xml:space="preserve">benefits can be converted to monetary values or when those that cannot be converted are unimportant or are similar among the alternatives considered. </w:t>
      </w:r>
    </w:p>
    <w:p w:rsidR="009F468D" w:rsidRPr="00EA3BA4" w:rsidRDefault="009F468D" w:rsidP="009F468D">
      <w:pPr>
        <w:spacing w:line="240" w:lineRule="auto"/>
        <w:jc w:val="both"/>
        <w:rPr>
          <w:b/>
          <w:u w:val="single"/>
        </w:rPr>
      </w:pPr>
    </w:p>
    <w:p w:rsidR="009F468D" w:rsidRPr="00EA3BA4" w:rsidRDefault="009F468D" w:rsidP="009F468D">
      <w:pPr>
        <w:spacing w:line="300" w:lineRule="auto"/>
        <w:jc w:val="both"/>
        <w:rPr>
          <w:b/>
          <w:u w:val="single"/>
        </w:rPr>
      </w:pPr>
      <w:r w:rsidRPr="00EA3BA4">
        <w:rPr>
          <w:b/>
          <w:u w:val="single"/>
        </w:rPr>
        <w:t>BCA/ VfM for selected UNDP Projects – Analytical Framework</w:t>
      </w:r>
    </w:p>
    <w:p w:rsidR="009F468D" w:rsidRDefault="009F468D" w:rsidP="009F468D">
      <w:pPr>
        <w:spacing w:after="0" w:line="240" w:lineRule="auto"/>
        <w:jc w:val="both"/>
      </w:pPr>
      <w:r w:rsidRPr="00EA3BA4">
        <w:t>Th</w:t>
      </w:r>
      <w:r>
        <w:t>is evaluation</w:t>
      </w:r>
      <w:r w:rsidRPr="00EA3BA4">
        <w:t xml:space="preserve"> approach focused on </w:t>
      </w:r>
      <w:r>
        <w:t xml:space="preserve">the </w:t>
      </w:r>
      <w:r w:rsidRPr="00EA3BA4">
        <w:t xml:space="preserve">cost and benefits of projects or activities associated with resilience building and </w:t>
      </w:r>
      <w:r>
        <w:t>‘</w:t>
      </w:r>
      <w:r w:rsidRPr="00EA3BA4">
        <w:t>green development</w:t>
      </w:r>
      <w:r>
        <w:t>’</w:t>
      </w:r>
      <w:r w:rsidRPr="00EA3BA4">
        <w:t xml:space="preserve"> (in terms of natural resource management and access and utilization of low carbon energy) outcomes. The issue of inquiry was whether the project</w:t>
      </w:r>
      <w:r>
        <w:t xml:space="preserve"> interventions</w:t>
      </w:r>
      <w:r w:rsidRPr="00EA3BA4">
        <w:t xml:space="preserve"> were </w:t>
      </w:r>
      <w:r>
        <w:t>worth the investments</w:t>
      </w:r>
      <w:r w:rsidRPr="00EA3BA4">
        <w:t xml:space="preserve">. </w:t>
      </w:r>
    </w:p>
    <w:p w:rsidR="009F468D" w:rsidRPr="00EA3BA4" w:rsidRDefault="009F468D" w:rsidP="009F468D">
      <w:pPr>
        <w:spacing w:after="0" w:line="240" w:lineRule="auto"/>
        <w:jc w:val="both"/>
      </w:pPr>
    </w:p>
    <w:p w:rsidR="009F468D" w:rsidRDefault="009F468D" w:rsidP="009F468D">
      <w:pPr>
        <w:spacing w:after="0" w:line="240" w:lineRule="auto"/>
        <w:jc w:val="both"/>
        <w:rPr>
          <w:i/>
        </w:rPr>
      </w:pPr>
      <w:r w:rsidRPr="00EA3BA4">
        <w:t xml:space="preserve">Considering the scope, time, and resources available for the mid-term outcome evaluation, </w:t>
      </w:r>
      <w:r>
        <w:t xml:space="preserve">the </w:t>
      </w:r>
      <w:r w:rsidRPr="00EA3BA4">
        <w:t xml:space="preserve">Value for Money (VfM) assessment tool was employed for four selected project components that were implemented through </w:t>
      </w:r>
      <w:r>
        <w:t xml:space="preserve">the </w:t>
      </w:r>
      <w:r w:rsidRPr="00EA3BA4">
        <w:t xml:space="preserve">coordination of UNDP: i) disaster resilient habitat (in </w:t>
      </w:r>
      <w:r w:rsidRPr="00EA3BA4">
        <w:rPr>
          <w:i/>
        </w:rPr>
        <w:t>Kederbazar</w:t>
      </w:r>
      <w:r>
        <w:rPr>
          <w:i/>
        </w:rPr>
        <w:t xml:space="preserve"> </w:t>
      </w:r>
      <w:r w:rsidRPr="00EA3BA4">
        <w:rPr>
          <w:i/>
        </w:rPr>
        <w:t>Adarsha Gram</w:t>
      </w:r>
      <w:r w:rsidRPr="00EA3BA4">
        <w:t xml:space="preserve">) under Early Recovery Facility; ii) disaster resilient habitat (in </w:t>
      </w:r>
      <w:r w:rsidRPr="00EA3BA4">
        <w:rPr>
          <w:i/>
        </w:rPr>
        <w:t>Bain Para</w:t>
      </w:r>
      <w:r w:rsidRPr="00EA3BA4">
        <w:t xml:space="preserve">) – reducing vulnerability through integrating sustainable livelihood under CDMP II; and </w:t>
      </w:r>
      <w:r>
        <w:t xml:space="preserve">the </w:t>
      </w:r>
      <w:r w:rsidRPr="00EA3BA4">
        <w:t xml:space="preserve">Triple F (Forest, Fruit and Fish) model in </w:t>
      </w:r>
      <w:r w:rsidRPr="00EA3BA4">
        <w:rPr>
          <w:i/>
        </w:rPr>
        <w:t>Naltona</w:t>
      </w:r>
      <w:r w:rsidRPr="00EA3BA4">
        <w:t xml:space="preserve"> union under </w:t>
      </w:r>
      <w:r>
        <w:t xml:space="preserve">the </w:t>
      </w:r>
      <w:r w:rsidRPr="00C05A0A">
        <w:rPr>
          <w:i/>
        </w:rPr>
        <w:t>Community-based Adaptation to Climate Change through Coastal Afforestation</w:t>
      </w:r>
      <w:r>
        <w:rPr>
          <w:i/>
        </w:rPr>
        <w:t xml:space="preserve"> project</w:t>
      </w:r>
      <w:r w:rsidRPr="00C05A0A">
        <w:rPr>
          <w:i/>
        </w:rPr>
        <w:t xml:space="preserve">. </w:t>
      </w:r>
    </w:p>
    <w:p w:rsidR="009F468D" w:rsidRPr="00C05A0A" w:rsidRDefault="009F468D" w:rsidP="009F468D">
      <w:pPr>
        <w:spacing w:after="0" w:line="240" w:lineRule="auto"/>
        <w:jc w:val="both"/>
        <w:rPr>
          <w:i/>
        </w:rPr>
      </w:pPr>
    </w:p>
    <w:p w:rsidR="009F468D" w:rsidRDefault="009F468D" w:rsidP="009F468D">
      <w:pPr>
        <w:spacing w:after="0" w:line="240" w:lineRule="auto"/>
        <w:jc w:val="both"/>
      </w:pPr>
      <w:r>
        <w:t xml:space="preserve">It is important to </w:t>
      </w:r>
      <w:r w:rsidRPr="00EA3BA4">
        <w:t>recognize that VfM assessment can only provide the cross-sectional perspectives concerning money-worth issues and project life-time costs and benefits, without considering project life-time costs and benefits</w:t>
      </w:r>
      <w:r>
        <w:t xml:space="preserve">.  Considering this limitation, this Evaluation </w:t>
      </w:r>
      <w:r w:rsidRPr="00EA3BA4">
        <w:t>explored prospect of adoption of a longitudinal approach</w:t>
      </w:r>
      <w:r>
        <w:t>,</w:t>
      </w:r>
      <w:r w:rsidRPr="00EA3BA4">
        <w:t xml:space="preserve"> which would include, but not </w:t>
      </w:r>
      <w:r>
        <w:t xml:space="preserve">be </w:t>
      </w:r>
      <w:r w:rsidRPr="00EA3BA4">
        <w:t>limited to, Net Present Value (NPP), Benefit Cost Ratio (BCR), and Internal Rat</w:t>
      </w:r>
      <w:r>
        <w:t>e of Return (IRR).</w:t>
      </w:r>
    </w:p>
    <w:p w:rsidR="009F468D" w:rsidRDefault="009F468D" w:rsidP="009F468D">
      <w:pPr>
        <w:spacing w:after="0" w:line="240" w:lineRule="auto"/>
        <w:jc w:val="both"/>
      </w:pPr>
    </w:p>
    <w:p w:rsidR="009F468D" w:rsidRDefault="009F468D" w:rsidP="009F468D">
      <w:pPr>
        <w:spacing w:line="300" w:lineRule="auto"/>
        <w:jc w:val="both"/>
        <w:rPr>
          <w:b/>
          <w:u w:val="single"/>
        </w:rPr>
      </w:pPr>
    </w:p>
    <w:p w:rsidR="009F468D" w:rsidRDefault="009F468D" w:rsidP="009F468D">
      <w:pPr>
        <w:spacing w:line="300" w:lineRule="auto"/>
        <w:jc w:val="both"/>
        <w:rPr>
          <w:b/>
          <w:u w:val="single"/>
        </w:rPr>
      </w:pPr>
    </w:p>
    <w:p w:rsidR="009F468D" w:rsidRDefault="009F468D" w:rsidP="009F468D">
      <w:pPr>
        <w:spacing w:line="300" w:lineRule="auto"/>
        <w:jc w:val="both"/>
        <w:rPr>
          <w:b/>
          <w:u w:val="single"/>
        </w:rPr>
      </w:pPr>
    </w:p>
    <w:p w:rsidR="009F468D" w:rsidRPr="006F5BB1" w:rsidRDefault="009F468D" w:rsidP="009F468D">
      <w:pPr>
        <w:spacing w:line="300" w:lineRule="auto"/>
        <w:jc w:val="both"/>
      </w:pPr>
      <w:r w:rsidRPr="00EA3BA4">
        <w:rPr>
          <w:b/>
          <w:u w:val="single"/>
        </w:rPr>
        <w:lastRenderedPageBreak/>
        <w:t>S</w:t>
      </w:r>
      <w:r>
        <w:rPr>
          <w:b/>
          <w:u w:val="single"/>
        </w:rPr>
        <w:t>ummary of</w:t>
      </w:r>
      <w:r w:rsidRPr="00EA3BA4">
        <w:rPr>
          <w:b/>
          <w:u w:val="single"/>
        </w:rPr>
        <w:t xml:space="preserve"> financial analyses </w:t>
      </w:r>
      <w:r w:rsidRPr="00EA3BA4">
        <w:rPr>
          <w:rStyle w:val="FootnoteReference"/>
          <w:b/>
        </w:rPr>
        <w:footnoteReference w:id="75"/>
      </w:r>
    </w:p>
    <w:p w:rsidR="009F468D" w:rsidRDefault="009F468D" w:rsidP="009F468D">
      <w:pPr>
        <w:spacing w:after="0" w:line="240" w:lineRule="auto"/>
        <w:jc w:val="both"/>
        <w:outlineLvl w:val="3"/>
      </w:pPr>
      <w:r w:rsidRPr="00EA3BA4">
        <w:t>A summary o</w:t>
      </w:r>
      <w:r>
        <w:t xml:space="preserve">f the </w:t>
      </w:r>
      <w:r w:rsidRPr="00EA3BA4">
        <w:t>financial analysis for selected UNDP projects is presented in Table</w:t>
      </w:r>
      <w:r>
        <w:t>sXIII.</w:t>
      </w:r>
      <w:r w:rsidRPr="00EA3BA4">
        <w:t xml:space="preserve">1 and </w:t>
      </w:r>
      <w:r>
        <w:t>XIII.</w:t>
      </w:r>
      <w:r w:rsidRPr="00EA3BA4">
        <w:t xml:space="preserve">2, while detailed results </w:t>
      </w:r>
      <w:r>
        <w:t>are presented in Tables XIII.3 to XIII.7.</w:t>
      </w:r>
    </w:p>
    <w:p w:rsidR="009F468D" w:rsidRPr="00EA3BA4" w:rsidRDefault="009F468D" w:rsidP="009F468D">
      <w:pPr>
        <w:spacing w:after="0" w:line="240" w:lineRule="auto"/>
        <w:jc w:val="both"/>
        <w:outlineLvl w:val="3"/>
      </w:pPr>
    </w:p>
    <w:p w:rsidR="009F468D" w:rsidRDefault="009F468D" w:rsidP="009F468D">
      <w:pPr>
        <w:spacing w:after="0" w:line="240" w:lineRule="auto"/>
        <w:jc w:val="both"/>
      </w:pPr>
      <w:r w:rsidRPr="00EA3BA4">
        <w:t xml:space="preserve">A comparative financial analysis is carried out for both </w:t>
      </w:r>
      <w:r>
        <w:t>ERF habitat and CDMP II habitat</w:t>
      </w:r>
      <w:r w:rsidRPr="00EA3BA4">
        <w:t xml:space="preserve"> (Table </w:t>
      </w:r>
      <w:r>
        <w:t>XIII.</w:t>
      </w:r>
      <w:r w:rsidRPr="00EA3BA4">
        <w:t xml:space="preserve">1). It can be seen that CDMP II habitat is more efficient from </w:t>
      </w:r>
      <w:r>
        <w:t xml:space="preserve">a </w:t>
      </w:r>
      <w:r w:rsidRPr="00EA3BA4">
        <w:t>financial point of view</w:t>
      </w:r>
      <w:r>
        <w:t xml:space="preserve"> than the ERF habitat</w:t>
      </w:r>
      <w:r w:rsidRPr="00EA3BA4">
        <w:t xml:space="preserve">. </w:t>
      </w:r>
      <w:r>
        <w:t xml:space="preserve">The </w:t>
      </w:r>
      <w:r w:rsidRPr="00EA3BA4">
        <w:t xml:space="preserve">BCR for CDMP II habitat is estimated as 2.76 compared to 1.88 for ERF habitat. </w:t>
      </w:r>
      <w:r>
        <w:t xml:space="preserve">The </w:t>
      </w:r>
      <w:r w:rsidRPr="00EA3BA4">
        <w:t>NPV for CDMP II habitat is estimated as T</w:t>
      </w:r>
      <w:r>
        <w:t xml:space="preserve">k. </w:t>
      </w:r>
      <w:r w:rsidRPr="00EA3BA4">
        <w:t>1183 thousands while it is T</w:t>
      </w:r>
      <w:r>
        <w:t xml:space="preserve">k. </w:t>
      </w:r>
      <w:r w:rsidRPr="00EA3BA4">
        <w:t>4</w:t>
      </w:r>
      <w:r>
        <w:t xml:space="preserve">68 thousands for ERF habitat.  </w:t>
      </w:r>
    </w:p>
    <w:p w:rsidR="009F468D" w:rsidRPr="00E776D6" w:rsidRDefault="009F468D" w:rsidP="009F468D">
      <w:pPr>
        <w:spacing w:after="0" w:line="240" w:lineRule="auto"/>
        <w:jc w:val="both"/>
      </w:pPr>
    </w:p>
    <w:p w:rsidR="009F468D" w:rsidRDefault="009F468D" w:rsidP="009F468D">
      <w:pPr>
        <w:spacing w:after="0" w:line="240" w:lineRule="auto"/>
        <w:jc w:val="both"/>
      </w:pPr>
      <w:r w:rsidRPr="00EA3BA4">
        <w:t xml:space="preserve">The financial analysis carried out for </w:t>
      </w:r>
      <w:r>
        <w:t xml:space="preserve">the </w:t>
      </w:r>
      <w:r w:rsidRPr="00EA3BA4">
        <w:t xml:space="preserve">FFF Model (under </w:t>
      </w:r>
      <w:r w:rsidRPr="00EA3BA4">
        <w:rPr>
          <w:bCs/>
        </w:rPr>
        <w:t>CBACC-CF</w:t>
      </w:r>
      <w:r w:rsidRPr="00EA3BA4">
        <w:rPr>
          <w:b/>
          <w:bCs/>
        </w:rPr>
        <w:t>)</w:t>
      </w:r>
      <w:r>
        <w:t xml:space="preserve">reveals </w:t>
      </w:r>
      <w:r w:rsidRPr="00EA3BA4">
        <w:t xml:space="preserve">that the FFF Model is </w:t>
      </w:r>
      <w:r>
        <w:t>very</w:t>
      </w:r>
      <w:r w:rsidRPr="00EA3BA4">
        <w:t xml:space="preserve"> efficient from</w:t>
      </w:r>
      <w:r>
        <w:t xml:space="preserve"> a</w:t>
      </w:r>
      <w:r w:rsidRPr="00EA3BA4">
        <w:t xml:space="preserve"> financial point of view (Table </w:t>
      </w:r>
      <w:r w:rsidR="001219B8">
        <w:t>XIII.</w:t>
      </w:r>
      <w:r w:rsidRPr="00EA3BA4">
        <w:t xml:space="preserve">1). </w:t>
      </w:r>
      <w:r>
        <w:t xml:space="preserve">The </w:t>
      </w:r>
      <w:r w:rsidRPr="00EA3BA4">
        <w:t xml:space="preserve">BCR for </w:t>
      </w:r>
      <w:r>
        <w:t xml:space="preserve">the </w:t>
      </w:r>
      <w:r w:rsidRPr="00EA3BA4">
        <w:t xml:space="preserve">FFF Model is estimated as high as 4.88. </w:t>
      </w:r>
      <w:r>
        <w:t xml:space="preserve">The </w:t>
      </w:r>
      <w:r w:rsidRPr="00EA3BA4">
        <w:t xml:space="preserve">NPV </w:t>
      </w:r>
      <w:r>
        <w:t xml:space="preserve">for FFF </w:t>
      </w:r>
      <w:r w:rsidRPr="00EA3BA4">
        <w:t>is estimated as T</w:t>
      </w:r>
      <w:r>
        <w:t xml:space="preserve">k. </w:t>
      </w:r>
      <w:r w:rsidRPr="00EA3BA4">
        <w:t xml:space="preserve">870 thousands.  </w:t>
      </w:r>
    </w:p>
    <w:p w:rsidR="009F468D" w:rsidRPr="00D0383C" w:rsidRDefault="009F468D" w:rsidP="009F468D">
      <w:pPr>
        <w:spacing w:after="0" w:line="240" w:lineRule="auto"/>
        <w:jc w:val="both"/>
      </w:pPr>
    </w:p>
    <w:p w:rsidR="009F468D" w:rsidRPr="00C662B3" w:rsidRDefault="009F468D" w:rsidP="009F468D">
      <w:pPr>
        <w:jc w:val="both"/>
        <w:outlineLvl w:val="3"/>
        <w:rPr>
          <w:rFonts w:cs="Calibri"/>
          <w:b/>
        </w:rPr>
      </w:pPr>
      <w:r>
        <w:rPr>
          <w:rFonts w:cs="Calibri"/>
          <w:b/>
        </w:rPr>
        <w:t>Table XIII.1: Financial</w:t>
      </w:r>
      <w:r w:rsidRPr="000F7045">
        <w:rPr>
          <w:rFonts w:cs="Calibri"/>
          <w:b/>
        </w:rPr>
        <w:t xml:space="preserve"> analysis: Habitat (ERF &amp; CDMP) and FFF Model (under </w:t>
      </w:r>
      <w:r w:rsidRPr="000F7045">
        <w:rPr>
          <w:rFonts w:cs="Calibri"/>
          <w:b/>
          <w:bCs/>
        </w:rPr>
        <w:t>CBACC-CF</w:t>
      </w:r>
      <w:r w:rsidRPr="000F7045">
        <w:rPr>
          <w:rFonts w:cs="Calibri"/>
          <w:b/>
        </w:rPr>
        <w:t>)</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510"/>
        <w:gridCol w:w="1260"/>
        <w:gridCol w:w="1080"/>
        <w:gridCol w:w="810"/>
        <w:gridCol w:w="972"/>
      </w:tblGrid>
      <w:tr w:rsidR="009F468D" w:rsidRPr="00BF056D" w:rsidTr="009F468D">
        <w:trPr>
          <w:trHeight w:val="230"/>
        </w:trPr>
        <w:tc>
          <w:tcPr>
            <w:tcW w:w="1008" w:type="dxa"/>
            <w:vMerge w:val="restart"/>
            <w:shd w:val="clear" w:color="auto" w:fill="FDE9D9"/>
          </w:tcPr>
          <w:p w:rsidR="009F468D" w:rsidRPr="00BF056D" w:rsidRDefault="009F468D" w:rsidP="009F468D">
            <w:pPr>
              <w:spacing w:after="0" w:line="240" w:lineRule="auto"/>
              <w:jc w:val="both"/>
              <w:rPr>
                <w:rFonts w:cs="Calibri"/>
                <w:bCs/>
              </w:rPr>
            </w:pPr>
            <w:r w:rsidRPr="00BF056D">
              <w:rPr>
                <w:rFonts w:cs="Calibri"/>
                <w:bCs/>
              </w:rPr>
              <w:t>District</w:t>
            </w:r>
          </w:p>
        </w:tc>
        <w:tc>
          <w:tcPr>
            <w:tcW w:w="3510" w:type="dxa"/>
            <w:vMerge w:val="restart"/>
            <w:shd w:val="clear" w:color="auto" w:fill="FDE9D9"/>
          </w:tcPr>
          <w:p w:rsidR="009F468D" w:rsidRPr="00BF056D" w:rsidRDefault="009F468D" w:rsidP="009F468D">
            <w:pPr>
              <w:spacing w:after="0" w:line="240" w:lineRule="auto"/>
              <w:rPr>
                <w:rFonts w:cs="Calibri"/>
                <w:bCs/>
              </w:rPr>
            </w:pPr>
            <w:r w:rsidRPr="00BF056D">
              <w:rPr>
                <w:rFonts w:cs="Calibri"/>
                <w:bCs/>
              </w:rPr>
              <w:t>Project Name</w:t>
            </w:r>
          </w:p>
        </w:tc>
        <w:tc>
          <w:tcPr>
            <w:tcW w:w="4122" w:type="dxa"/>
            <w:gridSpan w:val="4"/>
            <w:shd w:val="clear" w:color="auto" w:fill="FDE9D9"/>
          </w:tcPr>
          <w:p w:rsidR="009F468D" w:rsidRPr="00BF056D" w:rsidRDefault="009F468D" w:rsidP="009F468D">
            <w:pPr>
              <w:spacing w:after="0" w:line="240" w:lineRule="auto"/>
              <w:jc w:val="center"/>
              <w:rPr>
                <w:rFonts w:cs="Calibri"/>
                <w:b/>
              </w:rPr>
            </w:pPr>
            <w:r w:rsidRPr="00BF056D">
              <w:rPr>
                <w:rFonts w:cs="Calibri"/>
                <w:b/>
              </w:rPr>
              <w:t>Financial Analysis</w:t>
            </w:r>
            <w:r w:rsidRPr="00BF056D">
              <w:rPr>
                <w:rStyle w:val="FootnoteReference"/>
                <w:rFonts w:cs="Calibri"/>
                <w:b/>
              </w:rPr>
              <w:footnoteReference w:id="76"/>
            </w:r>
          </w:p>
        </w:tc>
      </w:tr>
      <w:tr w:rsidR="009F468D" w:rsidRPr="00BF056D" w:rsidTr="009F468D">
        <w:trPr>
          <w:trHeight w:val="773"/>
        </w:trPr>
        <w:tc>
          <w:tcPr>
            <w:tcW w:w="1008" w:type="dxa"/>
            <w:vMerge/>
            <w:shd w:val="clear" w:color="auto" w:fill="FDE9D9"/>
          </w:tcPr>
          <w:p w:rsidR="009F468D" w:rsidRPr="00BF056D" w:rsidRDefault="009F468D" w:rsidP="009F468D">
            <w:pPr>
              <w:spacing w:after="0" w:line="240" w:lineRule="auto"/>
              <w:jc w:val="both"/>
              <w:rPr>
                <w:rFonts w:cs="Calibri"/>
                <w:bCs/>
              </w:rPr>
            </w:pPr>
          </w:p>
        </w:tc>
        <w:tc>
          <w:tcPr>
            <w:tcW w:w="3510" w:type="dxa"/>
            <w:vMerge/>
            <w:shd w:val="clear" w:color="auto" w:fill="FDE9D9"/>
          </w:tcPr>
          <w:p w:rsidR="009F468D" w:rsidRPr="00BF056D" w:rsidRDefault="009F468D" w:rsidP="009F468D">
            <w:pPr>
              <w:spacing w:after="0" w:line="240" w:lineRule="auto"/>
              <w:rPr>
                <w:rFonts w:cs="Calibri"/>
                <w:bCs/>
              </w:rPr>
            </w:pPr>
          </w:p>
        </w:tc>
        <w:tc>
          <w:tcPr>
            <w:tcW w:w="1260" w:type="dxa"/>
            <w:shd w:val="clear" w:color="auto" w:fill="FDE9D9"/>
          </w:tcPr>
          <w:p w:rsidR="009F468D" w:rsidRPr="00BF056D" w:rsidRDefault="009F468D" w:rsidP="009F468D">
            <w:pPr>
              <w:spacing w:after="0" w:line="240" w:lineRule="auto"/>
              <w:jc w:val="center"/>
              <w:rPr>
                <w:rFonts w:cs="Calibri"/>
                <w:bCs/>
              </w:rPr>
            </w:pPr>
            <w:r w:rsidRPr="00BF056D">
              <w:rPr>
                <w:rFonts w:cs="Calibri"/>
              </w:rPr>
              <w:t>Discount rate (%)</w:t>
            </w:r>
            <w:r w:rsidRPr="00BF056D">
              <w:rPr>
                <w:rStyle w:val="FootnoteReference"/>
                <w:rFonts w:cs="Calibri"/>
                <w:b/>
              </w:rPr>
              <w:footnoteReference w:id="77"/>
            </w:r>
          </w:p>
        </w:tc>
        <w:tc>
          <w:tcPr>
            <w:tcW w:w="1080" w:type="dxa"/>
            <w:shd w:val="clear" w:color="auto" w:fill="FDE9D9"/>
          </w:tcPr>
          <w:p w:rsidR="009F468D" w:rsidRPr="00BF056D" w:rsidRDefault="009F468D" w:rsidP="009F468D">
            <w:pPr>
              <w:spacing w:after="0" w:line="240" w:lineRule="auto"/>
              <w:jc w:val="center"/>
              <w:rPr>
                <w:rFonts w:cs="Calibri"/>
              </w:rPr>
            </w:pPr>
            <w:r w:rsidRPr="00BF056D">
              <w:rPr>
                <w:rFonts w:cs="Calibri"/>
              </w:rPr>
              <w:t>NPV</w:t>
            </w:r>
          </w:p>
          <w:p w:rsidR="009F468D" w:rsidRPr="00BF056D" w:rsidRDefault="009F468D" w:rsidP="009F468D">
            <w:pPr>
              <w:spacing w:after="0" w:line="240" w:lineRule="auto"/>
              <w:jc w:val="center"/>
              <w:rPr>
                <w:rFonts w:cs="Calibri"/>
              </w:rPr>
            </w:pPr>
            <w:r w:rsidRPr="00BF056D">
              <w:rPr>
                <w:rFonts w:cs="Calibri"/>
              </w:rPr>
              <w:t>(000 T</w:t>
            </w:r>
            <w:r>
              <w:rPr>
                <w:rFonts w:cs="Calibri"/>
              </w:rPr>
              <w:t>k.</w:t>
            </w:r>
            <w:r w:rsidRPr="00BF056D">
              <w:rPr>
                <w:rFonts w:cs="Calibri"/>
              </w:rPr>
              <w:t>)</w:t>
            </w:r>
          </w:p>
        </w:tc>
        <w:tc>
          <w:tcPr>
            <w:tcW w:w="810" w:type="dxa"/>
            <w:shd w:val="clear" w:color="auto" w:fill="FDE9D9"/>
          </w:tcPr>
          <w:p w:rsidR="009F468D" w:rsidRPr="00BF056D" w:rsidRDefault="009F468D" w:rsidP="009F468D">
            <w:pPr>
              <w:spacing w:after="0" w:line="240" w:lineRule="auto"/>
              <w:jc w:val="center"/>
              <w:rPr>
                <w:rFonts w:cs="Calibri"/>
              </w:rPr>
            </w:pPr>
            <w:r w:rsidRPr="00BF056D">
              <w:rPr>
                <w:rFonts w:cs="Calibri"/>
              </w:rPr>
              <w:t>BCR</w:t>
            </w:r>
          </w:p>
          <w:p w:rsidR="009F468D" w:rsidRPr="00BF056D" w:rsidRDefault="009F468D" w:rsidP="009F468D">
            <w:pPr>
              <w:spacing w:after="0" w:line="240" w:lineRule="auto"/>
              <w:jc w:val="center"/>
              <w:rPr>
                <w:rFonts w:cs="Calibri"/>
                <w:bCs/>
              </w:rPr>
            </w:pPr>
          </w:p>
        </w:tc>
        <w:tc>
          <w:tcPr>
            <w:tcW w:w="972" w:type="dxa"/>
            <w:shd w:val="clear" w:color="auto" w:fill="FDE9D9"/>
          </w:tcPr>
          <w:p w:rsidR="009F468D" w:rsidRPr="00BF056D" w:rsidRDefault="009F468D" w:rsidP="009F468D">
            <w:pPr>
              <w:spacing w:after="0" w:line="240" w:lineRule="auto"/>
              <w:jc w:val="center"/>
              <w:rPr>
                <w:rFonts w:cs="Calibri"/>
              </w:rPr>
            </w:pPr>
            <w:r w:rsidRPr="00BF056D">
              <w:rPr>
                <w:rFonts w:cs="Calibri"/>
              </w:rPr>
              <w:t>IRR (%)</w:t>
            </w:r>
          </w:p>
          <w:p w:rsidR="009F468D" w:rsidRPr="00BF056D" w:rsidRDefault="009F468D" w:rsidP="009F468D">
            <w:pPr>
              <w:spacing w:after="0" w:line="240" w:lineRule="auto"/>
              <w:jc w:val="center"/>
              <w:rPr>
                <w:rFonts w:cs="Calibri"/>
                <w:bCs/>
              </w:rPr>
            </w:pPr>
          </w:p>
        </w:tc>
      </w:tr>
      <w:tr w:rsidR="009F468D" w:rsidRPr="00BF056D" w:rsidTr="009F468D">
        <w:trPr>
          <w:trHeight w:val="20"/>
        </w:trPr>
        <w:tc>
          <w:tcPr>
            <w:tcW w:w="1008" w:type="dxa"/>
            <w:shd w:val="clear" w:color="auto" w:fill="FDE9D9"/>
          </w:tcPr>
          <w:p w:rsidR="009F468D" w:rsidRPr="00BF056D" w:rsidRDefault="009F468D" w:rsidP="009F468D">
            <w:pPr>
              <w:spacing w:after="0" w:line="240" w:lineRule="auto"/>
              <w:jc w:val="both"/>
              <w:rPr>
                <w:rFonts w:cs="Calibri"/>
              </w:rPr>
            </w:pPr>
            <w:r w:rsidRPr="00BF056D">
              <w:rPr>
                <w:rFonts w:cs="Calibri"/>
              </w:rPr>
              <w:t>Satkhira</w:t>
            </w:r>
          </w:p>
        </w:tc>
        <w:tc>
          <w:tcPr>
            <w:tcW w:w="3510" w:type="dxa"/>
            <w:shd w:val="clear" w:color="auto" w:fill="DBE5F1"/>
          </w:tcPr>
          <w:p w:rsidR="009F468D" w:rsidRPr="00BF056D" w:rsidRDefault="009F468D" w:rsidP="009F468D">
            <w:pPr>
              <w:spacing w:after="0" w:line="240" w:lineRule="auto"/>
              <w:rPr>
                <w:rFonts w:cs="Calibri"/>
              </w:rPr>
            </w:pPr>
            <w:r w:rsidRPr="00BF056D">
              <w:rPr>
                <w:rFonts w:cs="Calibri"/>
              </w:rPr>
              <w:t>ERF: Kedarbazar Resilient Habitat, Shyamnagar, Satkhira</w:t>
            </w:r>
          </w:p>
        </w:tc>
        <w:tc>
          <w:tcPr>
            <w:tcW w:w="1260" w:type="dxa"/>
            <w:shd w:val="clear" w:color="auto" w:fill="DBE5F1"/>
          </w:tcPr>
          <w:p w:rsidR="009F468D" w:rsidRPr="00BF056D" w:rsidRDefault="009F468D" w:rsidP="009F468D">
            <w:pPr>
              <w:spacing w:after="0" w:line="240" w:lineRule="auto"/>
              <w:jc w:val="center"/>
              <w:rPr>
                <w:rFonts w:cs="Calibri"/>
              </w:rPr>
            </w:pPr>
            <w:r w:rsidRPr="00BF056D">
              <w:rPr>
                <w:rFonts w:cs="Calibri"/>
              </w:rPr>
              <w:t>12</w:t>
            </w:r>
          </w:p>
        </w:tc>
        <w:tc>
          <w:tcPr>
            <w:tcW w:w="1080" w:type="dxa"/>
            <w:shd w:val="clear" w:color="auto" w:fill="DBE5F1"/>
          </w:tcPr>
          <w:p w:rsidR="009F468D" w:rsidRPr="00BF056D" w:rsidRDefault="009F468D" w:rsidP="009F468D">
            <w:pPr>
              <w:spacing w:after="0" w:line="240" w:lineRule="auto"/>
              <w:jc w:val="center"/>
              <w:rPr>
                <w:rFonts w:cs="Calibri"/>
                <w:bCs/>
              </w:rPr>
            </w:pPr>
            <w:r w:rsidRPr="00BF056D">
              <w:rPr>
                <w:rFonts w:cs="Calibri"/>
                <w:bCs/>
              </w:rPr>
              <w:t>468</w:t>
            </w:r>
          </w:p>
          <w:p w:rsidR="009F468D" w:rsidRPr="00BF056D" w:rsidRDefault="009F468D" w:rsidP="009F468D">
            <w:pPr>
              <w:spacing w:after="0" w:line="240" w:lineRule="auto"/>
              <w:jc w:val="center"/>
              <w:rPr>
                <w:rFonts w:cs="Calibri"/>
              </w:rPr>
            </w:pPr>
          </w:p>
        </w:tc>
        <w:tc>
          <w:tcPr>
            <w:tcW w:w="810" w:type="dxa"/>
            <w:shd w:val="clear" w:color="auto" w:fill="DBE5F1"/>
          </w:tcPr>
          <w:p w:rsidR="009F468D" w:rsidRPr="00BF056D" w:rsidRDefault="009F468D" w:rsidP="009F468D">
            <w:pPr>
              <w:spacing w:after="0" w:line="240" w:lineRule="auto"/>
              <w:jc w:val="center"/>
              <w:rPr>
                <w:rFonts w:cs="Calibri"/>
                <w:bCs/>
              </w:rPr>
            </w:pPr>
            <w:r w:rsidRPr="00BF056D">
              <w:rPr>
                <w:rFonts w:cs="Calibri"/>
                <w:bCs/>
              </w:rPr>
              <w:t>1.88</w:t>
            </w:r>
          </w:p>
          <w:p w:rsidR="009F468D" w:rsidRPr="00BF056D" w:rsidRDefault="009F468D" w:rsidP="009F468D">
            <w:pPr>
              <w:spacing w:after="0" w:line="240" w:lineRule="auto"/>
              <w:jc w:val="center"/>
              <w:rPr>
                <w:rFonts w:cs="Calibri"/>
              </w:rPr>
            </w:pPr>
          </w:p>
        </w:tc>
        <w:tc>
          <w:tcPr>
            <w:tcW w:w="972" w:type="dxa"/>
            <w:shd w:val="clear" w:color="auto" w:fill="DBE5F1"/>
          </w:tcPr>
          <w:p w:rsidR="009F468D" w:rsidRPr="00BF056D" w:rsidRDefault="009F468D" w:rsidP="009F468D">
            <w:pPr>
              <w:spacing w:after="0" w:line="240" w:lineRule="auto"/>
              <w:jc w:val="center"/>
              <w:rPr>
                <w:rFonts w:cs="Calibri"/>
              </w:rPr>
            </w:pPr>
            <w:r w:rsidRPr="00BF056D">
              <w:rPr>
                <w:rFonts w:cs="Calibri"/>
              </w:rPr>
              <w:t>10.50</w:t>
            </w:r>
          </w:p>
        </w:tc>
      </w:tr>
      <w:tr w:rsidR="009F468D" w:rsidRPr="00BF056D" w:rsidTr="009F468D">
        <w:trPr>
          <w:trHeight w:val="692"/>
        </w:trPr>
        <w:tc>
          <w:tcPr>
            <w:tcW w:w="1008" w:type="dxa"/>
            <w:shd w:val="clear" w:color="auto" w:fill="FDE9D9"/>
          </w:tcPr>
          <w:p w:rsidR="009F468D" w:rsidRPr="00BF056D" w:rsidRDefault="009F468D" w:rsidP="009F468D">
            <w:pPr>
              <w:spacing w:after="0" w:line="240" w:lineRule="auto"/>
              <w:jc w:val="both"/>
              <w:rPr>
                <w:rFonts w:cs="Calibri"/>
              </w:rPr>
            </w:pPr>
            <w:r w:rsidRPr="00BF056D">
              <w:rPr>
                <w:rFonts w:cs="Calibri"/>
                <w:lang w:val="fr-FR"/>
              </w:rPr>
              <w:t>Khulna</w:t>
            </w:r>
          </w:p>
        </w:tc>
        <w:tc>
          <w:tcPr>
            <w:tcW w:w="3510" w:type="dxa"/>
            <w:shd w:val="clear" w:color="auto" w:fill="DBE5F1"/>
          </w:tcPr>
          <w:p w:rsidR="009F468D" w:rsidRPr="00BF056D" w:rsidRDefault="009F468D" w:rsidP="009F468D">
            <w:pPr>
              <w:spacing w:after="0" w:line="240" w:lineRule="auto"/>
              <w:rPr>
                <w:rFonts w:cs="Calibri"/>
                <w:lang w:val="fr-FR"/>
              </w:rPr>
            </w:pPr>
            <w:r w:rsidRPr="00BF056D">
              <w:rPr>
                <w:rFonts w:cs="Calibri"/>
                <w:lang w:val="fr-FR"/>
              </w:rPr>
              <w:t>CDMP-II: Baine Para Resilient Habitat, Dacope, Khulna</w:t>
            </w:r>
          </w:p>
        </w:tc>
        <w:tc>
          <w:tcPr>
            <w:tcW w:w="1260" w:type="dxa"/>
            <w:shd w:val="clear" w:color="auto" w:fill="DBE5F1"/>
          </w:tcPr>
          <w:p w:rsidR="009F468D" w:rsidRPr="00BF056D" w:rsidRDefault="009F468D" w:rsidP="009F468D">
            <w:pPr>
              <w:spacing w:after="0" w:line="240" w:lineRule="auto"/>
              <w:jc w:val="center"/>
              <w:rPr>
                <w:rFonts w:cs="Calibri"/>
              </w:rPr>
            </w:pPr>
            <w:r w:rsidRPr="00BF056D">
              <w:rPr>
                <w:rFonts w:cs="Calibri"/>
              </w:rPr>
              <w:t>12</w:t>
            </w:r>
          </w:p>
        </w:tc>
        <w:tc>
          <w:tcPr>
            <w:tcW w:w="1080" w:type="dxa"/>
            <w:shd w:val="clear" w:color="auto" w:fill="DBE5F1"/>
          </w:tcPr>
          <w:p w:rsidR="009F468D" w:rsidRPr="00BF056D" w:rsidRDefault="009F468D" w:rsidP="009F468D">
            <w:pPr>
              <w:spacing w:after="0" w:line="240" w:lineRule="auto"/>
              <w:jc w:val="center"/>
              <w:rPr>
                <w:rFonts w:cs="Calibri"/>
                <w:bCs/>
              </w:rPr>
            </w:pPr>
            <w:r w:rsidRPr="00BF056D">
              <w:rPr>
                <w:rFonts w:cs="Calibri"/>
                <w:bCs/>
              </w:rPr>
              <w:t>1183</w:t>
            </w:r>
          </w:p>
          <w:p w:rsidR="009F468D" w:rsidRPr="00BF056D" w:rsidRDefault="009F468D" w:rsidP="009F468D">
            <w:pPr>
              <w:spacing w:after="0" w:line="240" w:lineRule="auto"/>
              <w:jc w:val="center"/>
              <w:rPr>
                <w:rFonts w:cs="Calibri"/>
              </w:rPr>
            </w:pPr>
          </w:p>
        </w:tc>
        <w:tc>
          <w:tcPr>
            <w:tcW w:w="810" w:type="dxa"/>
            <w:shd w:val="clear" w:color="auto" w:fill="DBE5F1"/>
          </w:tcPr>
          <w:p w:rsidR="009F468D" w:rsidRPr="00BF056D" w:rsidRDefault="009F468D" w:rsidP="009F468D">
            <w:pPr>
              <w:spacing w:after="0" w:line="240" w:lineRule="auto"/>
              <w:jc w:val="center"/>
              <w:rPr>
                <w:rFonts w:cs="Calibri"/>
                <w:bCs/>
              </w:rPr>
            </w:pPr>
            <w:r w:rsidRPr="00BF056D">
              <w:rPr>
                <w:rFonts w:cs="Calibri"/>
                <w:bCs/>
              </w:rPr>
              <w:t>2.76</w:t>
            </w:r>
          </w:p>
          <w:p w:rsidR="009F468D" w:rsidRPr="00BF056D" w:rsidRDefault="009F468D" w:rsidP="009F468D">
            <w:pPr>
              <w:spacing w:after="0" w:line="240" w:lineRule="auto"/>
              <w:jc w:val="center"/>
              <w:rPr>
                <w:rFonts w:cs="Calibri"/>
                <w:lang w:val="de-DE"/>
              </w:rPr>
            </w:pPr>
          </w:p>
        </w:tc>
        <w:tc>
          <w:tcPr>
            <w:tcW w:w="972" w:type="dxa"/>
            <w:shd w:val="clear" w:color="auto" w:fill="DBE5F1"/>
          </w:tcPr>
          <w:p w:rsidR="009F468D" w:rsidRPr="00BF056D" w:rsidRDefault="009F468D" w:rsidP="009F468D">
            <w:pPr>
              <w:spacing w:after="0" w:line="240" w:lineRule="auto"/>
              <w:jc w:val="center"/>
              <w:rPr>
                <w:rFonts w:cs="Calibri"/>
                <w:lang w:val="de-DE"/>
              </w:rPr>
            </w:pPr>
            <w:r w:rsidRPr="00BF056D">
              <w:rPr>
                <w:rFonts w:cs="Calibri"/>
                <w:lang w:val="de-DE"/>
              </w:rPr>
              <w:t>20.30</w:t>
            </w:r>
          </w:p>
        </w:tc>
      </w:tr>
      <w:tr w:rsidR="009F468D" w:rsidRPr="00BF056D" w:rsidTr="009F468D">
        <w:trPr>
          <w:trHeight w:val="350"/>
        </w:trPr>
        <w:tc>
          <w:tcPr>
            <w:tcW w:w="1008" w:type="dxa"/>
            <w:shd w:val="clear" w:color="auto" w:fill="FDE9D9"/>
          </w:tcPr>
          <w:p w:rsidR="009F468D" w:rsidRPr="00BF056D" w:rsidRDefault="009F468D" w:rsidP="009F468D">
            <w:pPr>
              <w:spacing w:after="0" w:line="240" w:lineRule="auto"/>
              <w:jc w:val="both"/>
              <w:rPr>
                <w:rFonts w:cs="Calibri"/>
              </w:rPr>
            </w:pPr>
            <w:r w:rsidRPr="00BF056D">
              <w:rPr>
                <w:rFonts w:cs="Calibri"/>
              </w:rPr>
              <w:t>Barguna</w:t>
            </w:r>
          </w:p>
        </w:tc>
        <w:tc>
          <w:tcPr>
            <w:tcW w:w="3510" w:type="dxa"/>
            <w:shd w:val="clear" w:color="auto" w:fill="DBE5F1"/>
          </w:tcPr>
          <w:p w:rsidR="009F468D" w:rsidRPr="00BF056D" w:rsidRDefault="009F468D" w:rsidP="009F468D">
            <w:pPr>
              <w:spacing w:after="0" w:line="240" w:lineRule="auto"/>
              <w:rPr>
                <w:rFonts w:cs="Calibri"/>
                <w:lang w:val="fr-FR"/>
              </w:rPr>
            </w:pPr>
            <w:r w:rsidRPr="00BF056D">
              <w:rPr>
                <w:rFonts w:cs="Calibri"/>
              </w:rPr>
              <w:t>FFF models: BargunaSadar, Barguna</w:t>
            </w:r>
          </w:p>
        </w:tc>
        <w:tc>
          <w:tcPr>
            <w:tcW w:w="1260" w:type="dxa"/>
            <w:shd w:val="clear" w:color="auto" w:fill="DBE5F1"/>
          </w:tcPr>
          <w:p w:rsidR="009F468D" w:rsidRPr="00BF056D" w:rsidRDefault="009F468D" w:rsidP="009F468D">
            <w:pPr>
              <w:spacing w:after="0" w:line="240" w:lineRule="auto"/>
              <w:jc w:val="center"/>
              <w:rPr>
                <w:rFonts w:cs="Calibri"/>
              </w:rPr>
            </w:pPr>
            <w:r w:rsidRPr="00BF056D">
              <w:rPr>
                <w:rFonts w:cs="Calibri"/>
              </w:rPr>
              <w:t>12</w:t>
            </w:r>
          </w:p>
        </w:tc>
        <w:tc>
          <w:tcPr>
            <w:tcW w:w="1080" w:type="dxa"/>
            <w:shd w:val="clear" w:color="auto" w:fill="DBE5F1"/>
          </w:tcPr>
          <w:p w:rsidR="009F468D" w:rsidRPr="00BF056D" w:rsidRDefault="009F468D" w:rsidP="009F468D">
            <w:pPr>
              <w:spacing w:after="0" w:line="240" w:lineRule="auto"/>
              <w:jc w:val="center"/>
              <w:rPr>
                <w:rFonts w:cs="Calibri"/>
                <w:bCs/>
              </w:rPr>
            </w:pPr>
            <w:r w:rsidRPr="00BF056D">
              <w:rPr>
                <w:rFonts w:cs="Calibri"/>
                <w:bCs/>
              </w:rPr>
              <w:t>870</w:t>
            </w:r>
          </w:p>
        </w:tc>
        <w:tc>
          <w:tcPr>
            <w:tcW w:w="810" w:type="dxa"/>
            <w:shd w:val="clear" w:color="auto" w:fill="DBE5F1"/>
          </w:tcPr>
          <w:p w:rsidR="009F468D" w:rsidRPr="00BF056D" w:rsidRDefault="009F468D" w:rsidP="009F468D">
            <w:pPr>
              <w:spacing w:after="0" w:line="240" w:lineRule="auto"/>
              <w:jc w:val="center"/>
              <w:rPr>
                <w:rFonts w:cs="Calibri"/>
                <w:bCs/>
              </w:rPr>
            </w:pPr>
            <w:r w:rsidRPr="00BF056D">
              <w:rPr>
                <w:rFonts w:cs="Calibri"/>
                <w:bCs/>
              </w:rPr>
              <w:t>4.88</w:t>
            </w:r>
          </w:p>
        </w:tc>
        <w:tc>
          <w:tcPr>
            <w:tcW w:w="972" w:type="dxa"/>
            <w:shd w:val="clear" w:color="auto" w:fill="DBE5F1"/>
          </w:tcPr>
          <w:p w:rsidR="009F468D" w:rsidRPr="00BF056D" w:rsidRDefault="009F468D" w:rsidP="009F468D">
            <w:pPr>
              <w:spacing w:after="0" w:line="240" w:lineRule="auto"/>
              <w:jc w:val="center"/>
              <w:rPr>
                <w:rFonts w:cs="Calibri"/>
              </w:rPr>
            </w:pPr>
            <w:r w:rsidRPr="00BF056D">
              <w:rPr>
                <w:rFonts w:cs="Calibri"/>
              </w:rPr>
              <w:t>50.9</w:t>
            </w:r>
          </w:p>
        </w:tc>
      </w:tr>
    </w:tbl>
    <w:p w:rsidR="009F468D" w:rsidRPr="00BF056D" w:rsidRDefault="009F468D" w:rsidP="009F468D">
      <w:pPr>
        <w:spacing w:line="300" w:lineRule="auto"/>
        <w:jc w:val="both"/>
      </w:pPr>
    </w:p>
    <w:p w:rsidR="009F468D" w:rsidRDefault="009F468D" w:rsidP="009F468D">
      <w:pPr>
        <w:spacing w:after="0" w:line="240" w:lineRule="auto"/>
        <w:jc w:val="both"/>
      </w:pPr>
      <w:r w:rsidRPr="006B125F">
        <w:t xml:space="preserve">A comparative financial analysis is also carried out for both traditional and </w:t>
      </w:r>
      <w:r>
        <w:t>Green B</w:t>
      </w:r>
      <w:r w:rsidRPr="006B125F">
        <w:t xml:space="preserve">rick making activities (Table </w:t>
      </w:r>
      <w:r>
        <w:t>XIII.</w:t>
      </w:r>
      <w:r w:rsidRPr="006B125F">
        <w:t xml:space="preserve">2). It </w:t>
      </w:r>
      <w:r>
        <w:t>is apparent</w:t>
      </w:r>
      <w:r w:rsidRPr="006B125F">
        <w:t xml:space="preserve"> that </w:t>
      </w:r>
      <w:r>
        <w:t>Green B</w:t>
      </w:r>
      <w:r w:rsidRPr="006B125F">
        <w:t>rick making is more efficient tha</w:t>
      </w:r>
      <w:r>
        <w:t xml:space="preserve">n the </w:t>
      </w:r>
      <w:r>
        <w:lastRenderedPageBreak/>
        <w:t>traditional one. The BCR for Green B</w:t>
      </w:r>
      <w:r w:rsidRPr="006B125F">
        <w:t>rick is estimated as 1.92 compared to 1.48 for traditional brick</w:t>
      </w:r>
      <w:r>
        <w:t>. The NPV for Green B</w:t>
      </w:r>
      <w:r w:rsidRPr="006B125F">
        <w:t>rick is estimated as T</w:t>
      </w:r>
      <w:r>
        <w:t xml:space="preserve">k. </w:t>
      </w:r>
      <w:r w:rsidRPr="006B125F">
        <w:t>87 million compared to T</w:t>
      </w:r>
      <w:r>
        <w:t>k. 24 million</w:t>
      </w:r>
      <w:r w:rsidRPr="006B125F">
        <w:t xml:space="preserve"> for traditional brick</w:t>
      </w:r>
      <w:r>
        <w:t xml:space="preserve"> interventions.</w:t>
      </w:r>
    </w:p>
    <w:p w:rsidR="009F468D" w:rsidRPr="00AE0020" w:rsidRDefault="009F468D" w:rsidP="009F468D">
      <w:pPr>
        <w:spacing w:after="0" w:line="240" w:lineRule="auto"/>
        <w:jc w:val="both"/>
      </w:pPr>
    </w:p>
    <w:p w:rsidR="009F468D" w:rsidRPr="00C662B3" w:rsidRDefault="009F468D" w:rsidP="009F468D">
      <w:pPr>
        <w:jc w:val="both"/>
        <w:outlineLvl w:val="3"/>
        <w:rPr>
          <w:rFonts w:cs="Calibri"/>
          <w:b/>
        </w:rPr>
      </w:pPr>
      <w:r w:rsidRPr="000F7045">
        <w:rPr>
          <w:rFonts w:cs="Calibri"/>
          <w:b/>
        </w:rPr>
        <w:t xml:space="preserve">Table </w:t>
      </w:r>
      <w:r>
        <w:rPr>
          <w:rFonts w:cs="Calibri"/>
          <w:b/>
        </w:rPr>
        <w:t>XIII.2: Financial analysis: Green B</w:t>
      </w:r>
      <w:r w:rsidRPr="000F7045">
        <w:rPr>
          <w:rFonts w:cs="Calibri"/>
          <w:b/>
        </w:rPr>
        <w:t>ric</w:t>
      </w:r>
      <w:r>
        <w:rPr>
          <w:rFonts w:cs="Calibri"/>
          <w:b/>
        </w:rPr>
        <w:t>kvs.</w:t>
      </w:r>
      <w:r w:rsidRPr="000F7045">
        <w:rPr>
          <w:rFonts w:cs="Calibri"/>
          <w:b/>
        </w:rPr>
        <w:t xml:space="preserve"> traditional bric</w:t>
      </w:r>
      <w:r>
        <w:rPr>
          <w:rFonts w:cs="Calibri"/>
          <w:b/>
        </w:rPr>
        <w:t>k</w:t>
      </w:r>
    </w:p>
    <w:tbl>
      <w:tblPr>
        <w:tblW w:w="8550" w:type="dxa"/>
        <w:tblBorders>
          <w:top w:val="single" w:sz="8" w:space="0" w:color="9BBB59"/>
          <w:left w:val="single" w:sz="8" w:space="0" w:color="9BBB59"/>
          <w:bottom w:val="single" w:sz="8" w:space="0" w:color="9BBB59"/>
          <w:right w:val="single" w:sz="8" w:space="0" w:color="9BBB59"/>
        </w:tblBorders>
        <w:tblLook w:val="0000" w:firstRow="0" w:lastRow="0" w:firstColumn="0" w:lastColumn="0" w:noHBand="0" w:noVBand="0"/>
      </w:tblPr>
      <w:tblGrid>
        <w:gridCol w:w="2485"/>
        <w:gridCol w:w="2375"/>
        <w:gridCol w:w="1710"/>
        <w:gridCol w:w="990"/>
        <w:gridCol w:w="990"/>
      </w:tblGrid>
      <w:tr w:rsidR="009F468D" w:rsidRPr="00276512" w:rsidTr="009F468D">
        <w:trPr>
          <w:trHeight w:val="230"/>
        </w:trPr>
        <w:tc>
          <w:tcPr>
            <w:tcW w:w="2485" w:type="dxa"/>
            <w:vMerge w:val="restart"/>
            <w:tcBorders>
              <w:top w:val="single" w:sz="8" w:space="0" w:color="9BBB59"/>
              <w:bottom w:val="single" w:sz="8" w:space="0" w:color="9BBB59"/>
              <w:right w:val="single" w:sz="8" w:space="0" w:color="9BBB59"/>
            </w:tcBorders>
            <w:shd w:val="clear" w:color="auto" w:fill="FDE9D9"/>
          </w:tcPr>
          <w:p w:rsidR="009F468D" w:rsidRPr="00276512" w:rsidRDefault="009F468D" w:rsidP="009F468D">
            <w:pPr>
              <w:spacing w:after="0" w:line="240" w:lineRule="auto"/>
              <w:jc w:val="both"/>
              <w:rPr>
                <w:rFonts w:cs="Calibri"/>
                <w:bCs/>
              </w:rPr>
            </w:pPr>
            <w:r w:rsidRPr="00276512">
              <w:rPr>
                <w:rFonts w:cs="Calibri"/>
                <w:bCs/>
              </w:rPr>
              <w:t>Project Name</w:t>
            </w:r>
          </w:p>
        </w:tc>
        <w:tc>
          <w:tcPr>
            <w:tcW w:w="6065" w:type="dxa"/>
            <w:gridSpan w:val="4"/>
            <w:tcBorders>
              <w:top w:val="single" w:sz="8" w:space="0" w:color="9BBB59"/>
              <w:bottom w:val="single" w:sz="8" w:space="0" w:color="9BBB59"/>
            </w:tcBorders>
            <w:shd w:val="clear" w:color="auto" w:fill="FDE9D9"/>
          </w:tcPr>
          <w:p w:rsidR="009F468D" w:rsidRPr="00276512" w:rsidRDefault="009F468D" w:rsidP="009F468D">
            <w:pPr>
              <w:spacing w:after="0" w:line="240" w:lineRule="auto"/>
              <w:jc w:val="both"/>
              <w:rPr>
                <w:rFonts w:cs="Calibri"/>
                <w:b/>
              </w:rPr>
            </w:pPr>
            <w:r w:rsidRPr="00276512">
              <w:rPr>
                <w:rFonts w:cs="Calibri"/>
                <w:b/>
              </w:rPr>
              <w:t>Financial Analysis</w:t>
            </w:r>
          </w:p>
        </w:tc>
      </w:tr>
      <w:tr w:rsidR="009F468D" w:rsidRPr="00276512" w:rsidTr="009F468D">
        <w:trPr>
          <w:trHeight w:val="413"/>
        </w:trPr>
        <w:tc>
          <w:tcPr>
            <w:tcW w:w="2485" w:type="dxa"/>
            <w:vMerge/>
            <w:tcBorders>
              <w:right w:val="single" w:sz="8" w:space="0" w:color="9BBB59"/>
            </w:tcBorders>
            <w:shd w:val="clear" w:color="auto" w:fill="FDE9D9"/>
          </w:tcPr>
          <w:p w:rsidR="009F468D" w:rsidRPr="00276512" w:rsidRDefault="009F468D" w:rsidP="009F468D">
            <w:pPr>
              <w:spacing w:after="0" w:line="240" w:lineRule="auto"/>
              <w:jc w:val="both"/>
              <w:rPr>
                <w:rFonts w:cs="Calibri"/>
                <w:bCs/>
              </w:rPr>
            </w:pPr>
          </w:p>
        </w:tc>
        <w:tc>
          <w:tcPr>
            <w:tcW w:w="2375" w:type="dxa"/>
            <w:shd w:val="clear" w:color="auto" w:fill="FDE9D9"/>
          </w:tcPr>
          <w:p w:rsidR="009F468D" w:rsidRPr="00276512" w:rsidRDefault="009F468D" w:rsidP="009F468D">
            <w:pPr>
              <w:spacing w:after="0" w:line="240" w:lineRule="auto"/>
              <w:jc w:val="both"/>
              <w:rPr>
                <w:rFonts w:cs="Calibri"/>
                <w:bCs/>
              </w:rPr>
            </w:pPr>
            <w:r w:rsidRPr="00276512">
              <w:rPr>
                <w:rFonts w:cs="Calibri"/>
              </w:rPr>
              <w:t>Discount rate (%)</w:t>
            </w:r>
          </w:p>
        </w:tc>
        <w:tc>
          <w:tcPr>
            <w:tcW w:w="1710" w:type="dxa"/>
            <w:tcBorders>
              <w:left w:val="single" w:sz="8" w:space="0" w:color="9BBB59"/>
              <w:right w:val="single" w:sz="8" w:space="0" w:color="9BBB59"/>
            </w:tcBorders>
            <w:shd w:val="clear" w:color="auto" w:fill="FDE9D9"/>
          </w:tcPr>
          <w:p w:rsidR="009F468D" w:rsidRPr="00276512" w:rsidRDefault="009F468D" w:rsidP="009F468D">
            <w:pPr>
              <w:spacing w:after="0" w:line="240" w:lineRule="auto"/>
              <w:jc w:val="both"/>
              <w:rPr>
                <w:rFonts w:cs="Calibri"/>
              </w:rPr>
            </w:pPr>
            <w:r w:rsidRPr="00276512">
              <w:rPr>
                <w:rFonts w:cs="Calibri"/>
              </w:rPr>
              <w:t>NPV(million T</w:t>
            </w:r>
            <w:r>
              <w:rPr>
                <w:rFonts w:cs="Calibri"/>
              </w:rPr>
              <w:t>K</w:t>
            </w:r>
            <w:r w:rsidRPr="00276512">
              <w:rPr>
                <w:rFonts w:cs="Calibri"/>
              </w:rPr>
              <w:t>)</w:t>
            </w:r>
          </w:p>
        </w:tc>
        <w:tc>
          <w:tcPr>
            <w:tcW w:w="990" w:type="dxa"/>
            <w:shd w:val="clear" w:color="auto" w:fill="FDE9D9"/>
          </w:tcPr>
          <w:p w:rsidR="009F468D" w:rsidRPr="00276512" w:rsidRDefault="009F468D" w:rsidP="009F468D">
            <w:pPr>
              <w:spacing w:after="0" w:line="240" w:lineRule="auto"/>
              <w:jc w:val="both"/>
              <w:rPr>
                <w:rFonts w:cs="Calibri"/>
              </w:rPr>
            </w:pPr>
            <w:r w:rsidRPr="00276512">
              <w:rPr>
                <w:rFonts w:cs="Calibri"/>
              </w:rPr>
              <w:t>BCR</w:t>
            </w:r>
          </w:p>
        </w:tc>
        <w:tc>
          <w:tcPr>
            <w:tcW w:w="990" w:type="dxa"/>
            <w:tcBorders>
              <w:left w:val="single" w:sz="8" w:space="0" w:color="9BBB59"/>
            </w:tcBorders>
            <w:shd w:val="clear" w:color="auto" w:fill="FDE9D9"/>
          </w:tcPr>
          <w:p w:rsidR="009F468D" w:rsidRPr="00276512" w:rsidRDefault="009F468D" w:rsidP="009F468D">
            <w:pPr>
              <w:spacing w:after="0" w:line="240" w:lineRule="auto"/>
              <w:jc w:val="both"/>
              <w:rPr>
                <w:rFonts w:cs="Calibri"/>
              </w:rPr>
            </w:pPr>
            <w:r w:rsidRPr="00276512">
              <w:rPr>
                <w:rFonts w:cs="Calibri"/>
              </w:rPr>
              <w:t>IRR (%)</w:t>
            </w:r>
          </w:p>
        </w:tc>
      </w:tr>
      <w:tr w:rsidR="009F468D" w:rsidRPr="00276512" w:rsidTr="009F468D">
        <w:trPr>
          <w:trHeight w:val="20"/>
        </w:trPr>
        <w:tc>
          <w:tcPr>
            <w:tcW w:w="2485" w:type="dxa"/>
            <w:tcBorders>
              <w:top w:val="single" w:sz="8" w:space="0" w:color="9BBB59"/>
              <w:bottom w:val="single" w:sz="8" w:space="0" w:color="9BBB59"/>
              <w:right w:val="single" w:sz="8" w:space="0" w:color="9BBB59"/>
            </w:tcBorders>
            <w:shd w:val="clear" w:color="auto" w:fill="FDE9D9"/>
          </w:tcPr>
          <w:p w:rsidR="009F468D" w:rsidRPr="00276512" w:rsidRDefault="009F468D" w:rsidP="009F468D">
            <w:pPr>
              <w:spacing w:after="0" w:line="240" w:lineRule="auto"/>
              <w:jc w:val="both"/>
              <w:rPr>
                <w:rFonts w:cs="Calibri"/>
                <w:lang w:val="fr-FR"/>
              </w:rPr>
            </w:pPr>
            <w:r>
              <w:rPr>
                <w:rFonts w:cs="Calibri"/>
              </w:rPr>
              <w:t>Green B</w:t>
            </w:r>
            <w:r w:rsidRPr="00276512">
              <w:rPr>
                <w:rFonts w:cs="Calibri"/>
              </w:rPr>
              <w:t>ric</w:t>
            </w:r>
            <w:r>
              <w:rPr>
                <w:rFonts w:cs="Calibri"/>
              </w:rPr>
              <w:t>k</w:t>
            </w:r>
          </w:p>
        </w:tc>
        <w:tc>
          <w:tcPr>
            <w:tcW w:w="2375" w:type="dxa"/>
            <w:tcBorders>
              <w:top w:val="single" w:sz="8" w:space="0" w:color="9BBB59"/>
              <w:bottom w:val="single" w:sz="8" w:space="0" w:color="9BBB59"/>
            </w:tcBorders>
            <w:shd w:val="clear" w:color="auto" w:fill="DAEEF3"/>
          </w:tcPr>
          <w:p w:rsidR="009F468D" w:rsidRPr="00276512" w:rsidRDefault="009F468D" w:rsidP="009F468D">
            <w:pPr>
              <w:spacing w:after="0" w:line="240" w:lineRule="auto"/>
              <w:jc w:val="center"/>
              <w:rPr>
                <w:rFonts w:cs="Calibri"/>
              </w:rPr>
            </w:pPr>
            <w:r w:rsidRPr="00276512">
              <w:rPr>
                <w:rFonts w:cs="Calibri"/>
              </w:rPr>
              <w:t>12</w:t>
            </w:r>
          </w:p>
        </w:tc>
        <w:tc>
          <w:tcPr>
            <w:tcW w:w="1710" w:type="dxa"/>
            <w:tcBorders>
              <w:top w:val="single" w:sz="8" w:space="0" w:color="9BBB59"/>
              <w:left w:val="single" w:sz="8" w:space="0" w:color="9BBB59"/>
              <w:bottom w:val="single" w:sz="8" w:space="0" w:color="9BBB59"/>
              <w:right w:val="single" w:sz="8" w:space="0" w:color="9BBB59"/>
            </w:tcBorders>
            <w:shd w:val="clear" w:color="auto" w:fill="DAEEF3"/>
          </w:tcPr>
          <w:p w:rsidR="009F468D" w:rsidRPr="00276512" w:rsidRDefault="009F468D" w:rsidP="009F468D">
            <w:pPr>
              <w:spacing w:after="0" w:line="240" w:lineRule="auto"/>
              <w:jc w:val="center"/>
              <w:rPr>
                <w:rFonts w:cs="Calibri"/>
              </w:rPr>
            </w:pPr>
            <w:r w:rsidRPr="00276512">
              <w:rPr>
                <w:rFonts w:cs="Calibri"/>
              </w:rPr>
              <w:t>87</w:t>
            </w:r>
          </w:p>
        </w:tc>
        <w:tc>
          <w:tcPr>
            <w:tcW w:w="990" w:type="dxa"/>
            <w:tcBorders>
              <w:top w:val="single" w:sz="8" w:space="0" w:color="9BBB59"/>
              <w:bottom w:val="single" w:sz="8" w:space="0" w:color="9BBB59"/>
            </w:tcBorders>
            <w:shd w:val="clear" w:color="auto" w:fill="DAEEF3"/>
          </w:tcPr>
          <w:p w:rsidR="009F468D" w:rsidRPr="00276512" w:rsidRDefault="009F468D" w:rsidP="009F468D">
            <w:pPr>
              <w:spacing w:after="0" w:line="240" w:lineRule="auto"/>
              <w:jc w:val="center"/>
              <w:rPr>
                <w:rFonts w:cs="Calibri"/>
                <w:lang w:val="de-DE"/>
              </w:rPr>
            </w:pPr>
            <w:r w:rsidRPr="00276512">
              <w:rPr>
                <w:rFonts w:cs="Calibri"/>
                <w:lang w:val="de-DE"/>
              </w:rPr>
              <w:t>1.92</w:t>
            </w:r>
          </w:p>
        </w:tc>
        <w:tc>
          <w:tcPr>
            <w:tcW w:w="990" w:type="dxa"/>
            <w:tcBorders>
              <w:top w:val="single" w:sz="8" w:space="0" w:color="9BBB59"/>
              <w:left w:val="single" w:sz="8" w:space="0" w:color="9BBB59"/>
              <w:bottom w:val="single" w:sz="8" w:space="0" w:color="9BBB59"/>
            </w:tcBorders>
            <w:shd w:val="clear" w:color="auto" w:fill="DAEEF3"/>
          </w:tcPr>
          <w:p w:rsidR="009F468D" w:rsidRPr="00276512" w:rsidRDefault="009F468D" w:rsidP="009F468D">
            <w:pPr>
              <w:spacing w:after="0" w:line="240" w:lineRule="auto"/>
              <w:jc w:val="center"/>
              <w:rPr>
                <w:rFonts w:cs="Calibri"/>
                <w:lang w:val="de-DE"/>
              </w:rPr>
            </w:pPr>
            <w:r w:rsidRPr="00276512">
              <w:rPr>
                <w:rFonts w:cs="Calibri"/>
                <w:lang w:val="de-DE"/>
              </w:rPr>
              <w:t>10.5</w:t>
            </w:r>
          </w:p>
        </w:tc>
      </w:tr>
      <w:tr w:rsidR="009F468D" w:rsidRPr="00276512" w:rsidTr="009F468D">
        <w:trPr>
          <w:trHeight w:val="20"/>
        </w:trPr>
        <w:tc>
          <w:tcPr>
            <w:tcW w:w="2485" w:type="dxa"/>
            <w:tcBorders>
              <w:bottom w:val="single" w:sz="8" w:space="0" w:color="9BBB59"/>
              <w:right w:val="single" w:sz="8" w:space="0" w:color="9BBB59"/>
            </w:tcBorders>
            <w:shd w:val="clear" w:color="auto" w:fill="FDE9D9"/>
          </w:tcPr>
          <w:p w:rsidR="009F468D" w:rsidRPr="00276512" w:rsidRDefault="009F468D" w:rsidP="009F468D">
            <w:pPr>
              <w:spacing w:after="0" w:line="240" w:lineRule="auto"/>
              <w:jc w:val="both"/>
              <w:rPr>
                <w:rFonts w:cs="Calibri"/>
              </w:rPr>
            </w:pPr>
            <w:r w:rsidRPr="00276512">
              <w:rPr>
                <w:rFonts w:cs="Calibri"/>
              </w:rPr>
              <w:t>Traditional bric</w:t>
            </w:r>
            <w:r>
              <w:rPr>
                <w:rFonts w:cs="Calibri"/>
              </w:rPr>
              <w:t>k</w:t>
            </w:r>
          </w:p>
        </w:tc>
        <w:tc>
          <w:tcPr>
            <w:tcW w:w="2375" w:type="dxa"/>
            <w:tcBorders>
              <w:bottom w:val="single" w:sz="8" w:space="0" w:color="9BBB59"/>
            </w:tcBorders>
            <w:shd w:val="clear" w:color="auto" w:fill="DAEEF3"/>
          </w:tcPr>
          <w:p w:rsidR="009F468D" w:rsidRPr="00276512" w:rsidRDefault="009F468D" w:rsidP="009F468D">
            <w:pPr>
              <w:spacing w:after="0" w:line="240" w:lineRule="auto"/>
              <w:jc w:val="center"/>
              <w:rPr>
                <w:rFonts w:cs="Calibri"/>
              </w:rPr>
            </w:pPr>
            <w:r w:rsidRPr="00276512">
              <w:rPr>
                <w:rFonts w:cs="Calibri"/>
              </w:rPr>
              <w:t>12</w:t>
            </w:r>
          </w:p>
        </w:tc>
        <w:tc>
          <w:tcPr>
            <w:tcW w:w="1710" w:type="dxa"/>
            <w:tcBorders>
              <w:left w:val="single" w:sz="8" w:space="0" w:color="9BBB59"/>
              <w:bottom w:val="single" w:sz="8" w:space="0" w:color="9BBB59"/>
              <w:right w:val="single" w:sz="8" w:space="0" w:color="9BBB59"/>
            </w:tcBorders>
            <w:shd w:val="clear" w:color="auto" w:fill="DAEEF3"/>
          </w:tcPr>
          <w:p w:rsidR="009F468D" w:rsidRPr="00276512" w:rsidRDefault="009F468D" w:rsidP="009F468D">
            <w:pPr>
              <w:spacing w:after="0" w:line="240" w:lineRule="auto"/>
              <w:jc w:val="center"/>
              <w:rPr>
                <w:rFonts w:cs="Calibri"/>
              </w:rPr>
            </w:pPr>
            <w:r w:rsidRPr="00276512">
              <w:rPr>
                <w:rFonts w:cs="Calibri"/>
              </w:rPr>
              <w:t>24</w:t>
            </w:r>
          </w:p>
        </w:tc>
        <w:tc>
          <w:tcPr>
            <w:tcW w:w="990" w:type="dxa"/>
            <w:tcBorders>
              <w:bottom w:val="single" w:sz="8" w:space="0" w:color="9BBB59"/>
            </w:tcBorders>
            <w:shd w:val="clear" w:color="auto" w:fill="DAEEF3"/>
          </w:tcPr>
          <w:p w:rsidR="009F468D" w:rsidRPr="00276512" w:rsidRDefault="009F468D" w:rsidP="009F468D">
            <w:pPr>
              <w:spacing w:after="0" w:line="240" w:lineRule="auto"/>
              <w:jc w:val="center"/>
              <w:rPr>
                <w:rFonts w:cs="Calibri"/>
              </w:rPr>
            </w:pPr>
            <w:r w:rsidRPr="00276512">
              <w:rPr>
                <w:rFonts w:cs="Calibri"/>
              </w:rPr>
              <w:t>1.48</w:t>
            </w:r>
          </w:p>
        </w:tc>
        <w:tc>
          <w:tcPr>
            <w:tcW w:w="990" w:type="dxa"/>
            <w:tcBorders>
              <w:left w:val="single" w:sz="8" w:space="0" w:color="9BBB59"/>
              <w:bottom w:val="single" w:sz="8" w:space="0" w:color="9BBB59"/>
            </w:tcBorders>
            <w:shd w:val="clear" w:color="auto" w:fill="DAEEF3"/>
          </w:tcPr>
          <w:p w:rsidR="009F468D" w:rsidRPr="00276512" w:rsidRDefault="009F468D" w:rsidP="009F468D">
            <w:pPr>
              <w:spacing w:after="0" w:line="240" w:lineRule="auto"/>
              <w:jc w:val="center"/>
              <w:rPr>
                <w:rFonts w:cs="Calibri"/>
              </w:rPr>
            </w:pPr>
            <w:r w:rsidRPr="00276512">
              <w:rPr>
                <w:rFonts w:cs="Calibri"/>
              </w:rPr>
              <w:t>6.9</w:t>
            </w:r>
          </w:p>
        </w:tc>
      </w:tr>
    </w:tbl>
    <w:p w:rsidR="009F468D" w:rsidRPr="00E85510" w:rsidRDefault="009F468D" w:rsidP="009F468D">
      <w:pPr>
        <w:spacing w:line="300" w:lineRule="auto"/>
        <w:jc w:val="both"/>
        <w:rPr>
          <w:b/>
          <w:u w:val="single"/>
        </w:rPr>
      </w:pPr>
    </w:p>
    <w:p w:rsidR="009F468D" w:rsidRPr="00D0383C" w:rsidRDefault="009F468D" w:rsidP="009F468D">
      <w:pPr>
        <w:spacing w:line="300" w:lineRule="auto"/>
        <w:jc w:val="both"/>
        <w:rPr>
          <w:b/>
          <w:u w:val="single"/>
        </w:rPr>
      </w:pPr>
      <w:r>
        <w:rPr>
          <w:b/>
          <w:u w:val="single"/>
        </w:rPr>
        <w:t xml:space="preserve">Detailed Results </w:t>
      </w:r>
    </w:p>
    <w:p w:rsidR="009F468D" w:rsidRPr="00E85510" w:rsidRDefault="009F468D" w:rsidP="009F468D">
      <w:pPr>
        <w:spacing w:line="300" w:lineRule="auto"/>
        <w:jc w:val="both"/>
        <w:rPr>
          <w:b/>
        </w:rPr>
      </w:pPr>
      <w:r w:rsidRPr="006B125F">
        <w:rPr>
          <w:b/>
        </w:rPr>
        <w:t>Early Recovery Facility (ERF): Resilient Habitat, Shyamnagar, Satk</w:t>
      </w:r>
      <w:r>
        <w:rPr>
          <w:b/>
        </w:rPr>
        <w:t xml:space="preserve">hira (2011 - 2015) </w:t>
      </w:r>
    </w:p>
    <w:p w:rsidR="009F468D" w:rsidRDefault="009F468D" w:rsidP="009F468D">
      <w:pPr>
        <w:spacing w:after="0" w:line="240" w:lineRule="auto"/>
        <w:jc w:val="both"/>
      </w:pPr>
      <w:r w:rsidRPr="006B125F">
        <w:t xml:space="preserve">The ERF Project </w:t>
      </w:r>
      <w:r>
        <w:t xml:space="preserve">has been </w:t>
      </w:r>
      <w:r w:rsidRPr="006B125F">
        <w:t>working towards establishing a coordinated early recovery mechanism in Bangladesh through setting up a functional early recovery mechanism, capacity building of government’s disaster management officials, and networking of DM volunteers rea</w:t>
      </w:r>
      <w:r>
        <w:t>dy to respond during emergency.</w:t>
      </w:r>
    </w:p>
    <w:p w:rsidR="009F468D" w:rsidRPr="006B125F" w:rsidRDefault="009F468D" w:rsidP="009F468D">
      <w:pPr>
        <w:spacing w:after="0" w:line="240" w:lineRule="auto"/>
        <w:jc w:val="both"/>
      </w:pPr>
    </w:p>
    <w:p w:rsidR="009F468D" w:rsidRDefault="009F468D" w:rsidP="009F468D">
      <w:pPr>
        <w:spacing w:after="0" w:line="240" w:lineRule="auto"/>
        <w:jc w:val="both"/>
      </w:pPr>
      <w:r w:rsidRPr="006B125F">
        <w:t xml:space="preserve">Under </w:t>
      </w:r>
      <w:r>
        <w:t xml:space="preserve">the </w:t>
      </w:r>
      <w:r w:rsidRPr="006B125F">
        <w:t xml:space="preserve">Early Recovery Facility (ERF) Project, 43 shelters </w:t>
      </w:r>
      <w:r>
        <w:t xml:space="preserve">were </w:t>
      </w:r>
      <w:r w:rsidRPr="006B125F">
        <w:t xml:space="preserve">constructed to serve a long-standing facility supporting early recovery after a disaster. The shelters </w:t>
      </w:r>
      <w:r>
        <w:t>were</w:t>
      </w:r>
      <w:r w:rsidRPr="006B125F">
        <w:t xml:space="preserve"> designed with the help of BRAC</w:t>
      </w:r>
      <w:r>
        <w:t>, and in consultations with thelocal</w:t>
      </w:r>
      <w:r w:rsidRPr="006B125F">
        <w:t xml:space="preserve"> stakeholders</w:t>
      </w:r>
      <w:r>
        <w:t>.</w:t>
      </w:r>
    </w:p>
    <w:p w:rsidR="009F468D" w:rsidRPr="006B125F" w:rsidRDefault="009F468D" w:rsidP="009F468D">
      <w:pPr>
        <w:spacing w:after="0" w:line="240" w:lineRule="auto"/>
        <w:jc w:val="both"/>
      </w:pPr>
    </w:p>
    <w:p w:rsidR="009F468D" w:rsidRPr="006B125F" w:rsidRDefault="009F468D" w:rsidP="009F468D">
      <w:pPr>
        <w:spacing w:after="0" w:line="240" w:lineRule="auto"/>
        <w:jc w:val="both"/>
      </w:pPr>
      <w:r w:rsidRPr="006B125F">
        <w:t xml:space="preserve">The financial analysis carried out for ERF Resilient Habitat </w:t>
      </w:r>
      <w:r>
        <w:t>reveals that such habita</w:t>
      </w:r>
      <w:r w:rsidRPr="006B125F">
        <w:t xml:space="preserve">t (having </w:t>
      </w:r>
      <w:r>
        <w:t xml:space="preserve">a </w:t>
      </w:r>
      <w:r w:rsidRPr="006B125F">
        <w:t>few livelihood elements) is relatively less efficient than the CDMP II habitat (</w:t>
      </w:r>
      <w:r>
        <w:t xml:space="preserve">which has adopted an </w:t>
      </w:r>
      <w:r w:rsidRPr="006B125F">
        <w:t>integrated approach</w:t>
      </w:r>
      <w:r>
        <w:t>, containing</w:t>
      </w:r>
      <w:r w:rsidRPr="006B125F">
        <w:t xml:space="preserve"> a number of livelihood elements) from </w:t>
      </w:r>
      <w:r>
        <w:t xml:space="preserve">a </w:t>
      </w:r>
      <w:r w:rsidRPr="006B125F">
        <w:t xml:space="preserve">financial point of view. </w:t>
      </w:r>
      <w:r>
        <w:t xml:space="preserve">The </w:t>
      </w:r>
      <w:r w:rsidRPr="006B125F">
        <w:t xml:space="preserve">BCR for ERF habitat is estimated as 1.88 compared to 2.76 for CDMP habitat. </w:t>
      </w:r>
      <w:r>
        <w:t xml:space="preserve">The </w:t>
      </w:r>
      <w:r w:rsidRPr="006B125F">
        <w:t>NPV for ERF habitat is estimated as T</w:t>
      </w:r>
      <w:r>
        <w:t xml:space="preserve">k. </w:t>
      </w:r>
      <w:r w:rsidRPr="006B125F">
        <w:t>468 thousands (Table</w:t>
      </w:r>
      <w:r>
        <w:t xml:space="preserve"> XIII.</w:t>
      </w:r>
      <w:r w:rsidRPr="006B125F">
        <w:t xml:space="preserve">3).  </w:t>
      </w:r>
    </w:p>
    <w:p w:rsidR="009F468D" w:rsidRPr="006B125F" w:rsidRDefault="009F468D" w:rsidP="001E161B">
      <w:pPr>
        <w:numPr>
          <w:ilvl w:val="0"/>
          <w:numId w:val="70"/>
        </w:numPr>
        <w:autoSpaceDE w:val="0"/>
        <w:autoSpaceDN w:val="0"/>
        <w:adjustRightInd w:val="0"/>
        <w:spacing w:after="0" w:line="300" w:lineRule="auto"/>
        <w:jc w:val="both"/>
      </w:pPr>
    </w:p>
    <w:p w:rsidR="009F468D" w:rsidRPr="006B125F" w:rsidRDefault="009F468D" w:rsidP="009F468D">
      <w:pPr>
        <w:autoSpaceDE w:val="0"/>
        <w:autoSpaceDN w:val="0"/>
        <w:adjustRightInd w:val="0"/>
        <w:spacing w:line="300" w:lineRule="auto"/>
        <w:jc w:val="both"/>
      </w:pPr>
    </w:p>
    <w:p w:rsidR="009F468D" w:rsidRPr="00E85510" w:rsidRDefault="009F468D" w:rsidP="009F468D">
      <w:pPr>
        <w:autoSpaceDE w:val="0"/>
        <w:autoSpaceDN w:val="0"/>
        <w:adjustRightInd w:val="0"/>
        <w:spacing w:line="300" w:lineRule="auto"/>
        <w:jc w:val="both"/>
        <w:sectPr w:rsidR="009F468D" w:rsidRPr="00E85510">
          <w:pgSz w:w="12240" w:h="15840"/>
          <w:pgMar w:top="1440" w:right="1800" w:bottom="1440" w:left="1800" w:header="720" w:footer="720" w:gutter="0"/>
          <w:cols w:space="720"/>
          <w:noEndnote/>
        </w:sectPr>
      </w:pPr>
    </w:p>
    <w:p w:rsidR="009F468D" w:rsidRPr="00E85510" w:rsidRDefault="009F468D" w:rsidP="009F468D">
      <w:pPr>
        <w:spacing w:line="300" w:lineRule="auto"/>
        <w:jc w:val="both"/>
        <w:outlineLvl w:val="3"/>
        <w:rPr>
          <w:b/>
          <w:lang w:val="fr-FR"/>
        </w:rPr>
      </w:pPr>
      <w:r w:rsidRPr="00E85510">
        <w:rPr>
          <w:b/>
          <w:lang w:val="fr-FR"/>
        </w:rPr>
        <w:lastRenderedPageBreak/>
        <w:t xml:space="preserve">Table </w:t>
      </w:r>
      <w:r>
        <w:rPr>
          <w:b/>
          <w:lang w:val="fr-FR"/>
        </w:rPr>
        <w:t>XIII.3 : Financial  analysis</w:t>
      </w:r>
      <w:r w:rsidRPr="00E85510">
        <w:rPr>
          <w:b/>
          <w:lang w:val="fr-FR"/>
        </w:rPr>
        <w:t>: ERF habitat</w:t>
      </w:r>
    </w:p>
    <w:tbl>
      <w:tblPr>
        <w:tblW w:w="5000" w:type="pct"/>
        <w:tblLook w:val="0000" w:firstRow="0" w:lastRow="0" w:firstColumn="0" w:lastColumn="0" w:noHBand="0" w:noVBand="0"/>
      </w:tblPr>
      <w:tblGrid>
        <w:gridCol w:w="931"/>
        <w:gridCol w:w="940"/>
        <w:gridCol w:w="825"/>
        <w:gridCol w:w="926"/>
        <w:gridCol w:w="939"/>
        <w:gridCol w:w="1135"/>
        <w:gridCol w:w="1135"/>
        <w:gridCol w:w="1135"/>
        <w:gridCol w:w="1610"/>
      </w:tblGrid>
      <w:tr w:rsidR="009F468D" w:rsidRPr="00E85510" w:rsidTr="009F468D">
        <w:trPr>
          <w:trHeight w:val="20"/>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9F468D" w:rsidRPr="00E85510" w:rsidRDefault="009F468D" w:rsidP="009F468D">
            <w:pPr>
              <w:spacing w:after="0" w:line="240" w:lineRule="auto"/>
              <w:jc w:val="both"/>
              <w:rPr>
                <w:sz w:val="20"/>
                <w:szCs w:val="20"/>
              </w:rPr>
            </w:pPr>
            <w:bookmarkStart w:id="8" w:name="RANGE!A1:I30"/>
            <w:r w:rsidRPr="00E85510">
              <w:rPr>
                <w:sz w:val="20"/>
                <w:szCs w:val="20"/>
              </w:rPr>
              <w:t>Discount rate</w:t>
            </w:r>
            <w:bookmarkEnd w:id="8"/>
          </w:p>
        </w:tc>
        <w:tc>
          <w:tcPr>
            <w:tcW w:w="490" w:type="pct"/>
            <w:tcBorders>
              <w:top w:val="single" w:sz="4" w:space="0" w:color="auto"/>
              <w:left w:val="nil"/>
              <w:bottom w:val="single" w:sz="4" w:space="0" w:color="auto"/>
              <w:right w:val="single" w:sz="4" w:space="0" w:color="auto"/>
            </w:tcBorders>
            <w:shd w:val="clear" w:color="auto" w:fill="auto"/>
            <w:vAlign w:val="center"/>
          </w:tcPr>
          <w:p w:rsidR="009F468D" w:rsidRPr="00E85510" w:rsidRDefault="009F468D" w:rsidP="009F468D">
            <w:pPr>
              <w:spacing w:after="0" w:line="240" w:lineRule="auto"/>
              <w:jc w:val="both"/>
              <w:rPr>
                <w:sz w:val="20"/>
                <w:szCs w:val="20"/>
              </w:rPr>
            </w:pPr>
            <w:r w:rsidRPr="00E85510">
              <w:rPr>
                <w:sz w:val="20"/>
                <w:szCs w:val="20"/>
              </w:rPr>
              <w:t>12%</w:t>
            </w:r>
          </w:p>
        </w:tc>
        <w:tc>
          <w:tcPr>
            <w:tcW w:w="426"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c>
          <w:tcPr>
            <w:tcW w:w="3594" w:type="pct"/>
            <w:gridSpan w:val="6"/>
            <w:tcBorders>
              <w:top w:val="nil"/>
              <w:left w:val="nil"/>
              <w:bottom w:val="single" w:sz="4" w:space="0" w:color="auto"/>
              <w:right w:val="nil"/>
            </w:tcBorders>
            <w:shd w:val="clear" w:color="auto" w:fill="auto"/>
          </w:tcPr>
          <w:p w:rsidR="009F468D" w:rsidRPr="00E85510" w:rsidRDefault="009F468D" w:rsidP="009F468D">
            <w:pPr>
              <w:spacing w:after="0" w:line="240" w:lineRule="auto"/>
              <w:jc w:val="both"/>
              <w:rPr>
                <w:b/>
                <w:bCs/>
                <w:sz w:val="20"/>
                <w:szCs w:val="20"/>
                <w:lang w:val="de-DE"/>
              </w:rPr>
            </w:pPr>
            <w:r w:rsidRPr="00E85510">
              <w:rPr>
                <w:b/>
                <w:bCs/>
                <w:sz w:val="20"/>
                <w:szCs w:val="20"/>
                <w:lang w:val="de-DE"/>
              </w:rPr>
              <w:t>ERF-</w:t>
            </w:r>
            <w:r>
              <w:rPr>
                <w:b/>
                <w:bCs/>
                <w:sz w:val="20"/>
                <w:szCs w:val="20"/>
                <w:lang w:val="de-DE"/>
              </w:rPr>
              <w:t>K</w:t>
            </w:r>
            <w:r w:rsidRPr="00E85510">
              <w:rPr>
                <w:b/>
                <w:bCs/>
                <w:sz w:val="20"/>
                <w:szCs w:val="20"/>
                <w:lang w:val="de-DE"/>
              </w:rPr>
              <w:t>edarbazar Resilient Habitat, Shemnagar</w:t>
            </w: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center"/>
          </w:tcPr>
          <w:p w:rsidR="009F468D" w:rsidRPr="00E85510" w:rsidRDefault="009F468D" w:rsidP="009F468D">
            <w:pPr>
              <w:spacing w:after="0" w:line="240" w:lineRule="auto"/>
              <w:jc w:val="both"/>
              <w:rPr>
                <w:sz w:val="20"/>
                <w:szCs w:val="20"/>
              </w:rPr>
            </w:pPr>
            <w:r w:rsidRPr="00E85510">
              <w:rPr>
                <w:sz w:val="20"/>
                <w:szCs w:val="20"/>
              </w:rPr>
              <w:t>Year</w:t>
            </w:r>
          </w:p>
        </w:tc>
        <w:tc>
          <w:tcPr>
            <w:tcW w:w="490" w:type="pct"/>
            <w:tcBorders>
              <w:top w:val="nil"/>
              <w:left w:val="nil"/>
              <w:bottom w:val="single" w:sz="4" w:space="0" w:color="auto"/>
              <w:right w:val="single" w:sz="4" w:space="0" w:color="auto"/>
            </w:tcBorders>
            <w:shd w:val="clear" w:color="auto" w:fill="auto"/>
            <w:vAlign w:val="center"/>
          </w:tcPr>
          <w:p w:rsidR="009F468D" w:rsidRPr="00E85510" w:rsidRDefault="009F468D" w:rsidP="009F468D">
            <w:pPr>
              <w:spacing w:after="0" w:line="240" w:lineRule="auto"/>
              <w:jc w:val="both"/>
              <w:rPr>
                <w:sz w:val="20"/>
                <w:szCs w:val="20"/>
              </w:rPr>
            </w:pPr>
            <w:r w:rsidRPr="00E85510">
              <w:rPr>
                <w:sz w:val="20"/>
                <w:szCs w:val="20"/>
              </w:rPr>
              <w:t>Calendar Year</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9F468D" w:rsidRPr="00E85510" w:rsidRDefault="009F468D" w:rsidP="009F468D">
            <w:pPr>
              <w:spacing w:after="0" w:line="240" w:lineRule="auto"/>
              <w:jc w:val="both"/>
              <w:rPr>
                <w:sz w:val="20"/>
                <w:szCs w:val="20"/>
              </w:rPr>
            </w:pPr>
            <w:r w:rsidRPr="00E85510">
              <w:rPr>
                <w:sz w:val="20"/>
                <w:szCs w:val="20"/>
              </w:rPr>
              <w:t>Costs</w:t>
            </w:r>
          </w:p>
        </w:tc>
        <w:tc>
          <w:tcPr>
            <w:tcW w:w="478" w:type="pct"/>
            <w:tcBorders>
              <w:top w:val="nil"/>
              <w:left w:val="nil"/>
              <w:bottom w:val="single" w:sz="4" w:space="0" w:color="auto"/>
              <w:right w:val="single" w:sz="4" w:space="0" w:color="auto"/>
            </w:tcBorders>
            <w:shd w:val="clear" w:color="auto" w:fill="auto"/>
            <w:noWrap/>
            <w:vAlign w:val="center"/>
          </w:tcPr>
          <w:p w:rsidR="009F468D" w:rsidRPr="00E85510" w:rsidRDefault="009F468D" w:rsidP="009F468D">
            <w:pPr>
              <w:spacing w:after="0" w:line="240" w:lineRule="auto"/>
              <w:jc w:val="both"/>
              <w:rPr>
                <w:sz w:val="20"/>
                <w:szCs w:val="20"/>
              </w:rPr>
            </w:pPr>
            <w:r w:rsidRPr="00E85510">
              <w:rPr>
                <w:sz w:val="20"/>
                <w:szCs w:val="20"/>
              </w:rPr>
              <w:t>Benefits</w:t>
            </w:r>
          </w:p>
        </w:tc>
        <w:tc>
          <w:tcPr>
            <w:tcW w:w="478" w:type="pct"/>
            <w:tcBorders>
              <w:top w:val="nil"/>
              <w:left w:val="nil"/>
              <w:bottom w:val="single" w:sz="4" w:space="0" w:color="auto"/>
              <w:right w:val="single" w:sz="4" w:space="0" w:color="auto"/>
            </w:tcBorders>
            <w:shd w:val="clear" w:color="auto" w:fill="auto"/>
            <w:vAlign w:val="center"/>
          </w:tcPr>
          <w:p w:rsidR="009F468D" w:rsidRPr="00E85510" w:rsidRDefault="009F468D" w:rsidP="009F468D">
            <w:pPr>
              <w:spacing w:after="0" w:line="240" w:lineRule="auto"/>
              <w:jc w:val="both"/>
              <w:rPr>
                <w:sz w:val="20"/>
                <w:szCs w:val="20"/>
              </w:rPr>
            </w:pPr>
            <w:r w:rsidRPr="00E85510">
              <w:rPr>
                <w:sz w:val="20"/>
                <w:szCs w:val="20"/>
              </w:rPr>
              <w:t>Net benefits: benefits-costs</w:t>
            </w:r>
          </w:p>
        </w:tc>
        <w:tc>
          <w:tcPr>
            <w:tcW w:w="588" w:type="pct"/>
            <w:tcBorders>
              <w:top w:val="nil"/>
              <w:left w:val="nil"/>
              <w:bottom w:val="single" w:sz="4" w:space="0" w:color="auto"/>
              <w:right w:val="single" w:sz="4" w:space="0" w:color="auto"/>
            </w:tcBorders>
            <w:shd w:val="clear" w:color="auto" w:fill="auto"/>
            <w:vAlign w:val="center"/>
          </w:tcPr>
          <w:p w:rsidR="009F468D" w:rsidRPr="00E85510" w:rsidRDefault="009F468D" w:rsidP="009F468D">
            <w:pPr>
              <w:spacing w:after="0" w:line="240" w:lineRule="auto"/>
              <w:jc w:val="both"/>
              <w:rPr>
                <w:sz w:val="20"/>
                <w:szCs w:val="20"/>
              </w:rPr>
            </w:pPr>
            <w:r w:rsidRPr="00E85510">
              <w:rPr>
                <w:sz w:val="20"/>
                <w:szCs w:val="20"/>
              </w:rPr>
              <w:t>Discounted costs</w:t>
            </w:r>
          </w:p>
        </w:tc>
        <w:tc>
          <w:tcPr>
            <w:tcW w:w="588" w:type="pct"/>
            <w:tcBorders>
              <w:top w:val="single" w:sz="4" w:space="0" w:color="auto"/>
              <w:left w:val="nil"/>
              <w:bottom w:val="single" w:sz="4" w:space="0" w:color="auto"/>
              <w:right w:val="single" w:sz="4" w:space="0" w:color="auto"/>
            </w:tcBorders>
            <w:shd w:val="clear" w:color="auto" w:fill="auto"/>
            <w:vAlign w:val="center"/>
          </w:tcPr>
          <w:p w:rsidR="009F468D" w:rsidRPr="00E85510" w:rsidRDefault="009F468D" w:rsidP="009F468D">
            <w:pPr>
              <w:spacing w:after="0" w:line="240" w:lineRule="auto"/>
              <w:jc w:val="both"/>
              <w:rPr>
                <w:sz w:val="20"/>
                <w:szCs w:val="20"/>
              </w:rPr>
            </w:pPr>
            <w:r w:rsidRPr="00E85510">
              <w:rPr>
                <w:sz w:val="20"/>
                <w:szCs w:val="20"/>
              </w:rPr>
              <w:t xml:space="preserve">Discounted benefits </w:t>
            </w:r>
          </w:p>
        </w:tc>
        <w:tc>
          <w:tcPr>
            <w:tcW w:w="588" w:type="pct"/>
            <w:tcBorders>
              <w:top w:val="single" w:sz="4" w:space="0" w:color="auto"/>
              <w:left w:val="nil"/>
              <w:bottom w:val="single" w:sz="4" w:space="0" w:color="auto"/>
              <w:right w:val="single" w:sz="4" w:space="0" w:color="auto"/>
            </w:tcBorders>
            <w:shd w:val="clear" w:color="auto" w:fill="auto"/>
            <w:vAlign w:val="center"/>
          </w:tcPr>
          <w:p w:rsidR="009F468D" w:rsidRPr="00E85510" w:rsidRDefault="009F468D" w:rsidP="009F468D">
            <w:pPr>
              <w:spacing w:after="0" w:line="240" w:lineRule="auto"/>
              <w:jc w:val="both"/>
              <w:rPr>
                <w:sz w:val="20"/>
                <w:szCs w:val="20"/>
              </w:rPr>
            </w:pPr>
            <w:r w:rsidRPr="00E85510">
              <w:rPr>
                <w:sz w:val="20"/>
                <w:szCs w:val="20"/>
              </w:rPr>
              <w:t>Discounted net benefits</w:t>
            </w:r>
          </w:p>
        </w:tc>
        <w:tc>
          <w:tcPr>
            <w:tcW w:w="872" w:type="pct"/>
            <w:tcBorders>
              <w:top w:val="nil"/>
              <w:left w:val="nil"/>
              <w:bottom w:val="nil"/>
              <w:right w:val="nil"/>
            </w:tcBorders>
            <w:shd w:val="clear" w:color="auto" w:fill="auto"/>
            <w:noWrap/>
            <w:vAlign w:val="center"/>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2011</w:t>
            </w:r>
          </w:p>
        </w:tc>
        <w:tc>
          <w:tcPr>
            <w:tcW w:w="426"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384112</w:t>
            </w:r>
          </w:p>
        </w:tc>
        <w:tc>
          <w:tcPr>
            <w:tcW w:w="478"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-384112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384112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-384112</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2012</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89000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69794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17148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79464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62316</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3</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2013</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93450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74244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15311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74498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59187</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4</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2014</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98123</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78917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13670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69842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56171</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5</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2015</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103029</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83823</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12206</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65477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53271</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6</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2016</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108180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88974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10898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61384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50486</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7</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2017</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113589</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94383</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9730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57548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47817</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8</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2018</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119269</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100063</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8688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53951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45263</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9</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2019</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125232</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106026</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7757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50579</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42822</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10</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2020</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131494</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112288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6926</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47418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40492</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11</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2021</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138068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118862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6184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44454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38270</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12</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2022</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144972</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125766</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5521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41676</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36155</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13</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2023</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152220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133014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4930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39071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34141</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14</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2024</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159831</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140625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4402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36629</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32228</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15</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2025</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167823</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148617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3930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34340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30410</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16</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2026</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176214</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157008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3509</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32194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28685</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17</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2027</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185025</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165819</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3133</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30182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27049</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18</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2028</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194276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175070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2797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28295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25498</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2029</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203990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184784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2498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26527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24029</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2030</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214189</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194983</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2230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24869</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22639</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21</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2031</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224899</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205693</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1991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23315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21323</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22</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2032</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236143</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216937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1778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21857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20080</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23</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2033</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247951</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228745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1587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20491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18904</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24</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2034</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260348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241142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1417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19211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17793</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25</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2035</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19206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273366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254160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1265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18010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16745</w:t>
            </w:r>
          </w:p>
        </w:tc>
        <w:tc>
          <w:tcPr>
            <w:tcW w:w="872"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sz w:val="20"/>
                <w:szCs w:val="20"/>
              </w:rPr>
            </w:pPr>
            <w:r w:rsidRPr="00E85510">
              <w:rPr>
                <w:sz w:val="20"/>
                <w:szCs w:val="20"/>
              </w:rPr>
              <w:t> </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b/>
                <w:bCs/>
                <w:sz w:val="20"/>
                <w:szCs w:val="20"/>
              </w:rPr>
            </w:pPr>
            <w:r w:rsidRPr="00E85510">
              <w:rPr>
                <w:b/>
                <w:bCs/>
                <w:sz w:val="20"/>
                <w:szCs w:val="20"/>
              </w:rPr>
              <w:t>Sum</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b/>
                <w:bCs/>
                <w:sz w:val="20"/>
                <w:szCs w:val="20"/>
              </w:rPr>
            </w:pPr>
            <w:r w:rsidRPr="00E85510">
              <w:rPr>
                <w:b/>
                <w:bCs/>
                <w:sz w:val="20"/>
                <w:szCs w:val="20"/>
              </w:rPr>
              <w:t>845056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b/>
                <w:bCs/>
                <w:sz w:val="20"/>
                <w:szCs w:val="20"/>
              </w:rPr>
            </w:pPr>
            <w:r w:rsidRPr="00E85510">
              <w:rPr>
                <w:b/>
                <w:bCs/>
                <w:sz w:val="20"/>
                <w:szCs w:val="20"/>
              </w:rPr>
              <w:t>3960678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b/>
                <w:bCs/>
                <w:sz w:val="20"/>
                <w:szCs w:val="20"/>
              </w:rPr>
            </w:pPr>
            <w:r w:rsidRPr="00E85510">
              <w:rPr>
                <w:b/>
                <w:bCs/>
                <w:sz w:val="20"/>
                <w:szCs w:val="20"/>
              </w:rPr>
              <w:t>3115622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b/>
                <w:bCs/>
                <w:sz w:val="20"/>
                <w:szCs w:val="20"/>
              </w:rPr>
            </w:pPr>
            <w:r w:rsidRPr="00E85510">
              <w:rPr>
                <w:b/>
                <w:bCs/>
                <w:sz w:val="20"/>
                <w:szCs w:val="20"/>
              </w:rPr>
              <w:t>533618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b/>
                <w:bCs/>
                <w:sz w:val="20"/>
                <w:szCs w:val="20"/>
              </w:rPr>
            </w:pPr>
            <w:r w:rsidRPr="00E85510">
              <w:rPr>
                <w:b/>
                <w:bCs/>
                <w:sz w:val="20"/>
                <w:szCs w:val="20"/>
              </w:rPr>
              <w:t>1001280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9F468D">
            <w:pPr>
              <w:spacing w:after="0" w:line="240" w:lineRule="auto"/>
              <w:jc w:val="both"/>
              <w:rPr>
                <w:b/>
                <w:bCs/>
                <w:sz w:val="20"/>
                <w:szCs w:val="20"/>
              </w:rPr>
            </w:pPr>
            <w:r w:rsidRPr="00E85510">
              <w:rPr>
                <w:b/>
                <w:bCs/>
                <w:sz w:val="20"/>
                <w:szCs w:val="20"/>
              </w:rPr>
              <w:t>467662</w:t>
            </w:r>
          </w:p>
        </w:tc>
        <w:tc>
          <w:tcPr>
            <w:tcW w:w="872" w:type="pct"/>
            <w:tcBorders>
              <w:top w:val="single" w:sz="4" w:space="0" w:color="auto"/>
              <w:left w:val="nil"/>
              <w:bottom w:val="single" w:sz="4" w:space="0" w:color="auto"/>
              <w:right w:val="single" w:sz="4" w:space="0" w:color="auto"/>
            </w:tcBorders>
            <w:shd w:val="clear" w:color="auto" w:fill="CCFFFF"/>
            <w:vAlign w:val="center"/>
          </w:tcPr>
          <w:p w:rsidR="009F468D" w:rsidRPr="00E85510" w:rsidRDefault="009F468D" w:rsidP="009F468D">
            <w:pPr>
              <w:spacing w:after="0" w:line="240" w:lineRule="auto"/>
              <w:jc w:val="both"/>
              <w:rPr>
                <w:sz w:val="20"/>
                <w:szCs w:val="20"/>
              </w:rPr>
            </w:pPr>
            <w:r w:rsidRPr="00E85510">
              <w:rPr>
                <w:sz w:val="20"/>
                <w:szCs w:val="20"/>
              </w:rPr>
              <w:t>NPV</w:t>
            </w:r>
          </w:p>
        </w:tc>
      </w:tr>
      <w:tr w:rsidR="009F468D" w:rsidRPr="00E85510" w:rsidTr="009F468D">
        <w:trPr>
          <w:trHeight w:val="20"/>
        </w:trPr>
        <w:tc>
          <w:tcPr>
            <w:tcW w:w="490"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c>
          <w:tcPr>
            <w:tcW w:w="490"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c>
          <w:tcPr>
            <w:tcW w:w="426"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c>
          <w:tcPr>
            <w:tcW w:w="478"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c>
          <w:tcPr>
            <w:tcW w:w="478"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c>
          <w:tcPr>
            <w:tcW w:w="588"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c>
          <w:tcPr>
            <w:tcW w:w="588"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c>
          <w:tcPr>
            <w:tcW w:w="588" w:type="pct"/>
            <w:tcBorders>
              <w:top w:val="nil"/>
              <w:left w:val="single" w:sz="4" w:space="0" w:color="auto"/>
              <w:bottom w:val="single" w:sz="4" w:space="0" w:color="auto"/>
              <w:right w:val="single" w:sz="4" w:space="0" w:color="auto"/>
            </w:tcBorders>
            <w:shd w:val="clear" w:color="auto" w:fill="CCFFFF"/>
            <w:noWrap/>
            <w:vAlign w:val="bottom"/>
          </w:tcPr>
          <w:p w:rsidR="009F468D" w:rsidRPr="00E85510" w:rsidRDefault="009F468D" w:rsidP="009F468D">
            <w:pPr>
              <w:spacing w:after="0" w:line="240" w:lineRule="auto"/>
              <w:jc w:val="both"/>
              <w:rPr>
                <w:b/>
                <w:bCs/>
                <w:sz w:val="20"/>
                <w:szCs w:val="20"/>
              </w:rPr>
            </w:pPr>
            <w:r w:rsidRPr="00E85510">
              <w:rPr>
                <w:b/>
                <w:bCs/>
                <w:sz w:val="20"/>
                <w:szCs w:val="20"/>
              </w:rPr>
              <w:t>1.88</w:t>
            </w:r>
          </w:p>
        </w:tc>
        <w:tc>
          <w:tcPr>
            <w:tcW w:w="872" w:type="pct"/>
            <w:tcBorders>
              <w:top w:val="nil"/>
              <w:left w:val="nil"/>
              <w:bottom w:val="single" w:sz="4" w:space="0" w:color="auto"/>
              <w:right w:val="single" w:sz="4" w:space="0" w:color="auto"/>
            </w:tcBorders>
            <w:shd w:val="clear" w:color="auto" w:fill="CCFFFF"/>
            <w:vAlign w:val="center"/>
          </w:tcPr>
          <w:p w:rsidR="009F468D" w:rsidRPr="00E85510" w:rsidRDefault="009F468D" w:rsidP="009F468D">
            <w:pPr>
              <w:spacing w:after="0" w:line="240" w:lineRule="auto"/>
              <w:jc w:val="both"/>
              <w:rPr>
                <w:sz w:val="20"/>
                <w:szCs w:val="20"/>
              </w:rPr>
            </w:pPr>
            <w:r w:rsidRPr="00E85510">
              <w:rPr>
                <w:sz w:val="20"/>
                <w:szCs w:val="20"/>
              </w:rPr>
              <w:t>B/C ratio</w:t>
            </w:r>
          </w:p>
        </w:tc>
      </w:tr>
      <w:tr w:rsidR="009F468D" w:rsidRPr="00E85510" w:rsidTr="009F468D">
        <w:trPr>
          <w:trHeight w:val="20"/>
        </w:trPr>
        <w:tc>
          <w:tcPr>
            <w:tcW w:w="490"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c>
          <w:tcPr>
            <w:tcW w:w="490"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c>
          <w:tcPr>
            <w:tcW w:w="426"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c>
          <w:tcPr>
            <w:tcW w:w="478"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c>
          <w:tcPr>
            <w:tcW w:w="478"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c>
          <w:tcPr>
            <w:tcW w:w="588"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c>
          <w:tcPr>
            <w:tcW w:w="588" w:type="pct"/>
            <w:tcBorders>
              <w:top w:val="nil"/>
              <w:left w:val="nil"/>
              <w:bottom w:val="nil"/>
              <w:right w:val="nil"/>
            </w:tcBorders>
            <w:shd w:val="clear" w:color="auto" w:fill="auto"/>
            <w:noWrap/>
            <w:vAlign w:val="bottom"/>
          </w:tcPr>
          <w:p w:rsidR="009F468D" w:rsidRPr="00E85510" w:rsidRDefault="009F468D" w:rsidP="009F468D">
            <w:pPr>
              <w:spacing w:after="0" w:line="240" w:lineRule="auto"/>
              <w:jc w:val="both"/>
              <w:rPr>
                <w:sz w:val="20"/>
                <w:szCs w:val="20"/>
              </w:rPr>
            </w:pPr>
          </w:p>
        </w:tc>
        <w:tc>
          <w:tcPr>
            <w:tcW w:w="588" w:type="pct"/>
            <w:tcBorders>
              <w:top w:val="nil"/>
              <w:left w:val="single" w:sz="4" w:space="0" w:color="auto"/>
              <w:bottom w:val="single" w:sz="4" w:space="0" w:color="auto"/>
              <w:right w:val="single" w:sz="4" w:space="0" w:color="auto"/>
            </w:tcBorders>
            <w:shd w:val="clear" w:color="auto" w:fill="CCFFFF"/>
            <w:noWrap/>
            <w:vAlign w:val="bottom"/>
          </w:tcPr>
          <w:p w:rsidR="009F468D" w:rsidRPr="00E85510" w:rsidRDefault="009F468D" w:rsidP="009F468D">
            <w:pPr>
              <w:spacing w:after="0" w:line="240" w:lineRule="auto"/>
              <w:jc w:val="both"/>
              <w:rPr>
                <w:b/>
                <w:bCs/>
                <w:sz w:val="20"/>
                <w:szCs w:val="20"/>
              </w:rPr>
            </w:pPr>
            <w:r w:rsidRPr="00E85510">
              <w:rPr>
                <w:b/>
                <w:bCs/>
                <w:sz w:val="20"/>
                <w:szCs w:val="20"/>
              </w:rPr>
              <w:t>10.5%</w:t>
            </w:r>
          </w:p>
        </w:tc>
        <w:tc>
          <w:tcPr>
            <w:tcW w:w="872" w:type="pct"/>
            <w:tcBorders>
              <w:top w:val="nil"/>
              <w:left w:val="nil"/>
              <w:bottom w:val="single" w:sz="4" w:space="0" w:color="auto"/>
              <w:right w:val="single" w:sz="4" w:space="0" w:color="auto"/>
            </w:tcBorders>
            <w:shd w:val="clear" w:color="auto" w:fill="CCFFFF"/>
            <w:vAlign w:val="center"/>
          </w:tcPr>
          <w:p w:rsidR="009F468D" w:rsidRPr="00E85510" w:rsidRDefault="009F468D" w:rsidP="009F468D">
            <w:pPr>
              <w:spacing w:after="0" w:line="240" w:lineRule="auto"/>
              <w:jc w:val="both"/>
              <w:rPr>
                <w:sz w:val="20"/>
                <w:szCs w:val="20"/>
              </w:rPr>
            </w:pPr>
            <w:r w:rsidRPr="00E85510">
              <w:rPr>
                <w:sz w:val="20"/>
                <w:szCs w:val="20"/>
              </w:rPr>
              <w:t>Estimated internal rate of</w:t>
            </w:r>
          </w:p>
          <w:p w:rsidR="009F468D" w:rsidRPr="00E85510" w:rsidRDefault="009F468D" w:rsidP="009F468D">
            <w:pPr>
              <w:spacing w:after="0" w:line="240" w:lineRule="auto"/>
              <w:jc w:val="both"/>
              <w:rPr>
                <w:sz w:val="20"/>
                <w:szCs w:val="20"/>
              </w:rPr>
            </w:pPr>
            <w:r w:rsidRPr="00E85510">
              <w:rPr>
                <w:sz w:val="20"/>
                <w:szCs w:val="20"/>
              </w:rPr>
              <w:t>return</w:t>
            </w:r>
          </w:p>
        </w:tc>
      </w:tr>
    </w:tbl>
    <w:p w:rsidR="009F468D" w:rsidRPr="006B125F" w:rsidRDefault="009F468D" w:rsidP="009F468D">
      <w:pPr>
        <w:spacing w:line="300" w:lineRule="auto"/>
        <w:jc w:val="both"/>
        <w:rPr>
          <w:b/>
          <w:bCs/>
        </w:rPr>
      </w:pPr>
    </w:p>
    <w:p w:rsidR="009F468D" w:rsidRPr="00C803AD" w:rsidRDefault="009F468D" w:rsidP="009F468D">
      <w:pPr>
        <w:spacing w:line="300" w:lineRule="auto"/>
        <w:jc w:val="both"/>
        <w:rPr>
          <w:b/>
          <w:lang w:val="fr-FR"/>
        </w:rPr>
      </w:pPr>
      <w:r w:rsidRPr="00C803AD">
        <w:rPr>
          <w:b/>
          <w:lang w:val="fr-FR"/>
        </w:rPr>
        <w:t>CDMP-II: Resilient Habitat, Dacope, K</w:t>
      </w:r>
      <w:r>
        <w:rPr>
          <w:b/>
          <w:lang w:val="fr-FR"/>
        </w:rPr>
        <w:t>hulna (2010 – 2014)</w:t>
      </w:r>
    </w:p>
    <w:p w:rsidR="009F468D" w:rsidRDefault="009F468D" w:rsidP="009F468D">
      <w:pPr>
        <w:spacing w:after="0" w:line="240" w:lineRule="auto"/>
        <w:jc w:val="both"/>
      </w:pPr>
      <w:r w:rsidRPr="00C803AD">
        <w:t xml:space="preserve">CDMP II constructed 58 resilient habitats under a land area </w:t>
      </w:r>
      <w:r>
        <w:t xml:space="preserve">of </w:t>
      </w:r>
      <w:r w:rsidRPr="00C803AD">
        <w:t>7.4 acres</w:t>
      </w:r>
      <w:r>
        <w:t xml:space="preserve">. By </w:t>
      </w:r>
      <w:r w:rsidRPr="00C803AD">
        <w:t>adopting an integrated approach</w:t>
      </w:r>
      <w:r>
        <w:t xml:space="preserve">, the project activities included the construction of a </w:t>
      </w:r>
      <w:r w:rsidRPr="00C803AD">
        <w:t>rainwater tank, solar panel, livestock-poultry for household</w:t>
      </w:r>
      <w:r>
        <w:t xml:space="preserve"> use</w:t>
      </w:r>
      <w:r w:rsidRPr="00C803AD">
        <w:t xml:space="preserve"> and ponds for community use.</w:t>
      </w:r>
    </w:p>
    <w:p w:rsidR="009F468D" w:rsidRPr="00C803AD" w:rsidRDefault="009F468D" w:rsidP="009F468D">
      <w:pPr>
        <w:spacing w:after="0" w:line="240" w:lineRule="auto"/>
        <w:jc w:val="both"/>
      </w:pPr>
    </w:p>
    <w:p w:rsidR="009F468D" w:rsidRDefault="009F468D" w:rsidP="009F468D">
      <w:pPr>
        <w:spacing w:after="0" w:line="240" w:lineRule="auto"/>
        <w:jc w:val="both"/>
      </w:pPr>
      <w:r>
        <w:t xml:space="preserve">Results presented in Table XIII.4indicate </w:t>
      </w:r>
      <w:r w:rsidRPr="00C803AD">
        <w:t>that CDMP II habitat is more efficient compared to ERF Resilient Habitat from</w:t>
      </w:r>
      <w:r>
        <w:t xml:space="preserve"> a</w:t>
      </w:r>
      <w:r w:rsidRPr="00C803AD">
        <w:t xml:space="preserve"> financial point of view. </w:t>
      </w:r>
      <w:r>
        <w:t xml:space="preserve">The </w:t>
      </w:r>
      <w:r w:rsidRPr="00C803AD">
        <w:t xml:space="preserve">BCR for CDMP II habitat is estimated as 2.76 compared to 1.88 for ERF habitat. </w:t>
      </w:r>
      <w:r>
        <w:t xml:space="preserve">The </w:t>
      </w:r>
      <w:r w:rsidRPr="00C803AD">
        <w:t>NPV for CDMP II habitat is estimated as T</w:t>
      </w:r>
      <w:r>
        <w:t xml:space="preserve">k. </w:t>
      </w:r>
      <w:r w:rsidRPr="00C803AD">
        <w:t>1183 thousands while it is T</w:t>
      </w:r>
      <w:r>
        <w:t xml:space="preserve">k. </w:t>
      </w:r>
      <w:r w:rsidRPr="00C803AD">
        <w:t>468 thousands for ERF habitat.</w:t>
      </w:r>
    </w:p>
    <w:p w:rsidR="009F468D" w:rsidRPr="00E85510" w:rsidRDefault="009F468D" w:rsidP="009F468D">
      <w:pPr>
        <w:spacing w:line="300" w:lineRule="auto"/>
        <w:jc w:val="both"/>
        <w:rPr>
          <w:b/>
          <w:lang w:val="fr-FR"/>
        </w:rPr>
      </w:pPr>
      <w:r w:rsidRPr="00E85510">
        <w:rPr>
          <w:b/>
          <w:lang w:val="fr-FR"/>
        </w:rPr>
        <w:lastRenderedPageBreak/>
        <w:t>Table</w:t>
      </w:r>
      <w:r w:rsidR="003B3504">
        <w:rPr>
          <w:b/>
          <w:lang w:val="fr-FR"/>
        </w:rPr>
        <w:t xml:space="preserve"> </w:t>
      </w:r>
      <w:r>
        <w:rPr>
          <w:b/>
          <w:lang w:val="fr-FR"/>
        </w:rPr>
        <w:t>XIII.</w:t>
      </w:r>
      <w:r w:rsidR="003B3504">
        <w:rPr>
          <w:b/>
          <w:lang w:val="fr-FR"/>
        </w:rPr>
        <w:t xml:space="preserve"> 4</w:t>
      </w:r>
      <w:r w:rsidRPr="00E85510">
        <w:rPr>
          <w:b/>
          <w:lang w:val="fr-FR"/>
        </w:rPr>
        <w:t>: Financial  analysis - CDMP habitat</w:t>
      </w:r>
    </w:p>
    <w:tbl>
      <w:tblPr>
        <w:tblW w:w="5000" w:type="pct"/>
        <w:tblLook w:val="0000" w:firstRow="0" w:lastRow="0" w:firstColumn="0" w:lastColumn="0" w:noHBand="0" w:noVBand="0"/>
      </w:tblPr>
      <w:tblGrid>
        <w:gridCol w:w="931"/>
        <w:gridCol w:w="940"/>
        <w:gridCol w:w="926"/>
        <w:gridCol w:w="926"/>
        <w:gridCol w:w="939"/>
        <w:gridCol w:w="1135"/>
        <w:gridCol w:w="1135"/>
        <w:gridCol w:w="1135"/>
        <w:gridCol w:w="1509"/>
      </w:tblGrid>
      <w:tr w:rsidR="009F468D" w:rsidRPr="00E85510" w:rsidTr="009F468D">
        <w:trPr>
          <w:trHeight w:val="20"/>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Discount rate</w:t>
            </w:r>
          </w:p>
        </w:tc>
        <w:tc>
          <w:tcPr>
            <w:tcW w:w="490" w:type="pct"/>
            <w:tcBorders>
              <w:top w:val="single" w:sz="4" w:space="0" w:color="auto"/>
              <w:left w:val="nil"/>
              <w:bottom w:val="single" w:sz="4" w:space="0" w:color="auto"/>
              <w:right w:val="single" w:sz="4" w:space="0" w:color="auto"/>
            </w:tcBorders>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12%</w:t>
            </w:r>
          </w:p>
        </w:tc>
        <w:tc>
          <w:tcPr>
            <w:tcW w:w="4020" w:type="pct"/>
            <w:gridSpan w:val="7"/>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b/>
                <w:bCs/>
                <w:sz w:val="20"/>
                <w:szCs w:val="20"/>
                <w:lang w:val="fr-FR"/>
              </w:rPr>
            </w:pPr>
            <w:r w:rsidRPr="00E85510">
              <w:rPr>
                <w:b/>
                <w:bCs/>
                <w:sz w:val="20"/>
                <w:szCs w:val="20"/>
                <w:lang w:val="fr-FR"/>
              </w:rPr>
              <w:t>CDMP II-Baine Para Resilient Habitat, Dacope</w:t>
            </w: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center"/>
          </w:tcPr>
          <w:p w:rsidR="009F468D" w:rsidRPr="00E85510" w:rsidRDefault="009F468D" w:rsidP="003B3504">
            <w:pPr>
              <w:spacing w:after="0" w:line="240" w:lineRule="auto"/>
              <w:jc w:val="both"/>
              <w:rPr>
                <w:sz w:val="20"/>
                <w:szCs w:val="20"/>
              </w:rPr>
            </w:pPr>
            <w:r w:rsidRPr="00E85510">
              <w:rPr>
                <w:sz w:val="20"/>
                <w:szCs w:val="20"/>
              </w:rPr>
              <w:t>Year</w:t>
            </w:r>
          </w:p>
        </w:tc>
        <w:tc>
          <w:tcPr>
            <w:tcW w:w="490" w:type="pct"/>
            <w:tcBorders>
              <w:top w:val="nil"/>
              <w:left w:val="nil"/>
              <w:bottom w:val="single" w:sz="4" w:space="0" w:color="auto"/>
              <w:right w:val="single" w:sz="4" w:space="0" w:color="auto"/>
            </w:tcBorders>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Calendar Year</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9F468D" w:rsidRPr="00E85510" w:rsidRDefault="009F468D" w:rsidP="003B3504">
            <w:pPr>
              <w:spacing w:after="0" w:line="240" w:lineRule="auto"/>
              <w:jc w:val="both"/>
              <w:rPr>
                <w:sz w:val="20"/>
                <w:szCs w:val="20"/>
              </w:rPr>
            </w:pPr>
            <w:r w:rsidRPr="00E85510">
              <w:rPr>
                <w:sz w:val="20"/>
                <w:szCs w:val="20"/>
              </w:rPr>
              <w:t>Costs</w:t>
            </w:r>
          </w:p>
        </w:tc>
        <w:tc>
          <w:tcPr>
            <w:tcW w:w="478" w:type="pct"/>
            <w:tcBorders>
              <w:top w:val="nil"/>
              <w:left w:val="nil"/>
              <w:bottom w:val="single" w:sz="4" w:space="0" w:color="auto"/>
              <w:right w:val="single" w:sz="4" w:space="0" w:color="auto"/>
            </w:tcBorders>
            <w:shd w:val="clear" w:color="auto" w:fill="auto"/>
            <w:noWrap/>
            <w:vAlign w:val="center"/>
          </w:tcPr>
          <w:p w:rsidR="009F468D" w:rsidRPr="00E85510" w:rsidRDefault="009F468D" w:rsidP="003B3504">
            <w:pPr>
              <w:spacing w:after="0" w:line="240" w:lineRule="auto"/>
              <w:jc w:val="both"/>
              <w:rPr>
                <w:sz w:val="20"/>
                <w:szCs w:val="20"/>
              </w:rPr>
            </w:pPr>
            <w:r w:rsidRPr="00E85510">
              <w:rPr>
                <w:sz w:val="20"/>
                <w:szCs w:val="20"/>
              </w:rPr>
              <w:t>Benefits</w:t>
            </w:r>
          </w:p>
        </w:tc>
        <w:tc>
          <w:tcPr>
            <w:tcW w:w="478" w:type="pct"/>
            <w:tcBorders>
              <w:top w:val="nil"/>
              <w:left w:val="nil"/>
              <w:bottom w:val="single" w:sz="4" w:space="0" w:color="auto"/>
              <w:right w:val="single" w:sz="4" w:space="0" w:color="auto"/>
            </w:tcBorders>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Net benefits: benefits-costs</w:t>
            </w:r>
          </w:p>
        </w:tc>
        <w:tc>
          <w:tcPr>
            <w:tcW w:w="588" w:type="pct"/>
            <w:tcBorders>
              <w:top w:val="nil"/>
              <w:left w:val="nil"/>
              <w:bottom w:val="single" w:sz="4" w:space="0" w:color="auto"/>
              <w:right w:val="single" w:sz="4" w:space="0" w:color="auto"/>
            </w:tcBorders>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Discounted costs</w:t>
            </w:r>
          </w:p>
        </w:tc>
        <w:tc>
          <w:tcPr>
            <w:tcW w:w="588" w:type="pct"/>
            <w:tcBorders>
              <w:top w:val="single" w:sz="4" w:space="0" w:color="auto"/>
              <w:left w:val="nil"/>
              <w:bottom w:val="single" w:sz="4" w:space="0" w:color="auto"/>
              <w:right w:val="single" w:sz="4" w:space="0" w:color="auto"/>
            </w:tcBorders>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 xml:space="preserve">Discounted benefits </w:t>
            </w:r>
          </w:p>
        </w:tc>
        <w:tc>
          <w:tcPr>
            <w:tcW w:w="588" w:type="pct"/>
            <w:tcBorders>
              <w:top w:val="single" w:sz="4" w:space="0" w:color="auto"/>
              <w:left w:val="nil"/>
              <w:bottom w:val="single" w:sz="4" w:space="0" w:color="auto"/>
              <w:right w:val="single" w:sz="4" w:space="0" w:color="auto"/>
            </w:tcBorders>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Discounted net benefits</w:t>
            </w:r>
          </w:p>
        </w:tc>
        <w:tc>
          <w:tcPr>
            <w:tcW w:w="820" w:type="pct"/>
            <w:tcBorders>
              <w:top w:val="nil"/>
              <w:left w:val="nil"/>
              <w:bottom w:val="nil"/>
              <w:right w:val="nil"/>
            </w:tcBorders>
            <w:shd w:val="clear" w:color="auto" w:fill="auto"/>
            <w:noWrap/>
            <w:vAlign w:val="center"/>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484350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-484350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484350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-484350</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2011</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165000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140782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21623</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147321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125698</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2012</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173250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149032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19306</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138114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118807</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2013</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181913</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157695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17238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129482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112244</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2014</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191008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166790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15391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121389</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105998</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2015</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200559</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176341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13742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113802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100060</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210586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186368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12270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106690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94420</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2017</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221116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196898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10955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100022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89067</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9</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232172</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207954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9781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93770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83989</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10</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2019</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243780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219562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8733</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87910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79176</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11</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255969</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231751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7798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82415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74618</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12</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2021</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268768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244550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6962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77264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70302</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2022</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282206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257988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6216</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72435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66219</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14</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2023</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296316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272098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5550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67908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62358</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15</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2024</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311132</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286914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4955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63664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58708</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16</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2025</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326689</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302471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4425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59685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55260</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17</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343023</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318805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3950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55955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52004</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18</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2027</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360174</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335956</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3527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52457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48930</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19</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378183</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353965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3149</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49179</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46029</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2029</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397092</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372874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2812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46105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43293</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21</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2030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416947</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392729</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2511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43224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40713</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22</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2031</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437794</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413576</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2242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40522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38280</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23</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2032</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459684</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435466</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2001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37989</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35988</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2033</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482668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458450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1787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35615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33828</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2034</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24218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506801</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482583</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1596</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33389</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31794</w:t>
            </w:r>
          </w:p>
        </w:tc>
        <w:tc>
          <w:tcPr>
            <w:tcW w:w="82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9F468D">
        <w:trPr>
          <w:trHeight w:val="20"/>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Sum</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1065582</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7342830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6277248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672871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1856306</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1183435</w:t>
            </w:r>
          </w:p>
        </w:tc>
        <w:tc>
          <w:tcPr>
            <w:tcW w:w="820" w:type="pct"/>
            <w:tcBorders>
              <w:top w:val="single" w:sz="4" w:space="0" w:color="auto"/>
              <w:left w:val="nil"/>
              <w:bottom w:val="single" w:sz="4" w:space="0" w:color="auto"/>
              <w:right w:val="single" w:sz="4" w:space="0" w:color="auto"/>
            </w:tcBorders>
            <w:shd w:val="clear" w:color="auto" w:fill="CCFFFF"/>
            <w:vAlign w:val="center"/>
          </w:tcPr>
          <w:p w:rsidR="009F468D" w:rsidRPr="00E85510" w:rsidRDefault="009F468D" w:rsidP="003B3504">
            <w:pPr>
              <w:spacing w:after="0" w:line="240" w:lineRule="auto"/>
              <w:jc w:val="both"/>
              <w:rPr>
                <w:sz w:val="20"/>
                <w:szCs w:val="20"/>
              </w:rPr>
            </w:pPr>
            <w:r w:rsidRPr="00E85510">
              <w:rPr>
                <w:sz w:val="20"/>
                <w:szCs w:val="20"/>
              </w:rPr>
              <w:t>NPV</w:t>
            </w:r>
          </w:p>
        </w:tc>
      </w:tr>
      <w:tr w:rsidR="009F468D" w:rsidRPr="00E85510" w:rsidTr="009F468D">
        <w:trPr>
          <w:trHeight w:val="20"/>
        </w:trPr>
        <w:tc>
          <w:tcPr>
            <w:tcW w:w="49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c>
          <w:tcPr>
            <w:tcW w:w="49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c>
          <w:tcPr>
            <w:tcW w:w="478"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c>
          <w:tcPr>
            <w:tcW w:w="478"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c>
          <w:tcPr>
            <w:tcW w:w="478"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c>
          <w:tcPr>
            <w:tcW w:w="588"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c>
          <w:tcPr>
            <w:tcW w:w="588"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c>
          <w:tcPr>
            <w:tcW w:w="588" w:type="pct"/>
            <w:tcBorders>
              <w:top w:val="nil"/>
              <w:left w:val="single" w:sz="4" w:space="0" w:color="auto"/>
              <w:bottom w:val="single" w:sz="4" w:space="0" w:color="auto"/>
              <w:right w:val="single" w:sz="4" w:space="0" w:color="auto"/>
            </w:tcBorders>
            <w:shd w:val="clear" w:color="auto" w:fill="CCFFFF"/>
            <w:noWrap/>
            <w:vAlign w:val="bottom"/>
          </w:tcPr>
          <w:p w:rsidR="009F468D" w:rsidRPr="00E85510" w:rsidRDefault="009F468D" w:rsidP="003B3504">
            <w:pPr>
              <w:spacing w:after="0" w:line="240" w:lineRule="auto"/>
              <w:jc w:val="both"/>
              <w:rPr>
                <w:b/>
                <w:bCs/>
                <w:sz w:val="20"/>
                <w:szCs w:val="20"/>
              </w:rPr>
            </w:pPr>
            <w:r w:rsidRPr="00E85510">
              <w:rPr>
                <w:b/>
                <w:bCs/>
                <w:sz w:val="20"/>
                <w:szCs w:val="20"/>
              </w:rPr>
              <w:t>2.76</w:t>
            </w:r>
          </w:p>
        </w:tc>
        <w:tc>
          <w:tcPr>
            <w:tcW w:w="820" w:type="pct"/>
            <w:tcBorders>
              <w:top w:val="nil"/>
              <w:left w:val="nil"/>
              <w:bottom w:val="single" w:sz="4" w:space="0" w:color="auto"/>
              <w:right w:val="single" w:sz="4" w:space="0" w:color="auto"/>
            </w:tcBorders>
            <w:shd w:val="clear" w:color="auto" w:fill="CCFFFF"/>
            <w:vAlign w:val="center"/>
          </w:tcPr>
          <w:p w:rsidR="009F468D" w:rsidRPr="00E85510" w:rsidRDefault="009F468D" w:rsidP="003B3504">
            <w:pPr>
              <w:spacing w:after="0" w:line="240" w:lineRule="auto"/>
              <w:jc w:val="both"/>
              <w:rPr>
                <w:sz w:val="20"/>
                <w:szCs w:val="20"/>
              </w:rPr>
            </w:pPr>
            <w:r w:rsidRPr="00E85510">
              <w:rPr>
                <w:sz w:val="20"/>
                <w:szCs w:val="20"/>
              </w:rPr>
              <w:t>B/C ratio</w:t>
            </w:r>
          </w:p>
        </w:tc>
      </w:tr>
      <w:tr w:rsidR="009F468D" w:rsidRPr="00E85510" w:rsidTr="009F468D">
        <w:trPr>
          <w:trHeight w:val="20"/>
        </w:trPr>
        <w:tc>
          <w:tcPr>
            <w:tcW w:w="49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c>
          <w:tcPr>
            <w:tcW w:w="490"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c>
          <w:tcPr>
            <w:tcW w:w="478"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c>
          <w:tcPr>
            <w:tcW w:w="478"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c>
          <w:tcPr>
            <w:tcW w:w="478"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c>
          <w:tcPr>
            <w:tcW w:w="588"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c>
          <w:tcPr>
            <w:tcW w:w="588"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both"/>
              <w:rPr>
                <w:sz w:val="20"/>
                <w:szCs w:val="20"/>
              </w:rPr>
            </w:pPr>
          </w:p>
        </w:tc>
        <w:tc>
          <w:tcPr>
            <w:tcW w:w="588" w:type="pct"/>
            <w:tcBorders>
              <w:top w:val="nil"/>
              <w:left w:val="single" w:sz="4" w:space="0" w:color="auto"/>
              <w:bottom w:val="single" w:sz="4" w:space="0" w:color="auto"/>
              <w:right w:val="single" w:sz="4" w:space="0" w:color="auto"/>
            </w:tcBorders>
            <w:shd w:val="clear" w:color="auto" w:fill="CCFFFF"/>
            <w:noWrap/>
            <w:vAlign w:val="bottom"/>
          </w:tcPr>
          <w:p w:rsidR="009F468D" w:rsidRPr="00E85510" w:rsidRDefault="009F468D" w:rsidP="003B3504">
            <w:pPr>
              <w:spacing w:after="0" w:line="240" w:lineRule="auto"/>
              <w:jc w:val="both"/>
              <w:rPr>
                <w:b/>
                <w:bCs/>
                <w:sz w:val="20"/>
                <w:szCs w:val="20"/>
              </w:rPr>
            </w:pPr>
            <w:r w:rsidRPr="00E85510">
              <w:rPr>
                <w:b/>
                <w:bCs/>
                <w:sz w:val="20"/>
                <w:szCs w:val="20"/>
              </w:rPr>
              <w:t>20.3%</w:t>
            </w:r>
          </w:p>
        </w:tc>
        <w:tc>
          <w:tcPr>
            <w:tcW w:w="820" w:type="pct"/>
            <w:tcBorders>
              <w:top w:val="nil"/>
              <w:left w:val="nil"/>
              <w:bottom w:val="single" w:sz="4" w:space="0" w:color="auto"/>
              <w:right w:val="single" w:sz="4" w:space="0" w:color="auto"/>
            </w:tcBorders>
            <w:shd w:val="clear" w:color="auto" w:fill="CCFFFF"/>
            <w:vAlign w:val="center"/>
          </w:tcPr>
          <w:p w:rsidR="009F468D" w:rsidRPr="00E85510" w:rsidRDefault="009F468D" w:rsidP="003B3504">
            <w:pPr>
              <w:spacing w:after="0" w:line="240" w:lineRule="auto"/>
              <w:jc w:val="both"/>
              <w:rPr>
                <w:sz w:val="20"/>
                <w:szCs w:val="20"/>
              </w:rPr>
            </w:pPr>
            <w:r w:rsidRPr="00E85510">
              <w:rPr>
                <w:sz w:val="20"/>
                <w:szCs w:val="20"/>
              </w:rPr>
              <w:t>Estimated internal rate of return</w:t>
            </w:r>
          </w:p>
        </w:tc>
      </w:tr>
    </w:tbl>
    <w:p w:rsidR="009F468D" w:rsidRPr="00E85510" w:rsidRDefault="009F468D" w:rsidP="009F468D">
      <w:pPr>
        <w:jc w:val="both"/>
        <w:rPr>
          <w:bCs/>
          <w:sz w:val="20"/>
          <w:szCs w:val="20"/>
        </w:rPr>
      </w:pPr>
    </w:p>
    <w:p w:rsidR="009F468D" w:rsidRPr="00C803AD" w:rsidRDefault="009F468D" w:rsidP="009F468D">
      <w:pPr>
        <w:spacing w:after="0"/>
        <w:jc w:val="both"/>
        <w:rPr>
          <w:b/>
          <w:bCs/>
        </w:rPr>
      </w:pPr>
      <w:r w:rsidRPr="00E85510">
        <w:rPr>
          <w:bCs/>
          <w:sz w:val="20"/>
          <w:szCs w:val="20"/>
        </w:rPr>
        <w:br w:type="page"/>
      </w:r>
      <w:r w:rsidRPr="00C803AD">
        <w:rPr>
          <w:b/>
          <w:bCs/>
        </w:rPr>
        <w:lastRenderedPageBreak/>
        <w:t xml:space="preserve">Community Based Adaptation to Climate Change through Coastal Afforestation in </w:t>
      </w:r>
    </w:p>
    <w:p w:rsidR="009F468D" w:rsidRPr="00C803AD" w:rsidRDefault="009F468D" w:rsidP="009F468D">
      <w:pPr>
        <w:spacing w:after="0" w:line="300" w:lineRule="auto"/>
        <w:jc w:val="both"/>
        <w:rPr>
          <w:b/>
        </w:rPr>
      </w:pPr>
      <w:r w:rsidRPr="00C803AD">
        <w:rPr>
          <w:b/>
          <w:bCs/>
        </w:rPr>
        <w:t>Bangladesh (CBACC-CF) (2006-2010) - F</w:t>
      </w:r>
      <w:r w:rsidRPr="00C803AD">
        <w:rPr>
          <w:b/>
        </w:rPr>
        <w:t>orest, Fish and Fruit (FFF)</w:t>
      </w:r>
    </w:p>
    <w:p w:rsidR="009F468D" w:rsidRPr="00C803AD" w:rsidRDefault="009F468D" w:rsidP="009F468D">
      <w:pPr>
        <w:autoSpaceDE w:val="0"/>
        <w:autoSpaceDN w:val="0"/>
        <w:adjustRightInd w:val="0"/>
        <w:spacing w:after="0" w:line="300" w:lineRule="auto"/>
        <w:jc w:val="both"/>
      </w:pPr>
    </w:p>
    <w:p w:rsidR="009F468D" w:rsidRDefault="009F468D" w:rsidP="009F468D">
      <w:pPr>
        <w:autoSpaceDE w:val="0"/>
        <w:autoSpaceDN w:val="0"/>
        <w:adjustRightInd w:val="0"/>
        <w:spacing w:after="0" w:line="240" w:lineRule="auto"/>
        <w:jc w:val="both"/>
      </w:pPr>
      <w:r w:rsidRPr="00C803AD">
        <w:t xml:space="preserve">The Community Based Adaptation to Climate Change through Coastal Afforestation (CBACC-CF) project  has been working with climate change-vulnerable coastal communities in Bangladesh to explore new options for income generation and improved livelihoods. The project is </w:t>
      </w:r>
      <w:r>
        <w:t xml:space="preserve">being </w:t>
      </w:r>
      <w:r w:rsidRPr="00C803AD">
        <w:t>implemented by integrating climate change adaptation and mitigation concerns with expanded livelihood options, ensuring the long-term sustainability of climate change response by communities. Currently, the project is piloting in 14km of Bangladesh</w:t>
      </w:r>
      <w:r>
        <w:t>’s highly vulnerable coastline.</w:t>
      </w:r>
    </w:p>
    <w:p w:rsidR="009F468D" w:rsidRPr="00C803AD" w:rsidRDefault="009F468D" w:rsidP="009F468D">
      <w:pPr>
        <w:autoSpaceDE w:val="0"/>
        <w:autoSpaceDN w:val="0"/>
        <w:adjustRightInd w:val="0"/>
        <w:spacing w:after="0" w:line="240" w:lineRule="auto"/>
        <w:jc w:val="both"/>
      </w:pPr>
    </w:p>
    <w:p w:rsidR="009F468D" w:rsidRDefault="009F468D" w:rsidP="009F468D">
      <w:pPr>
        <w:autoSpaceDE w:val="0"/>
        <w:autoSpaceDN w:val="0"/>
        <w:adjustRightInd w:val="0"/>
        <w:spacing w:after="0" w:line="240" w:lineRule="auto"/>
        <w:jc w:val="both"/>
        <w:rPr>
          <w:bCs/>
        </w:rPr>
      </w:pPr>
      <w:r w:rsidRPr="00C803AD">
        <w:t>One component of CBACC-CF has been the development of the “Forest, Fish and Fruit” (or “Triple F”) model, a mound and ditch model that comprises short, medium, and long term resource generation and diversification options that help communities along the coast to adapt to climate risks. The FFF model uses a combination of protective and productive vegetation, mound and ditch land structures, and a fish nursery pond to create multiple sources of income and climate risk</w:t>
      </w:r>
      <w:r>
        <w:t xml:space="preserve"> protection for the long </w:t>
      </w:r>
      <w:r w:rsidRPr="00C803AD">
        <w:t>run.</w:t>
      </w:r>
      <w:r w:rsidRPr="00C803AD">
        <w:rPr>
          <w:bCs/>
        </w:rPr>
        <w:t>The benefits to communities are broadly as follows:</w:t>
      </w:r>
    </w:p>
    <w:p w:rsidR="009F468D" w:rsidRPr="00C803AD" w:rsidRDefault="009F468D" w:rsidP="009F468D">
      <w:pPr>
        <w:autoSpaceDE w:val="0"/>
        <w:autoSpaceDN w:val="0"/>
        <w:adjustRightInd w:val="0"/>
        <w:spacing w:after="0" w:line="240" w:lineRule="auto"/>
        <w:jc w:val="both"/>
        <w:rPr>
          <w:b/>
          <w:bCs/>
        </w:rPr>
      </w:pPr>
    </w:p>
    <w:p w:rsidR="009F468D" w:rsidRDefault="009F468D" w:rsidP="009F468D">
      <w:pPr>
        <w:pStyle w:val="NormalWeb"/>
        <w:spacing w:before="0" w:beforeAutospacing="0" w:after="0" w:afterAutospacing="0"/>
        <w:jc w:val="both"/>
        <w:rPr>
          <w:rFonts w:ascii="Calibri" w:hAnsi="Calibri"/>
          <w:sz w:val="22"/>
          <w:szCs w:val="22"/>
        </w:rPr>
      </w:pPr>
      <w:r w:rsidRPr="00C803AD">
        <w:rPr>
          <w:rFonts w:ascii="Calibri" w:hAnsi="Calibri"/>
          <w:b/>
          <w:bCs/>
          <w:sz w:val="22"/>
          <w:szCs w:val="22"/>
        </w:rPr>
        <w:t xml:space="preserve">a. Forest: </w:t>
      </w:r>
      <w:r w:rsidRPr="00C803AD">
        <w:rPr>
          <w:rFonts w:ascii="Calibri" w:hAnsi="Calibri"/>
          <w:sz w:val="22"/>
          <w:szCs w:val="22"/>
        </w:rPr>
        <w:t>Planting forest trees and palms provide</w:t>
      </w:r>
      <w:r>
        <w:rPr>
          <w:rFonts w:ascii="Calibri" w:hAnsi="Calibri"/>
          <w:sz w:val="22"/>
          <w:szCs w:val="22"/>
        </w:rPr>
        <w:t>s communities with long-</w:t>
      </w:r>
      <w:r w:rsidRPr="00C803AD">
        <w:rPr>
          <w:rFonts w:ascii="Calibri" w:hAnsi="Calibri"/>
          <w:sz w:val="22"/>
          <w:szCs w:val="22"/>
        </w:rPr>
        <w:t>term timber, mid</w:t>
      </w:r>
      <w:r>
        <w:rPr>
          <w:rFonts w:ascii="Calibri" w:hAnsi="Calibri"/>
          <w:sz w:val="22"/>
          <w:szCs w:val="22"/>
        </w:rPr>
        <w:t>-</w:t>
      </w:r>
      <w:r w:rsidRPr="00C803AD">
        <w:rPr>
          <w:rFonts w:ascii="Calibri" w:hAnsi="Calibri"/>
          <w:sz w:val="22"/>
          <w:szCs w:val="22"/>
        </w:rPr>
        <w:t>term fuel-wood from branch</w:t>
      </w:r>
      <w:r>
        <w:rPr>
          <w:rFonts w:ascii="Calibri" w:hAnsi="Calibri"/>
          <w:sz w:val="22"/>
          <w:szCs w:val="22"/>
        </w:rPr>
        <w:t xml:space="preserve"> pruning and also food products</w:t>
      </w:r>
      <w:r w:rsidRPr="00C803AD">
        <w:rPr>
          <w:rFonts w:ascii="Calibri" w:hAnsi="Calibri"/>
          <w:sz w:val="22"/>
          <w:szCs w:val="22"/>
        </w:rPr>
        <w:t xml:space="preserve">, </w:t>
      </w:r>
      <w:r>
        <w:rPr>
          <w:rFonts w:ascii="Calibri" w:hAnsi="Calibri"/>
          <w:sz w:val="22"/>
          <w:szCs w:val="22"/>
        </w:rPr>
        <w:t>and</w:t>
      </w:r>
      <w:r w:rsidRPr="00C803AD">
        <w:rPr>
          <w:rFonts w:ascii="Calibri" w:hAnsi="Calibri"/>
          <w:sz w:val="22"/>
          <w:szCs w:val="22"/>
        </w:rPr>
        <w:t xml:space="preserve"> also gives protection to the surrounding land and people from climatic impacts, including through reduction of greenhouse gas emission</w:t>
      </w:r>
      <w:r>
        <w:rPr>
          <w:rFonts w:ascii="Calibri" w:hAnsi="Calibri"/>
          <w:sz w:val="22"/>
          <w:szCs w:val="22"/>
        </w:rPr>
        <w:t>s as well as from tidal and storm surges</w:t>
      </w:r>
      <w:r w:rsidRPr="00C803AD">
        <w:rPr>
          <w:rFonts w:ascii="Calibri" w:hAnsi="Calibri"/>
          <w:sz w:val="22"/>
          <w:szCs w:val="22"/>
        </w:rPr>
        <w:t xml:space="preserve">. </w:t>
      </w:r>
    </w:p>
    <w:p w:rsidR="009F468D" w:rsidRPr="00C803AD" w:rsidRDefault="009F468D" w:rsidP="009F468D">
      <w:pPr>
        <w:pStyle w:val="NormalWeb"/>
        <w:spacing w:before="0" w:beforeAutospacing="0" w:after="0" w:afterAutospacing="0"/>
        <w:jc w:val="both"/>
        <w:rPr>
          <w:rFonts w:ascii="Calibri" w:hAnsi="Calibri"/>
          <w:sz w:val="22"/>
          <w:szCs w:val="22"/>
        </w:rPr>
      </w:pPr>
    </w:p>
    <w:p w:rsidR="009F468D" w:rsidRDefault="009F468D" w:rsidP="009F468D">
      <w:pPr>
        <w:autoSpaceDE w:val="0"/>
        <w:autoSpaceDN w:val="0"/>
        <w:adjustRightInd w:val="0"/>
        <w:spacing w:after="0" w:line="240" w:lineRule="auto"/>
        <w:jc w:val="both"/>
      </w:pPr>
      <w:r w:rsidRPr="00C803AD">
        <w:rPr>
          <w:b/>
          <w:bCs/>
        </w:rPr>
        <w:t xml:space="preserve">b. Fish: </w:t>
      </w:r>
      <w:r>
        <w:t xml:space="preserve">By excavating ditches, community members </w:t>
      </w:r>
      <w:r w:rsidRPr="00C803AD">
        <w:t>can produce fish and generate inco</w:t>
      </w:r>
      <w:r>
        <w:t xml:space="preserve">me. Harvesting rain water into </w:t>
      </w:r>
      <w:r w:rsidRPr="00C803AD">
        <w:t xml:space="preserve">the ditches also ensures </w:t>
      </w:r>
      <w:r>
        <w:t xml:space="preserve">a </w:t>
      </w:r>
      <w:r w:rsidRPr="00C803AD">
        <w:t>regular water supply to plantations on the mounds</w:t>
      </w:r>
      <w:r>
        <w:t>; they also increase</w:t>
      </w:r>
      <w:r w:rsidRPr="00C803AD">
        <w:t xml:space="preserve"> water security by </w:t>
      </w:r>
      <w:r>
        <w:t>offering</w:t>
      </w:r>
      <w:r w:rsidRPr="00C803AD">
        <w:t xml:space="preserve"> a reservoir</w:t>
      </w:r>
      <w:r>
        <w:t xml:space="preserve"> for all seasons.</w:t>
      </w:r>
    </w:p>
    <w:p w:rsidR="009F468D" w:rsidRPr="00C803AD" w:rsidRDefault="009F468D" w:rsidP="009F468D">
      <w:pPr>
        <w:autoSpaceDE w:val="0"/>
        <w:autoSpaceDN w:val="0"/>
        <w:adjustRightInd w:val="0"/>
        <w:spacing w:after="0" w:line="240" w:lineRule="auto"/>
        <w:jc w:val="both"/>
      </w:pPr>
    </w:p>
    <w:p w:rsidR="009F468D" w:rsidRDefault="009F468D" w:rsidP="009F468D">
      <w:pPr>
        <w:autoSpaceDE w:val="0"/>
        <w:autoSpaceDN w:val="0"/>
        <w:adjustRightInd w:val="0"/>
        <w:spacing w:after="0" w:line="240" w:lineRule="auto"/>
        <w:jc w:val="both"/>
      </w:pPr>
      <w:r w:rsidRPr="00C803AD">
        <w:rPr>
          <w:b/>
          <w:bCs/>
        </w:rPr>
        <w:t xml:space="preserve">c. Fruit: </w:t>
      </w:r>
      <w:r w:rsidRPr="00C803AD">
        <w:t>Quick growing and early yielding fruit trees and vegetables are planted on the mounds</w:t>
      </w:r>
      <w:r>
        <w:t xml:space="preserve">. They </w:t>
      </w:r>
      <w:r w:rsidRPr="00C803AD">
        <w:t>are</w:t>
      </w:r>
      <w:r w:rsidR="003B3504">
        <w:t xml:space="preserve"> </w:t>
      </w:r>
      <w:r w:rsidRPr="00C803AD">
        <w:t>providing considerab</w:t>
      </w:r>
      <w:r>
        <w:t xml:space="preserve">le income and food production. </w:t>
      </w:r>
    </w:p>
    <w:p w:rsidR="009F468D" w:rsidRPr="00C803AD" w:rsidRDefault="009F468D" w:rsidP="009F468D">
      <w:pPr>
        <w:autoSpaceDE w:val="0"/>
        <w:autoSpaceDN w:val="0"/>
        <w:adjustRightInd w:val="0"/>
        <w:spacing w:after="0" w:line="240" w:lineRule="auto"/>
        <w:jc w:val="both"/>
      </w:pPr>
    </w:p>
    <w:p w:rsidR="009F468D" w:rsidRPr="00C803AD" w:rsidRDefault="009F468D" w:rsidP="009F468D">
      <w:pPr>
        <w:spacing w:after="0" w:line="240" w:lineRule="auto"/>
        <w:jc w:val="both"/>
      </w:pPr>
      <w:r w:rsidRPr="00C803AD">
        <w:t xml:space="preserve">The financial analysis carried out for </w:t>
      </w:r>
      <w:r>
        <w:t xml:space="preserve">the </w:t>
      </w:r>
      <w:r w:rsidRPr="00C803AD">
        <w:t xml:space="preserve">FFF Model (under </w:t>
      </w:r>
      <w:r w:rsidRPr="00C803AD">
        <w:rPr>
          <w:bCs/>
        </w:rPr>
        <w:t>CBACC-CF</w:t>
      </w:r>
      <w:r w:rsidRPr="00C803AD">
        <w:rPr>
          <w:b/>
          <w:bCs/>
        </w:rPr>
        <w:t>)</w:t>
      </w:r>
      <w:r w:rsidR="003B3504">
        <w:rPr>
          <w:b/>
          <w:bCs/>
        </w:rPr>
        <w:t xml:space="preserve"> </w:t>
      </w:r>
      <w:r>
        <w:t>exhibit</w:t>
      </w:r>
      <w:r w:rsidRPr="00C803AD">
        <w:t xml:space="preserve"> that the FFF Model is </w:t>
      </w:r>
      <w:r>
        <w:t>‘highly</w:t>
      </w:r>
      <w:r w:rsidRPr="00C803AD">
        <w:t xml:space="preserve"> efficient</w:t>
      </w:r>
      <w:r>
        <w:t>’</w:t>
      </w:r>
      <w:r w:rsidRPr="00C803AD">
        <w:t xml:space="preserve"> from </w:t>
      </w:r>
      <w:r>
        <w:t xml:space="preserve">a </w:t>
      </w:r>
      <w:r w:rsidRPr="00C803AD">
        <w:t>financial point of view (Table</w:t>
      </w:r>
      <w:r>
        <w:t xml:space="preserve"> XIII.</w:t>
      </w:r>
      <w:r w:rsidRPr="00C803AD">
        <w:t xml:space="preserve">5). </w:t>
      </w:r>
      <w:r>
        <w:t xml:space="preserve">The </w:t>
      </w:r>
      <w:r w:rsidRPr="00C803AD">
        <w:t xml:space="preserve">BCR for </w:t>
      </w:r>
      <w:r>
        <w:t xml:space="preserve">the </w:t>
      </w:r>
      <w:r w:rsidRPr="00C803AD">
        <w:t xml:space="preserve">FFF Model is estimated as high as 4.88. </w:t>
      </w:r>
      <w:r>
        <w:t xml:space="preserve">The </w:t>
      </w:r>
      <w:r w:rsidRPr="00C803AD">
        <w:t>NPV is estimated as T</w:t>
      </w:r>
      <w:r>
        <w:t xml:space="preserve">k. </w:t>
      </w:r>
      <w:r w:rsidRPr="00C803AD">
        <w:t xml:space="preserve">870 thousands </w:t>
      </w:r>
      <w:r w:rsidRPr="00C803AD">
        <w:rPr>
          <w:rStyle w:val="FootnoteReference"/>
          <w:b/>
        </w:rPr>
        <w:footnoteReference w:id="78"/>
      </w:r>
      <w:r w:rsidRPr="00C803AD">
        <w:rPr>
          <w:b/>
        </w:rPr>
        <w:t>.</w:t>
      </w:r>
    </w:p>
    <w:p w:rsidR="009F468D" w:rsidRPr="00E85510" w:rsidRDefault="009F468D" w:rsidP="009F468D">
      <w:pPr>
        <w:spacing w:after="0" w:line="240" w:lineRule="auto"/>
        <w:jc w:val="both"/>
        <w:outlineLvl w:val="3"/>
        <w:rPr>
          <w:b/>
        </w:rPr>
      </w:pPr>
      <w:r w:rsidRPr="00C803AD">
        <w:br w:type="page"/>
      </w:r>
      <w:r w:rsidR="003B3504">
        <w:rPr>
          <w:b/>
        </w:rPr>
        <w:lastRenderedPageBreak/>
        <w:t>Table XIII.5</w:t>
      </w:r>
      <w:r w:rsidRPr="00504BF7">
        <w:rPr>
          <w:b/>
        </w:rPr>
        <w:t>: Financial</w:t>
      </w:r>
      <w:r w:rsidRPr="00E85510">
        <w:rPr>
          <w:b/>
        </w:rPr>
        <w:t xml:space="preserve">  analysis : FFF model</w:t>
      </w:r>
    </w:p>
    <w:tbl>
      <w:tblPr>
        <w:tblW w:w="5000" w:type="pct"/>
        <w:tblLook w:val="0000" w:firstRow="0" w:lastRow="0" w:firstColumn="0" w:lastColumn="0" w:noHBand="0" w:noVBand="0"/>
      </w:tblPr>
      <w:tblGrid>
        <w:gridCol w:w="931"/>
        <w:gridCol w:w="940"/>
        <w:gridCol w:w="825"/>
        <w:gridCol w:w="926"/>
        <w:gridCol w:w="939"/>
        <w:gridCol w:w="1135"/>
        <w:gridCol w:w="1135"/>
        <w:gridCol w:w="1135"/>
        <w:gridCol w:w="1610"/>
      </w:tblGrid>
      <w:tr w:rsidR="009F468D" w:rsidRPr="00E85510" w:rsidTr="009F468D">
        <w:trPr>
          <w:trHeight w:val="800"/>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Discount rate</w:t>
            </w:r>
          </w:p>
        </w:tc>
        <w:tc>
          <w:tcPr>
            <w:tcW w:w="490" w:type="pct"/>
            <w:tcBorders>
              <w:top w:val="single" w:sz="4" w:space="0" w:color="auto"/>
              <w:left w:val="nil"/>
              <w:bottom w:val="single" w:sz="4" w:space="0" w:color="auto"/>
              <w:right w:val="single" w:sz="4" w:space="0" w:color="auto"/>
            </w:tcBorders>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12%</w:t>
            </w:r>
          </w:p>
        </w:tc>
        <w:tc>
          <w:tcPr>
            <w:tcW w:w="4020" w:type="pct"/>
            <w:gridSpan w:val="7"/>
            <w:tcBorders>
              <w:top w:val="single" w:sz="4" w:space="0" w:color="auto"/>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p w:rsidR="009F468D" w:rsidRPr="00E85510" w:rsidRDefault="009F468D" w:rsidP="003B3504">
            <w:pPr>
              <w:spacing w:after="0" w:line="240" w:lineRule="auto"/>
              <w:jc w:val="center"/>
              <w:rPr>
                <w:sz w:val="20"/>
                <w:szCs w:val="20"/>
              </w:rPr>
            </w:pPr>
            <w:r w:rsidRPr="00E85510">
              <w:rPr>
                <w:b/>
                <w:bCs/>
                <w:sz w:val="20"/>
                <w:szCs w:val="20"/>
              </w:rPr>
              <w:t>FFF model_ Barguna</w:t>
            </w:r>
          </w:p>
          <w:p w:rsidR="009F468D" w:rsidRPr="00E85510" w:rsidRDefault="009F468D" w:rsidP="003B3504">
            <w:pPr>
              <w:spacing w:after="0" w:line="240" w:lineRule="auto"/>
              <w:jc w:val="both"/>
              <w:rPr>
                <w:b/>
                <w:bCs/>
                <w:sz w:val="20"/>
                <w:szCs w:val="20"/>
              </w:rPr>
            </w:pPr>
            <w:r w:rsidRPr="00E85510">
              <w:rPr>
                <w:b/>
                <w:bCs/>
                <w:sz w:val="20"/>
                <w:szCs w:val="20"/>
              </w:rPr>
              <w:t> </w:t>
            </w:r>
          </w:p>
        </w:tc>
      </w:tr>
      <w:tr w:rsidR="009F468D" w:rsidRPr="00E85510" w:rsidTr="009F468D">
        <w:trPr>
          <w:trHeight w:val="510"/>
        </w:trPr>
        <w:tc>
          <w:tcPr>
            <w:tcW w:w="490" w:type="pct"/>
            <w:tcBorders>
              <w:top w:val="nil"/>
              <w:left w:val="single" w:sz="4" w:space="0" w:color="auto"/>
              <w:bottom w:val="single" w:sz="4" w:space="0" w:color="auto"/>
              <w:right w:val="single" w:sz="4" w:space="0" w:color="auto"/>
            </w:tcBorders>
            <w:shd w:val="clear" w:color="auto" w:fill="auto"/>
            <w:noWrap/>
            <w:vAlign w:val="center"/>
          </w:tcPr>
          <w:p w:rsidR="009F468D" w:rsidRPr="00E85510" w:rsidRDefault="009F468D" w:rsidP="003B3504">
            <w:pPr>
              <w:spacing w:after="0" w:line="240" w:lineRule="auto"/>
              <w:jc w:val="both"/>
              <w:rPr>
                <w:sz w:val="20"/>
                <w:szCs w:val="20"/>
              </w:rPr>
            </w:pPr>
            <w:r w:rsidRPr="00E85510">
              <w:rPr>
                <w:sz w:val="20"/>
                <w:szCs w:val="20"/>
              </w:rPr>
              <w:t>Year</w:t>
            </w:r>
          </w:p>
        </w:tc>
        <w:tc>
          <w:tcPr>
            <w:tcW w:w="490" w:type="pct"/>
            <w:tcBorders>
              <w:top w:val="nil"/>
              <w:left w:val="nil"/>
              <w:bottom w:val="single" w:sz="4" w:space="0" w:color="auto"/>
              <w:right w:val="single" w:sz="4" w:space="0" w:color="auto"/>
            </w:tcBorders>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Calendar Year</w:t>
            </w:r>
          </w:p>
        </w:tc>
        <w:tc>
          <w:tcPr>
            <w:tcW w:w="426" w:type="pct"/>
            <w:tcBorders>
              <w:top w:val="nil"/>
              <w:left w:val="nil"/>
              <w:bottom w:val="single" w:sz="4" w:space="0" w:color="auto"/>
              <w:right w:val="single" w:sz="4" w:space="0" w:color="auto"/>
            </w:tcBorders>
            <w:shd w:val="clear" w:color="auto" w:fill="auto"/>
            <w:noWrap/>
            <w:vAlign w:val="center"/>
          </w:tcPr>
          <w:p w:rsidR="009F468D" w:rsidRPr="00E85510" w:rsidRDefault="009F468D" w:rsidP="003B3504">
            <w:pPr>
              <w:spacing w:after="0" w:line="240" w:lineRule="auto"/>
              <w:jc w:val="both"/>
              <w:rPr>
                <w:sz w:val="20"/>
                <w:szCs w:val="20"/>
              </w:rPr>
            </w:pPr>
            <w:r w:rsidRPr="00E85510">
              <w:rPr>
                <w:sz w:val="20"/>
                <w:szCs w:val="20"/>
              </w:rPr>
              <w:t>Costs</w:t>
            </w:r>
          </w:p>
        </w:tc>
        <w:tc>
          <w:tcPr>
            <w:tcW w:w="478" w:type="pct"/>
            <w:tcBorders>
              <w:top w:val="nil"/>
              <w:left w:val="nil"/>
              <w:bottom w:val="single" w:sz="4" w:space="0" w:color="auto"/>
              <w:right w:val="single" w:sz="4" w:space="0" w:color="auto"/>
            </w:tcBorders>
            <w:shd w:val="clear" w:color="auto" w:fill="auto"/>
            <w:noWrap/>
            <w:vAlign w:val="center"/>
          </w:tcPr>
          <w:p w:rsidR="009F468D" w:rsidRPr="00E85510" w:rsidRDefault="009F468D" w:rsidP="003B3504">
            <w:pPr>
              <w:spacing w:after="0" w:line="240" w:lineRule="auto"/>
              <w:jc w:val="both"/>
              <w:rPr>
                <w:sz w:val="20"/>
                <w:szCs w:val="20"/>
              </w:rPr>
            </w:pPr>
            <w:r w:rsidRPr="00E85510">
              <w:rPr>
                <w:sz w:val="20"/>
                <w:szCs w:val="20"/>
              </w:rPr>
              <w:t>Benefits</w:t>
            </w:r>
          </w:p>
        </w:tc>
        <w:tc>
          <w:tcPr>
            <w:tcW w:w="478" w:type="pct"/>
            <w:tcBorders>
              <w:top w:val="nil"/>
              <w:left w:val="nil"/>
              <w:bottom w:val="single" w:sz="4" w:space="0" w:color="auto"/>
              <w:right w:val="single" w:sz="4" w:space="0" w:color="auto"/>
            </w:tcBorders>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Net benefits: benefits-costs</w:t>
            </w:r>
          </w:p>
        </w:tc>
        <w:tc>
          <w:tcPr>
            <w:tcW w:w="588" w:type="pct"/>
            <w:tcBorders>
              <w:top w:val="nil"/>
              <w:left w:val="nil"/>
              <w:bottom w:val="single" w:sz="4" w:space="0" w:color="auto"/>
              <w:right w:val="single" w:sz="4" w:space="0" w:color="auto"/>
            </w:tcBorders>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Discounted costs</w:t>
            </w:r>
          </w:p>
        </w:tc>
        <w:tc>
          <w:tcPr>
            <w:tcW w:w="588" w:type="pct"/>
            <w:tcBorders>
              <w:top w:val="nil"/>
              <w:left w:val="nil"/>
              <w:bottom w:val="single" w:sz="4" w:space="0" w:color="auto"/>
              <w:right w:val="single" w:sz="4" w:space="0" w:color="auto"/>
            </w:tcBorders>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 xml:space="preserve">Discounted benefits </w:t>
            </w:r>
          </w:p>
        </w:tc>
        <w:tc>
          <w:tcPr>
            <w:tcW w:w="588" w:type="pct"/>
            <w:tcBorders>
              <w:top w:val="nil"/>
              <w:left w:val="nil"/>
              <w:bottom w:val="single" w:sz="4" w:space="0" w:color="auto"/>
              <w:right w:val="single" w:sz="4" w:space="0" w:color="auto"/>
            </w:tcBorders>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Discounted net benefits</w:t>
            </w:r>
          </w:p>
        </w:tc>
        <w:tc>
          <w:tcPr>
            <w:tcW w:w="872" w:type="pct"/>
            <w:tcBorders>
              <w:top w:val="nil"/>
              <w:left w:val="nil"/>
              <w:bottom w:val="single" w:sz="4" w:space="0" w:color="auto"/>
              <w:right w:val="single" w:sz="4" w:space="0" w:color="auto"/>
            </w:tcBorders>
            <w:shd w:val="clear" w:color="auto" w:fill="auto"/>
            <w:noWrap/>
            <w:vAlign w:val="center"/>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2009</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118151</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-118151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118151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-118151</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2010</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87319</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73669</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12188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77963</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65776</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2011</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90671</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77021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10882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72282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61401</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2012</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95698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82048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9716</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68116</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58400</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2013</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103924</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90274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8675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66046</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57371</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2014</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111723</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98073</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7745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63395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55649</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2015</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119874</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106224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6916</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60732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53816</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2016</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127634</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113984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6175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57735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51561</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9</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2017</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135781</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122131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5513</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54840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49327</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10</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2018</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144336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130686</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4922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52049</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47127</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11</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2019</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153319</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139669</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4395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49365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44970</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12</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2020</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162751</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149101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3924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46787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42863</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2021</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172654</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159004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3504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44316</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40812</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14</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2022</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183053</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169403</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3128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41951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38823</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15</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2023</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193971</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180321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2793</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39690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36897</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16</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2024</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209601</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195951</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2494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38293</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35800</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17</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2025</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221847</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208197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2227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36188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33961</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18</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2026</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234706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221056</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1988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34184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32196</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19</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2027</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248207</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234557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1775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32277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30502</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2028</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262383</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248733</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1585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30464</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28880</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21</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2029</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277268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263618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1415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28743</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27328</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22</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2030</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292897</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279247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1263</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27110</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25847</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23</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2031</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309308</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295658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1128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25562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24434</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2032</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326539</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312889</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1007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24095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23087</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2033</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13650</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344632</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330982</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899</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22705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21806</w:t>
            </w:r>
          </w:p>
        </w:tc>
        <w:tc>
          <w:tcPr>
            <w:tcW w:w="872"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Sum</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445751</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4610096</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4164345</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224407</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1094888</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870481</w:t>
            </w:r>
          </w:p>
        </w:tc>
        <w:tc>
          <w:tcPr>
            <w:tcW w:w="872" w:type="pct"/>
            <w:tcBorders>
              <w:top w:val="nil"/>
              <w:left w:val="nil"/>
              <w:bottom w:val="single" w:sz="4" w:space="0" w:color="auto"/>
              <w:right w:val="single" w:sz="4" w:space="0" w:color="auto"/>
            </w:tcBorders>
            <w:shd w:val="clear" w:color="000000" w:fill="CCFFFF"/>
            <w:vAlign w:val="center"/>
          </w:tcPr>
          <w:p w:rsidR="009F468D" w:rsidRPr="00E85510" w:rsidRDefault="009F468D" w:rsidP="003B3504">
            <w:pPr>
              <w:spacing w:after="0" w:line="240" w:lineRule="auto"/>
              <w:jc w:val="both"/>
              <w:rPr>
                <w:sz w:val="20"/>
                <w:szCs w:val="20"/>
              </w:rPr>
            </w:pPr>
            <w:r w:rsidRPr="00E85510">
              <w:rPr>
                <w:sz w:val="20"/>
                <w:szCs w:val="20"/>
              </w:rPr>
              <w:t>NPV</w:t>
            </w:r>
          </w:p>
        </w:tc>
      </w:tr>
      <w:tr w:rsidR="009F468D" w:rsidRPr="00E85510" w:rsidTr="009F468D">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c>
          <w:tcPr>
            <w:tcW w:w="588" w:type="pct"/>
            <w:tcBorders>
              <w:top w:val="nil"/>
              <w:left w:val="nil"/>
              <w:bottom w:val="single" w:sz="4" w:space="0" w:color="auto"/>
              <w:right w:val="single" w:sz="4" w:space="0" w:color="auto"/>
            </w:tcBorders>
            <w:shd w:val="clear" w:color="000000" w:fill="CCFFFF"/>
            <w:noWrap/>
            <w:vAlign w:val="bottom"/>
          </w:tcPr>
          <w:p w:rsidR="009F468D" w:rsidRPr="00E85510" w:rsidRDefault="009F468D" w:rsidP="003B3504">
            <w:pPr>
              <w:spacing w:after="0" w:line="240" w:lineRule="auto"/>
              <w:jc w:val="both"/>
              <w:rPr>
                <w:b/>
                <w:bCs/>
                <w:sz w:val="20"/>
                <w:szCs w:val="20"/>
              </w:rPr>
            </w:pPr>
            <w:r w:rsidRPr="00E85510">
              <w:rPr>
                <w:b/>
                <w:bCs/>
                <w:sz w:val="20"/>
                <w:szCs w:val="20"/>
              </w:rPr>
              <w:t>4.88</w:t>
            </w:r>
          </w:p>
        </w:tc>
        <w:tc>
          <w:tcPr>
            <w:tcW w:w="872" w:type="pct"/>
            <w:tcBorders>
              <w:top w:val="nil"/>
              <w:left w:val="nil"/>
              <w:bottom w:val="single" w:sz="4" w:space="0" w:color="auto"/>
              <w:right w:val="single" w:sz="4" w:space="0" w:color="auto"/>
            </w:tcBorders>
            <w:shd w:val="clear" w:color="000000" w:fill="CCFFFF"/>
            <w:vAlign w:val="center"/>
          </w:tcPr>
          <w:p w:rsidR="009F468D" w:rsidRPr="00E85510" w:rsidRDefault="009F468D" w:rsidP="003B3504">
            <w:pPr>
              <w:spacing w:after="0" w:line="240" w:lineRule="auto"/>
              <w:jc w:val="both"/>
              <w:rPr>
                <w:sz w:val="20"/>
                <w:szCs w:val="20"/>
              </w:rPr>
            </w:pPr>
            <w:r w:rsidRPr="00E85510">
              <w:rPr>
                <w:sz w:val="20"/>
                <w:szCs w:val="20"/>
              </w:rPr>
              <w:t>B/C ratio</w:t>
            </w:r>
          </w:p>
        </w:tc>
      </w:tr>
      <w:tr w:rsidR="009F468D" w:rsidRPr="00E85510" w:rsidTr="009F468D">
        <w:trPr>
          <w:trHeight w:val="315"/>
        </w:trPr>
        <w:tc>
          <w:tcPr>
            <w:tcW w:w="490"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c>
          <w:tcPr>
            <w:tcW w:w="490"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c>
          <w:tcPr>
            <w:tcW w:w="426"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c>
          <w:tcPr>
            <w:tcW w:w="47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c>
          <w:tcPr>
            <w:tcW w:w="588"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c>
          <w:tcPr>
            <w:tcW w:w="588" w:type="pct"/>
            <w:tcBorders>
              <w:top w:val="nil"/>
              <w:left w:val="nil"/>
              <w:bottom w:val="single" w:sz="4" w:space="0" w:color="auto"/>
              <w:right w:val="single" w:sz="4" w:space="0" w:color="auto"/>
            </w:tcBorders>
            <w:shd w:val="clear" w:color="000000" w:fill="CCFFFF"/>
            <w:noWrap/>
            <w:vAlign w:val="bottom"/>
          </w:tcPr>
          <w:p w:rsidR="009F468D" w:rsidRPr="00E85510" w:rsidRDefault="009F468D" w:rsidP="003B3504">
            <w:pPr>
              <w:spacing w:after="0" w:line="240" w:lineRule="auto"/>
              <w:jc w:val="both"/>
              <w:rPr>
                <w:b/>
                <w:bCs/>
                <w:sz w:val="20"/>
                <w:szCs w:val="20"/>
              </w:rPr>
            </w:pPr>
            <w:r w:rsidRPr="00E85510">
              <w:rPr>
                <w:b/>
                <w:bCs/>
                <w:sz w:val="20"/>
                <w:szCs w:val="20"/>
              </w:rPr>
              <w:t>50.9%</w:t>
            </w:r>
          </w:p>
        </w:tc>
        <w:tc>
          <w:tcPr>
            <w:tcW w:w="872" w:type="pct"/>
            <w:tcBorders>
              <w:top w:val="nil"/>
              <w:left w:val="nil"/>
              <w:bottom w:val="single" w:sz="4" w:space="0" w:color="auto"/>
              <w:right w:val="single" w:sz="4" w:space="0" w:color="auto"/>
            </w:tcBorders>
            <w:shd w:val="clear" w:color="000000" w:fill="CCFFFF"/>
            <w:vAlign w:val="center"/>
          </w:tcPr>
          <w:p w:rsidR="009F468D" w:rsidRPr="00E85510" w:rsidRDefault="009F468D" w:rsidP="003B3504">
            <w:pPr>
              <w:spacing w:after="0" w:line="240" w:lineRule="auto"/>
              <w:jc w:val="both"/>
              <w:rPr>
                <w:sz w:val="20"/>
                <w:szCs w:val="20"/>
              </w:rPr>
            </w:pPr>
            <w:r w:rsidRPr="00E85510">
              <w:rPr>
                <w:sz w:val="20"/>
                <w:szCs w:val="20"/>
              </w:rPr>
              <w:t>Estimated internal rate of</w:t>
            </w:r>
          </w:p>
          <w:p w:rsidR="009F468D" w:rsidRPr="00E85510" w:rsidRDefault="009F468D" w:rsidP="003B3504">
            <w:pPr>
              <w:spacing w:after="0" w:line="240" w:lineRule="auto"/>
              <w:jc w:val="both"/>
              <w:rPr>
                <w:sz w:val="20"/>
                <w:szCs w:val="20"/>
              </w:rPr>
            </w:pPr>
            <w:r w:rsidRPr="00E85510">
              <w:rPr>
                <w:sz w:val="20"/>
                <w:szCs w:val="20"/>
              </w:rPr>
              <w:t>return</w:t>
            </w:r>
          </w:p>
        </w:tc>
      </w:tr>
    </w:tbl>
    <w:p w:rsidR="009F468D" w:rsidRPr="00E85510" w:rsidRDefault="009F468D" w:rsidP="009F468D">
      <w:pPr>
        <w:spacing w:line="300" w:lineRule="auto"/>
        <w:jc w:val="both"/>
        <w:rPr>
          <w:b/>
          <w:sz w:val="20"/>
          <w:szCs w:val="20"/>
        </w:rPr>
      </w:pPr>
    </w:p>
    <w:p w:rsidR="009F468D" w:rsidRPr="00C803AD" w:rsidRDefault="009F468D" w:rsidP="009F468D">
      <w:pPr>
        <w:spacing w:line="300" w:lineRule="auto"/>
        <w:jc w:val="both"/>
        <w:rPr>
          <w:b/>
        </w:rPr>
      </w:pPr>
      <w:r w:rsidRPr="00C803AD">
        <w:rPr>
          <w:b/>
        </w:rPr>
        <w:t xml:space="preserve">Other indirect benefits </w:t>
      </w:r>
    </w:p>
    <w:p w:rsidR="009F468D" w:rsidRDefault="009F468D" w:rsidP="009F468D">
      <w:pPr>
        <w:tabs>
          <w:tab w:val="left" w:pos="360"/>
          <w:tab w:val="left" w:pos="720"/>
        </w:tabs>
        <w:spacing w:after="0" w:line="240" w:lineRule="auto"/>
        <w:jc w:val="both"/>
      </w:pPr>
      <w:r w:rsidRPr="00C803AD">
        <w:t>Apart from protection, b</w:t>
      </w:r>
      <w:r>
        <w:t>oth habitats and the FFF-Model also generate</w:t>
      </w:r>
      <w:r w:rsidRPr="00C803AD">
        <w:t xml:space="preserve"> a number of direct and indirect benefits, which </w:t>
      </w:r>
      <w:r>
        <w:t>were</w:t>
      </w:r>
      <w:r w:rsidRPr="00C803AD">
        <w:t xml:space="preserve"> not factored in</w:t>
      </w:r>
      <w:r>
        <w:t xml:space="preserve"> our</w:t>
      </w:r>
      <w:r w:rsidRPr="00C803AD">
        <w:t xml:space="preserve"> analysis</w:t>
      </w:r>
      <w:r>
        <w:t>. Consideration to these likely benefits should be given in decision-making. Quantification of s</w:t>
      </w:r>
      <w:r w:rsidRPr="00C803AD">
        <w:t>ocial benefits</w:t>
      </w:r>
      <w:r>
        <w:t>,</w:t>
      </w:r>
      <w:r w:rsidRPr="00C803AD">
        <w:t xml:space="preserve"> which are largely intangible</w:t>
      </w:r>
      <w:r>
        <w:t xml:space="preserve">, is extremely difficult.  Some of the important social benefits of adaptation to climate change and disaster risk reduction are:   </w:t>
      </w:r>
    </w:p>
    <w:p w:rsidR="009F468D" w:rsidRDefault="009F468D" w:rsidP="009F468D">
      <w:pPr>
        <w:tabs>
          <w:tab w:val="left" w:pos="360"/>
          <w:tab w:val="left" w:pos="720"/>
        </w:tabs>
        <w:spacing w:after="0" w:line="240" w:lineRule="auto"/>
        <w:jc w:val="both"/>
      </w:pPr>
    </w:p>
    <w:p w:rsidR="009F468D" w:rsidRDefault="009F468D" w:rsidP="001E161B">
      <w:pPr>
        <w:pStyle w:val="ListParagraph"/>
        <w:numPr>
          <w:ilvl w:val="0"/>
          <w:numId w:val="44"/>
        </w:numPr>
        <w:tabs>
          <w:tab w:val="left" w:pos="360"/>
          <w:tab w:val="left" w:pos="720"/>
        </w:tabs>
        <w:spacing w:after="0" w:line="240" w:lineRule="auto"/>
        <w:jc w:val="both"/>
      </w:pPr>
      <w:r w:rsidRPr="00613D22">
        <w:t>Avoidance of loss of human lives and livestock,</w:t>
      </w:r>
    </w:p>
    <w:p w:rsidR="009F468D" w:rsidRDefault="009F468D" w:rsidP="001E161B">
      <w:pPr>
        <w:pStyle w:val="ListParagraph"/>
        <w:numPr>
          <w:ilvl w:val="0"/>
          <w:numId w:val="44"/>
        </w:numPr>
        <w:tabs>
          <w:tab w:val="left" w:pos="360"/>
          <w:tab w:val="left" w:pos="720"/>
        </w:tabs>
        <w:spacing w:after="0" w:line="240" w:lineRule="auto"/>
        <w:jc w:val="both"/>
      </w:pPr>
      <w:r w:rsidRPr="00613D22">
        <w:t>Reducing stress and sufferings of flood victims,</w:t>
      </w:r>
      <w:r>
        <w:t xml:space="preserve"> and</w:t>
      </w:r>
    </w:p>
    <w:p w:rsidR="009F468D" w:rsidRDefault="009F468D" w:rsidP="001E161B">
      <w:pPr>
        <w:pStyle w:val="ListParagraph"/>
        <w:numPr>
          <w:ilvl w:val="0"/>
          <w:numId w:val="44"/>
        </w:numPr>
        <w:tabs>
          <w:tab w:val="left" w:pos="360"/>
          <w:tab w:val="left" w:pos="720"/>
        </w:tabs>
        <w:spacing w:after="0" w:line="240" w:lineRule="auto"/>
        <w:jc w:val="both"/>
      </w:pPr>
      <w:r w:rsidRPr="00613D22">
        <w:lastRenderedPageBreak/>
        <w:t>Poverty reduction through employment generation and multiplier effects</w:t>
      </w:r>
      <w:r>
        <w:t>.</w:t>
      </w:r>
    </w:p>
    <w:p w:rsidR="009F468D" w:rsidRPr="00613D22" w:rsidRDefault="009F468D" w:rsidP="001219B8">
      <w:pPr>
        <w:pStyle w:val="ListParagraph"/>
        <w:tabs>
          <w:tab w:val="left" w:pos="360"/>
          <w:tab w:val="left" w:pos="720"/>
        </w:tabs>
        <w:spacing w:after="0" w:line="240" w:lineRule="auto"/>
        <w:jc w:val="both"/>
      </w:pPr>
    </w:p>
    <w:p w:rsidR="009F468D" w:rsidRDefault="009F468D" w:rsidP="009F468D">
      <w:pPr>
        <w:tabs>
          <w:tab w:val="left" w:pos="360"/>
          <w:tab w:val="left" w:pos="720"/>
        </w:tabs>
        <w:spacing w:after="0" w:line="240" w:lineRule="auto"/>
        <w:jc w:val="both"/>
      </w:pPr>
      <w:r>
        <w:t>In project intervention decision-making, consideration to the social benefits should be given primarily by using qualitative data (where quantitative data are scanty).</w:t>
      </w:r>
    </w:p>
    <w:p w:rsidR="009F468D" w:rsidRPr="00C803AD" w:rsidRDefault="009F468D" w:rsidP="009F468D">
      <w:pPr>
        <w:tabs>
          <w:tab w:val="left" w:pos="360"/>
          <w:tab w:val="left" w:pos="720"/>
        </w:tabs>
        <w:spacing w:after="0" w:line="240" w:lineRule="auto"/>
        <w:jc w:val="both"/>
      </w:pPr>
    </w:p>
    <w:p w:rsidR="009F468D" w:rsidRDefault="009F468D" w:rsidP="009F468D">
      <w:pPr>
        <w:tabs>
          <w:tab w:val="left" w:pos="360"/>
          <w:tab w:val="left" w:pos="720"/>
        </w:tabs>
        <w:spacing w:after="0" w:line="240" w:lineRule="auto"/>
        <w:jc w:val="both"/>
      </w:pPr>
      <w:r w:rsidRPr="00C803AD">
        <w:t>The proje</w:t>
      </w:r>
      <w:r>
        <w:t>cts, particularly the FFF-Model,</w:t>
      </w:r>
      <w:r w:rsidRPr="00C803AD">
        <w:t xml:space="preserve"> generate</w:t>
      </w:r>
      <w:r>
        <w:t xml:space="preserve"> a</w:t>
      </w:r>
      <w:r w:rsidR="003B3504">
        <w:t xml:space="preserve"> </w:t>
      </w:r>
      <w:r>
        <w:t xml:space="preserve">significant number of </w:t>
      </w:r>
      <w:r w:rsidRPr="00C803AD">
        <w:t>employment opportunities</w:t>
      </w:r>
      <w:r>
        <w:t>,</w:t>
      </w:r>
      <w:r w:rsidRPr="00C803AD">
        <w:t xml:space="preserve"> largely for the disadvantaged groups</w:t>
      </w:r>
      <w:r>
        <w:t xml:space="preserve"> -- </w:t>
      </w:r>
      <w:r w:rsidRPr="00C803AD">
        <w:t xml:space="preserve">particularly </w:t>
      </w:r>
      <w:r>
        <w:t xml:space="preserve">for </w:t>
      </w:r>
      <w:r w:rsidRPr="00C803AD">
        <w:t>women</w:t>
      </w:r>
      <w:r>
        <w:t xml:space="preserve">. Such increase in employment takes place </w:t>
      </w:r>
      <w:r w:rsidRPr="00C803AD">
        <w:t xml:space="preserve">especially during </w:t>
      </w:r>
      <w:r>
        <w:t xml:space="preserve">the </w:t>
      </w:r>
      <w:r w:rsidRPr="00C803AD">
        <w:t>construction</w:t>
      </w:r>
      <w:r>
        <w:t xml:space="preserve"> phase on project intervention</w:t>
      </w:r>
      <w:r w:rsidRPr="00C803AD">
        <w:t xml:space="preserve">. Additionally, during </w:t>
      </w:r>
      <w:r>
        <w:t xml:space="preserve">the </w:t>
      </w:r>
      <w:r w:rsidRPr="00C803AD">
        <w:t>repair and maintenance phase</w:t>
      </w:r>
      <w:r>
        <w:t>, some additional employment is also created. T</w:t>
      </w:r>
      <w:r w:rsidRPr="00C803AD">
        <w:t>he</w:t>
      </w:r>
      <w:r>
        <w:t>se</w:t>
      </w:r>
      <w:r w:rsidRPr="00C803AD">
        <w:t xml:space="preserve"> linkage effects have some </w:t>
      </w:r>
      <w:r>
        <w:t xml:space="preserve">positive </w:t>
      </w:r>
      <w:r w:rsidRPr="00C803AD">
        <w:t>implication</w:t>
      </w:r>
      <w:r>
        <w:t>s</w:t>
      </w:r>
      <w:r w:rsidR="003B3504">
        <w:t xml:space="preserve"> </w:t>
      </w:r>
      <w:r>
        <w:t xml:space="preserve">for the reduction of poverty in society. </w:t>
      </w:r>
    </w:p>
    <w:p w:rsidR="009F468D" w:rsidRDefault="009F468D" w:rsidP="009F468D">
      <w:pPr>
        <w:tabs>
          <w:tab w:val="left" w:pos="360"/>
          <w:tab w:val="left" w:pos="720"/>
        </w:tabs>
        <w:spacing w:line="300" w:lineRule="auto"/>
        <w:jc w:val="both"/>
      </w:pPr>
    </w:p>
    <w:p w:rsidR="009F468D" w:rsidRPr="00B465FC" w:rsidRDefault="009F468D" w:rsidP="009F468D">
      <w:pPr>
        <w:tabs>
          <w:tab w:val="left" w:pos="360"/>
          <w:tab w:val="left" w:pos="720"/>
        </w:tabs>
        <w:spacing w:line="300" w:lineRule="auto"/>
        <w:jc w:val="both"/>
      </w:pPr>
    </w:p>
    <w:p w:rsidR="009F468D" w:rsidRPr="00C803AD" w:rsidRDefault="009F468D" w:rsidP="009F468D">
      <w:pPr>
        <w:spacing w:line="300" w:lineRule="auto"/>
        <w:jc w:val="both"/>
        <w:rPr>
          <w:b/>
          <w:bCs/>
        </w:rPr>
      </w:pPr>
      <w:r w:rsidRPr="00C803AD">
        <w:rPr>
          <w:b/>
          <w:bCs/>
        </w:rPr>
        <w:t>Improving Kiln Efficiency in the Brick Making Industry (2009-2014)</w:t>
      </w:r>
    </w:p>
    <w:p w:rsidR="009F468D" w:rsidRDefault="009F468D" w:rsidP="009F468D">
      <w:pPr>
        <w:pStyle w:val="NormalWeb"/>
        <w:spacing w:before="0" w:beforeAutospacing="0" w:after="0" w:afterAutospacing="0"/>
        <w:jc w:val="both"/>
        <w:rPr>
          <w:rFonts w:ascii="Calibri" w:hAnsi="Calibri"/>
          <w:sz w:val="22"/>
          <w:szCs w:val="22"/>
        </w:rPr>
      </w:pPr>
      <w:r w:rsidRPr="00C803AD">
        <w:rPr>
          <w:rFonts w:ascii="Calibri" w:hAnsi="Calibri"/>
          <w:sz w:val="22"/>
          <w:szCs w:val="22"/>
        </w:rPr>
        <w:t>Traditional brick making operation is one of the largest sources of greenhouse gas emissions in the country, estimated to be in the order of 6 million tons of carbon dioxide (CO</w:t>
      </w:r>
      <w:r w:rsidRPr="00C803AD">
        <w:rPr>
          <w:rFonts w:ascii="Calibri" w:hAnsi="Calibri"/>
          <w:sz w:val="22"/>
          <w:szCs w:val="22"/>
          <w:vertAlign w:val="subscript"/>
        </w:rPr>
        <w:t>2</w:t>
      </w:r>
      <w:r w:rsidRPr="00C803AD">
        <w:rPr>
          <w:rFonts w:ascii="Calibri" w:hAnsi="Calibri"/>
          <w:sz w:val="22"/>
          <w:szCs w:val="22"/>
        </w:rPr>
        <w:t>) annually. It is also a major source of land</w:t>
      </w:r>
      <w:r>
        <w:rPr>
          <w:rFonts w:ascii="Calibri" w:hAnsi="Calibri"/>
          <w:sz w:val="22"/>
          <w:szCs w:val="22"/>
        </w:rPr>
        <w:t xml:space="preserve"> degradation and deforestation.</w:t>
      </w:r>
    </w:p>
    <w:p w:rsidR="009F468D" w:rsidRPr="00C803AD" w:rsidRDefault="009F468D" w:rsidP="009F468D">
      <w:pPr>
        <w:pStyle w:val="NormalWeb"/>
        <w:spacing w:before="0" w:beforeAutospacing="0" w:after="0" w:afterAutospacing="0"/>
        <w:jc w:val="both"/>
        <w:rPr>
          <w:rFonts w:ascii="Calibri" w:hAnsi="Calibri"/>
          <w:sz w:val="22"/>
          <w:szCs w:val="22"/>
        </w:rPr>
      </w:pPr>
    </w:p>
    <w:p w:rsidR="009F468D" w:rsidRDefault="009F468D" w:rsidP="009F468D">
      <w:pPr>
        <w:pStyle w:val="NormalWeb"/>
        <w:spacing w:before="0" w:beforeAutospacing="0" w:after="0" w:afterAutospacing="0"/>
        <w:jc w:val="both"/>
        <w:rPr>
          <w:rFonts w:ascii="Calibri" w:hAnsi="Calibri"/>
          <w:sz w:val="22"/>
          <w:szCs w:val="22"/>
        </w:rPr>
      </w:pPr>
      <w:r>
        <w:rPr>
          <w:rFonts w:ascii="Calibri" w:hAnsi="Calibri"/>
          <w:sz w:val="22"/>
          <w:szCs w:val="22"/>
        </w:rPr>
        <w:t>The Green B</w:t>
      </w:r>
      <w:r w:rsidRPr="00C803AD">
        <w:rPr>
          <w:rFonts w:ascii="Calibri" w:hAnsi="Calibri"/>
          <w:sz w:val="22"/>
          <w:szCs w:val="22"/>
        </w:rPr>
        <w:t>rick mak</w:t>
      </w:r>
      <w:r>
        <w:rPr>
          <w:rFonts w:ascii="Calibri" w:hAnsi="Calibri"/>
          <w:sz w:val="22"/>
          <w:szCs w:val="22"/>
        </w:rPr>
        <w:t>ing project was</w:t>
      </w:r>
      <w:r w:rsidRPr="00C803AD">
        <w:rPr>
          <w:rFonts w:ascii="Calibri" w:hAnsi="Calibri"/>
          <w:sz w:val="22"/>
          <w:szCs w:val="22"/>
        </w:rPr>
        <w:t xml:space="preserve"> designed to remove barriers to the adoption of energy efficient kilns (specialized ovens for brick making). It aim</w:t>
      </w:r>
      <w:r>
        <w:rPr>
          <w:rFonts w:ascii="Calibri" w:hAnsi="Calibri"/>
          <w:sz w:val="22"/>
          <w:szCs w:val="22"/>
        </w:rPr>
        <w:t>ed</w:t>
      </w:r>
      <w:r w:rsidRPr="00C803AD">
        <w:rPr>
          <w:rFonts w:ascii="Calibri" w:hAnsi="Calibri"/>
          <w:sz w:val="22"/>
          <w:szCs w:val="22"/>
        </w:rPr>
        <w:t xml:space="preserve"> to implement 15 demonstrations of energy efficient kilns in a five year period. It </w:t>
      </w:r>
      <w:r>
        <w:rPr>
          <w:rFonts w:ascii="Calibri" w:hAnsi="Calibri"/>
          <w:sz w:val="22"/>
          <w:szCs w:val="22"/>
        </w:rPr>
        <w:t>was</w:t>
      </w:r>
      <w:r w:rsidRPr="00C803AD">
        <w:rPr>
          <w:rFonts w:ascii="Calibri" w:hAnsi="Calibri"/>
          <w:sz w:val="22"/>
          <w:szCs w:val="22"/>
        </w:rPr>
        <w:t xml:space="preserve"> expected to result in the direct energy savings of 314 kilotons of coal by the end of the project (end 2014). Following this, direct greenhouse gas emission reductions</w:t>
      </w:r>
      <w:r>
        <w:rPr>
          <w:rFonts w:ascii="Calibri" w:hAnsi="Calibri"/>
          <w:sz w:val="22"/>
          <w:szCs w:val="22"/>
        </w:rPr>
        <w:t xml:space="preserve"> over</w:t>
      </w:r>
      <w:r w:rsidRPr="00C803AD">
        <w:rPr>
          <w:rFonts w:ascii="Calibri" w:hAnsi="Calibri"/>
          <w:sz w:val="22"/>
          <w:szCs w:val="22"/>
        </w:rPr>
        <w:t xml:space="preserve"> next 15 years should be of 1,470 kilotons of CO</w:t>
      </w:r>
      <w:r w:rsidRPr="00C803AD">
        <w:rPr>
          <w:rFonts w:ascii="Calibri" w:hAnsi="Calibri"/>
          <w:sz w:val="22"/>
          <w:szCs w:val="22"/>
          <w:vertAlign w:val="subscript"/>
        </w:rPr>
        <w:t>2</w:t>
      </w:r>
      <w:r>
        <w:rPr>
          <w:rFonts w:ascii="Calibri" w:hAnsi="Calibri"/>
          <w:sz w:val="22"/>
          <w:szCs w:val="22"/>
        </w:rPr>
        <w:t xml:space="preserve">. </w:t>
      </w:r>
    </w:p>
    <w:p w:rsidR="009F468D" w:rsidRPr="00984149" w:rsidRDefault="009F468D" w:rsidP="009F468D">
      <w:pPr>
        <w:pStyle w:val="NormalWeb"/>
        <w:spacing w:before="0" w:beforeAutospacing="0" w:after="0" w:afterAutospacing="0"/>
        <w:jc w:val="both"/>
        <w:rPr>
          <w:rFonts w:ascii="Calibri" w:hAnsi="Calibri"/>
          <w:sz w:val="22"/>
          <w:szCs w:val="22"/>
        </w:rPr>
      </w:pPr>
    </w:p>
    <w:p w:rsidR="009F468D" w:rsidRPr="00C803AD" w:rsidRDefault="009F468D" w:rsidP="009F468D">
      <w:pPr>
        <w:spacing w:line="240" w:lineRule="auto"/>
        <w:jc w:val="both"/>
      </w:pPr>
      <w:r w:rsidRPr="00C803AD">
        <w:t>A comparative financial analysis is carrie</w:t>
      </w:r>
      <w:r>
        <w:t>d out for both traditional and Green B</w:t>
      </w:r>
      <w:r w:rsidRPr="00C803AD">
        <w:t>rick making activities</w:t>
      </w:r>
      <w:r w:rsidRPr="00C803AD">
        <w:rPr>
          <w:rStyle w:val="FootnoteReference"/>
          <w:b/>
        </w:rPr>
        <w:footnoteReference w:id="79"/>
      </w:r>
      <w:r w:rsidRPr="00C803AD">
        <w:t xml:space="preserve"> . It </w:t>
      </w:r>
      <w:r>
        <w:t>is revealed that Green B</w:t>
      </w:r>
      <w:r w:rsidRPr="00C803AD">
        <w:t xml:space="preserve">rick making is more efficient from </w:t>
      </w:r>
      <w:r>
        <w:t xml:space="preserve">a </w:t>
      </w:r>
      <w:r w:rsidRPr="00C803AD">
        <w:t>fi</w:t>
      </w:r>
      <w:r>
        <w:t>nancial point of view. The BCR for Green B</w:t>
      </w:r>
      <w:r w:rsidRPr="00C803AD">
        <w:t>rick is estimated as 1.92 compared to 1.48 for</w:t>
      </w:r>
      <w:r>
        <w:t xml:space="preserve"> the</w:t>
      </w:r>
      <w:r w:rsidRPr="00C803AD">
        <w:t xml:space="preserve"> traditional brick</w:t>
      </w:r>
      <w:r>
        <w:t>. The NPV for Green B</w:t>
      </w:r>
      <w:r w:rsidRPr="00C803AD">
        <w:t>rick is estimated as T</w:t>
      </w:r>
      <w:r>
        <w:t xml:space="preserve">k. </w:t>
      </w:r>
      <w:r w:rsidRPr="00C803AD">
        <w:t>87 million compared to T</w:t>
      </w:r>
      <w:r>
        <w:t xml:space="preserve">k. </w:t>
      </w:r>
      <w:r w:rsidRPr="00C803AD">
        <w:t>24 million for traditional brick</w:t>
      </w:r>
      <w:r w:rsidR="003B3504">
        <w:t xml:space="preserve"> </w:t>
      </w:r>
      <w:r>
        <w:t>interventions.</w:t>
      </w:r>
    </w:p>
    <w:p w:rsidR="009F468D" w:rsidRPr="00C803AD" w:rsidRDefault="009F468D" w:rsidP="009F468D">
      <w:pPr>
        <w:spacing w:line="240" w:lineRule="auto"/>
        <w:jc w:val="both"/>
      </w:pPr>
    </w:p>
    <w:p w:rsidR="009F468D" w:rsidRPr="00E85510" w:rsidRDefault="009F468D" w:rsidP="009F468D">
      <w:pPr>
        <w:spacing w:line="300" w:lineRule="auto"/>
        <w:jc w:val="both"/>
        <w:rPr>
          <w:b/>
        </w:rPr>
      </w:pPr>
      <w:r w:rsidRPr="00C803AD">
        <w:br w:type="page"/>
      </w:r>
      <w:r w:rsidR="003B3504">
        <w:rPr>
          <w:b/>
        </w:rPr>
        <w:lastRenderedPageBreak/>
        <w:t>Table XIII.6</w:t>
      </w:r>
      <w:r w:rsidRPr="005D5E8C">
        <w:rPr>
          <w:b/>
        </w:rPr>
        <w:t>: Financial</w:t>
      </w:r>
      <w:r>
        <w:rPr>
          <w:b/>
        </w:rPr>
        <w:t xml:space="preserve"> analysis - Green B</w:t>
      </w:r>
      <w:r w:rsidRPr="00E85510">
        <w:rPr>
          <w:b/>
        </w:rPr>
        <w:t>ric</w:t>
      </w:r>
      <w:r>
        <w:rPr>
          <w:b/>
        </w:rPr>
        <w:t>k</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940"/>
        <w:gridCol w:w="1129"/>
        <w:gridCol w:w="1129"/>
        <w:gridCol w:w="1129"/>
        <w:gridCol w:w="1135"/>
        <w:gridCol w:w="1135"/>
        <w:gridCol w:w="1135"/>
        <w:gridCol w:w="1032"/>
      </w:tblGrid>
      <w:tr w:rsidR="009F468D" w:rsidRPr="00E85510" w:rsidTr="003B3504">
        <w:trPr>
          <w:trHeight w:val="600"/>
        </w:trPr>
        <w:tc>
          <w:tcPr>
            <w:tcW w:w="488" w:type="pct"/>
            <w:shd w:val="clear" w:color="auto" w:fill="auto"/>
            <w:vAlign w:val="center"/>
          </w:tcPr>
          <w:p w:rsidR="009F468D" w:rsidRPr="00E85510" w:rsidRDefault="009F468D" w:rsidP="003B3504">
            <w:pPr>
              <w:spacing w:after="0" w:line="240" w:lineRule="auto"/>
              <w:jc w:val="both"/>
              <w:rPr>
                <w:sz w:val="20"/>
                <w:szCs w:val="20"/>
              </w:rPr>
            </w:pPr>
            <w:bookmarkStart w:id="9" w:name="RANGE!A1:I25"/>
            <w:r w:rsidRPr="00E85510">
              <w:rPr>
                <w:sz w:val="20"/>
                <w:szCs w:val="20"/>
              </w:rPr>
              <w:t>Discount rate</w:t>
            </w:r>
            <w:bookmarkEnd w:id="9"/>
          </w:p>
        </w:tc>
        <w:tc>
          <w:tcPr>
            <w:tcW w:w="487" w:type="pct"/>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12%</w:t>
            </w:r>
          </w:p>
        </w:tc>
        <w:tc>
          <w:tcPr>
            <w:tcW w:w="4025" w:type="pct"/>
            <w:gridSpan w:val="7"/>
            <w:shd w:val="clear" w:color="auto" w:fill="auto"/>
            <w:noWrap/>
            <w:vAlign w:val="bottom"/>
          </w:tcPr>
          <w:p w:rsidR="009F468D" w:rsidRPr="00E85510" w:rsidRDefault="009F468D" w:rsidP="003B3504">
            <w:pPr>
              <w:spacing w:after="0" w:line="240" w:lineRule="auto"/>
              <w:jc w:val="center"/>
              <w:rPr>
                <w:b/>
                <w:bCs/>
                <w:sz w:val="20"/>
                <w:szCs w:val="20"/>
              </w:rPr>
            </w:pPr>
            <w:r>
              <w:rPr>
                <w:b/>
                <w:bCs/>
                <w:sz w:val="20"/>
                <w:szCs w:val="20"/>
              </w:rPr>
              <w:t>Green B</w:t>
            </w:r>
            <w:r w:rsidRPr="00E85510">
              <w:rPr>
                <w:b/>
                <w:bCs/>
                <w:sz w:val="20"/>
                <w:szCs w:val="20"/>
              </w:rPr>
              <w:t>ric</w:t>
            </w:r>
            <w:r>
              <w:rPr>
                <w:b/>
                <w:bCs/>
                <w:sz w:val="20"/>
                <w:szCs w:val="20"/>
              </w:rPr>
              <w:t>k</w:t>
            </w:r>
          </w:p>
        </w:tc>
      </w:tr>
      <w:tr w:rsidR="009F468D" w:rsidRPr="00E85510" w:rsidTr="003B3504">
        <w:trPr>
          <w:trHeight w:val="900"/>
        </w:trPr>
        <w:tc>
          <w:tcPr>
            <w:tcW w:w="488" w:type="pct"/>
            <w:shd w:val="clear" w:color="auto" w:fill="auto"/>
            <w:noWrap/>
            <w:vAlign w:val="center"/>
          </w:tcPr>
          <w:p w:rsidR="009F468D" w:rsidRPr="00E85510" w:rsidRDefault="009F468D" w:rsidP="003B3504">
            <w:pPr>
              <w:spacing w:after="0" w:line="240" w:lineRule="auto"/>
              <w:jc w:val="both"/>
              <w:rPr>
                <w:sz w:val="20"/>
                <w:szCs w:val="20"/>
              </w:rPr>
            </w:pPr>
            <w:r w:rsidRPr="00E85510">
              <w:rPr>
                <w:sz w:val="20"/>
                <w:szCs w:val="20"/>
              </w:rPr>
              <w:t>Year</w:t>
            </w:r>
          </w:p>
        </w:tc>
        <w:tc>
          <w:tcPr>
            <w:tcW w:w="487" w:type="pct"/>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Calendar Year</w:t>
            </w:r>
          </w:p>
        </w:tc>
        <w:tc>
          <w:tcPr>
            <w:tcW w:w="580" w:type="pct"/>
            <w:shd w:val="clear" w:color="auto" w:fill="auto"/>
            <w:noWrap/>
            <w:vAlign w:val="center"/>
          </w:tcPr>
          <w:p w:rsidR="009F468D" w:rsidRPr="00E85510" w:rsidRDefault="009F468D" w:rsidP="003B3504">
            <w:pPr>
              <w:spacing w:after="0" w:line="240" w:lineRule="auto"/>
              <w:jc w:val="both"/>
              <w:rPr>
                <w:sz w:val="20"/>
                <w:szCs w:val="20"/>
              </w:rPr>
            </w:pPr>
            <w:r w:rsidRPr="00E85510">
              <w:rPr>
                <w:sz w:val="20"/>
                <w:szCs w:val="20"/>
              </w:rPr>
              <w:t>Costs</w:t>
            </w:r>
          </w:p>
        </w:tc>
        <w:tc>
          <w:tcPr>
            <w:tcW w:w="580" w:type="pct"/>
            <w:shd w:val="clear" w:color="auto" w:fill="auto"/>
            <w:noWrap/>
            <w:vAlign w:val="center"/>
          </w:tcPr>
          <w:p w:rsidR="009F468D" w:rsidRPr="00E85510" w:rsidRDefault="009F468D" w:rsidP="003B3504">
            <w:pPr>
              <w:spacing w:after="0" w:line="240" w:lineRule="auto"/>
              <w:jc w:val="both"/>
              <w:rPr>
                <w:sz w:val="20"/>
                <w:szCs w:val="20"/>
              </w:rPr>
            </w:pPr>
            <w:r w:rsidRPr="00E85510">
              <w:rPr>
                <w:sz w:val="20"/>
                <w:szCs w:val="20"/>
              </w:rPr>
              <w:t>Benefits</w:t>
            </w:r>
          </w:p>
        </w:tc>
        <w:tc>
          <w:tcPr>
            <w:tcW w:w="580" w:type="pct"/>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Net benefits: benefits-costs</w:t>
            </w:r>
          </w:p>
        </w:tc>
        <w:tc>
          <w:tcPr>
            <w:tcW w:w="586" w:type="pct"/>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Discounted costs</w:t>
            </w:r>
          </w:p>
        </w:tc>
        <w:tc>
          <w:tcPr>
            <w:tcW w:w="586" w:type="pct"/>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 xml:space="preserve">Discounted benefits </w:t>
            </w:r>
          </w:p>
        </w:tc>
        <w:tc>
          <w:tcPr>
            <w:tcW w:w="586" w:type="pct"/>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Discounted net benefits</w:t>
            </w:r>
          </w:p>
        </w:tc>
        <w:tc>
          <w:tcPr>
            <w:tcW w:w="528" w:type="pct"/>
            <w:shd w:val="clear" w:color="auto" w:fill="auto"/>
            <w:noWrap/>
            <w:vAlign w:val="center"/>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w:t>
            </w:r>
          </w:p>
        </w:tc>
        <w:tc>
          <w:tcPr>
            <w:tcW w:w="487"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2015</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76083000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-76083000</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76083000</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0</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-76083000</w:t>
            </w:r>
          </w:p>
        </w:tc>
        <w:tc>
          <w:tcPr>
            <w:tcW w:w="528"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w:t>
            </w:r>
          </w:p>
        </w:tc>
        <w:tc>
          <w:tcPr>
            <w:tcW w:w="487"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2016</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2500000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16500000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14000000</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2232143</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14732143</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12500000</w:t>
            </w:r>
          </w:p>
        </w:tc>
        <w:tc>
          <w:tcPr>
            <w:tcW w:w="528"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w:t>
            </w:r>
          </w:p>
        </w:tc>
        <w:tc>
          <w:tcPr>
            <w:tcW w:w="487"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2017</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2500000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17325000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14825000</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1992985</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13811384</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11818399</w:t>
            </w:r>
          </w:p>
        </w:tc>
        <w:tc>
          <w:tcPr>
            <w:tcW w:w="528"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w:t>
            </w:r>
          </w:p>
        </w:tc>
        <w:tc>
          <w:tcPr>
            <w:tcW w:w="487"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2018</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2500000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18191250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15691250</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1779451</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12948172</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11168722</w:t>
            </w:r>
          </w:p>
        </w:tc>
        <w:tc>
          <w:tcPr>
            <w:tcW w:w="528"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w:t>
            </w:r>
          </w:p>
        </w:tc>
        <w:tc>
          <w:tcPr>
            <w:tcW w:w="487"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2019</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2500000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19100813</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16600813</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1588795</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12138912</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10550116</w:t>
            </w:r>
          </w:p>
        </w:tc>
        <w:tc>
          <w:tcPr>
            <w:tcW w:w="528"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w:t>
            </w:r>
          </w:p>
        </w:tc>
        <w:tc>
          <w:tcPr>
            <w:tcW w:w="487"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2500000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20055853</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17555853</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1418567</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11380230</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9961663</w:t>
            </w:r>
          </w:p>
        </w:tc>
        <w:tc>
          <w:tcPr>
            <w:tcW w:w="528"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w:t>
            </w:r>
          </w:p>
        </w:tc>
        <w:tc>
          <w:tcPr>
            <w:tcW w:w="487"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2021</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2500000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21058646</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18558646</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1266578</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10668965</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9402388</w:t>
            </w:r>
          </w:p>
        </w:tc>
        <w:tc>
          <w:tcPr>
            <w:tcW w:w="528"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w:t>
            </w:r>
          </w:p>
        </w:tc>
        <w:tc>
          <w:tcPr>
            <w:tcW w:w="487"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2022</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2500000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22111578</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19611578</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1130873</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10002155</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8871282</w:t>
            </w:r>
          </w:p>
        </w:tc>
        <w:tc>
          <w:tcPr>
            <w:tcW w:w="528"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9</w:t>
            </w:r>
          </w:p>
        </w:tc>
        <w:tc>
          <w:tcPr>
            <w:tcW w:w="487"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2023</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2500000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23217157</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20717157</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1009708</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9377020</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8367312</w:t>
            </w:r>
          </w:p>
        </w:tc>
        <w:tc>
          <w:tcPr>
            <w:tcW w:w="528"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10</w:t>
            </w:r>
          </w:p>
        </w:tc>
        <w:tc>
          <w:tcPr>
            <w:tcW w:w="487"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2024</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2500000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24378015</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21878015</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901525</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8790957</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7889431</w:t>
            </w:r>
          </w:p>
        </w:tc>
        <w:tc>
          <w:tcPr>
            <w:tcW w:w="528"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11</w:t>
            </w:r>
          </w:p>
        </w:tc>
        <w:tc>
          <w:tcPr>
            <w:tcW w:w="487"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2025</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2500000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25596916</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23096916</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804933</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8241522</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7436589</w:t>
            </w:r>
          </w:p>
        </w:tc>
        <w:tc>
          <w:tcPr>
            <w:tcW w:w="528"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12</w:t>
            </w:r>
          </w:p>
        </w:tc>
        <w:tc>
          <w:tcPr>
            <w:tcW w:w="487"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2026</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2500000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26876761</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24376761</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718690</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7726427</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7007736</w:t>
            </w:r>
          </w:p>
        </w:tc>
        <w:tc>
          <w:tcPr>
            <w:tcW w:w="528"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13</w:t>
            </w:r>
          </w:p>
        </w:tc>
        <w:tc>
          <w:tcPr>
            <w:tcW w:w="487"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2027</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2500000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28220599</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25720599</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641688</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7243525</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6601837</w:t>
            </w:r>
          </w:p>
        </w:tc>
        <w:tc>
          <w:tcPr>
            <w:tcW w:w="528"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14</w:t>
            </w:r>
          </w:p>
        </w:tc>
        <w:tc>
          <w:tcPr>
            <w:tcW w:w="487"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2028</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2500000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29631629</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27131629</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572935</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6790805</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6217869</w:t>
            </w:r>
          </w:p>
        </w:tc>
        <w:tc>
          <w:tcPr>
            <w:tcW w:w="528"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15</w:t>
            </w:r>
          </w:p>
        </w:tc>
        <w:tc>
          <w:tcPr>
            <w:tcW w:w="487"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2029</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2500000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31113211</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28613211</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511550</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6366379</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5854830</w:t>
            </w:r>
          </w:p>
        </w:tc>
        <w:tc>
          <w:tcPr>
            <w:tcW w:w="528"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16</w:t>
            </w:r>
          </w:p>
        </w:tc>
        <w:tc>
          <w:tcPr>
            <w:tcW w:w="487"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2030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2500000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32668871</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30168871</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456741</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5968481</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5511740</w:t>
            </w:r>
          </w:p>
        </w:tc>
        <w:tc>
          <w:tcPr>
            <w:tcW w:w="528"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17</w:t>
            </w:r>
          </w:p>
        </w:tc>
        <w:tc>
          <w:tcPr>
            <w:tcW w:w="487"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2031</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2500000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34302315</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31802315</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407804</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5595451</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5187646</w:t>
            </w:r>
          </w:p>
        </w:tc>
        <w:tc>
          <w:tcPr>
            <w:tcW w:w="528"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18</w:t>
            </w:r>
          </w:p>
        </w:tc>
        <w:tc>
          <w:tcPr>
            <w:tcW w:w="487"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2032</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2500000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36017431</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33517431</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364111</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5245735</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4881624</w:t>
            </w:r>
          </w:p>
        </w:tc>
        <w:tc>
          <w:tcPr>
            <w:tcW w:w="528"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19</w:t>
            </w:r>
          </w:p>
        </w:tc>
        <w:tc>
          <w:tcPr>
            <w:tcW w:w="487"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2033</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2500000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37818302</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35318302</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325099</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4917876</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4592778</w:t>
            </w:r>
          </w:p>
        </w:tc>
        <w:tc>
          <w:tcPr>
            <w:tcW w:w="528"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w:t>
            </w:r>
          </w:p>
        </w:tc>
        <w:tc>
          <w:tcPr>
            <w:tcW w:w="487"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2034</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2500000</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167818302</w:t>
            </w:r>
          </w:p>
        </w:tc>
        <w:tc>
          <w:tcPr>
            <w:tcW w:w="580"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165318302</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290267</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19484842</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19194575</w:t>
            </w:r>
          </w:p>
        </w:tc>
        <w:tc>
          <w:tcPr>
            <w:tcW w:w="528"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c>
          <w:tcPr>
            <w:tcW w:w="487" w:type="pct"/>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Sum</w:t>
            </w:r>
          </w:p>
        </w:tc>
        <w:tc>
          <w:tcPr>
            <w:tcW w:w="580" w:type="pct"/>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123583000</w:t>
            </w:r>
          </w:p>
        </w:tc>
        <w:tc>
          <w:tcPr>
            <w:tcW w:w="580" w:type="pct"/>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632002649</w:t>
            </w:r>
          </w:p>
        </w:tc>
        <w:tc>
          <w:tcPr>
            <w:tcW w:w="580" w:type="pct"/>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508419649</w:t>
            </w:r>
          </w:p>
        </w:tc>
        <w:tc>
          <w:tcPr>
            <w:tcW w:w="586" w:type="pct"/>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94497442</w:t>
            </w:r>
          </w:p>
        </w:tc>
        <w:tc>
          <w:tcPr>
            <w:tcW w:w="586" w:type="pct"/>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181430980</w:t>
            </w:r>
          </w:p>
        </w:tc>
        <w:tc>
          <w:tcPr>
            <w:tcW w:w="586" w:type="pct"/>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86933538</w:t>
            </w:r>
          </w:p>
        </w:tc>
        <w:tc>
          <w:tcPr>
            <w:tcW w:w="528" w:type="pct"/>
            <w:shd w:val="clear" w:color="000000" w:fill="CCFFFF"/>
            <w:vAlign w:val="center"/>
          </w:tcPr>
          <w:p w:rsidR="009F468D" w:rsidRPr="00E85510" w:rsidRDefault="009F468D" w:rsidP="003B3504">
            <w:pPr>
              <w:spacing w:after="0" w:line="240" w:lineRule="auto"/>
              <w:jc w:val="both"/>
              <w:rPr>
                <w:sz w:val="20"/>
                <w:szCs w:val="20"/>
              </w:rPr>
            </w:pPr>
            <w:r w:rsidRPr="00E85510">
              <w:rPr>
                <w:sz w:val="20"/>
                <w:szCs w:val="20"/>
              </w:rPr>
              <w:t>NPV</w:t>
            </w:r>
          </w:p>
        </w:tc>
      </w:tr>
      <w:tr w:rsidR="009F468D" w:rsidRPr="00E85510" w:rsidTr="003B3504">
        <w:trPr>
          <w:trHeight w:val="300"/>
        </w:trPr>
        <w:tc>
          <w:tcPr>
            <w:tcW w:w="488" w:type="pct"/>
            <w:shd w:val="clear" w:color="auto" w:fill="auto"/>
            <w:noWrap/>
            <w:vAlign w:val="bottom"/>
          </w:tcPr>
          <w:p w:rsidR="009F468D" w:rsidRPr="00E85510" w:rsidRDefault="009F468D" w:rsidP="003B3504">
            <w:pPr>
              <w:spacing w:after="0" w:line="240" w:lineRule="auto"/>
              <w:jc w:val="both"/>
              <w:rPr>
                <w:sz w:val="20"/>
                <w:szCs w:val="20"/>
              </w:rPr>
            </w:pPr>
          </w:p>
        </w:tc>
        <w:tc>
          <w:tcPr>
            <w:tcW w:w="487" w:type="pct"/>
            <w:shd w:val="clear" w:color="auto" w:fill="auto"/>
            <w:noWrap/>
            <w:vAlign w:val="bottom"/>
          </w:tcPr>
          <w:p w:rsidR="009F468D" w:rsidRPr="00E85510" w:rsidRDefault="009F468D" w:rsidP="003B3504">
            <w:pPr>
              <w:spacing w:after="0" w:line="240" w:lineRule="auto"/>
              <w:jc w:val="both"/>
              <w:rPr>
                <w:sz w:val="20"/>
                <w:szCs w:val="20"/>
              </w:rPr>
            </w:pPr>
          </w:p>
        </w:tc>
        <w:tc>
          <w:tcPr>
            <w:tcW w:w="580" w:type="pct"/>
            <w:shd w:val="clear" w:color="auto" w:fill="auto"/>
            <w:noWrap/>
            <w:vAlign w:val="bottom"/>
          </w:tcPr>
          <w:p w:rsidR="009F468D" w:rsidRPr="00E85510" w:rsidRDefault="009F468D" w:rsidP="003B3504">
            <w:pPr>
              <w:spacing w:after="0" w:line="240" w:lineRule="auto"/>
              <w:jc w:val="both"/>
              <w:rPr>
                <w:sz w:val="20"/>
                <w:szCs w:val="20"/>
              </w:rPr>
            </w:pPr>
          </w:p>
        </w:tc>
        <w:tc>
          <w:tcPr>
            <w:tcW w:w="580" w:type="pct"/>
            <w:shd w:val="clear" w:color="auto" w:fill="auto"/>
            <w:noWrap/>
            <w:vAlign w:val="bottom"/>
          </w:tcPr>
          <w:p w:rsidR="009F468D" w:rsidRPr="00E85510" w:rsidRDefault="009F468D" w:rsidP="003B3504">
            <w:pPr>
              <w:spacing w:after="0" w:line="240" w:lineRule="auto"/>
              <w:jc w:val="both"/>
              <w:rPr>
                <w:sz w:val="20"/>
                <w:szCs w:val="20"/>
              </w:rPr>
            </w:pPr>
          </w:p>
        </w:tc>
        <w:tc>
          <w:tcPr>
            <w:tcW w:w="580" w:type="pct"/>
            <w:shd w:val="clear" w:color="auto" w:fill="auto"/>
            <w:noWrap/>
            <w:vAlign w:val="bottom"/>
          </w:tcPr>
          <w:p w:rsidR="009F468D" w:rsidRPr="00E85510" w:rsidRDefault="009F468D" w:rsidP="003B3504">
            <w:pPr>
              <w:spacing w:after="0" w:line="240" w:lineRule="auto"/>
              <w:jc w:val="both"/>
              <w:rPr>
                <w:sz w:val="20"/>
                <w:szCs w:val="20"/>
              </w:rPr>
            </w:pPr>
          </w:p>
        </w:tc>
        <w:tc>
          <w:tcPr>
            <w:tcW w:w="586" w:type="pct"/>
            <w:shd w:val="clear" w:color="auto" w:fill="auto"/>
            <w:noWrap/>
            <w:vAlign w:val="bottom"/>
          </w:tcPr>
          <w:p w:rsidR="009F468D" w:rsidRPr="00E85510" w:rsidRDefault="009F468D" w:rsidP="003B3504">
            <w:pPr>
              <w:spacing w:after="0" w:line="240" w:lineRule="auto"/>
              <w:jc w:val="both"/>
              <w:rPr>
                <w:sz w:val="20"/>
                <w:szCs w:val="20"/>
              </w:rPr>
            </w:pPr>
          </w:p>
        </w:tc>
        <w:tc>
          <w:tcPr>
            <w:tcW w:w="586" w:type="pct"/>
            <w:shd w:val="clear" w:color="auto" w:fill="auto"/>
            <w:noWrap/>
            <w:vAlign w:val="bottom"/>
          </w:tcPr>
          <w:p w:rsidR="009F468D" w:rsidRPr="00E85510" w:rsidRDefault="009F468D" w:rsidP="003B3504">
            <w:pPr>
              <w:spacing w:after="0" w:line="240" w:lineRule="auto"/>
              <w:jc w:val="both"/>
              <w:rPr>
                <w:sz w:val="20"/>
                <w:szCs w:val="20"/>
              </w:rPr>
            </w:pPr>
          </w:p>
        </w:tc>
        <w:tc>
          <w:tcPr>
            <w:tcW w:w="586" w:type="pct"/>
            <w:shd w:val="clear" w:color="000000" w:fill="CCFFFF"/>
            <w:noWrap/>
            <w:vAlign w:val="bottom"/>
          </w:tcPr>
          <w:p w:rsidR="009F468D" w:rsidRPr="00E85510" w:rsidRDefault="009F468D" w:rsidP="003B3504">
            <w:pPr>
              <w:spacing w:after="0" w:line="240" w:lineRule="auto"/>
              <w:jc w:val="both"/>
              <w:rPr>
                <w:b/>
                <w:bCs/>
                <w:sz w:val="20"/>
                <w:szCs w:val="20"/>
              </w:rPr>
            </w:pPr>
            <w:r w:rsidRPr="00E85510">
              <w:rPr>
                <w:b/>
                <w:bCs/>
                <w:sz w:val="20"/>
                <w:szCs w:val="20"/>
              </w:rPr>
              <w:t>1.92</w:t>
            </w:r>
          </w:p>
        </w:tc>
        <w:tc>
          <w:tcPr>
            <w:tcW w:w="528" w:type="pct"/>
            <w:shd w:val="clear" w:color="000000" w:fill="CCFFFF"/>
            <w:vAlign w:val="center"/>
          </w:tcPr>
          <w:p w:rsidR="009F468D" w:rsidRPr="00E85510" w:rsidRDefault="009F468D" w:rsidP="003B3504">
            <w:pPr>
              <w:spacing w:after="0" w:line="240" w:lineRule="auto"/>
              <w:jc w:val="both"/>
              <w:rPr>
                <w:sz w:val="20"/>
                <w:szCs w:val="20"/>
              </w:rPr>
            </w:pPr>
            <w:r w:rsidRPr="00E85510">
              <w:rPr>
                <w:sz w:val="20"/>
                <w:szCs w:val="20"/>
              </w:rPr>
              <w:t>B/C ratio</w:t>
            </w:r>
          </w:p>
        </w:tc>
      </w:tr>
      <w:tr w:rsidR="009F468D" w:rsidRPr="00E85510" w:rsidTr="003B3504">
        <w:trPr>
          <w:trHeight w:val="255"/>
        </w:trPr>
        <w:tc>
          <w:tcPr>
            <w:tcW w:w="488" w:type="pct"/>
            <w:shd w:val="clear" w:color="auto" w:fill="auto"/>
            <w:noWrap/>
            <w:vAlign w:val="bottom"/>
          </w:tcPr>
          <w:p w:rsidR="009F468D" w:rsidRPr="00E85510" w:rsidRDefault="009F468D" w:rsidP="003B3504">
            <w:pPr>
              <w:spacing w:after="0" w:line="240" w:lineRule="auto"/>
              <w:jc w:val="both"/>
              <w:rPr>
                <w:sz w:val="20"/>
                <w:szCs w:val="20"/>
              </w:rPr>
            </w:pPr>
          </w:p>
        </w:tc>
        <w:tc>
          <w:tcPr>
            <w:tcW w:w="487" w:type="pct"/>
            <w:shd w:val="clear" w:color="auto" w:fill="auto"/>
            <w:noWrap/>
            <w:vAlign w:val="bottom"/>
          </w:tcPr>
          <w:p w:rsidR="009F468D" w:rsidRPr="00E85510" w:rsidRDefault="009F468D" w:rsidP="003B3504">
            <w:pPr>
              <w:spacing w:after="0" w:line="240" w:lineRule="auto"/>
              <w:jc w:val="both"/>
              <w:rPr>
                <w:sz w:val="20"/>
                <w:szCs w:val="20"/>
              </w:rPr>
            </w:pPr>
          </w:p>
        </w:tc>
        <w:tc>
          <w:tcPr>
            <w:tcW w:w="580" w:type="pct"/>
            <w:shd w:val="clear" w:color="auto" w:fill="auto"/>
            <w:noWrap/>
            <w:vAlign w:val="bottom"/>
          </w:tcPr>
          <w:p w:rsidR="009F468D" w:rsidRPr="00E85510" w:rsidRDefault="009F468D" w:rsidP="003B3504">
            <w:pPr>
              <w:spacing w:after="0" w:line="240" w:lineRule="auto"/>
              <w:jc w:val="both"/>
              <w:rPr>
                <w:sz w:val="20"/>
                <w:szCs w:val="20"/>
              </w:rPr>
            </w:pPr>
          </w:p>
        </w:tc>
        <w:tc>
          <w:tcPr>
            <w:tcW w:w="580" w:type="pct"/>
            <w:shd w:val="clear" w:color="auto" w:fill="auto"/>
            <w:noWrap/>
            <w:vAlign w:val="bottom"/>
          </w:tcPr>
          <w:p w:rsidR="009F468D" w:rsidRPr="00E85510" w:rsidRDefault="009F468D" w:rsidP="003B3504">
            <w:pPr>
              <w:spacing w:after="0" w:line="240" w:lineRule="auto"/>
              <w:jc w:val="both"/>
              <w:rPr>
                <w:sz w:val="20"/>
                <w:szCs w:val="20"/>
              </w:rPr>
            </w:pPr>
          </w:p>
        </w:tc>
        <w:tc>
          <w:tcPr>
            <w:tcW w:w="580" w:type="pct"/>
            <w:shd w:val="clear" w:color="auto" w:fill="auto"/>
            <w:noWrap/>
            <w:vAlign w:val="bottom"/>
          </w:tcPr>
          <w:p w:rsidR="009F468D" w:rsidRPr="00E85510" w:rsidRDefault="009F468D" w:rsidP="003B3504">
            <w:pPr>
              <w:spacing w:after="0" w:line="240" w:lineRule="auto"/>
              <w:jc w:val="both"/>
              <w:rPr>
                <w:sz w:val="20"/>
                <w:szCs w:val="20"/>
              </w:rPr>
            </w:pPr>
          </w:p>
        </w:tc>
        <w:tc>
          <w:tcPr>
            <w:tcW w:w="586" w:type="pct"/>
            <w:shd w:val="clear" w:color="auto" w:fill="auto"/>
            <w:noWrap/>
            <w:vAlign w:val="bottom"/>
          </w:tcPr>
          <w:p w:rsidR="009F468D" w:rsidRPr="00E85510" w:rsidRDefault="009F468D" w:rsidP="003B3504">
            <w:pPr>
              <w:spacing w:after="0" w:line="240" w:lineRule="auto"/>
              <w:jc w:val="both"/>
              <w:rPr>
                <w:sz w:val="20"/>
                <w:szCs w:val="20"/>
              </w:rPr>
            </w:pPr>
          </w:p>
        </w:tc>
        <w:tc>
          <w:tcPr>
            <w:tcW w:w="586" w:type="pct"/>
            <w:shd w:val="clear" w:color="auto" w:fill="auto"/>
            <w:noWrap/>
            <w:vAlign w:val="bottom"/>
          </w:tcPr>
          <w:p w:rsidR="009F468D" w:rsidRPr="00E85510" w:rsidRDefault="009F468D" w:rsidP="003B3504">
            <w:pPr>
              <w:spacing w:after="0" w:line="240" w:lineRule="auto"/>
              <w:jc w:val="both"/>
              <w:rPr>
                <w:sz w:val="20"/>
                <w:szCs w:val="20"/>
              </w:rPr>
            </w:pPr>
          </w:p>
        </w:tc>
        <w:tc>
          <w:tcPr>
            <w:tcW w:w="586" w:type="pct"/>
            <w:shd w:val="clear" w:color="000000" w:fill="CCFFFF"/>
            <w:noWrap/>
            <w:vAlign w:val="bottom"/>
          </w:tcPr>
          <w:p w:rsidR="009F468D" w:rsidRPr="00E85510" w:rsidRDefault="009F468D" w:rsidP="003B3504">
            <w:pPr>
              <w:spacing w:after="0" w:line="240" w:lineRule="auto"/>
              <w:jc w:val="both"/>
              <w:rPr>
                <w:b/>
                <w:bCs/>
                <w:sz w:val="20"/>
                <w:szCs w:val="20"/>
              </w:rPr>
            </w:pPr>
            <w:r w:rsidRPr="00E85510">
              <w:rPr>
                <w:b/>
                <w:bCs/>
                <w:sz w:val="20"/>
                <w:szCs w:val="20"/>
              </w:rPr>
              <w:t>10.5%</w:t>
            </w:r>
          </w:p>
        </w:tc>
        <w:tc>
          <w:tcPr>
            <w:tcW w:w="528" w:type="pct"/>
            <w:shd w:val="clear" w:color="000000" w:fill="CCFFFF"/>
            <w:vAlign w:val="center"/>
          </w:tcPr>
          <w:p w:rsidR="009F468D" w:rsidRPr="00E85510" w:rsidRDefault="009F468D" w:rsidP="003B3504">
            <w:pPr>
              <w:spacing w:after="0" w:line="240" w:lineRule="auto"/>
              <w:jc w:val="both"/>
              <w:rPr>
                <w:sz w:val="20"/>
                <w:szCs w:val="20"/>
              </w:rPr>
            </w:pPr>
            <w:r w:rsidRPr="00E85510">
              <w:rPr>
                <w:sz w:val="20"/>
                <w:szCs w:val="20"/>
              </w:rPr>
              <w:t>Estimated internal rate of</w:t>
            </w:r>
          </w:p>
          <w:p w:rsidR="009F468D" w:rsidRPr="00E85510" w:rsidRDefault="009F468D" w:rsidP="003B3504">
            <w:pPr>
              <w:spacing w:after="0" w:line="240" w:lineRule="auto"/>
              <w:jc w:val="both"/>
              <w:rPr>
                <w:sz w:val="20"/>
                <w:szCs w:val="20"/>
              </w:rPr>
            </w:pPr>
            <w:r w:rsidRPr="00E85510">
              <w:rPr>
                <w:sz w:val="20"/>
                <w:szCs w:val="20"/>
              </w:rPr>
              <w:t>return</w:t>
            </w:r>
          </w:p>
        </w:tc>
      </w:tr>
    </w:tbl>
    <w:p w:rsidR="003B3504" w:rsidRDefault="003B3504" w:rsidP="009F468D">
      <w:pPr>
        <w:spacing w:line="300" w:lineRule="auto"/>
        <w:jc w:val="both"/>
        <w:rPr>
          <w:sz w:val="18"/>
          <w:szCs w:val="18"/>
        </w:rPr>
      </w:pPr>
    </w:p>
    <w:p w:rsidR="009F468D" w:rsidRPr="00C803AD" w:rsidRDefault="003B3504" w:rsidP="009F468D">
      <w:pPr>
        <w:spacing w:line="300" w:lineRule="auto"/>
        <w:jc w:val="both"/>
        <w:rPr>
          <w:sz w:val="18"/>
          <w:szCs w:val="18"/>
        </w:rPr>
      </w:pPr>
      <w:r>
        <w:rPr>
          <w:sz w:val="18"/>
          <w:szCs w:val="18"/>
        </w:rPr>
        <w:t>Note</w:t>
      </w:r>
      <w:r w:rsidR="009F468D" w:rsidRPr="00C803AD">
        <w:rPr>
          <w:sz w:val="18"/>
          <w:szCs w:val="18"/>
        </w:rPr>
        <w:t>: Benefits to or cost of environment (e.g., carbon emission or energy efficiency) is not accounted for.</w:t>
      </w:r>
    </w:p>
    <w:p w:rsidR="009F468D" w:rsidRPr="00E85510" w:rsidRDefault="009F468D" w:rsidP="009F468D">
      <w:pPr>
        <w:spacing w:line="300" w:lineRule="auto"/>
        <w:jc w:val="both"/>
        <w:outlineLvl w:val="3"/>
        <w:rPr>
          <w:b/>
          <w:sz w:val="20"/>
          <w:szCs w:val="20"/>
        </w:rPr>
      </w:pPr>
    </w:p>
    <w:p w:rsidR="009F468D" w:rsidRPr="00E85510" w:rsidRDefault="009F468D" w:rsidP="009F468D">
      <w:pPr>
        <w:spacing w:line="300" w:lineRule="auto"/>
        <w:jc w:val="both"/>
        <w:outlineLvl w:val="3"/>
        <w:rPr>
          <w:b/>
        </w:rPr>
      </w:pPr>
      <w:r w:rsidRPr="00E85510">
        <w:rPr>
          <w:b/>
        </w:rPr>
        <w:br w:type="page"/>
      </w:r>
      <w:r w:rsidRPr="00E85510">
        <w:rPr>
          <w:b/>
        </w:rPr>
        <w:lastRenderedPageBreak/>
        <w:t xml:space="preserve">Table </w:t>
      </w:r>
      <w:r>
        <w:rPr>
          <w:b/>
        </w:rPr>
        <w:t>XIII.</w:t>
      </w:r>
      <w:r w:rsidR="003B3504">
        <w:rPr>
          <w:b/>
        </w:rPr>
        <w:t>7</w:t>
      </w:r>
      <w:r w:rsidRPr="00E85510">
        <w:rPr>
          <w:b/>
        </w:rPr>
        <w:t xml:space="preserve">: Financial  analysis : </w:t>
      </w:r>
      <w:r w:rsidRPr="00E85510">
        <w:rPr>
          <w:b/>
          <w:bCs/>
        </w:rPr>
        <w:t>Traditional bric</w:t>
      </w:r>
      <w:r>
        <w:rPr>
          <w:b/>
          <w:bCs/>
        </w:rPr>
        <w:t>k</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940"/>
        <w:gridCol w:w="1106"/>
        <w:gridCol w:w="1129"/>
        <w:gridCol w:w="1129"/>
        <w:gridCol w:w="1135"/>
        <w:gridCol w:w="1135"/>
        <w:gridCol w:w="1135"/>
        <w:gridCol w:w="1032"/>
      </w:tblGrid>
      <w:tr w:rsidR="009F468D" w:rsidRPr="00E85510" w:rsidTr="003B3504">
        <w:trPr>
          <w:trHeight w:val="600"/>
        </w:trPr>
        <w:tc>
          <w:tcPr>
            <w:tcW w:w="481" w:type="pct"/>
            <w:shd w:val="clear" w:color="auto" w:fill="auto"/>
            <w:vAlign w:val="center"/>
          </w:tcPr>
          <w:p w:rsidR="009F468D" w:rsidRPr="00E85510" w:rsidRDefault="009F468D" w:rsidP="003B3504">
            <w:pPr>
              <w:spacing w:after="0" w:line="240" w:lineRule="auto"/>
              <w:jc w:val="both"/>
              <w:rPr>
                <w:sz w:val="20"/>
                <w:szCs w:val="20"/>
              </w:rPr>
            </w:pPr>
            <w:bookmarkStart w:id="10" w:name="RANGE!A1:I15"/>
            <w:r w:rsidRPr="00E85510">
              <w:rPr>
                <w:sz w:val="20"/>
                <w:szCs w:val="20"/>
              </w:rPr>
              <w:t>Discount rate</w:t>
            </w:r>
            <w:bookmarkEnd w:id="10"/>
          </w:p>
        </w:tc>
        <w:tc>
          <w:tcPr>
            <w:tcW w:w="485" w:type="pct"/>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12%</w:t>
            </w:r>
          </w:p>
        </w:tc>
        <w:tc>
          <w:tcPr>
            <w:tcW w:w="4034" w:type="pct"/>
            <w:gridSpan w:val="7"/>
            <w:shd w:val="clear" w:color="auto" w:fill="auto"/>
            <w:noWrap/>
            <w:vAlign w:val="bottom"/>
          </w:tcPr>
          <w:p w:rsidR="009F468D" w:rsidRPr="00E85510" w:rsidRDefault="009F468D" w:rsidP="003B3504">
            <w:pPr>
              <w:spacing w:after="0" w:line="240" w:lineRule="auto"/>
              <w:jc w:val="center"/>
              <w:rPr>
                <w:b/>
                <w:bCs/>
                <w:sz w:val="20"/>
                <w:szCs w:val="20"/>
              </w:rPr>
            </w:pPr>
            <w:r w:rsidRPr="00E85510">
              <w:rPr>
                <w:b/>
                <w:bCs/>
                <w:sz w:val="20"/>
                <w:szCs w:val="20"/>
              </w:rPr>
              <w:t>Traditional bric</w:t>
            </w:r>
            <w:r>
              <w:rPr>
                <w:b/>
                <w:bCs/>
                <w:sz w:val="20"/>
                <w:szCs w:val="20"/>
              </w:rPr>
              <w:t>k</w:t>
            </w:r>
          </w:p>
        </w:tc>
      </w:tr>
      <w:tr w:rsidR="009F468D" w:rsidRPr="00E85510" w:rsidTr="003B3504">
        <w:trPr>
          <w:trHeight w:val="900"/>
        </w:trPr>
        <w:tc>
          <w:tcPr>
            <w:tcW w:w="481" w:type="pct"/>
            <w:shd w:val="clear" w:color="auto" w:fill="auto"/>
            <w:noWrap/>
            <w:vAlign w:val="center"/>
          </w:tcPr>
          <w:p w:rsidR="009F468D" w:rsidRPr="00E85510" w:rsidRDefault="009F468D" w:rsidP="003B3504">
            <w:pPr>
              <w:spacing w:after="0" w:line="240" w:lineRule="auto"/>
              <w:jc w:val="both"/>
              <w:rPr>
                <w:sz w:val="20"/>
                <w:szCs w:val="20"/>
              </w:rPr>
            </w:pPr>
            <w:r w:rsidRPr="00E85510">
              <w:rPr>
                <w:sz w:val="20"/>
                <w:szCs w:val="20"/>
              </w:rPr>
              <w:t>Year</w:t>
            </w:r>
          </w:p>
        </w:tc>
        <w:tc>
          <w:tcPr>
            <w:tcW w:w="485" w:type="pct"/>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Calendar Year</w:t>
            </w:r>
          </w:p>
        </w:tc>
        <w:tc>
          <w:tcPr>
            <w:tcW w:w="579" w:type="pct"/>
            <w:shd w:val="clear" w:color="auto" w:fill="auto"/>
            <w:noWrap/>
            <w:vAlign w:val="center"/>
          </w:tcPr>
          <w:p w:rsidR="009F468D" w:rsidRPr="00E85510" w:rsidRDefault="009F468D" w:rsidP="003B3504">
            <w:pPr>
              <w:spacing w:after="0" w:line="240" w:lineRule="auto"/>
              <w:jc w:val="both"/>
              <w:rPr>
                <w:sz w:val="20"/>
                <w:szCs w:val="20"/>
              </w:rPr>
            </w:pPr>
            <w:r w:rsidRPr="00E85510">
              <w:rPr>
                <w:sz w:val="20"/>
                <w:szCs w:val="20"/>
              </w:rPr>
              <w:t>Costs</w:t>
            </w:r>
          </w:p>
        </w:tc>
        <w:tc>
          <w:tcPr>
            <w:tcW w:w="583" w:type="pct"/>
            <w:shd w:val="clear" w:color="auto" w:fill="auto"/>
            <w:noWrap/>
            <w:vAlign w:val="center"/>
          </w:tcPr>
          <w:p w:rsidR="009F468D" w:rsidRPr="00E85510" w:rsidRDefault="009F468D" w:rsidP="003B3504">
            <w:pPr>
              <w:spacing w:after="0" w:line="240" w:lineRule="auto"/>
              <w:jc w:val="both"/>
              <w:rPr>
                <w:sz w:val="20"/>
                <w:szCs w:val="20"/>
              </w:rPr>
            </w:pPr>
            <w:r w:rsidRPr="00E85510">
              <w:rPr>
                <w:sz w:val="20"/>
                <w:szCs w:val="20"/>
              </w:rPr>
              <w:t>Benefits</w:t>
            </w:r>
          </w:p>
        </w:tc>
        <w:tc>
          <w:tcPr>
            <w:tcW w:w="583" w:type="pct"/>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Net benefits: benefits-costs</w:t>
            </w:r>
          </w:p>
        </w:tc>
        <w:tc>
          <w:tcPr>
            <w:tcW w:w="586" w:type="pct"/>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Discounted costs</w:t>
            </w:r>
          </w:p>
        </w:tc>
        <w:tc>
          <w:tcPr>
            <w:tcW w:w="586" w:type="pct"/>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 xml:space="preserve">Discounted benefits </w:t>
            </w:r>
          </w:p>
        </w:tc>
        <w:tc>
          <w:tcPr>
            <w:tcW w:w="586" w:type="pct"/>
            <w:shd w:val="clear" w:color="auto" w:fill="auto"/>
            <w:vAlign w:val="center"/>
          </w:tcPr>
          <w:p w:rsidR="009F468D" w:rsidRPr="00E85510" w:rsidRDefault="009F468D" w:rsidP="003B3504">
            <w:pPr>
              <w:spacing w:after="0" w:line="240" w:lineRule="auto"/>
              <w:jc w:val="both"/>
              <w:rPr>
                <w:sz w:val="20"/>
                <w:szCs w:val="20"/>
              </w:rPr>
            </w:pPr>
            <w:r w:rsidRPr="00E85510">
              <w:rPr>
                <w:sz w:val="20"/>
                <w:szCs w:val="20"/>
              </w:rPr>
              <w:t>Discounted net benefits</w:t>
            </w:r>
          </w:p>
        </w:tc>
        <w:tc>
          <w:tcPr>
            <w:tcW w:w="533" w:type="pct"/>
            <w:shd w:val="clear" w:color="auto" w:fill="auto"/>
            <w:noWrap/>
            <w:vAlign w:val="center"/>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1"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w:t>
            </w:r>
          </w:p>
        </w:tc>
        <w:tc>
          <w:tcPr>
            <w:tcW w:w="485"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2015</w:t>
            </w:r>
          </w:p>
        </w:tc>
        <w:tc>
          <w:tcPr>
            <w:tcW w:w="579"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45666666</w:t>
            </w:r>
          </w:p>
        </w:tc>
        <w:tc>
          <w:tcPr>
            <w:tcW w:w="583"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0</w:t>
            </w:r>
          </w:p>
        </w:tc>
        <w:tc>
          <w:tcPr>
            <w:tcW w:w="583"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-45666666</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45666666</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0</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-45666666</w:t>
            </w:r>
          </w:p>
        </w:tc>
        <w:tc>
          <w:tcPr>
            <w:tcW w:w="533"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15"/>
        </w:trPr>
        <w:tc>
          <w:tcPr>
            <w:tcW w:w="481"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w:t>
            </w:r>
          </w:p>
        </w:tc>
        <w:tc>
          <w:tcPr>
            <w:tcW w:w="485"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2016</w:t>
            </w:r>
          </w:p>
        </w:tc>
        <w:tc>
          <w:tcPr>
            <w:tcW w:w="579"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750000</w:t>
            </w:r>
          </w:p>
        </w:tc>
        <w:tc>
          <w:tcPr>
            <w:tcW w:w="583"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6500000</w:t>
            </w:r>
          </w:p>
        </w:tc>
        <w:tc>
          <w:tcPr>
            <w:tcW w:w="583"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5750000</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669643</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5803571</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5133929</w:t>
            </w:r>
          </w:p>
        </w:tc>
        <w:tc>
          <w:tcPr>
            <w:tcW w:w="533"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1"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w:t>
            </w:r>
          </w:p>
        </w:tc>
        <w:tc>
          <w:tcPr>
            <w:tcW w:w="485"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2017</w:t>
            </w:r>
          </w:p>
        </w:tc>
        <w:tc>
          <w:tcPr>
            <w:tcW w:w="579"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750000</w:t>
            </w:r>
          </w:p>
        </w:tc>
        <w:tc>
          <w:tcPr>
            <w:tcW w:w="583"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6825000</w:t>
            </w:r>
          </w:p>
        </w:tc>
        <w:tc>
          <w:tcPr>
            <w:tcW w:w="583"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6075000</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597895</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5440848</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4842953</w:t>
            </w:r>
          </w:p>
        </w:tc>
        <w:tc>
          <w:tcPr>
            <w:tcW w:w="533"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1"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w:t>
            </w:r>
          </w:p>
        </w:tc>
        <w:tc>
          <w:tcPr>
            <w:tcW w:w="485"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2018</w:t>
            </w:r>
          </w:p>
        </w:tc>
        <w:tc>
          <w:tcPr>
            <w:tcW w:w="579"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750000</w:t>
            </w:r>
          </w:p>
        </w:tc>
        <w:tc>
          <w:tcPr>
            <w:tcW w:w="583"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7166250</w:t>
            </w:r>
          </w:p>
        </w:tc>
        <w:tc>
          <w:tcPr>
            <w:tcW w:w="583"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6416250</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533835</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5100795</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4566960</w:t>
            </w:r>
          </w:p>
        </w:tc>
        <w:tc>
          <w:tcPr>
            <w:tcW w:w="533"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1"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5</w:t>
            </w:r>
          </w:p>
        </w:tc>
        <w:tc>
          <w:tcPr>
            <w:tcW w:w="485"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2019</w:t>
            </w:r>
          </w:p>
        </w:tc>
        <w:tc>
          <w:tcPr>
            <w:tcW w:w="579"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750000</w:t>
            </w:r>
          </w:p>
        </w:tc>
        <w:tc>
          <w:tcPr>
            <w:tcW w:w="583"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7524563</w:t>
            </w:r>
          </w:p>
        </w:tc>
        <w:tc>
          <w:tcPr>
            <w:tcW w:w="583"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6774563</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476639</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4781996</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4305357</w:t>
            </w:r>
          </w:p>
        </w:tc>
        <w:tc>
          <w:tcPr>
            <w:tcW w:w="533"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1"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6</w:t>
            </w:r>
          </w:p>
        </w:tc>
        <w:tc>
          <w:tcPr>
            <w:tcW w:w="485"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2020</w:t>
            </w:r>
          </w:p>
        </w:tc>
        <w:tc>
          <w:tcPr>
            <w:tcW w:w="579"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750000</w:t>
            </w:r>
          </w:p>
        </w:tc>
        <w:tc>
          <w:tcPr>
            <w:tcW w:w="583"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7900791</w:t>
            </w:r>
          </w:p>
        </w:tc>
        <w:tc>
          <w:tcPr>
            <w:tcW w:w="583"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7150791</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425570</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4483121</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4057551</w:t>
            </w:r>
          </w:p>
        </w:tc>
        <w:tc>
          <w:tcPr>
            <w:tcW w:w="533"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1"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w:t>
            </w:r>
          </w:p>
        </w:tc>
        <w:tc>
          <w:tcPr>
            <w:tcW w:w="485"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2021</w:t>
            </w:r>
          </w:p>
        </w:tc>
        <w:tc>
          <w:tcPr>
            <w:tcW w:w="579"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750000</w:t>
            </w:r>
          </w:p>
        </w:tc>
        <w:tc>
          <w:tcPr>
            <w:tcW w:w="583"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8295830</w:t>
            </w:r>
          </w:p>
        </w:tc>
        <w:tc>
          <w:tcPr>
            <w:tcW w:w="583"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7545830</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379973</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4202926</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3822952</w:t>
            </w:r>
          </w:p>
        </w:tc>
        <w:tc>
          <w:tcPr>
            <w:tcW w:w="533"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1"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w:t>
            </w:r>
          </w:p>
        </w:tc>
        <w:tc>
          <w:tcPr>
            <w:tcW w:w="485"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2022</w:t>
            </w:r>
          </w:p>
        </w:tc>
        <w:tc>
          <w:tcPr>
            <w:tcW w:w="579"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750000</w:t>
            </w:r>
          </w:p>
        </w:tc>
        <w:tc>
          <w:tcPr>
            <w:tcW w:w="583"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8710622</w:t>
            </w:r>
          </w:p>
        </w:tc>
        <w:tc>
          <w:tcPr>
            <w:tcW w:w="583"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7960622</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339262</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3940243</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3600981</w:t>
            </w:r>
          </w:p>
        </w:tc>
        <w:tc>
          <w:tcPr>
            <w:tcW w:w="533"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1"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9</w:t>
            </w:r>
          </w:p>
        </w:tc>
        <w:tc>
          <w:tcPr>
            <w:tcW w:w="485"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2023</w:t>
            </w:r>
          </w:p>
        </w:tc>
        <w:tc>
          <w:tcPr>
            <w:tcW w:w="579"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750000</w:t>
            </w:r>
          </w:p>
        </w:tc>
        <w:tc>
          <w:tcPr>
            <w:tcW w:w="583"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9146153</w:t>
            </w:r>
          </w:p>
        </w:tc>
        <w:tc>
          <w:tcPr>
            <w:tcW w:w="583"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8396153</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302912</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3693978</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3391065</w:t>
            </w:r>
          </w:p>
        </w:tc>
        <w:tc>
          <w:tcPr>
            <w:tcW w:w="533"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1"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10</w:t>
            </w:r>
          </w:p>
        </w:tc>
        <w:tc>
          <w:tcPr>
            <w:tcW w:w="485"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2024</w:t>
            </w:r>
          </w:p>
        </w:tc>
        <w:tc>
          <w:tcPr>
            <w:tcW w:w="579"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750000</w:t>
            </w:r>
          </w:p>
        </w:tc>
        <w:tc>
          <w:tcPr>
            <w:tcW w:w="583"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100646153</w:t>
            </w:r>
          </w:p>
        </w:tc>
        <w:tc>
          <w:tcPr>
            <w:tcW w:w="583"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141500000</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270458</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36294012</w:t>
            </w:r>
          </w:p>
        </w:tc>
        <w:tc>
          <w:tcPr>
            <w:tcW w:w="586"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36023554</w:t>
            </w:r>
          </w:p>
        </w:tc>
        <w:tc>
          <w:tcPr>
            <w:tcW w:w="533" w:type="pct"/>
            <w:shd w:val="clear" w:color="auto" w:fill="auto"/>
            <w:noWrap/>
            <w:vAlign w:val="bottom"/>
          </w:tcPr>
          <w:p w:rsidR="009F468D" w:rsidRPr="00E85510" w:rsidRDefault="009F468D" w:rsidP="003B3504">
            <w:pPr>
              <w:spacing w:after="0" w:line="240" w:lineRule="auto"/>
              <w:jc w:val="both"/>
              <w:rPr>
                <w:sz w:val="20"/>
                <w:szCs w:val="20"/>
              </w:rPr>
            </w:pPr>
          </w:p>
        </w:tc>
      </w:tr>
      <w:tr w:rsidR="009F468D" w:rsidRPr="00E85510" w:rsidTr="003B3504">
        <w:trPr>
          <w:trHeight w:val="300"/>
        </w:trPr>
        <w:tc>
          <w:tcPr>
            <w:tcW w:w="481" w:type="pct"/>
            <w:shd w:val="clear" w:color="auto" w:fill="auto"/>
            <w:noWrap/>
            <w:vAlign w:val="bottom"/>
          </w:tcPr>
          <w:p w:rsidR="009F468D" w:rsidRPr="00E85510" w:rsidRDefault="009F468D" w:rsidP="003B3504">
            <w:pPr>
              <w:spacing w:after="0" w:line="240" w:lineRule="auto"/>
              <w:jc w:val="both"/>
              <w:rPr>
                <w:sz w:val="20"/>
                <w:szCs w:val="20"/>
              </w:rPr>
            </w:pPr>
            <w:r w:rsidRPr="00E85510">
              <w:rPr>
                <w:sz w:val="20"/>
                <w:szCs w:val="20"/>
              </w:rPr>
              <w:t> </w:t>
            </w:r>
          </w:p>
        </w:tc>
        <w:tc>
          <w:tcPr>
            <w:tcW w:w="485" w:type="pct"/>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Sum</w:t>
            </w:r>
          </w:p>
        </w:tc>
        <w:tc>
          <w:tcPr>
            <w:tcW w:w="579" w:type="pct"/>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52416666</w:t>
            </w:r>
          </w:p>
        </w:tc>
        <w:tc>
          <w:tcPr>
            <w:tcW w:w="583" w:type="pct"/>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162715361</w:t>
            </w:r>
          </w:p>
        </w:tc>
        <w:tc>
          <w:tcPr>
            <w:tcW w:w="583" w:type="pct"/>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151902542</w:t>
            </w:r>
          </w:p>
        </w:tc>
        <w:tc>
          <w:tcPr>
            <w:tcW w:w="586" w:type="pct"/>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49662853</w:t>
            </w:r>
          </w:p>
        </w:tc>
        <w:tc>
          <w:tcPr>
            <w:tcW w:w="586" w:type="pct"/>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73741489</w:t>
            </w:r>
          </w:p>
        </w:tc>
        <w:tc>
          <w:tcPr>
            <w:tcW w:w="586" w:type="pct"/>
            <w:shd w:val="clear" w:color="auto" w:fill="auto"/>
            <w:noWrap/>
            <w:vAlign w:val="bottom"/>
          </w:tcPr>
          <w:p w:rsidR="009F468D" w:rsidRPr="00E85510" w:rsidRDefault="009F468D" w:rsidP="003B3504">
            <w:pPr>
              <w:spacing w:after="0" w:line="240" w:lineRule="auto"/>
              <w:jc w:val="both"/>
              <w:rPr>
                <w:b/>
                <w:bCs/>
                <w:sz w:val="20"/>
                <w:szCs w:val="20"/>
              </w:rPr>
            </w:pPr>
            <w:r w:rsidRPr="00E85510">
              <w:rPr>
                <w:b/>
                <w:bCs/>
                <w:sz w:val="20"/>
                <w:szCs w:val="20"/>
              </w:rPr>
              <w:t>24078636</w:t>
            </w:r>
          </w:p>
        </w:tc>
        <w:tc>
          <w:tcPr>
            <w:tcW w:w="533" w:type="pct"/>
            <w:shd w:val="clear" w:color="000000" w:fill="CCFFFF"/>
            <w:vAlign w:val="center"/>
          </w:tcPr>
          <w:p w:rsidR="009F468D" w:rsidRPr="00E85510" w:rsidRDefault="009F468D" w:rsidP="003B3504">
            <w:pPr>
              <w:spacing w:after="0" w:line="240" w:lineRule="auto"/>
              <w:jc w:val="both"/>
              <w:rPr>
                <w:sz w:val="20"/>
                <w:szCs w:val="20"/>
              </w:rPr>
            </w:pPr>
            <w:r w:rsidRPr="00E85510">
              <w:rPr>
                <w:sz w:val="20"/>
                <w:szCs w:val="20"/>
              </w:rPr>
              <w:t>NPV</w:t>
            </w:r>
          </w:p>
        </w:tc>
      </w:tr>
      <w:tr w:rsidR="009F468D" w:rsidRPr="00E85510" w:rsidTr="003B3504">
        <w:trPr>
          <w:trHeight w:val="300"/>
        </w:trPr>
        <w:tc>
          <w:tcPr>
            <w:tcW w:w="481" w:type="pct"/>
            <w:shd w:val="clear" w:color="auto" w:fill="auto"/>
            <w:noWrap/>
            <w:vAlign w:val="bottom"/>
          </w:tcPr>
          <w:p w:rsidR="009F468D" w:rsidRPr="00E85510" w:rsidRDefault="009F468D" w:rsidP="003B3504">
            <w:pPr>
              <w:spacing w:after="0" w:line="240" w:lineRule="auto"/>
              <w:jc w:val="both"/>
              <w:rPr>
                <w:sz w:val="20"/>
                <w:szCs w:val="20"/>
              </w:rPr>
            </w:pPr>
          </w:p>
        </w:tc>
        <w:tc>
          <w:tcPr>
            <w:tcW w:w="485" w:type="pct"/>
            <w:shd w:val="clear" w:color="auto" w:fill="auto"/>
            <w:noWrap/>
            <w:vAlign w:val="bottom"/>
          </w:tcPr>
          <w:p w:rsidR="009F468D" w:rsidRPr="00E85510" w:rsidRDefault="009F468D" w:rsidP="003B3504">
            <w:pPr>
              <w:spacing w:after="0" w:line="240" w:lineRule="auto"/>
              <w:jc w:val="both"/>
              <w:rPr>
                <w:sz w:val="20"/>
                <w:szCs w:val="20"/>
              </w:rPr>
            </w:pPr>
          </w:p>
        </w:tc>
        <w:tc>
          <w:tcPr>
            <w:tcW w:w="579" w:type="pct"/>
            <w:shd w:val="clear" w:color="auto" w:fill="auto"/>
            <w:noWrap/>
            <w:vAlign w:val="bottom"/>
          </w:tcPr>
          <w:p w:rsidR="009F468D" w:rsidRPr="00E85510" w:rsidRDefault="009F468D" w:rsidP="003B3504">
            <w:pPr>
              <w:spacing w:after="0" w:line="240" w:lineRule="auto"/>
              <w:jc w:val="both"/>
              <w:rPr>
                <w:sz w:val="20"/>
                <w:szCs w:val="20"/>
              </w:rPr>
            </w:pPr>
          </w:p>
        </w:tc>
        <w:tc>
          <w:tcPr>
            <w:tcW w:w="583" w:type="pct"/>
            <w:shd w:val="clear" w:color="auto" w:fill="auto"/>
            <w:noWrap/>
            <w:vAlign w:val="bottom"/>
          </w:tcPr>
          <w:p w:rsidR="009F468D" w:rsidRPr="00E85510" w:rsidRDefault="009F468D" w:rsidP="003B3504">
            <w:pPr>
              <w:spacing w:after="0" w:line="240" w:lineRule="auto"/>
              <w:jc w:val="both"/>
              <w:rPr>
                <w:sz w:val="20"/>
                <w:szCs w:val="20"/>
              </w:rPr>
            </w:pPr>
          </w:p>
        </w:tc>
        <w:tc>
          <w:tcPr>
            <w:tcW w:w="583" w:type="pct"/>
            <w:shd w:val="clear" w:color="auto" w:fill="auto"/>
            <w:noWrap/>
            <w:vAlign w:val="bottom"/>
          </w:tcPr>
          <w:p w:rsidR="009F468D" w:rsidRPr="00E85510" w:rsidRDefault="009F468D" w:rsidP="003B3504">
            <w:pPr>
              <w:spacing w:after="0" w:line="240" w:lineRule="auto"/>
              <w:jc w:val="both"/>
              <w:rPr>
                <w:sz w:val="20"/>
                <w:szCs w:val="20"/>
              </w:rPr>
            </w:pPr>
          </w:p>
        </w:tc>
        <w:tc>
          <w:tcPr>
            <w:tcW w:w="586" w:type="pct"/>
            <w:shd w:val="clear" w:color="auto" w:fill="auto"/>
            <w:noWrap/>
            <w:vAlign w:val="bottom"/>
          </w:tcPr>
          <w:p w:rsidR="009F468D" w:rsidRPr="00E85510" w:rsidRDefault="009F468D" w:rsidP="003B3504">
            <w:pPr>
              <w:spacing w:after="0" w:line="240" w:lineRule="auto"/>
              <w:jc w:val="both"/>
              <w:rPr>
                <w:sz w:val="20"/>
                <w:szCs w:val="20"/>
              </w:rPr>
            </w:pPr>
          </w:p>
        </w:tc>
        <w:tc>
          <w:tcPr>
            <w:tcW w:w="586" w:type="pct"/>
            <w:shd w:val="clear" w:color="auto" w:fill="auto"/>
            <w:noWrap/>
            <w:vAlign w:val="bottom"/>
          </w:tcPr>
          <w:p w:rsidR="009F468D" w:rsidRPr="00E85510" w:rsidRDefault="009F468D" w:rsidP="003B3504">
            <w:pPr>
              <w:spacing w:after="0" w:line="240" w:lineRule="auto"/>
              <w:jc w:val="both"/>
              <w:rPr>
                <w:sz w:val="20"/>
                <w:szCs w:val="20"/>
              </w:rPr>
            </w:pPr>
          </w:p>
        </w:tc>
        <w:tc>
          <w:tcPr>
            <w:tcW w:w="586" w:type="pct"/>
            <w:shd w:val="clear" w:color="000000" w:fill="CCFFFF"/>
            <w:noWrap/>
            <w:vAlign w:val="bottom"/>
          </w:tcPr>
          <w:p w:rsidR="009F468D" w:rsidRPr="00E85510" w:rsidRDefault="009F468D" w:rsidP="003B3504">
            <w:pPr>
              <w:spacing w:after="0" w:line="240" w:lineRule="auto"/>
              <w:jc w:val="both"/>
              <w:rPr>
                <w:b/>
                <w:bCs/>
                <w:sz w:val="20"/>
                <w:szCs w:val="20"/>
              </w:rPr>
            </w:pPr>
            <w:r w:rsidRPr="00E85510">
              <w:rPr>
                <w:b/>
                <w:bCs/>
                <w:sz w:val="20"/>
                <w:szCs w:val="20"/>
              </w:rPr>
              <w:t>1.48</w:t>
            </w:r>
          </w:p>
        </w:tc>
        <w:tc>
          <w:tcPr>
            <w:tcW w:w="533" w:type="pct"/>
            <w:shd w:val="clear" w:color="000000" w:fill="CCFFFF"/>
            <w:vAlign w:val="center"/>
          </w:tcPr>
          <w:p w:rsidR="009F468D" w:rsidRPr="00E85510" w:rsidRDefault="009F468D" w:rsidP="003B3504">
            <w:pPr>
              <w:spacing w:after="0" w:line="240" w:lineRule="auto"/>
              <w:jc w:val="both"/>
              <w:rPr>
                <w:sz w:val="20"/>
                <w:szCs w:val="20"/>
              </w:rPr>
            </w:pPr>
            <w:r w:rsidRPr="00E85510">
              <w:rPr>
                <w:sz w:val="20"/>
                <w:szCs w:val="20"/>
              </w:rPr>
              <w:t>B/C ratio</w:t>
            </w:r>
          </w:p>
        </w:tc>
      </w:tr>
      <w:tr w:rsidR="009F468D" w:rsidRPr="00E85510" w:rsidTr="003B3504">
        <w:trPr>
          <w:trHeight w:val="255"/>
        </w:trPr>
        <w:tc>
          <w:tcPr>
            <w:tcW w:w="481" w:type="pct"/>
            <w:shd w:val="clear" w:color="auto" w:fill="auto"/>
            <w:noWrap/>
            <w:vAlign w:val="bottom"/>
          </w:tcPr>
          <w:p w:rsidR="009F468D" w:rsidRPr="00E85510" w:rsidRDefault="009F468D" w:rsidP="003B3504">
            <w:pPr>
              <w:spacing w:after="0" w:line="240" w:lineRule="auto"/>
              <w:jc w:val="both"/>
              <w:rPr>
                <w:sz w:val="20"/>
                <w:szCs w:val="20"/>
              </w:rPr>
            </w:pPr>
          </w:p>
        </w:tc>
        <w:tc>
          <w:tcPr>
            <w:tcW w:w="485" w:type="pct"/>
            <w:shd w:val="clear" w:color="auto" w:fill="auto"/>
            <w:noWrap/>
            <w:vAlign w:val="bottom"/>
          </w:tcPr>
          <w:p w:rsidR="009F468D" w:rsidRPr="00E85510" w:rsidRDefault="009F468D" w:rsidP="003B3504">
            <w:pPr>
              <w:spacing w:after="0" w:line="240" w:lineRule="auto"/>
              <w:jc w:val="both"/>
              <w:rPr>
                <w:sz w:val="20"/>
                <w:szCs w:val="20"/>
              </w:rPr>
            </w:pPr>
          </w:p>
        </w:tc>
        <w:tc>
          <w:tcPr>
            <w:tcW w:w="579" w:type="pct"/>
            <w:shd w:val="clear" w:color="auto" w:fill="auto"/>
            <w:noWrap/>
            <w:vAlign w:val="bottom"/>
          </w:tcPr>
          <w:p w:rsidR="009F468D" w:rsidRPr="00E85510" w:rsidRDefault="009F468D" w:rsidP="003B3504">
            <w:pPr>
              <w:spacing w:after="0" w:line="240" w:lineRule="auto"/>
              <w:jc w:val="both"/>
              <w:rPr>
                <w:sz w:val="20"/>
                <w:szCs w:val="20"/>
              </w:rPr>
            </w:pPr>
          </w:p>
        </w:tc>
        <w:tc>
          <w:tcPr>
            <w:tcW w:w="583" w:type="pct"/>
            <w:shd w:val="clear" w:color="auto" w:fill="auto"/>
            <w:noWrap/>
            <w:vAlign w:val="bottom"/>
          </w:tcPr>
          <w:p w:rsidR="009F468D" w:rsidRPr="00E85510" w:rsidRDefault="009F468D" w:rsidP="003B3504">
            <w:pPr>
              <w:spacing w:after="0" w:line="240" w:lineRule="auto"/>
              <w:jc w:val="both"/>
              <w:rPr>
                <w:sz w:val="20"/>
                <w:szCs w:val="20"/>
              </w:rPr>
            </w:pPr>
          </w:p>
        </w:tc>
        <w:tc>
          <w:tcPr>
            <w:tcW w:w="583" w:type="pct"/>
            <w:shd w:val="clear" w:color="auto" w:fill="auto"/>
            <w:noWrap/>
            <w:vAlign w:val="bottom"/>
          </w:tcPr>
          <w:p w:rsidR="009F468D" w:rsidRPr="00E85510" w:rsidRDefault="009F468D" w:rsidP="003B3504">
            <w:pPr>
              <w:spacing w:after="0" w:line="240" w:lineRule="auto"/>
              <w:jc w:val="both"/>
              <w:rPr>
                <w:sz w:val="20"/>
                <w:szCs w:val="20"/>
              </w:rPr>
            </w:pPr>
          </w:p>
        </w:tc>
        <w:tc>
          <w:tcPr>
            <w:tcW w:w="586" w:type="pct"/>
            <w:shd w:val="clear" w:color="auto" w:fill="auto"/>
            <w:noWrap/>
            <w:vAlign w:val="bottom"/>
          </w:tcPr>
          <w:p w:rsidR="009F468D" w:rsidRPr="00E85510" w:rsidRDefault="009F468D" w:rsidP="003B3504">
            <w:pPr>
              <w:spacing w:after="0" w:line="240" w:lineRule="auto"/>
              <w:jc w:val="both"/>
              <w:rPr>
                <w:sz w:val="20"/>
                <w:szCs w:val="20"/>
              </w:rPr>
            </w:pPr>
          </w:p>
        </w:tc>
        <w:tc>
          <w:tcPr>
            <w:tcW w:w="586" w:type="pct"/>
            <w:shd w:val="clear" w:color="auto" w:fill="auto"/>
            <w:noWrap/>
            <w:vAlign w:val="bottom"/>
          </w:tcPr>
          <w:p w:rsidR="009F468D" w:rsidRPr="00E85510" w:rsidRDefault="009F468D" w:rsidP="003B3504">
            <w:pPr>
              <w:spacing w:after="0" w:line="240" w:lineRule="auto"/>
              <w:jc w:val="both"/>
              <w:rPr>
                <w:sz w:val="20"/>
                <w:szCs w:val="20"/>
              </w:rPr>
            </w:pPr>
          </w:p>
        </w:tc>
        <w:tc>
          <w:tcPr>
            <w:tcW w:w="586" w:type="pct"/>
            <w:shd w:val="clear" w:color="000000" w:fill="CCFFFF"/>
            <w:noWrap/>
            <w:vAlign w:val="bottom"/>
          </w:tcPr>
          <w:p w:rsidR="009F468D" w:rsidRPr="00E85510" w:rsidRDefault="009F468D" w:rsidP="003B3504">
            <w:pPr>
              <w:spacing w:after="0" w:line="240" w:lineRule="auto"/>
              <w:jc w:val="both"/>
              <w:rPr>
                <w:b/>
                <w:bCs/>
                <w:sz w:val="20"/>
                <w:szCs w:val="20"/>
              </w:rPr>
            </w:pPr>
            <w:r w:rsidRPr="00E85510">
              <w:rPr>
                <w:b/>
                <w:bCs/>
                <w:sz w:val="20"/>
                <w:szCs w:val="20"/>
              </w:rPr>
              <w:t>6.9%</w:t>
            </w:r>
          </w:p>
        </w:tc>
        <w:tc>
          <w:tcPr>
            <w:tcW w:w="533" w:type="pct"/>
            <w:shd w:val="clear" w:color="000000" w:fill="CCFFFF"/>
            <w:vAlign w:val="center"/>
          </w:tcPr>
          <w:p w:rsidR="009F468D" w:rsidRPr="00E85510" w:rsidRDefault="009F468D" w:rsidP="003B3504">
            <w:pPr>
              <w:spacing w:after="0" w:line="240" w:lineRule="auto"/>
              <w:jc w:val="both"/>
              <w:rPr>
                <w:sz w:val="20"/>
                <w:szCs w:val="20"/>
              </w:rPr>
            </w:pPr>
            <w:r w:rsidRPr="00E85510">
              <w:rPr>
                <w:sz w:val="20"/>
                <w:szCs w:val="20"/>
              </w:rPr>
              <w:t>Estimated internal rate of</w:t>
            </w:r>
          </w:p>
          <w:p w:rsidR="009F468D" w:rsidRPr="00E85510" w:rsidRDefault="009F468D" w:rsidP="003B3504">
            <w:pPr>
              <w:spacing w:after="0" w:line="240" w:lineRule="auto"/>
              <w:jc w:val="both"/>
              <w:rPr>
                <w:sz w:val="20"/>
                <w:szCs w:val="20"/>
              </w:rPr>
            </w:pPr>
            <w:r w:rsidRPr="00E85510">
              <w:rPr>
                <w:sz w:val="20"/>
                <w:szCs w:val="20"/>
              </w:rPr>
              <w:t>return</w:t>
            </w:r>
          </w:p>
        </w:tc>
      </w:tr>
    </w:tbl>
    <w:p w:rsidR="009F468D" w:rsidRPr="00E85510" w:rsidRDefault="009F468D" w:rsidP="009F468D">
      <w:pPr>
        <w:spacing w:line="300" w:lineRule="auto"/>
        <w:jc w:val="both"/>
        <w:rPr>
          <w:bCs/>
          <w:sz w:val="20"/>
          <w:szCs w:val="20"/>
        </w:rPr>
      </w:pPr>
    </w:p>
    <w:p w:rsidR="009F468D" w:rsidRPr="00E85510" w:rsidRDefault="009F468D" w:rsidP="009F468D">
      <w:pPr>
        <w:spacing w:line="300" w:lineRule="auto"/>
        <w:jc w:val="both"/>
        <w:rPr>
          <w:bCs/>
          <w:sz w:val="20"/>
          <w:szCs w:val="20"/>
        </w:rPr>
      </w:pPr>
    </w:p>
    <w:p w:rsidR="009F468D" w:rsidRPr="00463011" w:rsidRDefault="009F468D" w:rsidP="009F468D">
      <w:pPr>
        <w:spacing w:line="300" w:lineRule="auto"/>
        <w:jc w:val="both"/>
        <w:rPr>
          <w:b/>
          <w:bCs/>
        </w:rPr>
      </w:pPr>
      <w:r w:rsidRPr="00C803AD">
        <w:rPr>
          <w:b/>
          <w:bCs/>
        </w:rPr>
        <w:t>CDMP-II (2010-2014</w:t>
      </w:r>
      <w:r>
        <w:rPr>
          <w:b/>
          <w:bCs/>
        </w:rPr>
        <w:t>)</w:t>
      </w:r>
    </w:p>
    <w:p w:rsidR="009F468D" w:rsidRDefault="009F468D" w:rsidP="009F468D">
      <w:pPr>
        <w:spacing w:after="0" w:line="240" w:lineRule="auto"/>
        <w:jc w:val="both"/>
        <w:rPr>
          <w:lang w:val="en-GB"/>
        </w:rPr>
      </w:pPr>
      <w:r>
        <w:rPr>
          <w:lang w:val="en-GB"/>
        </w:rPr>
        <w:t>In 2015,</w:t>
      </w:r>
      <w:r w:rsidRPr="00C803AD">
        <w:rPr>
          <w:lang w:val="en-GB"/>
        </w:rPr>
        <w:t xml:space="preserve"> CDMP</w:t>
      </w:r>
      <w:r>
        <w:rPr>
          <w:lang w:val="en-GB"/>
        </w:rPr>
        <w:t xml:space="preserve"> II project proponents carried out an analysis of the Value for M</w:t>
      </w:r>
      <w:r w:rsidRPr="00C803AD">
        <w:rPr>
          <w:lang w:val="en-GB"/>
        </w:rPr>
        <w:t>oney for some of</w:t>
      </w:r>
      <w:r>
        <w:rPr>
          <w:lang w:val="en-GB"/>
        </w:rPr>
        <w:t xml:space="preserve"> the project’s components</w:t>
      </w:r>
      <w:r w:rsidRPr="00C803AD">
        <w:rPr>
          <w:lang w:val="en-GB"/>
        </w:rPr>
        <w:t xml:space="preserve">.  </w:t>
      </w:r>
      <w:r>
        <w:rPr>
          <w:lang w:val="en-GB"/>
        </w:rPr>
        <w:t xml:space="preserve"> In the following, a review of pertinent studies and a comparative analysis of our results are provided.</w:t>
      </w:r>
    </w:p>
    <w:p w:rsidR="009F468D" w:rsidRDefault="009F468D" w:rsidP="009F468D">
      <w:pPr>
        <w:spacing w:after="0" w:line="240" w:lineRule="auto"/>
        <w:jc w:val="both"/>
        <w:rPr>
          <w:lang w:val="en-GB"/>
        </w:rPr>
      </w:pPr>
    </w:p>
    <w:p w:rsidR="009F468D" w:rsidRPr="0070255B" w:rsidRDefault="009F468D" w:rsidP="009F468D">
      <w:pPr>
        <w:spacing w:line="300" w:lineRule="auto"/>
        <w:jc w:val="both"/>
        <w:rPr>
          <w:rStyle w:val="Hyperlink"/>
          <w:b/>
          <w:lang w:val="en-GB"/>
        </w:rPr>
      </w:pPr>
      <w:r w:rsidRPr="00C803AD">
        <w:rPr>
          <w:b/>
          <w:lang w:val="en-GB"/>
        </w:rPr>
        <w:t>Flood Foreca</w:t>
      </w:r>
      <w:r>
        <w:rPr>
          <w:b/>
          <w:lang w:val="en-GB"/>
        </w:rPr>
        <w:t>sting and Warning System (FFWS)</w:t>
      </w:r>
    </w:p>
    <w:p w:rsidR="009F468D" w:rsidRDefault="009F468D" w:rsidP="009F468D">
      <w:pPr>
        <w:pStyle w:val="ListParagraph"/>
        <w:spacing w:after="0" w:line="240" w:lineRule="auto"/>
        <w:ind w:left="0"/>
        <w:jc w:val="both"/>
        <w:rPr>
          <w:lang w:val="en-GB"/>
        </w:rPr>
      </w:pPr>
      <w:r>
        <w:rPr>
          <w:lang w:val="en-GB"/>
        </w:rPr>
        <w:t xml:space="preserve">The vulnerability of Bangladesh’s population to natural disasters, particularly to cyclones and floods  is well-recorded. </w:t>
      </w:r>
      <w:r w:rsidRPr="00C803AD">
        <w:rPr>
          <w:lang w:val="en-GB"/>
        </w:rPr>
        <w:t>According to the World Bank</w:t>
      </w:r>
      <w:r>
        <w:rPr>
          <w:lang w:val="en-GB"/>
        </w:rPr>
        <w:t xml:space="preserve"> estimates</w:t>
      </w:r>
      <w:r w:rsidRPr="00C803AD">
        <w:rPr>
          <w:lang w:val="en-GB"/>
        </w:rPr>
        <w:t>, Cyclone Sidr (2007) cost Bangladesh a</w:t>
      </w:r>
      <w:r>
        <w:rPr>
          <w:lang w:val="en-GB"/>
        </w:rPr>
        <w:t xml:space="preserve"> total of US </w:t>
      </w:r>
      <w:r w:rsidRPr="00C803AD">
        <w:rPr>
          <w:lang w:val="en-GB"/>
        </w:rPr>
        <w:t>$1.7b</w:t>
      </w:r>
      <w:r>
        <w:rPr>
          <w:lang w:val="en-GB"/>
        </w:rPr>
        <w:t>illio</w:t>
      </w:r>
      <w:r w:rsidRPr="00C803AD">
        <w:rPr>
          <w:lang w:val="en-GB"/>
        </w:rPr>
        <w:t>n, affecting 2.3m households</w:t>
      </w:r>
      <w:r>
        <w:rPr>
          <w:lang w:val="en-GB"/>
        </w:rPr>
        <w:t>.</w:t>
      </w:r>
      <w:r>
        <w:rPr>
          <w:rStyle w:val="FootnoteReference"/>
          <w:lang w:val="en-GB"/>
        </w:rPr>
        <w:footnoteReference w:id="80"/>
      </w:r>
      <w:r w:rsidRPr="00C803AD">
        <w:rPr>
          <w:lang w:val="en-GB"/>
        </w:rPr>
        <w:t>Cyclone Aila (2009) affected nearly 1</w:t>
      </w:r>
      <w:r>
        <w:rPr>
          <w:lang w:val="en-GB"/>
        </w:rPr>
        <w:t xml:space="preserve"> million </w:t>
      </w:r>
      <w:r w:rsidRPr="00C803AD">
        <w:rPr>
          <w:lang w:val="en-GB"/>
        </w:rPr>
        <w:t xml:space="preserve">households. Currently, </w:t>
      </w:r>
      <w:r>
        <w:rPr>
          <w:lang w:val="en-GB"/>
        </w:rPr>
        <w:t>there are approximately</w:t>
      </w:r>
      <w:r w:rsidRPr="00C803AD">
        <w:rPr>
          <w:lang w:val="en-GB"/>
        </w:rPr>
        <w:t xml:space="preserve"> 19.5m and 3m flood prone households </w:t>
      </w:r>
      <w:r>
        <w:rPr>
          <w:lang w:val="en-GB"/>
        </w:rPr>
        <w:t xml:space="preserve">resided </w:t>
      </w:r>
      <w:r w:rsidRPr="00C803AD">
        <w:rPr>
          <w:lang w:val="en-GB"/>
        </w:rPr>
        <w:t xml:space="preserve">in four </w:t>
      </w:r>
      <w:r>
        <w:rPr>
          <w:lang w:val="en-GB"/>
        </w:rPr>
        <w:t xml:space="preserve">major </w:t>
      </w:r>
      <w:r w:rsidRPr="00C803AD">
        <w:rPr>
          <w:lang w:val="en-GB"/>
        </w:rPr>
        <w:t xml:space="preserve">river basins </w:t>
      </w:r>
      <w:r>
        <w:rPr>
          <w:lang w:val="en-GB"/>
        </w:rPr>
        <w:t xml:space="preserve">and coastal areas of Bangladesh, respectively. In this regard, the formulation and dissemination of flood forecasting and cyclone warning are </w:t>
      </w:r>
      <w:r w:rsidRPr="00C803AD">
        <w:rPr>
          <w:lang w:val="en-GB"/>
        </w:rPr>
        <w:t xml:space="preserve">extremely important </w:t>
      </w:r>
      <w:r>
        <w:rPr>
          <w:lang w:val="en-GB"/>
        </w:rPr>
        <w:t>as they help in reducing disaster impact through</w:t>
      </w:r>
      <w:r w:rsidR="003B3504">
        <w:rPr>
          <w:lang w:val="en-GB"/>
        </w:rPr>
        <w:t xml:space="preserve"> </w:t>
      </w:r>
      <w:r w:rsidRPr="00C803AD">
        <w:rPr>
          <w:lang w:val="en-GB"/>
        </w:rPr>
        <w:t>protect</w:t>
      </w:r>
      <w:r>
        <w:rPr>
          <w:lang w:val="en-GB"/>
        </w:rPr>
        <w:t xml:space="preserve">ing </w:t>
      </w:r>
      <w:r w:rsidRPr="00C803AD">
        <w:rPr>
          <w:lang w:val="en-GB"/>
        </w:rPr>
        <w:t xml:space="preserve">lives </w:t>
      </w:r>
      <w:r>
        <w:rPr>
          <w:lang w:val="en-GB"/>
        </w:rPr>
        <w:t xml:space="preserve">and properties. </w:t>
      </w:r>
    </w:p>
    <w:p w:rsidR="009F468D" w:rsidRPr="00765D71" w:rsidRDefault="009F468D" w:rsidP="009F468D">
      <w:pPr>
        <w:pStyle w:val="ListParagraph"/>
        <w:spacing w:after="0" w:line="240" w:lineRule="auto"/>
        <w:ind w:left="0"/>
        <w:jc w:val="both"/>
        <w:rPr>
          <w:lang w:val="en-GB"/>
        </w:rPr>
      </w:pPr>
    </w:p>
    <w:p w:rsidR="009F468D" w:rsidRDefault="009F468D" w:rsidP="009F468D">
      <w:pPr>
        <w:widowControl w:val="0"/>
        <w:spacing w:after="0" w:line="240" w:lineRule="auto"/>
        <w:jc w:val="both"/>
        <w:rPr>
          <w:lang w:val="en-GB"/>
        </w:rPr>
      </w:pPr>
      <w:r w:rsidRPr="00C803AD">
        <w:rPr>
          <w:lang w:val="en-GB"/>
        </w:rPr>
        <w:t>Warning has some direct damage-reducing effects</w:t>
      </w:r>
      <w:r>
        <w:rPr>
          <w:lang w:val="en-GB"/>
        </w:rPr>
        <w:t>, as t</w:t>
      </w:r>
      <w:r w:rsidRPr="00C803AD">
        <w:rPr>
          <w:lang w:val="en-GB"/>
        </w:rPr>
        <w:t>hose who believe wa</w:t>
      </w:r>
      <w:r>
        <w:rPr>
          <w:lang w:val="en-GB"/>
        </w:rPr>
        <w:t>rning</w:t>
      </w:r>
      <w:r w:rsidRPr="00C803AD">
        <w:rPr>
          <w:lang w:val="en-GB"/>
        </w:rPr>
        <w:t xml:space="preserve"> message are able to considerably reduce inventory damages.  </w:t>
      </w:r>
      <w:r w:rsidRPr="00C803AD">
        <w:t>A BIDS study</w:t>
      </w:r>
      <w:r>
        <w:t xml:space="preserve"> has revealed</w:t>
      </w:r>
      <w:r w:rsidRPr="00C803AD">
        <w:t xml:space="preserve"> that, depending on the type of flood, an average householder </w:t>
      </w:r>
      <w:r>
        <w:t>succeeds in moving up to 54 per</w:t>
      </w:r>
      <w:r w:rsidRPr="00C803AD">
        <w:t>cent of their inventories to safer places in a normal warning system</w:t>
      </w:r>
      <w:r>
        <w:rPr>
          <w:rStyle w:val="FootnoteReference"/>
        </w:rPr>
        <w:footnoteReference w:id="81"/>
      </w:r>
      <w:r w:rsidRPr="00C803AD">
        <w:rPr>
          <w:spacing w:val="-4"/>
        </w:rPr>
        <w:t xml:space="preserve">. Even some structural damages can also be avoided. </w:t>
      </w:r>
      <w:r>
        <w:rPr>
          <w:spacing w:val="-4"/>
        </w:rPr>
        <w:t>With the increased lead time, t</w:t>
      </w:r>
      <w:r w:rsidRPr="00C803AD">
        <w:rPr>
          <w:spacing w:val="-4"/>
        </w:rPr>
        <w:t xml:space="preserve">he </w:t>
      </w:r>
      <w:r>
        <w:rPr>
          <w:spacing w:val="-4"/>
        </w:rPr>
        <w:t xml:space="preserve">percentage </w:t>
      </w:r>
      <w:r w:rsidRPr="00C803AD">
        <w:rPr>
          <w:spacing w:val="-4"/>
        </w:rPr>
        <w:t>of inv</w:t>
      </w:r>
      <w:r>
        <w:rPr>
          <w:spacing w:val="-4"/>
        </w:rPr>
        <w:t>entories moved to safer places increases, which in turn enables avoidance of damage</w:t>
      </w:r>
      <w:r w:rsidRPr="00C803AD">
        <w:rPr>
          <w:spacing w:val="-4"/>
        </w:rPr>
        <w:t xml:space="preserve"> s</w:t>
      </w:r>
      <w:r>
        <w:rPr>
          <w:spacing w:val="-4"/>
        </w:rPr>
        <w:t>ystematically.</w:t>
      </w:r>
      <w:r w:rsidRPr="00C803AD">
        <w:rPr>
          <w:lang w:val="en-GB"/>
        </w:rPr>
        <w:t>An Asian Development Bank study found that communities can save more than 70 percent of their movable resources/capital goods, if they get five days advance warning for flood events</w:t>
      </w:r>
      <w:r w:rsidRPr="00C803AD">
        <w:rPr>
          <w:rStyle w:val="FootnoteReference"/>
          <w:b/>
          <w:lang w:val="en-GB"/>
        </w:rPr>
        <w:footnoteReference w:id="82"/>
      </w:r>
      <w:r>
        <w:rPr>
          <w:lang w:val="en-GB"/>
        </w:rPr>
        <w:t>.</w:t>
      </w:r>
    </w:p>
    <w:p w:rsidR="009F468D" w:rsidRPr="00CD4BD6" w:rsidRDefault="009F468D" w:rsidP="009F468D">
      <w:pPr>
        <w:widowControl w:val="0"/>
        <w:spacing w:after="0" w:line="240" w:lineRule="auto"/>
        <w:jc w:val="both"/>
        <w:rPr>
          <w:lang w:val="en-GB"/>
        </w:rPr>
      </w:pPr>
    </w:p>
    <w:p w:rsidR="009F468D" w:rsidRDefault="009F468D" w:rsidP="009F468D">
      <w:pPr>
        <w:pStyle w:val="ListParagraph"/>
        <w:spacing w:after="0" w:line="240" w:lineRule="auto"/>
        <w:ind w:left="0"/>
        <w:jc w:val="both"/>
        <w:rPr>
          <w:lang w:val="en-GB"/>
        </w:rPr>
      </w:pPr>
      <w:r w:rsidRPr="00C803AD">
        <w:rPr>
          <w:lang w:val="en-GB"/>
        </w:rPr>
        <w:t xml:space="preserve">CDMP II Report asserts that an effective </w:t>
      </w:r>
      <w:r>
        <w:rPr>
          <w:lang w:val="en-GB"/>
        </w:rPr>
        <w:t>Early Flood Warning System (</w:t>
      </w:r>
      <w:r w:rsidRPr="00C803AD">
        <w:rPr>
          <w:lang w:val="en-GB"/>
        </w:rPr>
        <w:t>EFWS</w:t>
      </w:r>
      <w:r>
        <w:rPr>
          <w:lang w:val="en-GB"/>
        </w:rPr>
        <w:t>)</w:t>
      </w:r>
      <w:r w:rsidRPr="00C803AD">
        <w:rPr>
          <w:lang w:val="en-GB"/>
        </w:rPr>
        <w:t xml:space="preserve"> can give a very high BCR, up to 558, which appears to be unusually high</w:t>
      </w:r>
      <w:r>
        <w:rPr>
          <w:lang w:val="en-GB"/>
        </w:rPr>
        <w:t xml:space="preserve"> --</w:t>
      </w:r>
      <w:r w:rsidRPr="00C803AD">
        <w:rPr>
          <w:lang w:val="en-GB"/>
        </w:rPr>
        <w:t xml:space="preserve"> this </w:t>
      </w:r>
      <w:r>
        <w:rPr>
          <w:lang w:val="en-GB"/>
        </w:rPr>
        <w:t xml:space="preserve">figure </w:t>
      </w:r>
      <w:r w:rsidRPr="00C803AD">
        <w:rPr>
          <w:lang w:val="en-GB"/>
        </w:rPr>
        <w:t xml:space="preserve">indicates that very high returns </w:t>
      </w:r>
      <w:r>
        <w:rPr>
          <w:lang w:val="en-GB"/>
        </w:rPr>
        <w:t xml:space="preserve">can be </w:t>
      </w:r>
      <w:r w:rsidRPr="00C803AD">
        <w:rPr>
          <w:lang w:val="en-GB"/>
        </w:rPr>
        <w:t>expected</w:t>
      </w:r>
      <w:r>
        <w:rPr>
          <w:lang w:val="en-GB"/>
        </w:rPr>
        <w:t xml:space="preserve"> by investing in EFWS</w:t>
      </w:r>
      <w:r w:rsidRPr="00C803AD">
        <w:rPr>
          <w:rStyle w:val="FootnoteReference"/>
          <w:b/>
          <w:lang w:val="en-GB"/>
        </w:rPr>
        <w:footnoteReference w:id="83"/>
      </w:r>
      <w:r w:rsidRPr="00C803AD">
        <w:rPr>
          <w:b/>
          <w:lang w:val="en-GB"/>
        </w:rPr>
        <w:t>.</w:t>
      </w:r>
      <w:r w:rsidRPr="00C803AD">
        <w:rPr>
          <w:lang w:val="en-GB"/>
        </w:rPr>
        <w:t xml:space="preserve"> In other case studies, </w:t>
      </w:r>
      <w:r>
        <w:rPr>
          <w:lang w:val="en-GB"/>
        </w:rPr>
        <w:t xml:space="preserve">the </w:t>
      </w:r>
      <w:r w:rsidRPr="00C803AD">
        <w:rPr>
          <w:lang w:val="en-GB"/>
        </w:rPr>
        <w:t xml:space="preserve">BCR is estimated to be around 260. This signifies that for every </w:t>
      </w:r>
      <w:r>
        <w:rPr>
          <w:lang w:val="en-GB"/>
        </w:rPr>
        <w:t>dollar</w:t>
      </w:r>
      <w:r w:rsidRPr="00C803AD">
        <w:rPr>
          <w:lang w:val="en-GB"/>
        </w:rPr>
        <w:t xml:space="preserve"> invested in flood early warning, </w:t>
      </w:r>
      <w:r>
        <w:rPr>
          <w:lang w:val="en-GB"/>
        </w:rPr>
        <w:t xml:space="preserve">one </w:t>
      </w:r>
      <w:r w:rsidRPr="00C803AD">
        <w:rPr>
          <w:lang w:val="en-GB"/>
        </w:rPr>
        <w:t>could expect an estimated $260 return. Even if some sensitivities are taken into account, the investment in EFWS would give</w:t>
      </w:r>
      <w:r>
        <w:rPr>
          <w:lang w:val="en-GB"/>
        </w:rPr>
        <w:t xml:space="preserve"> a‘</w:t>
      </w:r>
      <w:r w:rsidRPr="00C803AD">
        <w:rPr>
          <w:lang w:val="en-GB"/>
        </w:rPr>
        <w:t>very high</w:t>
      </w:r>
      <w:r>
        <w:rPr>
          <w:lang w:val="en-GB"/>
        </w:rPr>
        <w:t>’</w:t>
      </w:r>
      <w:r w:rsidRPr="00C803AD">
        <w:rPr>
          <w:lang w:val="en-GB"/>
        </w:rPr>
        <w:t xml:space="preserve"> return (BCR up to as high as 197).</w:t>
      </w:r>
    </w:p>
    <w:p w:rsidR="009F468D" w:rsidRDefault="009F468D" w:rsidP="009F468D">
      <w:pPr>
        <w:pStyle w:val="ListParagraph"/>
        <w:spacing w:after="0" w:line="240" w:lineRule="auto"/>
        <w:ind w:left="0"/>
        <w:jc w:val="both"/>
        <w:rPr>
          <w:lang w:val="en-GB"/>
        </w:rPr>
      </w:pPr>
    </w:p>
    <w:p w:rsidR="009F468D" w:rsidRPr="00C803AD" w:rsidRDefault="009F468D" w:rsidP="009F468D">
      <w:pPr>
        <w:pStyle w:val="ListParagraph"/>
        <w:spacing w:line="300" w:lineRule="auto"/>
        <w:ind w:left="0"/>
        <w:jc w:val="both"/>
        <w:rPr>
          <w:b/>
          <w:lang w:val="en-GB"/>
        </w:rPr>
      </w:pPr>
    </w:p>
    <w:p w:rsidR="009F468D" w:rsidRPr="00C803AD" w:rsidRDefault="009F468D" w:rsidP="009F468D">
      <w:pPr>
        <w:pStyle w:val="ListParagraph"/>
        <w:spacing w:line="300" w:lineRule="auto"/>
        <w:ind w:left="0"/>
        <w:jc w:val="both"/>
        <w:rPr>
          <w:b/>
          <w:lang w:val="en-GB"/>
        </w:rPr>
      </w:pPr>
      <w:r w:rsidRPr="00C803AD">
        <w:rPr>
          <w:b/>
          <w:lang w:val="en-GB"/>
        </w:rPr>
        <w:t>Cyclone Preparedness Programme (CPP)</w:t>
      </w:r>
    </w:p>
    <w:p w:rsidR="009F468D" w:rsidRPr="00C803AD" w:rsidRDefault="009F468D" w:rsidP="009F468D">
      <w:pPr>
        <w:pStyle w:val="ListParagraph"/>
        <w:spacing w:line="300" w:lineRule="auto"/>
        <w:ind w:left="0"/>
        <w:jc w:val="both"/>
        <w:rPr>
          <w:lang w:val="en-GB"/>
        </w:rPr>
      </w:pPr>
    </w:p>
    <w:p w:rsidR="009F468D" w:rsidRDefault="009F468D" w:rsidP="009F468D">
      <w:pPr>
        <w:pStyle w:val="ListParagraph"/>
        <w:spacing w:after="0" w:line="240" w:lineRule="auto"/>
        <w:ind w:left="0"/>
        <w:jc w:val="both"/>
        <w:rPr>
          <w:lang w:val="en-GB"/>
        </w:rPr>
      </w:pPr>
      <w:r w:rsidRPr="00C803AD">
        <w:rPr>
          <w:lang w:val="en-GB"/>
        </w:rPr>
        <w:t xml:space="preserve">According to </w:t>
      </w:r>
      <w:r>
        <w:rPr>
          <w:lang w:val="en-GB"/>
        </w:rPr>
        <w:t xml:space="preserve">the </w:t>
      </w:r>
      <w:r w:rsidRPr="00C803AD">
        <w:rPr>
          <w:lang w:val="en-GB"/>
        </w:rPr>
        <w:t xml:space="preserve">CDMP II Report (2015), </w:t>
      </w:r>
      <w:r>
        <w:rPr>
          <w:lang w:val="en-GB"/>
        </w:rPr>
        <w:t xml:space="preserve">the </w:t>
      </w:r>
      <w:r w:rsidRPr="00C803AD">
        <w:rPr>
          <w:lang w:val="en-GB"/>
        </w:rPr>
        <w:t>cost of recruitment of CPP volunteers, equipment, and training has been around $</w:t>
      </w:r>
      <w:r>
        <w:rPr>
          <w:lang w:val="en-GB"/>
        </w:rPr>
        <w:t>1.8m.</w:t>
      </w:r>
      <w:r w:rsidRPr="00C803AD">
        <w:rPr>
          <w:lang w:val="en-GB"/>
        </w:rPr>
        <w:t xml:space="preserve">Assuming </w:t>
      </w:r>
      <w:r>
        <w:rPr>
          <w:lang w:val="en-GB"/>
        </w:rPr>
        <w:t xml:space="preserve">a </w:t>
      </w:r>
      <w:r w:rsidRPr="00C803AD">
        <w:rPr>
          <w:lang w:val="en-GB"/>
        </w:rPr>
        <w:t xml:space="preserve">frequency of 10 years for </w:t>
      </w:r>
      <w:r>
        <w:rPr>
          <w:lang w:val="en-GB"/>
        </w:rPr>
        <w:t>the magnitude of Cyclone Sidr</w:t>
      </w:r>
      <w:r w:rsidRPr="00C803AD">
        <w:rPr>
          <w:lang w:val="en-GB"/>
        </w:rPr>
        <w:t>, annual potential damage is estimated as $170m</w:t>
      </w:r>
      <w:r w:rsidRPr="00C803AD">
        <w:rPr>
          <w:rStyle w:val="FootnoteReference"/>
          <w:b/>
          <w:lang w:val="en-GB"/>
        </w:rPr>
        <w:footnoteReference w:id="84"/>
      </w:r>
      <w:r w:rsidRPr="00C803AD">
        <w:rPr>
          <w:lang w:val="en-GB"/>
        </w:rPr>
        <w:t xml:space="preserve">. According to </w:t>
      </w:r>
      <w:r>
        <w:rPr>
          <w:lang w:val="en-GB"/>
        </w:rPr>
        <w:t xml:space="preserve">the estimate of this Evaluation, it is revealed that a dollar </w:t>
      </w:r>
      <w:r w:rsidRPr="00C803AD">
        <w:rPr>
          <w:lang w:val="en-GB"/>
        </w:rPr>
        <w:t xml:space="preserve">investment </w:t>
      </w:r>
      <w:r>
        <w:rPr>
          <w:lang w:val="en-GB"/>
        </w:rPr>
        <w:t xml:space="preserve">would provide a </w:t>
      </w:r>
      <w:r w:rsidRPr="00C803AD">
        <w:rPr>
          <w:lang w:val="en-GB"/>
        </w:rPr>
        <w:t>dividend of $85 (without discounting)</w:t>
      </w:r>
      <w:r w:rsidRPr="00C803AD">
        <w:rPr>
          <w:rStyle w:val="FootnoteReference"/>
          <w:b/>
          <w:lang w:val="en-GB"/>
        </w:rPr>
        <w:footnoteReference w:id="85"/>
      </w:r>
      <w:r w:rsidRPr="00C803AD">
        <w:rPr>
          <w:lang w:val="en-GB"/>
        </w:rPr>
        <w:t>. When discounted (at 12% rate)</w:t>
      </w:r>
      <w:r>
        <w:rPr>
          <w:lang w:val="en-GB"/>
        </w:rPr>
        <w:t>,the</w:t>
      </w:r>
      <w:r w:rsidRPr="00C803AD">
        <w:rPr>
          <w:lang w:val="en-GB"/>
        </w:rPr>
        <w:t xml:space="preserve"> BCR </w:t>
      </w:r>
      <w:r>
        <w:rPr>
          <w:lang w:val="en-GB"/>
        </w:rPr>
        <w:t xml:space="preserve">stands </w:t>
      </w:r>
      <w:r w:rsidRPr="00C803AD">
        <w:rPr>
          <w:lang w:val="en-GB"/>
        </w:rPr>
        <w:t>as around 39</w:t>
      </w:r>
      <w:r w:rsidRPr="00C803AD">
        <w:rPr>
          <w:rStyle w:val="FootnoteReference"/>
          <w:b/>
          <w:lang w:val="en-GB"/>
        </w:rPr>
        <w:footnoteReference w:id="86"/>
      </w:r>
      <w:r>
        <w:rPr>
          <w:lang w:val="en-GB"/>
        </w:rPr>
        <w:t>. The Net Present V</w:t>
      </w:r>
      <w:r w:rsidRPr="00C803AD">
        <w:rPr>
          <w:lang w:val="en-GB"/>
        </w:rPr>
        <w:t xml:space="preserve">alue of benefits </w:t>
      </w:r>
      <w:r>
        <w:rPr>
          <w:lang w:val="en-GB"/>
        </w:rPr>
        <w:t>(NPV) is estimated</w:t>
      </w:r>
      <w:r w:rsidR="003B3504">
        <w:rPr>
          <w:lang w:val="en-GB"/>
        </w:rPr>
        <w:t xml:space="preserve"> </w:t>
      </w:r>
      <w:r>
        <w:rPr>
          <w:lang w:val="en-GB"/>
        </w:rPr>
        <w:t xml:space="preserve">as over $521m. </w:t>
      </w:r>
    </w:p>
    <w:p w:rsidR="009F468D" w:rsidRPr="005E109F" w:rsidRDefault="009F468D" w:rsidP="009F468D">
      <w:pPr>
        <w:pStyle w:val="ListParagraph"/>
        <w:spacing w:after="0" w:line="240" w:lineRule="auto"/>
        <w:ind w:left="0"/>
        <w:jc w:val="both"/>
        <w:rPr>
          <w:lang w:val="en-GB"/>
        </w:rPr>
      </w:pPr>
    </w:p>
    <w:p w:rsidR="003B3504" w:rsidRDefault="009F468D" w:rsidP="003B3504">
      <w:pPr>
        <w:pStyle w:val="ListParagraph"/>
        <w:spacing w:after="0" w:line="240" w:lineRule="auto"/>
        <w:ind w:left="0"/>
        <w:jc w:val="both"/>
        <w:rPr>
          <w:lang w:val="en-GB"/>
        </w:rPr>
      </w:pPr>
      <w:r w:rsidRPr="00C803AD">
        <w:rPr>
          <w:lang w:val="en-GB"/>
        </w:rPr>
        <w:t xml:space="preserve">Similar studies have </w:t>
      </w:r>
      <w:r>
        <w:rPr>
          <w:lang w:val="en-GB"/>
        </w:rPr>
        <w:t xml:space="preserve">consistently </w:t>
      </w:r>
      <w:r w:rsidRPr="00C803AD">
        <w:rPr>
          <w:lang w:val="en-GB"/>
        </w:rPr>
        <w:t>supported the above case studies</w:t>
      </w:r>
      <w:r>
        <w:rPr>
          <w:lang w:val="en-GB"/>
        </w:rPr>
        <w:t>,</w:t>
      </w:r>
      <w:r w:rsidRPr="00C803AD">
        <w:rPr>
          <w:lang w:val="en-GB"/>
        </w:rPr>
        <w:t xml:space="preserve"> and concluded that </w:t>
      </w:r>
      <w:r>
        <w:rPr>
          <w:lang w:val="en-GB"/>
        </w:rPr>
        <w:t>investing in DRR is highly cost-</w:t>
      </w:r>
      <w:r w:rsidRPr="00C803AD">
        <w:rPr>
          <w:lang w:val="en-GB"/>
        </w:rPr>
        <w:t>effective, and that value added from non-s</w:t>
      </w:r>
      <w:r>
        <w:rPr>
          <w:lang w:val="en-GB"/>
        </w:rPr>
        <w:t>tructural DRR (e.g.</w:t>
      </w:r>
      <w:r w:rsidRPr="00C803AD">
        <w:rPr>
          <w:lang w:val="en-GB"/>
        </w:rPr>
        <w:t xml:space="preserve"> early warning system) </w:t>
      </w:r>
      <w:r>
        <w:rPr>
          <w:lang w:val="en-GB"/>
        </w:rPr>
        <w:t xml:space="preserve">interventions to </w:t>
      </w:r>
      <w:r w:rsidRPr="00C803AD">
        <w:rPr>
          <w:lang w:val="en-GB"/>
        </w:rPr>
        <w:t xml:space="preserve">risk management is even higher. A recent argument put forward by </w:t>
      </w:r>
      <w:r>
        <w:rPr>
          <w:lang w:val="en-GB"/>
        </w:rPr>
        <w:t xml:space="preserve">the </w:t>
      </w:r>
      <w:r w:rsidRPr="00C803AD">
        <w:rPr>
          <w:lang w:val="en-GB"/>
        </w:rPr>
        <w:t>Overseas Development Institute and the World Bank is that investing in DRR brings ‘triple dividends’.</w:t>
      </w:r>
      <w:r>
        <w:rPr>
          <w:rStyle w:val="FootnoteReference"/>
          <w:lang w:val="en-GB"/>
        </w:rPr>
        <w:footnoteReference w:id="87"/>
      </w:r>
      <w:r w:rsidRPr="00C803AD">
        <w:rPr>
          <w:lang w:val="en-GB"/>
        </w:rPr>
        <w:t xml:space="preserve">  The </w:t>
      </w:r>
      <w:r w:rsidRPr="00C803AD">
        <w:rPr>
          <w:lang w:val="en-GB"/>
        </w:rPr>
        <w:lastRenderedPageBreak/>
        <w:t>dividend</w:t>
      </w:r>
      <w:r>
        <w:rPr>
          <w:lang w:val="en-GB"/>
        </w:rPr>
        <w:t>s</w:t>
      </w:r>
      <w:r w:rsidRPr="00C803AD">
        <w:rPr>
          <w:lang w:val="en-GB"/>
        </w:rPr>
        <w:t xml:space="preserve"> also </w:t>
      </w:r>
      <w:r>
        <w:rPr>
          <w:lang w:val="en-GB"/>
        </w:rPr>
        <w:t>stem</w:t>
      </w:r>
      <w:r w:rsidRPr="00C803AD">
        <w:rPr>
          <w:lang w:val="en-GB"/>
        </w:rPr>
        <w:t xml:space="preserve"> from the investments in building resilience</w:t>
      </w:r>
      <w:r>
        <w:rPr>
          <w:lang w:val="en-GB"/>
        </w:rPr>
        <w:t>,</w:t>
      </w:r>
      <w:r w:rsidRPr="00C803AD">
        <w:rPr>
          <w:lang w:val="en-GB"/>
        </w:rPr>
        <w:t xml:space="preserve"> which brings social or environmental spin-off benefits. Examples for these </w:t>
      </w:r>
      <w:r>
        <w:rPr>
          <w:lang w:val="en-GB"/>
        </w:rPr>
        <w:t xml:space="preserve">benefits </w:t>
      </w:r>
      <w:r w:rsidRPr="00C803AD">
        <w:rPr>
          <w:lang w:val="en-GB"/>
        </w:rPr>
        <w:t xml:space="preserve">could be shelters being used </w:t>
      </w:r>
      <w:r>
        <w:rPr>
          <w:lang w:val="en-GB"/>
        </w:rPr>
        <w:t xml:space="preserve">for multiple community-based economic, social and educational activities, such </w:t>
      </w:r>
      <w:r w:rsidRPr="00C803AD">
        <w:rPr>
          <w:lang w:val="en-GB"/>
        </w:rPr>
        <w:t xml:space="preserve">as </w:t>
      </w:r>
      <w:r>
        <w:rPr>
          <w:lang w:val="en-GB"/>
        </w:rPr>
        <w:t xml:space="preserve">for the purpose of </w:t>
      </w:r>
      <w:r w:rsidRPr="00C803AD">
        <w:rPr>
          <w:lang w:val="en-GB"/>
        </w:rPr>
        <w:t xml:space="preserve">schools </w:t>
      </w:r>
      <w:r>
        <w:rPr>
          <w:lang w:val="en-GB"/>
        </w:rPr>
        <w:t>for local children or youth or a women’s training centre for human resource development.</w:t>
      </w:r>
    </w:p>
    <w:p w:rsidR="003B3504" w:rsidRDefault="003B3504" w:rsidP="009F468D">
      <w:pPr>
        <w:spacing w:line="300" w:lineRule="auto"/>
        <w:jc w:val="both"/>
        <w:outlineLvl w:val="3"/>
        <w:rPr>
          <w:b/>
        </w:rPr>
      </w:pPr>
    </w:p>
    <w:p w:rsidR="003B3504" w:rsidRDefault="003B3504" w:rsidP="009F468D">
      <w:pPr>
        <w:spacing w:line="300" w:lineRule="auto"/>
        <w:jc w:val="both"/>
        <w:outlineLvl w:val="3"/>
        <w:rPr>
          <w:b/>
        </w:rPr>
      </w:pPr>
    </w:p>
    <w:p w:rsidR="009F468D" w:rsidRPr="00E85510" w:rsidRDefault="009F468D" w:rsidP="009F468D">
      <w:pPr>
        <w:spacing w:line="300" w:lineRule="auto"/>
        <w:jc w:val="both"/>
        <w:outlineLvl w:val="3"/>
        <w:rPr>
          <w:b/>
        </w:rPr>
      </w:pPr>
      <w:r w:rsidRPr="00E85510">
        <w:rPr>
          <w:b/>
        </w:rPr>
        <w:t xml:space="preserve">Table </w:t>
      </w:r>
      <w:r>
        <w:rPr>
          <w:b/>
        </w:rPr>
        <w:t>XIII.</w:t>
      </w:r>
      <w:r w:rsidRPr="00E85510">
        <w:rPr>
          <w:b/>
        </w:rPr>
        <w:t>8: Financial  analysis - Cyclone Preparedness Programme (CPP)</w:t>
      </w:r>
    </w:p>
    <w:tbl>
      <w:tblPr>
        <w:tblW w:w="5179" w:type="pct"/>
        <w:tblLook w:val="0000" w:firstRow="0" w:lastRow="0" w:firstColumn="0" w:lastColumn="0" w:noHBand="0" w:noVBand="0"/>
      </w:tblPr>
      <w:tblGrid>
        <w:gridCol w:w="1018"/>
        <w:gridCol w:w="1014"/>
        <w:gridCol w:w="712"/>
        <w:gridCol w:w="954"/>
        <w:gridCol w:w="994"/>
        <w:gridCol w:w="1220"/>
        <w:gridCol w:w="1220"/>
        <w:gridCol w:w="1220"/>
        <w:gridCol w:w="1567"/>
      </w:tblGrid>
      <w:tr w:rsidR="009F468D" w:rsidRPr="00E85510" w:rsidTr="003B3504">
        <w:trPr>
          <w:trHeight w:val="510"/>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9F468D" w:rsidRPr="00E85510" w:rsidRDefault="009F468D" w:rsidP="003B3504">
            <w:pPr>
              <w:spacing w:after="0" w:line="240" w:lineRule="auto"/>
              <w:rPr>
                <w:sz w:val="20"/>
                <w:szCs w:val="20"/>
              </w:rPr>
            </w:pPr>
            <w:r w:rsidRPr="00E85510">
              <w:rPr>
                <w:sz w:val="20"/>
                <w:szCs w:val="20"/>
              </w:rPr>
              <w:t>Discount rate</w:t>
            </w:r>
          </w:p>
        </w:tc>
        <w:tc>
          <w:tcPr>
            <w:tcW w:w="511" w:type="pct"/>
            <w:tcBorders>
              <w:top w:val="single" w:sz="4" w:space="0" w:color="auto"/>
              <w:left w:val="nil"/>
              <w:bottom w:val="single" w:sz="4" w:space="0" w:color="auto"/>
              <w:right w:val="single" w:sz="4" w:space="0" w:color="auto"/>
            </w:tcBorders>
            <w:shd w:val="clear" w:color="auto" w:fill="auto"/>
            <w:vAlign w:val="center"/>
          </w:tcPr>
          <w:p w:rsidR="009F468D" w:rsidRPr="00E85510" w:rsidRDefault="009F468D" w:rsidP="003B3504">
            <w:pPr>
              <w:spacing w:after="0" w:line="240" w:lineRule="auto"/>
              <w:jc w:val="center"/>
              <w:rPr>
                <w:sz w:val="20"/>
                <w:szCs w:val="20"/>
              </w:rPr>
            </w:pPr>
            <w:r w:rsidRPr="00E85510">
              <w:rPr>
                <w:sz w:val="20"/>
                <w:szCs w:val="20"/>
              </w:rPr>
              <w:t>12%</w:t>
            </w:r>
          </w:p>
        </w:tc>
        <w:tc>
          <w:tcPr>
            <w:tcW w:w="359"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c>
          <w:tcPr>
            <w:tcW w:w="1596" w:type="pct"/>
            <w:gridSpan w:val="3"/>
            <w:tcBorders>
              <w:top w:val="nil"/>
              <w:left w:val="nil"/>
              <w:bottom w:val="single" w:sz="4" w:space="0" w:color="auto"/>
              <w:right w:val="nil"/>
            </w:tcBorders>
            <w:shd w:val="clear" w:color="auto" w:fill="auto"/>
          </w:tcPr>
          <w:p w:rsidR="009F468D" w:rsidRPr="00E85510" w:rsidRDefault="009F468D" w:rsidP="003B3504">
            <w:pPr>
              <w:spacing w:after="0" w:line="240" w:lineRule="auto"/>
              <w:jc w:val="center"/>
              <w:rPr>
                <w:b/>
                <w:bCs/>
                <w:sz w:val="20"/>
                <w:szCs w:val="20"/>
              </w:rPr>
            </w:pPr>
            <w:r w:rsidRPr="00E85510">
              <w:rPr>
                <w:b/>
                <w:bCs/>
                <w:sz w:val="20"/>
                <w:szCs w:val="20"/>
              </w:rPr>
              <w:t>CPP (m $)</w:t>
            </w:r>
          </w:p>
        </w:tc>
        <w:tc>
          <w:tcPr>
            <w:tcW w:w="615"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b/>
                <w:bCs/>
                <w:sz w:val="20"/>
                <w:szCs w:val="20"/>
              </w:rPr>
            </w:pPr>
          </w:p>
        </w:tc>
        <w:tc>
          <w:tcPr>
            <w:tcW w:w="615"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c>
          <w:tcPr>
            <w:tcW w:w="791"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b/>
                <w:bCs/>
                <w:sz w:val="20"/>
                <w:szCs w:val="20"/>
              </w:rPr>
            </w:pPr>
          </w:p>
        </w:tc>
      </w:tr>
      <w:tr w:rsidR="009F468D" w:rsidRPr="00E85510" w:rsidTr="003B3504">
        <w:trPr>
          <w:trHeight w:val="510"/>
        </w:trPr>
        <w:tc>
          <w:tcPr>
            <w:tcW w:w="513" w:type="pct"/>
            <w:tcBorders>
              <w:top w:val="nil"/>
              <w:left w:val="single" w:sz="4" w:space="0" w:color="auto"/>
              <w:bottom w:val="single" w:sz="4" w:space="0" w:color="auto"/>
              <w:right w:val="single" w:sz="4" w:space="0" w:color="auto"/>
            </w:tcBorders>
            <w:shd w:val="clear" w:color="auto" w:fill="auto"/>
            <w:noWrap/>
            <w:vAlign w:val="center"/>
          </w:tcPr>
          <w:p w:rsidR="009F468D" w:rsidRPr="00E85510" w:rsidRDefault="009F468D" w:rsidP="003B3504">
            <w:pPr>
              <w:spacing w:after="0" w:line="240" w:lineRule="auto"/>
              <w:jc w:val="center"/>
              <w:rPr>
                <w:sz w:val="20"/>
                <w:szCs w:val="20"/>
              </w:rPr>
            </w:pPr>
            <w:r w:rsidRPr="00E85510">
              <w:rPr>
                <w:sz w:val="20"/>
                <w:szCs w:val="20"/>
              </w:rPr>
              <w:t>Year</w:t>
            </w:r>
          </w:p>
        </w:tc>
        <w:tc>
          <w:tcPr>
            <w:tcW w:w="511" w:type="pct"/>
            <w:tcBorders>
              <w:top w:val="nil"/>
              <w:left w:val="nil"/>
              <w:bottom w:val="single" w:sz="4" w:space="0" w:color="auto"/>
              <w:right w:val="single" w:sz="4" w:space="0" w:color="auto"/>
            </w:tcBorders>
            <w:shd w:val="clear" w:color="auto" w:fill="auto"/>
            <w:vAlign w:val="center"/>
          </w:tcPr>
          <w:p w:rsidR="009F468D" w:rsidRPr="00E85510" w:rsidRDefault="009F468D" w:rsidP="003B3504">
            <w:pPr>
              <w:spacing w:after="0" w:line="240" w:lineRule="auto"/>
              <w:jc w:val="center"/>
              <w:rPr>
                <w:sz w:val="20"/>
                <w:szCs w:val="20"/>
              </w:rPr>
            </w:pPr>
            <w:r w:rsidRPr="00E85510">
              <w:rPr>
                <w:sz w:val="20"/>
                <w:szCs w:val="20"/>
              </w:rPr>
              <w:t>Calendar Year</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9F468D" w:rsidRPr="00E85510" w:rsidRDefault="009F468D" w:rsidP="003B3504">
            <w:pPr>
              <w:spacing w:after="0" w:line="240" w:lineRule="auto"/>
              <w:jc w:val="center"/>
              <w:rPr>
                <w:sz w:val="20"/>
                <w:szCs w:val="20"/>
              </w:rPr>
            </w:pPr>
            <w:r w:rsidRPr="00E85510">
              <w:rPr>
                <w:sz w:val="20"/>
                <w:szCs w:val="20"/>
              </w:rPr>
              <w:t>Costs</w:t>
            </w:r>
          </w:p>
        </w:tc>
        <w:tc>
          <w:tcPr>
            <w:tcW w:w="481" w:type="pct"/>
            <w:tcBorders>
              <w:top w:val="nil"/>
              <w:left w:val="nil"/>
              <w:bottom w:val="single" w:sz="4" w:space="0" w:color="auto"/>
              <w:right w:val="single" w:sz="4" w:space="0" w:color="auto"/>
            </w:tcBorders>
            <w:shd w:val="clear" w:color="auto" w:fill="auto"/>
            <w:noWrap/>
            <w:vAlign w:val="center"/>
          </w:tcPr>
          <w:p w:rsidR="009F468D" w:rsidRPr="00E85510" w:rsidRDefault="009F468D" w:rsidP="003B3504">
            <w:pPr>
              <w:spacing w:after="0" w:line="240" w:lineRule="auto"/>
              <w:jc w:val="center"/>
              <w:rPr>
                <w:sz w:val="20"/>
                <w:szCs w:val="20"/>
              </w:rPr>
            </w:pPr>
            <w:r w:rsidRPr="00E85510">
              <w:rPr>
                <w:sz w:val="20"/>
                <w:szCs w:val="20"/>
              </w:rPr>
              <w:t>Benefits</w:t>
            </w:r>
          </w:p>
        </w:tc>
        <w:tc>
          <w:tcPr>
            <w:tcW w:w="501" w:type="pct"/>
            <w:tcBorders>
              <w:top w:val="nil"/>
              <w:left w:val="nil"/>
              <w:bottom w:val="single" w:sz="4" w:space="0" w:color="auto"/>
              <w:right w:val="single" w:sz="4" w:space="0" w:color="auto"/>
            </w:tcBorders>
            <w:shd w:val="clear" w:color="auto" w:fill="auto"/>
            <w:vAlign w:val="center"/>
          </w:tcPr>
          <w:p w:rsidR="009F468D" w:rsidRPr="00E85510" w:rsidRDefault="009F468D" w:rsidP="003B3504">
            <w:pPr>
              <w:spacing w:after="0" w:line="240" w:lineRule="auto"/>
              <w:jc w:val="center"/>
              <w:rPr>
                <w:sz w:val="20"/>
                <w:szCs w:val="20"/>
              </w:rPr>
            </w:pPr>
            <w:r w:rsidRPr="00E85510">
              <w:rPr>
                <w:sz w:val="20"/>
                <w:szCs w:val="20"/>
              </w:rPr>
              <w:t>Net benefits: benefits-costs</w:t>
            </w:r>
          </w:p>
        </w:tc>
        <w:tc>
          <w:tcPr>
            <w:tcW w:w="615" w:type="pct"/>
            <w:tcBorders>
              <w:top w:val="nil"/>
              <w:left w:val="nil"/>
              <w:bottom w:val="single" w:sz="4" w:space="0" w:color="auto"/>
              <w:right w:val="single" w:sz="4" w:space="0" w:color="auto"/>
            </w:tcBorders>
            <w:shd w:val="clear" w:color="auto" w:fill="auto"/>
            <w:vAlign w:val="center"/>
          </w:tcPr>
          <w:p w:rsidR="009F468D" w:rsidRPr="00E85510" w:rsidRDefault="009F468D" w:rsidP="003B3504">
            <w:pPr>
              <w:spacing w:after="0" w:line="240" w:lineRule="auto"/>
              <w:jc w:val="center"/>
              <w:rPr>
                <w:sz w:val="20"/>
                <w:szCs w:val="20"/>
              </w:rPr>
            </w:pPr>
            <w:r w:rsidRPr="00E85510">
              <w:rPr>
                <w:sz w:val="20"/>
                <w:szCs w:val="20"/>
              </w:rPr>
              <w:t>Discounted costs</w:t>
            </w:r>
          </w:p>
        </w:tc>
        <w:tc>
          <w:tcPr>
            <w:tcW w:w="615" w:type="pct"/>
            <w:tcBorders>
              <w:top w:val="single" w:sz="4" w:space="0" w:color="auto"/>
              <w:left w:val="nil"/>
              <w:bottom w:val="single" w:sz="4" w:space="0" w:color="auto"/>
              <w:right w:val="single" w:sz="4" w:space="0" w:color="auto"/>
            </w:tcBorders>
            <w:shd w:val="clear" w:color="auto" w:fill="auto"/>
            <w:vAlign w:val="center"/>
          </w:tcPr>
          <w:p w:rsidR="009F468D" w:rsidRPr="00E85510" w:rsidRDefault="009F468D" w:rsidP="003B3504">
            <w:pPr>
              <w:spacing w:after="0" w:line="240" w:lineRule="auto"/>
              <w:jc w:val="center"/>
              <w:rPr>
                <w:sz w:val="20"/>
                <w:szCs w:val="20"/>
              </w:rPr>
            </w:pPr>
            <w:r w:rsidRPr="00E85510">
              <w:rPr>
                <w:sz w:val="20"/>
                <w:szCs w:val="20"/>
              </w:rPr>
              <w:t xml:space="preserve">Discounted benefits </w:t>
            </w:r>
          </w:p>
        </w:tc>
        <w:tc>
          <w:tcPr>
            <w:tcW w:w="615" w:type="pct"/>
            <w:tcBorders>
              <w:top w:val="single" w:sz="4" w:space="0" w:color="auto"/>
              <w:left w:val="nil"/>
              <w:bottom w:val="single" w:sz="4" w:space="0" w:color="auto"/>
              <w:right w:val="single" w:sz="4" w:space="0" w:color="auto"/>
            </w:tcBorders>
            <w:shd w:val="clear" w:color="auto" w:fill="auto"/>
            <w:vAlign w:val="center"/>
          </w:tcPr>
          <w:p w:rsidR="009F468D" w:rsidRPr="00E85510" w:rsidRDefault="009F468D" w:rsidP="003B3504">
            <w:pPr>
              <w:spacing w:after="0" w:line="240" w:lineRule="auto"/>
              <w:jc w:val="center"/>
              <w:rPr>
                <w:sz w:val="20"/>
                <w:szCs w:val="20"/>
              </w:rPr>
            </w:pPr>
            <w:r w:rsidRPr="00E85510">
              <w:rPr>
                <w:sz w:val="20"/>
                <w:szCs w:val="20"/>
              </w:rPr>
              <w:t>Discounted net benefits</w:t>
            </w:r>
          </w:p>
        </w:tc>
        <w:tc>
          <w:tcPr>
            <w:tcW w:w="791" w:type="pct"/>
            <w:tcBorders>
              <w:top w:val="nil"/>
              <w:left w:val="nil"/>
              <w:bottom w:val="nil"/>
              <w:right w:val="nil"/>
            </w:tcBorders>
            <w:shd w:val="clear" w:color="auto" w:fill="auto"/>
            <w:noWrap/>
            <w:vAlign w:val="center"/>
          </w:tcPr>
          <w:p w:rsidR="009F468D" w:rsidRPr="00E85510" w:rsidRDefault="009F468D" w:rsidP="003B3504">
            <w:pPr>
              <w:spacing w:after="0" w:line="240" w:lineRule="auto"/>
              <w:jc w:val="center"/>
              <w:rPr>
                <w:sz w:val="20"/>
                <w:szCs w:val="20"/>
              </w:rPr>
            </w:pPr>
          </w:p>
        </w:tc>
      </w:tr>
      <w:tr w:rsidR="009F468D" w:rsidRPr="00E85510" w:rsidTr="003B3504">
        <w:trPr>
          <w:trHeight w:val="255"/>
        </w:trPr>
        <w:tc>
          <w:tcPr>
            <w:tcW w:w="513"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w:t>
            </w:r>
          </w:p>
        </w:tc>
        <w:tc>
          <w:tcPr>
            <w:tcW w:w="51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2015</w:t>
            </w:r>
          </w:p>
        </w:tc>
        <w:tc>
          <w:tcPr>
            <w:tcW w:w="359"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1.80</w:t>
            </w:r>
          </w:p>
        </w:tc>
        <w:tc>
          <w:tcPr>
            <w:tcW w:w="48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0</w:t>
            </w:r>
          </w:p>
        </w:tc>
        <w:tc>
          <w:tcPr>
            <w:tcW w:w="50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-1.80</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1.80</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0.00</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-1.80</w:t>
            </w:r>
          </w:p>
        </w:tc>
        <w:tc>
          <w:tcPr>
            <w:tcW w:w="791"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r>
      <w:tr w:rsidR="009F468D" w:rsidRPr="00E85510" w:rsidTr="003B3504">
        <w:trPr>
          <w:trHeight w:val="255"/>
        </w:trPr>
        <w:tc>
          <w:tcPr>
            <w:tcW w:w="513"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2</w:t>
            </w:r>
          </w:p>
        </w:tc>
        <w:tc>
          <w:tcPr>
            <w:tcW w:w="51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2016</w:t>
            </w:r>
          </w:p>
        </w:tc>
        <w:tc>
          <w:tcPr>
            <w:tcW w:w="359"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1.89</w:t>
            </w:r>
          </w:p>
        </w:tc>
        <w:tc>
          <w:tcPr>
            <w:tcW w:w="48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85.00</w:t>
            </w:r>
          </w:p>
        </w:tc>
        <w:tc>
          <w:tcPr>
            <w:tcW w:w="50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83.11</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1.69</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75.89</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74.21</w:t>
            </w:r>
          </w:p>
        </w:tc>
        <w:tc>
          <w:tcPr>
            <w:tcW w:w="791"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r>
      <w:tr w:rsidR="009F468D" w:rsidRPr="00E85510" w:rsidTr="003B3504">
        <w:trPr>
          <w:trHeight w:val="255"/>
        </w:trPr>
        <w:tc>
          <w:tcPr>
            <w:tcW w:w="513"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3</w:t>
            </w:r>
          </w:p>
        </w:tc>
        <w:tc>
          <w:tcPr>
            <w:tcW w:w="51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2017</w:t>
            </w:r>
          </w:p>
        </w:tc>
        <w:tc>
          <w:tcPr>
            <w:tcW w:w="359"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1.98</w:t>
            </w:r>
          </w:p>
        </w:tc>
        <w:tc>
          <w:tcPr>
            <w:tcW w:w="48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89.25</w:t>
            </w:r>
          </w:p>
        </w:tc>
        <w:tc>
          <w:tcPr>
            <w:tcW w:w="50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87.27</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1.58</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71.15</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69.57</w:t>
            </w:r>
          </w:p>
        </w:tc>
        <w:tc>
          <w:tcPr>
            <w:tcW w:w="791"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r>
      <w:tr w:rsidR="009F468D" w:rsidRPr="00E85510" w:rsidTr="003B3504">
        <w:trPr>
          <w:trHeight w:val="255"/>
        </w:trPr>
        <w:tc>
          <w:tcPr>
            <w:tcW w:w="513"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4</w:t>
            </w:r>
          </w:p>
        </w:tc>
        <w:tc>
          <w:tcPr>
            <w:tcW w:w="51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2018</w:t>
            </w:r>
          </w:p>
        </w:tc>
        <w:tc>
          <w:tcPr>
            <w:tcW w:w="359"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2.08</w:t>
            </w:r>
          </w:p>
        </w:tc>
        <w:tc>
          <w:tcPr>
            <w:tcW w:w="48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93.71</w:t>
            </w:r>
          </w:p>
        </w:tc>
        <w:tc>
          <w:tcPr>
            <w:tcW w:w="50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91.63</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1.48</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66.70</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65.22</w:t>
            </w:r>
          </w:p>
        </w:tc>
        <w:tc>
          <w:tcPr>
            <w:tcW w:w="791"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r>
      <w:tr w:rsidR="009F468D" w:rsidRPr="00E85510" w:rsidTr="003B3504">
        <w:trPr>
          <w:trHeight w:val="255"/>
        </w:trPr>
        <w:tc>
          <w:tcPr>
            <w:tcW w:w="513"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5</w:t>
            </w:r>
          </w:p>
        </w:tc>
        <w:tc>
          <w:tcPr>
            <w:tcW w:w="51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2019</w:t>
            </w:r>
          </w:p>
        </w:tc>
        <w:tc>
          <w:tcPr>
            <w:tcW w:w="359"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2.19</w:t>
            </w:r>
          </w:p>
        </w:tc>
        <w:tc>
          <w:tcPr>
            <w:tcW w:w="48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98.40</w:t>
            </w:r>
          </w:p>
        </w:tc>
        <w:tc>
          <w:tcPr>
            <w:tcW w:w="50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96.21</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1.39</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62.53</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61.14</w:t>
            </w:r>
          </w:p>
        </w:tc>
        <w:tc>
          <w:tcPr>
            <w:tcW w:w="791"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r>
      <w:tr w:rsidR="009F468D" w:rsidRPr="00E85510" w:rsidTr="003B3504">
        <w:trPr>
          <w:trHeight w:val="255"/>
        </w:trPr>
        <w:tc>
          <w:tcPr>
            <w:tcW w:w="513"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6</w:t>
            </w:r>
          </w:p>
        </w:tc>
        <w:tc>
          <w:tcPr>
            <w:tcW w:w="51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2020</w:t>
            </w:r>
          </w:p>
        </w:tc>
        <w:tc>
          <w:tcPr>
            <w:tcW w:w="359"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2.30</w:t>
            </w:r>
          </w:p>
        </w:tc>
        <w:tc>
          <w:tcPr>
            <w:tcW w:w="48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103.32</w:t>
            </w:r>
          </w:p>
        </w:tc>
        <w:tc>
          <w:tcPr>
            <w:tcW w:w="50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101.02</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1.30</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58.63</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57.32</w:t>
            </w:r>
          </w:p>
        </w:tc>
        <w:tc>
          <w:tcPr>
            <w:tcW w:w="791"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r>
      <w:tr w:rsidR="009F468D" w:rsidRPr="00E85510" w:rsidTr="003B3504">
        <w:trPr>
          <w:trHeight w:val="255"/>
        </w:trPr>
        <w:tc>
          <w:tcPr>
            <w:tcW w:w="513"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7</w:t>
            </w:r>
          </w:p>
        </w:tc>
        <w:tc>
          <w:tcPr>
            <w:tcW w:w="51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2021</w:t>
            </w:r>
          </w:p>
        </w:tc>
        <w:tc>
          <w:tcPr>
            <w:tcW w:w="359"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2.41</w:t>
            </w:r>
          </w:p>
        </w:tc>
        <w:tc>
          <w:tcPr>
            <w:tcW w:w="48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108.48</w:t>
            </w:r>
          </w:p>
        </w:tc>
        <w:tc>
          <w:tcPr>
            <w:tcW w:w="50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106.07</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1.22</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54.96</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53.74</w:t>
            </w:r>
          </w:p>
        </w:tc>
        <w:tc>
          <w:tcPr>
            <w:tcW w:w="791"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r>
      <w:tr w:rsidR="009F468D" w:rsidRPr="00E85510" w:rsidTr="003B3504">
        <w:trPr>
          <w:trHeight w:val="255"/>
        </w:trPr>
        <w:tc>
          <w:tcPr>
            <w:tcW w:w="513"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8</w:t>
            </w:r>
          </w:p>
        </w:tc>
        <w:tc>
          <w:tcPr>
            <w:tcW w:w="51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2022</w:t>
            </w:r>
          </w:p>
        </w:tc>
        <w:tc>
          <w:tcPr>
            <w:tcW w:w="359"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2.53</w:t>
            </w:r>
          </w:p>
        </w:tc>
        <w:tc>
          <w:tcPr>
            <w:tcW w:w="48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113.91</w:t>
            </w:r>
          </w:p>
        </w:tc>
        <w:tc>
          <w:tcPr>
            <w:tcW w:w="50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111.38</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1.15</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51.53</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50.38</w:t>
            </w:r>
          </w:p>
        </w:tc>
        <w:tc>
          <w:tcPr>
            <w:tcW w:w="791"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r>
      <w:tr w:rsidR="009F468D" w:rsidRPr="00E85510" w:rsidTr="003B3504">
        <w:trPr>
          <w:trHeight w:val="255"/>
        </w:trPr>
        <w:tc>
          <w:tcPr>
            <w:tcW w:w="513"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9</w:t>
            </w:r>
          </w:p>
        </w:tc>
        <w:tc>
          <w:tcPr>
            <w:tcW w:w="51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2023</w:t>
            </w:r>
          </w:p>
        </w:tc>
        <w:tc>
          <w:tcPr>
            <w:tcW w:w="359"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2.66</w:t>
            </w:r>
          </w:p>
        </w:tc>
        <w:tc>
          <w:tcPr>
            <w:tcW w:w="48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119.60</w:t>
            </w:r>
          </w:p>
        </w:tc>
        <w:tc>
          <w:tcPr>
            <w:tcW w:w="50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116.94</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1.07</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48.31</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47.23</w:t>
            </w:r>
          </w:p>
        </w:tc>
        <w:tc>
          <w:tcPr>
            <w:tcW w:w="791"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r>
      <w:tr w:rsidR="009F468D" w:rsidRPr="00E85510" w:rsidTr="003B3504">
        <w:trPr>
          <w:trHeight w:val="255"/>
        </w:trPr>
        <w:tc>
          <w:tcPr>
            <w:tcW w:w="513"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10</w:t>
            </w:r>
          </w:p>
        </w:tc>
        <w:tc>
          <w:tcPr>
            <w:tcW w:w="51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2024</w:t>
            </w:r>
          </w:p>
        </w:tc>
        <w:tc>
          <w:tcPr>
            <w:tcW w:w="359"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2.79</w:t>
            </w:r>
          </w:p>
        </w:tc>
        <w:tc>
          <w:tcPr>
            <w:tcW w:w="48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125.58</w:t>
            </w:r>
          </w:p>
        </w:tc>
        <w:tc>
          <w:tcPr>
            <w:tcW w:w="50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122.79</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1.01</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45.29</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44.28</w:t>
            </w:r>
          </w:p>
        </w:tc>
        <w:tc>
          <w:tcPr>
            <w:tcW w:w="791"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r>
      <w:tr w:rsidR="009F468D" w:rsidRPr="00E85510" w:rsidTr="003B3504">
        <w:trPr>
          <w:trHeight w:val="255"/>
        </w:trPr>
        <w:tc>
          <w:tcPr>
            <w:tcW w:w="513" w:type="pct"/>
            <w:tcBorders>
              <w:top w:val="nil"/>
              <w:left w:val="single" w:sz="4" w:space="0" w:color="auto"/>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sz w:val="20"/>
                <w:szCs w:val="20"/>
              </w:rPr>
            </w:pPr>
            <w:r w:rsidRPr="00E85510">
              <w:rPr>
                <w:sz w:val="20"/>
                <w:szCs w:val="20"/>
              </w:rPr>
              <w:t> </w:t>
            </w:r>
          </w:p>
        </w:tc>
        <w:tc>
          <w:tcPr>
            <w:tcW w:w="51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b/>
                <w:bCs/>
                <w:sz w:val="20"/>
                <w:szCs w:val="20"/>
              </w:rPr>
            </w:pPr>
            <w:r w:rsidRPr="00E85510">
              <w:rPr>
                <w:b/>
                <w:bCs/>
                <w:sz w:val="20"/>
                <w:szCs w:val="20"/>
              </w:rPr>
              <w:t>Sum</w:t>
            </w:r>
          </w:p>
        </w:tc>
        <w:tc>
          <w:tcPr>
            <w:tcW w:w="359"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b/>
                <w:bCs/>
                <w:sz w:val="20"/>
                <w:szCs w:val="20"/>
              </w:rPr>
            </w:pPr>
            <w:r w:rsidRPr="00E85510">
              <w:rPr>
                <w:b/>
                <w:bCs/>
                <w:sz w:val="20"/>
                <w:szCs w:val="20"/>
              </w:rPr>
              <w:t>23</w:t>
            </w:r>
          </w:p>
        </w:tc>
        <w:tc>
          <w:tcPr>
            <w:tcW w:w="48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b/>
                <w:bCs/>
                <w:sz w:val="20"/>
                <w:szCs w:val="20"/>
              </w:rPr>
            </w:pPr>
            <w:r w:rsidRPr="00E85510">
              <w:rPr>
                <w:b/>
                <w:bCs/>
                <w:sz w:val="20"/>
                <w:szCs w:val="20"/>
              </w:rPr>
              <w:t>937</w:t>
            </w:r>
          </w:p>
        </w:tc>
        <w:tc>
          <w:tcPr>
            <w:tcW w:w="501"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b/>
                <w:bCs/>
                <w:sz w:val="20"/>
                <w:szCs w:val="20"/>
              </w:rPr>
            </w:pPr>
            <w:r w:rsidRPr="00E85510">
              <w:rPr>
                <w:b/>
                <w:bCs/>
                <w:sz w:val="20"/>
                <w:szCs w:val="20"/>
              </w:rPr>
              <w:t>915</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b/>
                <w:bCs/>
                <w:sz w:val="20"/>
                <w:szCs w:val="20"/>
              </w:rPr>
            </w:pPr>
            <w:r w:rsidRPr="00E85510">
              <w:rPr>
                <w:b/>
                <w:bCs/>
                <w:sz w:val="20"/>
                <w:szCs w:val="20"/>
              </w:rPr>
              <w:t>14</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b/>
                <w:bCs/>
                <w:sz w:val="20"/>
                <w:szCs w:val="20"/>
              </w:rPr>
            </w:pPr>
            <w:r w:rsidRPr="00E85510">
              <w:rPr>
                <w:b/>
                <w:bCs/>
                <w:sz w:val="20"/>
                <w:szCs w:val="20"/>
              </w:rPr>
              <w:t>535</w:t>
            </w:r>
          </w:p>
        </w:tc>
        <w:tc>
          <w:tcPr>
            <w:tcW w:w="615" w:type="pct"/>
            <w:tcBorders>
              <w:top w:val="nil"/>
              <w:left w:val="nil"/>
              <w:bottom w:val="single" w:sz="4" w:space="0" w:color="auto"/>
              <w:right w:val="single" w:sz="4" w:space="0" w:color="auto"/>
            </w:tcBorders>
            <w:shd w:val="clear" w:color="auto" w:fill="auto"/>
            <w:noWrap/>
            <w:vAlign w:val="bottom"/>
          </w:tcPr>
          <w:p w:rsidR="009F468D" w:rsidRPr="00E85510" w:rsidRDefault="009F468D" w:rsidP="003B3504">
            <w:pPr>
              <w:spacing w:after="0" w:line="240" w:lineRule="auto"/>
              <w:jc w:val="center"/>
              <w:rPr>
                <w:b/>
                <w:bCs/>
                <w:sz w:val="20"/>
                <w:szCs w:val="20"/>
              </w:rPr>
            </w:pPr>
            <w:r w:rsidRPr="00E85510">
              <w:rPr>
                <w:b/>
                <w:bCs/>
                <w:sz w:val="20"/>
                <w:szCs w:val="20"/>
              </w:rPr>
              <w:t>521</w:t>
            </w:r>
          </w:p>
        </w:tc>
        <w:tc>
          <w:tcPr>
            <w:tcW w:w="791" w:type="pct"/>
            <w:tcBorders>
              <w:top w:val="single" w:sz="4" w:space="0" w:color="auto"/>
              <w:left w:val="nil"/>
              <w:bottom w:val="single" w:sz="4" w:space="0" w:color="auto"/>
              <w:right w:val="single" w:sz="4" w:space="0" w:color="auto"/>
            </w:tcBorders>
            <w:shd w:val="clear" w:color="auto" w:fill="CCFFFF"/>
            <w:vAlign w:val="center"/>
          </w:tcPr>
          <w:p w:rsidR="009F468D" w:rsidRPr="00E85510" w:rsidRDefault="009F468D" w:rsidP="003B3504">
            <w:pPr>
              <w:spacing w:after="0" w:line="240" w:lineRule="auto"/>
              <w:jc w:val="center"/>
              <w:rPr>
                <w:sz w:val="20"/>
                <w:szCs w:val="20"/>
              </w:rPr>
            </w:pPr>
            <w:r w:rsidRPr="00E85510">
              <w:rPr>
                <w:sz w:val="20"/>
                <w:szCs w:val="20"/>
              </w:rPr>
              <w:t>NPV</w:t>
            </w:r>
          </w:p>
        </w:tc>
      </w:tr>
      <w:tr w:rsidR="009F468D" w:rsidRPr="00E85510" w:rsidTr="003B3504">
        <w:trPr>
          <w:trHeight w:val="255"/>
        </w:trPr>
        <w:tc>
          <w:tcPr>
            <w:tcW w:w="513"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c>
          <w:tcPr>
            <w:tcW w:w="511"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c>
          <w:tcPr>
            <w:tcW w:w="359"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c>
          <w:tcPr>
            <w:tcW w:w="481"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c>
          <w:tcPr>
            <w:tcW w:w="501"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c>
          <w:tcPr>
            <w:tcW w:w="615"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c>
          <w:tcPr>
            <w:tcW w:w="615"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c>
          <w:tcPr>
            <w:tcW w:w="615" w:type="pct"/>
            <w:tcBorders>
              <w:top w:val="nil"/>
              <w:left w:val="single" w:sz="4" w:space="0" w:color="auto"/>
              <w:bottom w:val="single" w:sz="4" w:space="0" w:color="auto"/>
              <w:right w:val="single" w:sz="4" w:space="0" w:color="auto"/>
            </w:tcBorders>
            <w:shd w:val="clear" w:color="auto" w:fill="CCFFFF"/>
            <w:noWrap/>
            <w:vAlign w:val="bottom"/>
          </w:tcPr>
          <w:p w:rsidR="009F468D" w:rsidRPr="00E85510" w:rsidRDefault="009F468D" w:rsidP="003B3504">
            <w:pPr>
              <w:spacing w:after="0" w:line="240" w:lineRule="auto"/>
              <w:jc w:val="center"/>
              <w:rPr>
                <w:b/>
                <w:bCs/>
                <w:sz w:val="20"/>
                <w:szCs w:val="20"/>
              </w:rPr>
            </w:pPr>
            <w:r w:rsidRPr="00E85510">
              <w:rPr>
                <w:b/>
                <w:bCs/>
                <w:sz w:val="20"/>
                <w:szCs w:val="20"/>
              </w:rPr>
              <w:t>39.06</w:t>
            </w:r>
          </w:p>
        </w:tc>
        <w:tc>
          <w:tcPr>
            <w:tcW w:w="791" w:type="pct"/>
            <w:tcBorders>
              <w:top w:val="nil"/>
              <w:left w:val="nil"/>
              <w:bottom w:val="single" w:sz="4" w:space="0" w:color="auto"/>
              <w:right w:val="single" w:sz="4" w:space="0" w:color="auto"/>
            </w:tcBorders>
            <w:shd w:val="clear" w:color="auto" w:fill="CCFFFF"/>
            <w:vAlign w:val="center"/>
          </w:tcPr>
          <w:p w:rsidR="009F468D" w:rsidRPr="00E85510" w:rsidRDefault="009F468D" w:rsidP="003B3504">
            <w:pPr>
              <w:spacing w:after="0" w:line="240" w:lineRule="auto"/>
              <w:jc w:val="center"/>
              <w:rPr>
                <w:sz w:val="20"/>
                <w:szCs w:val="20"/>
              </w:rPr>
            </w:pPr>
            <w:r w:rsidRPr="00E85510">
              <w:rPr>
                <w:sz w:val="20"/>
                <w:szCs w:val="20"/>
              </w:rPr>
              <w:t>B/C ratio</w:t>
            </w:r>
          </w:p>
        </w:tc>
      </w:tr>
      <w:tr w:rsidR="009F468D" w:rsidRPr="00E85510" w:rsidTr="003B3504">
        <w:trPr>
          <w:trHeight w:val="255"/>
        </w:trPr>
        <w:tc>
          <w:tcPr>
            <w:tcW w:w="513"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c>
          <w:tcPr>
            <w:tcW w:w="511" w:type="pct"/>
            <w:tcBorders>
              <w:top w:val="nil"/>
              <w:left w:val="nil"/>
              <w:bottom w:val="nil"/>
              <w:right w:val="nil"/>
            </w:tcBorders>
            <w:shd w:val="clear" w:color="auto" w:fill="auto"/>
            <w:noWrap/>
            <w:vAlign w:val="bottom"/>
          </w:tcPr>
          <w:p w:rsidR="009F468D" w:rsidRPr="00E85510" w:rsidRDefault="009F468D" w:rsidP="003B3504">
            <w:pPr>
              <w:spacing w:after="0" w:line="240" w:lineRule="auto"/>
              <w:jc w:val="center"/>
              <w:rPr>
                <w:sz w:val="20"/>
                <w:szCs w:val="20"/>
              </w:rPr>
            </w:pPr>
          </w:p>
        </w:tc>
        <w:tc>
          <w:tcPr>
            <w:tcW w:w="359"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c>
          <w:tcPr>
            <w:tcW w:w="481"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c>
          <w:tcPr>
            <w:tcW w:w="501"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c>
          <w:tcPr>
            <w:tcW w:w="615"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c>
          <w:tcPr>
            <w:tcW w:w="615" w:type="pct"/>
            <w:tcBorders>
              <w:top w:val="nil"/>
              <w:left w:val="nil"/>
              <w:bottom w:val="nil"/>
              <w:right w:val="nil"/>
            </w:tcBorders>
            <w:shd w:val="clear" w:color="auto" w:fill="auto"/>
            <w:noWrap/>
            <w:vAlign w:val="bottom"/>
          </w:tcPr>
          <w:p w:rsidR="009F468D" w:rsidRPr="00E85510" w:rsidRDefault="009F468D" w:rsidP="003B3504">
            <w:pPr>
              <w:spacing w:after="0" w:line="240" w:lineRule="auto"/>
              <w:rPr>
                <w:sz w:val="20"/>
                <w:szCs w:val="20"/>
              </w:rPr>
            </w:pPr>
          </w:p>
        </w:tc>
        <w:tc>
          <w:tcPr>
            <w:tcW w:w="615" w:type="pct"/>
            <w:tcBorders>
              <w:top w:val="nil"/>
              <w:left w:val="single" w:sz="4" w:space="0" w:color="auto"/>
              <w:bottom w:val="single" w:sz="4" w:space="0" w:color="auto"/>
              <w:right w:val="single" w:sz="4" w:space="0" w:color="auto"/>
            </w:tcBorders>
            <w:shd w:val="clear" w:color="auto" w:fill="CCFFFF"/>
            <w:noWrap/>
            <w:vAlign w:val="bottom"/>
          </w:tcPr>
          <w:p w:rsidR="009F468D" w:rsidRPr="00E85510" w:rsidRDefault="009F468D" w:rsidP="003B3504">
            <w:pPr>
              <w:spacing w:after="0" w:line="240" w:lineRule="auto"/>
              <w:jc w:val="center"/>
              <w:rPr>
                <w:b/>
                <w:bCs/>
                <w:sz w:val="20"/>
                <w:szCs w:val="20"/>
              </w:rPr>
            </w:pPr>
            <w:r w:rsidRPr="00E85510">
              <w:rPr>
                <w:b/>
                <w:bCs/>
                <w:sz w:val="20"/>
                <w:szCs w:val="20"/>
              </w:rPr>
              <w:t>4116%</w:t>
            </w:r>
          </w:p>
        </w:tc>
        <w:tc>
          <w:tcPr>
            <w:tcW w:w="791" w:type="pct"/>
            <w:tcBorders>
              <w:top w:val="nil"/>
              <w:left w:val="nil"/>
              <w:bottom w:val="single" w:sz="4" w:space="0" w:color="auto"/>
              <w:right w:val="single" w:sz="4" w:space="0" w:color="auto"/>
            </w:tcBorders>
            <w:shd w:val="clear" w:color="auto" w:fill="CCFFFF"/>
            <w:vAlign w:val="center"/>
          </w:tcPr>
          <w:p w:rsidR="009F468D" w:rsidRPr="00E85510" w:rsidRDefault="009F468D" w:rsidP="003B3504">
            <w:pPr>
              <w:spacing w:after="0" w:line="240" w:lineRule="auto"/>
              <w:jc w:val="center"/>
              <w:rPr>
                <w:sz w:val="20"/>
                <w:szCs w:val="20"/>
              </w:rPr>
            </w:pPr>
            <w:r w:rsidRPr="00E85510">
              <w:rPr>
                <w:sz w:val="20"/>
                <w:szCs w:val="20"/>
              </w:rPr>
              <w:t>Estimated internal rate of return</w:t>
            </w:r>
          </w:p>
        </w:tc>
      </w:tr>
    </w:tbl>
    <w:p w:rsidR="009F468D" w:rsidRDefault="009F468D" w:rsidP="009F468D"/>
    <w:p w:rsidR="003B3504" w:rsidRDefault="003B3504" w:rsidP="009F468D"/>
    <w:p w:rsidR="003B3504" w:rsidRDefault="003B3504" w:rsidP="009F468D"/>
    <w:p w:rsidR="003B3504" w:rsidRDefault="003B3504" w:rsidP="009F468D"/>
    <w:p w:rsidR="003B3504" w:rsidRDefault="003B3504" w:rsidP="009F468D"/>
    <w:p w:rsidR="003B3504" w:rsidRDefault="003B3504" w:rsidP="009F468D"/>
    <w:p w:rsidR="003B3504" w:rsidRDefault="003B3504" w:rsidP="009F468D"/>
    <w:p w:rsidR="003B3504" w:rsidRPr="00E85510" w:rsidRDefault="003B3504" w:rsidP="009F468D"/>
    <w:p w:rsidR="009F468D" w:rsidRPr="006F5BB1" w:rsidRDefault="009F468D" w:rsidP="009F468D">
      <w:pPr>
        <w:spacing w:line="300" w:lineRule="auto"/>
        <w:jc w:val="both"/>
        <w:rPr>
          <w:b/>
          <w:spacing w:val="-2"/>
          <w:u w:val="single"/>
          <w:lang w:val="fr-FR"/>
        </w:rPr>
      </w:pPr>
      <w:r w:rsidRPr="006F5BB1">
        <w:rPr>
          <w:b/>
          <w:spacing w:val="-2"/>
          <w:u w:val="single"/>
          <w:lang w:val="fr-FR"/>
        </w:rPr>
        <w:lastRenderedPageBreak/>
        <w:t>Analytical</w:t>
      </w:r>
      <w:r w:rsidR="001219B8">
        <w:rPr>
          <w:b/>
          <w:spacing w:val="-2"/>
          <w:u w:val="single"/>
          <w:lang w:val="fr-FR"/>
        </w:rPr>
        <w:t xml:space="preserve"> </w:t>
      </w:r>
      <w:r w:rsidRPr="006F5BB1">
        <w:rPr>
          <w:b/>
          <w:spacing w:val="-2"/>
          <w:u w:val="single"/>
          <w:lang w:val="fr-FR"/>
        </w:rPr>
        <w:t>Approach</w:t>
      </w:r>
    </w:p>
    <w:p w:rsidR="009F468D" w:rsidRPr="00E85510" w:rsidRDefault="009F468D" w:rsidP="009F468D">
      <w:pPr>
        <w:spacing w:line="300" w:lineRule="auto"/>
        <w:jc w:val="both"/>
        <w:rPr>
          <w:b/>
          <w:sz w:val="20"/>
          <w:szCs w:val="20"/>
          <w:lang w:val="fr-FR"/>
        </w:rPr>
      </w:pPr>
      <w:r>
        <w:rPr>
          <w:b/>
          <w:sz w:val="20"/>
          <w:szCs w:val="20"/>
          <w:lang w:val="fr-FR"/>
        </w:rPr>
        <w:t>The ERF-</w:t>
      </w:r>
      <w:r w:rsidRPr="00E85510">
        <w:rPr>
          <w:b/>
          <w:sz w:val="20"/>
          <w:szCs w:val="20"/>
          <w:lang w:val="fr-FR"/>
        </w:rPr>
        <w:t xml:space="preserve">Resilient Habitat  </w:t>
      </w:r>
      <w:r>
        <w:rPr>
          <w:b/>
          <w:sz w:val="20"/>
          <w:szCs w:val="20"/>
          <w:lang w:val="fr-FR"/>
        </w:rPr>
        <w:t>vs. the</w:t>
      </w:r>
      <w:r w:rsidRPr="00E85510">
        <w:rPr>
          <w:b/>
          <w:sz w:val="20"/>
          <w:szCs w:val="20"/>
          <w:lang w:val="fr-FR"/>
        </w:rPr>
        <w:t>CDMP II- Habitat</w:t>
      </w:r>
    </w:p>
    <w:tbl>
      <w:tblPr>
        <w:tblW w:w="98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5120"/>
        <w:gridCol w:w="2936"/>
      </w:tblGrid>
      <w:tr w:rsidR="009F468D" w:rsidRPr="00E85510" w:rsidTr="003B3504">
        <w:trPr>
          <w:trHeight w:val="362"/>
        </w:trPr>
        <w:tc>
          <w:tcPr>
            <w:tcW w:w="6870" w:type="dxa"/>
            <w:gridSpan w:val="2"/>
          </w:tcPr>
          <w:p w:rsidR="009F468D" w:rsidRPr="00E85510" w:rsidRDefault="009F468D" w:rsidP="003B3504">
            <w:pPr>
              <w:autoSpaceDE w:val="0"/>
              <w:autoSpaceDN w:val="0"/>
              <w:adjustRightInd w:val="0"/>
              <w:spacing w:after="0" w:line="240" w:lineRule="auto"/>
              <w:jc w:val="both"/>
              <w:rPr>
                <w:b/>
                <w:bCs/>
                <w:sz w:val="20"/>
                <w:szCs w:val="20"/>
              </w:rPr>
            </w:pPr>
            <w:r w:rsidRPr="00E85510">
              <w:rPr>
                <w:b/>
                <w:bCs/>
                <w:sz w:val="20"/>
                <w:szCs w:val="20"/>
              </w:rPr>
              <w:t>Economic efficiency calculations</w:t>
            </w:r>
          </w:p>
        </w:tc>
        <w:tc>
          <w:tcPr>
            <w:tcW w:w="2936" w:type="dxa"/>
            <w:vMerge w:val="restart"/>
          </w:tcPr>
          <w:p w:rsidR="009F468D" w:rsidRPr="00E85510" w:rsidRDefault="009F468D" w:rsidP="003B3504">
            <w:pPr>
              <w:autoSpaceDE w:val="0"/>
              <w:autoSpaceDN w:val="0"/>
              <w:adjustRightInd w:val="0"/>
              <w:spacing w:after="0" w:line="240" w:lineRule="auto"/>
              <w:jc w:val="both"/>
              <w:rPr>
                <w:b/>
                <w:bCs/>
                <w:sz w:val="20"/>
                <w:szCs w:val="20"/>
              </w:rPr>
            </w:pPr>
          </w:p>
        </w:tc>
      </w:tr>
      <w:tr w:rsidR="009F468D" w:rsidRPr="00E85510" w:rsidTr="003B3504">
        <w:trPr>
          <w:trHeight w:val="290"/>
        </w:trPr>
        <w:tc>
          <w:tcPr>
            <w:tcW w:w="1750" w:type="dxa"/>
          </w:tcPr>
          <w:p w:rsidR="009F468D" w:rsidRPr="006F5BB1" w:rsidRDefault="009F468D" w:rsidP="003B3504">
            <w:pPr>
              <w:autoSpaceDE w:val="0"/>
              <w:autoSpaceDN w:val="0"/>
              <w:adjustRightInd w:val="0"/>
              <w:spacing w:after="0" w:line="240" w:lineRule="auto"/>
              <w:jc w:val="both"/>
              <w:rPr>
                <w:b/>
                <w:sz w:val="20"/>
                <w:szCs w:val="20"/>
              </w:rPr>
            </w:pPr>
            <w:r w:rsidRPr="006F5BB1">
              <w:rPr>
                <w:b/>
                <w:sz w:val="20"/>
                <w:szCs w:val="20"/>
              </w:rPr>
              <w:t>Definition</w:t>
            </w:r>
          </w:p>
        </w:tc>
        <w:tc>
          <w:tcPr>
            <w:tcW w:w="5120" w:type="dxa"/>
          </w:tcPr>
          <w:p w:rsidR="009F468D" w:rsidRPr="006F5BB1" w:rsidRDefault="009F468D" w:rsidP="003B3504">
            <w:pPr>
              <w:autoSpaceDE w:val="0"/>
              <w:autoSpaceDN w:val="0"/>
              <w:adjustRightInd w:val="0"/>
              <w:spacing w:after="0" w:line="240" w:lineRule="auto"/>
              <w:jc w:val="both"/>
              <w:rPr>
                <w:b/>
                <w:sz w:val="20"/>
                <w:szCs w:val="20"/>
              </w:rPr>
            </w:pPr>
            <w:r w:rsidRPr="006F5BB1">
              <w:rPr>
                <w:b/>
                <w:sz w:val="20"/>
                <w:szCs w:val="20"/>
              </w:rPr>
              <w:t>Efficiency criteria</w:t>
            </w:r>
          </w:p>
        </w:tc>
        <w:tc>
          <w:tcPr>
            <w:tcW w:w="2936" w:type="dxa"/>
            <w:vMerge/>
          </w:tcPr>
          <w:p w:rsidR="009F468D" w:rsidRPr="00E85510" w:rsidRDefault="009F468D" w:rsidP="003B3504">
            <w:pPr>
              <w:autoSpaceDE w:val="0"/>
              <w:autoSpaceDN w:val="0"/>
              <w:adjustRightInd w:val="0"/>
              <w:spacing w:after="0" w:line="240" w:lineRule="auto"/>
              <w:jc w:val="both"/>
              <w:rPr>
                <w:sz w:val="20"/>
                <w:szCs w:val="20"/>
              </w:rPr>
            </w:pPr>
          </w:p>
        </w:tc>
      </w:tr>
      <w:tr w:rsidR="009F468D" w:rsidRPr="00E85510" w:rsidTr="003B3504">
        <w:trPr>
          <w:trHeight w:val="290"/>
        </w:trPr>
        <w:tc>
          <w:tcPr>
            <w:tcW w:w="1750" w:type="dxa"/>
          </w:tcPr>
          <w:p w:rsidR="009F468D" w:rsidRPr="00E85510" w:rsidRDefault="009F468D" w:rsidP="003B3504">
            <w:pPr>
              <w:autoSpaceDE w:val="0"/>
              <w:autoSpaceDN w:val="0"/>
              <w:adjustRightInd w:val="0"/>
              <w:spacing w:after="0" w:line="240" w:lineRule="auto"/>
              <w:jc w:val="both"/>
              <w:rPr>
                <w:sz w:val="20"/>
                <w:szCs w:val="20"/>
              </w:rPr>
            </w:pPr>
            <w:r w:rsidRPr="00E85510">
              <w:rPr>
                <w:sz w:val="20"/>
                <w:szCs w:val="20"/>
              </w:rPr>
              <w:t xml:space="preserve">Approach </w:t>
            </w:r>
          </w:p>
        </w:tc>
        <w:tc>
          <w:tcPr>
            <w:tcW w:w="5120" w:type="dxa"/>
          </w:tcPr>
          <w:p w:rsidR="009F468D" w:rsidRPr="00E85510" w:rsidRDefault="009F468D" w:rsidP="003B3504">
            <w:pPr>
              <w:autoSpaceDE w:val="0"/>
              <w:autoSpaceDN w:val="0"/>
              <w:adjustRightInd w:val="0"/>
              <w:spacing w:after="0" w:line="240" w:lineRule="auto"/>
              <w:jc w:val="both"/>
              <w:rPr>
                <w:sz w:val="20"/>
                <w:szCs w:val="20"/>
              </w:rPr>
            </w:pPr>
            <w:r w:rsidRPr="00E85510">
              <w:rPr>
                <w:sz w:val="20"/>
                <w:szCs w:val="20"/>
              </w:rPr>
              <w:t>Before-After, With-Without  - Loss and damage to house and</w:t>
            </w:r>
            <w:r>
              <w:rPr>
                <w:sz w:val="20"/>
                <w:szCs w:val="20"/>
              </w:rPr>
              <w:t xml:space="preserve"> properties avoided = Benefits </w:t>
            </w:r>
          </w:p>
        </w:tc>
        <w:tc>
          <w:tcPr>
            <w:tcW w:w="2936" w:type="dxa"/>
          </w:tcPr>
          <w:p w:rsidR="009F468D" w:rsidRPr="00E85510" w:rsidRDefault="009F468D" w:rsidP="003B3504">
            <w:pPr>
              <w:autoSpaceDE w:val="0"/>
              <w:autoSpaceDN w:val="0"/>
              <w:adjustRightInd w:val="0"/>
              <w:spacing w:after="0" w:line="240" w:lineRule="auto"/>
              <w:jc w:val="both"/>
              <w:rPr>
                <w:sz w:val="20"/>
                <w:szCs w:val="20"/>
              </w:rPr>
            </w:pPr>
            <w:r w:rsidRPr="00E85510">
              <w:rPr>
                <w:sz w:val="20"/>
                <w:szCs w:val="20"/>
              </w:rPr>
              <w:t>Used Standard damage data sets for floods and Storm surges</w:t>
            </w:r>
            <w:r>
              <w:rPr>
                <w:rStyle w:val="FootnoteReference"/>
                <w:sz w:val="20"/>
                <w:szCs w:val="20"/>
              </w:rPr>
              <w:footnoteReference w:id="88"/>
            </w:r>
          </w:p>
        </w:tc>
      </w:tr>
      <w:tr w:rsidR="009F468D" w:rsidRPr="00E85510" w:rsidTr="003B3504">
        <w:trPr>
          <w:trHeight w:val="290"/>
        </w:trPr>
        <w:tc>
          <w:tcPr>
            <w:tcW w:w="1750" w:type="dxa"/>
          </w:tcPr>
          <w:p w:rsidR="009F468D" w:rsidRPr="00E85510" w:rsidRDefault="009F468D" w:rsidP="003B3504">
            <w:pPr>
              <w:autoSpaceDE w:val="0"/>
              <w:autoSpaceDN w:val="0"/>
              <w:adjustRightInd w:val="0"/>
              <w:spacing w:after="0" w:line="240" w:lineRule="auto"/>
              <w:jc w:val="both"/>
              <w:rPr>
                <w:sz w:val="20"/>
                <w:szCs w:val="20"/>
              </w:rPr>
            </w:pPr>
            <w:r w:rsidRPr="00E85510">
              <w:rPr>
                <w:sz w:val="20"/>
                <w:szCs w:val="20"/>
              </w:rPr>
              <w:t>Description</w:t>
            </w:r>
          </w:p>
        </w:tc>
        <w:tc>
          <w:tcPr>
            <w:tcW w:w="5120" w:type="dxa"/>
          </w:tcPr>
          <w:p w:rsidR="009F468D" w:rsidRPr="00E85510" w:rsidRDefault="009F468D" w:rsidP="003B3504">
            <w:pPr>
              <w:autoSpaceDE w:val="0"/>
              <w:autoSpaceDN w:val="0"/>
              <w:adjustRightInd w:val="0"/>
              <w:spacing w:after="0" w:line="240" w:lineRule="auto"/>
              <w:jc w:val="both"/>
              <w:rPr>
                <w:sz w:val="20"/>
                <w:szCs w:val="20"/>
              </w:rPr>
            </w:pPr>
            <w:r w:rsidRPr="00E85510">
              <w:rPr>
                <w:sz w:val="20"/>
                <w:szCs w:val="20"/>
              </w:rPr>
              <w:t>Calc</w:t>
            </w:r>
            <w:r>
              <w:rPr>
                <w:sz w:val="20"/>
                <w:szCs w:val="20"/>
              </w:rPr>
              <w:t>ulation of efficiency in terms o</w:t>
            </w:r>
            <w:r w:rsidRPr="00E85510">
              <w:rPr>
                <w:sz w:val="20"/>
                <w:szCs w:val="20"/>
              </w:rPr>
              <w:t xml:space="preserve">f </w:t>
            </w:r>
            <w:r w:rsidRPr="00E85510">
              <w:rPr>
                <w:b/>
                <w:sz w:val="20"/>
                <w:szCs w:val="20"/>
              </w:rPr>
              <w:t>net present value (NPV), B/C ratio, or expected internal rate of return</w:t>
            </w:r>
            <w:r w:rsidRPr="00E85510">
              <w:rPr>
                <w:sz w:val="20"/>
                <w:szCs w:val="20"/>
              </w:rPr>
              <w:t>. Important to discount costs and benefits over time.</w:t>
            </w:r>
          </w:p>
        </w:tc>
        <w:tc>
          <w:tcPr>
            <w:tcW w:w="2936" w:type="dxa"/>
          </w:tcPr>
          <w:p w:rsidR="009F468D" w:rsidRPr="00E85510" w:rsidRDefault="009F468D" w:rsidP="003B3504">
            <w:pPr>
              <w:autoSpaceDE w:val="0"/>
              <w:autoSpaceDN w:val="0"/>
              <w:adjustRightInd w:val="0"/>
              <w:spacing w:after="0" w:line="240" w:lineRule="auto"/>
              <w:jc w:val="both"/>
              <w:rPr>
                <w:sz w:val="20"/>
                <w:szCs w:val="20"/>
              </w:rPr>
            </w:pPr>
          </w:p>
        </w:tc>
      </w:tr>
      <w:tr w:rsidR="009F468D" w:rsidRPr="00E85510" w:rsidTr="003B3504">
        <w:trPr>
          <w:trHeight w:val="732"/>
        </w:trPr>
        <w:tc>
          <w:tcPr>
            <w:tcW w:w="1750" w:type="dxa"/>
          </w:tcPr>
          <w:p w:rsidR="009F468D" w:rsidRPr="00E85510" w:rsidRDefault="009F468D" w:rsidP="003B3504">
            <w:pPr>
              <w:autoSpaceDE w:val="0"/>
              <w:autoSpaceDN w:val="0"/>
              <w:adjustRightInd w:val="0"/>
              <w:spacing w:after="0" w:line="240" w:lineRule="auto"/>
              <w:jc w:val="both"/>
              <w:rPr>
                <w:sz w:val="20"/>
                <w:szCs w:val="20"/>
              </w:rPr>
            </w:pPr>
            <w:r w:rsidRPr="00E85510">
              <w:rPr>
                <w:sz w:val="20"/>
                <w:szCs w:val="20"/>
              </w:rPr>
              <w:t>Inputs</w:t>
            </w:r>
          </w:p>
        </w:tc>
        <w:tc>
          <w:tcPr>
            <w:tcW w:w="5120" w:type="dxa"/>
          </w:tcPr>
          <w:p w:rsidR="009F468D" w:rsidRPr="00E85510" w:rsidRDefault="009F468D" w:rsidP="003B3504">
            <w:pPr>
              <w:autoSpaceDE w:val="0"/>
              <w:autoSpaceDN w:val="0"/>
              <w:adjustRightInd w:val="0"/>
              <w:spacing w:after="0" w:line="240" w:lineRule="auto"/>
              <w:jc w:val="both"/>
              <w:rPr>
                <w:sz w:val="20"/>
                <w:szCs w:val="20"/>
              </w:rPr>
            </w:pPr>
            <w:r w:rsidRPr="00E85510">
              <w:rPr>
                <w:sz w:val="20"/>
                <w:szCs w:val="20"/>
              </w:rPr>
              <w:t>Costs of project</w:t>
            </w:r>
          </w:p>
        </w:tc>
        <w:tc>
          <w:tcPr>
            <w:tcW w:w="2936" w:type="dxa"/>
          </w:tcPr>
          <w:p w:rsidR="009F468D" w:rsidRPr="00E85510" w:rsidRDefault="009F468D" w:rsidP="003B3504">
            <w:pPr>
              <w:autoSpaceDE w:val="0"/>
              <w:autoSpaceDN w:val="0"/>
              <w:adjustRightInd w:val="0"/>
              <w:spacing w:after="0" w:line="240" w:lineRule="auto"/>
              <w:rPr>
                <w:sz w:val="20"/>
                <w:szCs w:val="20"/>
              </w:rPr>
            </w:pPr>
            <w:r>
              <w:rPr>
                <w:sz w:val="20"/>
                <w:szCs w:val="20"/>
              </w:rPr>
              <w:t>e</w:t>
            </w:r>
            <w:r w:rsidRPr="00E85510">
              <w:rPr>
                <w:sz w:val="20"/>
                <w:szCs w:val="20"/>
              </w:rPr>
              <w:t>.g., Earthwor</w:t>
            </w:r>
            <w:r>
              <w:rPr>
                <w:sz w:val="20"/>
                <w:szCs w:val="20"/>
              </w:rPr>
              <w:t xml:space="preserve">k, Structure, </w:t>
            </w:r>
            <w:r w:rsidRPr="00E85510">
              <w:rPr>
                <w:sz w:val="20"/>
                <w:szCs w:val="20"/>
              </w:rPr>
              <w:t xml:space="preserve">Rainwater harvester, Solar </w:t>
            </w:r>
            <w:r>
              <w:rPr>
                <w:sz w:val="20"/>
                <w:szCs w:val="20"/>
              </w:rPr>
              <w:t xml:space="preserve">power </w:t>
            </w:r>
            <w:r w:rsidRPr="00E85510">
              <w:rPr>
                <w:sz w:val="20"/>
                <w:szCs w:val="20"/>
              </w:rPr>
              <w:t>pro</w:t>
            </w:r>
            <w:r>
              <w:rPr>
                <w:sz w:val="20"/>
                <w:szCs w:val="20"/>
              </w:rPr>
              <w:t>vision.</w:t>
            </w:r>
          </w:p>
        </w:tc>
      </w:tr>
      <w:tr w:rsidR="009F468D" w:rsidRPr="00E85510" w:rsidTr="003B3504">
        <w:trPr>
          <w:trHeight w:val="345"/>
        </w:trPr>
        <w:tc>
          <w:tcPr>
            <w:tcW w:w="1750" w:type="dxa"/>
          </w:tcPr>
          <w:p w:rsidR="009F468D" w:rsidRPr="00E85510" w:rsidRDefault="009F468D" w:rsidP="003B3504">
            <w:pPr>
              <w:autoSpaceDE w:val="0"/>
              <w:autoSpaceDN w:val="0"/>
              <w:adjustRightInd w:val="0"/>
              <w:spacing w:after="0" w:line="240" w:lineRule="auto"/>
              <w:jc w:val="both"/>
              <w:rPr>
                <w:sz w:val="20"/>
                <w:szCs w:val="20"/>
              </w:rPr>
            </w:pPr>
          </w:p>
        </w:tc>
        <w:tc>
          <w:tcPr>
            <w:tcW w:w="5120" w:type="dxa"/>
          </w:tcPr>
          <w:p w:rsidR="009F468D" w:rsidRPr="00E85510" w:rsidRDefault="009F468D" w:rsidP="003B3504">
            <w:pPr>
              <w:autoSpaceDE w:val="0"/>
              <w:autoSpaceDN w:val="0"/>
              <w:adjustRightInd w:val="0"/>
              <w:spacing w:after="0" w:line="240" w:lineRule="auto"/>
              <w:jc w:val="both"/>
              <w:rPr>
                <w:sz w:val="20"/>
                <w:szCs w:val="20"/>
              </w:rPr>
            </w:pPr>
            <w:r w:rsidRPr="00E85510">
              <w:rPr>
                <w:sz w:val="20"/>
                <w:szCs w:val="20"/>
              </w:rPr>
              <w:t xml:space="preserve">0 &amp; M </w:t>
            </w:r>
          </w:p>
        </w:tc>
        <w:tc>
          <w:tcPr>
            <w:tcW w:w="2936" w:type="dxa"/>
          </w:tcPr>
          <w:p w:rsidR="009F468D" w:rsidRPr="00E85510" w:rsidRDefault="009F468D" w:rsidP="003B3504">
            <w:pPr>
              <w:autoSpaceDE w:val="0"/>
              <w:autoSpaceDN w:val="0"/>
              <w:adjustRightInd w:val="0"/>
              <w:spacing w:after="0" w:line="240" w:lineRule="auto"/>
              <w:jc w:val="both"/>
              <w:rPr>
                <w:sz w:val="20"/>
                <w:szCs w:val="20"/>
              </w:rPr>
            </w:pPr>
            <w:r w:rsidRPr="00E85510">
              <w:rPr>
                <w:sz w:val="20"/>
                <w:szCs w:val="20"/>
              </w:rPr>
              <w:t>5%</w:t>
            </w:r>
          </w:p>
        </w:tc>
      </w:tr>
      <w:tr w:rsidR="009F468D" w:rsidRPr="00E85510" w:rsidTr="003B3504">
        <w:trPr>
          <w:trHeight w:val="290"/>
        </w:trPr>
        <w:tc>
          <w:tcPr>
            <w:tcW w:w="1750" w:type="dxa"/>
          </w:tcPr>
          <w:p w:rsidR="009F468D" w:rsidRPr="00E85510" w:rsidRDefault="009F468D" w:rsidP="003B3504">
            <w:pPr>
              <w:autoSpaceDE w:val="0"/>
              <w:autoSpaceDN w:val="0"/>
              <w:adjustRightInd w:val="0"/>
              <w:spacing w:after="0" w:line="240" w:lineRule="auto"/>
              <w:jc w:val="both"/>
              <w:rPr>
                <w:sz w:val="20"/>
                <w:szCs w:val="20"/>
              </w:rPr>
            </w:pPr>
          </w:p>
        </w:tc>
        <w:tc>
          <w:tcPr>
            <w:tcW w:w="5120" w:type="dxa"/>
          </w:tcPr>
          <w:p w:rsidR="009F468D" w:rsidRPr="00E85510" w:rsidRDefault="009F468D" w:rsidP="003B3504">
            <w:pPr>
              <w:autoSpaceDE w:val="0"/>
              <w:autoSpaceDN w:val="0"/>
              <w:adjustRightInd w:val="0"/>
              <w:spacing w:after="0" w:line="240" w:lineRule="auto"/>
              <w:jc w:val="both"/>
              <w:rPr>
                <w:sz w:val="20"/>
                <w:szCs w:val="20"/>
              </w:rPr>
            </w:pPr>
            <w:r w:rsidRPr="00E85510">
              <w:rPr>
                <w:sz w:val="20"/>
                <w:szCs w:val="20"/>
              </w:rPr>
              <w:t>Potential loss/damage avoided = Benefits</w:t>
            </w:r>
          </w:p>
        </w:tc>
        <w:tc>
          <w:tcPr>
            <w:tcW w:w="2936" w:type="dxa"/>
          </w:tcPr>
          <w:p w:rsidR="009F468D" w:rsidRPr="00E85510" w:rsidRDefault="009F468D" w:rsidP="003B3504">
            <w:pPr>
              <w:spacing w:after="0" w:line="240" w:lineRule="auto"/>
              <w:rPr>
                <w:sz w:val="20"/>
                <w:szCs w:val="20"/>
              </w:rPr>
            </w:pPr>
            <w:r w:rsidRPr="00E85510">
              <w:rPr>
                <w:sz w:val="20"/>
                <w:szCs w:val="20"/>
              </w:rPr>
              <w:t>Livestoc</w:t>
            </w:r>
            <w:r>
              <w:rPr>
                <w:sz w:val="20"/>
                <w:szCs w:val="20"/>
              </w:rPr>
              <w:t>k</w:t>
            </w:r>
          </w:p>
          <w:p w:rsidR="009F468D" w:rsidRPr="00E85510" w:rsidRDefault="009F468D" w:rsidP="003B3504">
            <w:pPr>
              <w:spacing w:after="0" w:line="240" w:lineRule="auto"/>
              <w:rPr>
                <w:sz w:val="20"/>
                <w:szCs w:val="20"/>
              </w:rPr>
            </w:pPr>
            <w:r w:rsidRPr="00E85510">
              <w:rPr>
                <w:sz w:val="20"/>
                <w:szCs w:val="20"/>
              </w:rPr>
              <w:t>Sanitary provision,</w:t>
            </w:r>
          </w:p>
          <w:p w:rsidR="009F468D" w:rsidRPr="00E85510" w:rsidRDefault="009F468D" w:rsidP="003B3504">
            <w:pPr>
              <w:autoSpaceDE w:val="0"/>
              <w:autoSpaceDN w:val="0"/>
              <w:adjustRightInd w:val="0"/>
              <w:spacing w:after="0" w:line="240" w:lineRule="auto"/>
              <w:rPr>
                <w:sz w:val="20"/>
                <w:szCs w:val="20"/>
              </w:rPr>
            </w:pPr>
            <w:r w:rsidRPr="00E85510">
              <w:rPr>
                <w:sz w:val="20"/>
                <w:szCs w:val="20"/>
              </w:rPr>
              <w:t>Inventories, TV, Sh</w:t>
            </w:r>
            <w:r>
              <w:rPr>
                <w:sz w:val="20"/>
                <w:szCs w:val="20"/>
              </w:rPr>
              <w:t>owcase, Almira, electronics.</w:t>
            </w:r>
          </w:p>
        </w:tc>
      </w:tr>
      <w:tr w:rsidR="009F468D" w:rsidRPr="00E85510" w:rsidTr="003B3504">
        <w:trPr>
          <w:trHeight w:val="290"/>
        </w:trPr>
        <w:tc>
          <w:tcPr>
            <w:tcW w:w="1750" w:type="dxa"/>
          </w:tcPr>
          <w:p w:rsidR="009F468D" w:rsidRPr="00E85510" w:rsidRDefault="009F468D" w:rsidP="003B3504">
            <w:pPr>
              <w:autoSpaceDE w:val="0"/>
              <w:autoSpaceDN w:val="0"/>
              <w:adjustRightInd w:val="0"/>
              <w:spacing w:after="0" w:line="240" w:lineRule="auto"/>
              <w:jc w:val="both"/>
              <w:rPr>
                <w:sz w:val="20"/>
                <w:szCs w:val="20"/>
              </w:rPr>
            </w:pPr>
          </w:p>
        </w:tc>
        <w:tc>
          <w:tcPr>
            <w:tcW w:w="5120" w:type="dxa"/>
          </w:tcPr>
          <w:p w:rsidR="009F468D" w:rsidRPr="00E85510" w:rsidRDefault="009F468D" w:rsidP="003B3504">
            <w:pPr>
              <w:autoSpaceDE w:val="0"/>
              <w:autoSpaceDN w:val="0"/>
              <w:adjustRightInd w:val="0"/>
              <w:spacing w:after="0" w:line="240" w:lineRule="auto"/>
              <w:jc w:val="both"/>
              <w:rPr>
                <w:sz w:val="20"/>
                <w:szCs w:val="20"/>
              </w:rPr>
            </w:pPr>
            <w:r w:rsidRPr="00E85510">
              <w:rPr>
                <w:sz w:val="20"/>
                <w:szCs w:val="20"/>
              </w:rPr>
              <w:t>Lifetime</w:t>
            </w:r>
          </w:p>
        </w:tc>
        <w:tc>
          <w:tcPr>
            <w:tcW w:w="2936" w:type="dxa"/>
          </w:tcPr>
          <w:p w:rsidR="009F468D" w:rsidRPr="00E85510" w:rsidRDefault="009F468D" w:rsidP="003B3504">
            <w:pPr>
              <w:autoSpaceDE w:val="0"/>
              <w:autoSpaceDN w:val="0"/>
              <w:adjustRightInd w:val="0"/>
              <w:spacing w:after="0" w:line="240" w:lineRule="auto"/>
              <w:jc w:val="both"/>
              <w:rPr>
                <w:sz w:val="20"/>
                <w:szCs w:val="20"/>
              </w:rPr>
            </w:pPr>
            <w:r w:rsidRPr="00E85510">
              <w:rPr>
                <w:sz w:val="20"/>
                <w:szCs w:val="20"/>
              </w:rPr>
              <w:t>25 y</w:t>
            </w:r>
            <w:r>
              <w:rPr>
                <w:sz w:val="20"/>
                <w:szCs w:val="20"/>
              </w:rPr>
              <w:t xml:space="preserve">ears </w:t>
            </w:r>
          </w:p>
        </w:tc>
      </w:tr>
      <w:tr w:rsidR="009F468D" w:rsidRPr="00E85510" w:rsidTr="003B3504">
        <w:trPr>
          <w:trHeight w:val="290"/>
        </w:trPr>
        <w:tc>
          <w:tcPr>
            <w:tcW w:w="1750" w:type="dxa"/>
          </w:tcPr>
          <w:p w:rsidR="009F468D" w:rsidRPr="00E85510" w:rsidRDefault="009F468D" w:rsidP="003B3504">
            <w:pPr>
              <w:autoSpaceDE w:val="0"/>
              <w:autoSpaceDN w:val="0"/>
              <w:adjustRightInd w:val="0"/>
              <w:spacing w:after="0" w:line="240" w:lineRule="auto"/>
              <w:jc w:val="both"/>
              <w:rPr>
                <w:sz w:val="20"/>
                <w:szCs w:val="20"/>
              </w:rPr>
            </w:pPr>
          </w:p>
        </w:tc>
        <w:tc>
          <w:tcPr>
            <w:tcW w:w="5120" w:type="dxa"/>
          </w:tcPr>
          <w:p w:rsidR="009F468D" w:rsidRPr="00E85510" w:rsidRDefault="009F468D" w:rsidP="003B3504">
            <w:pPr>
              <w:autoSpaceDE w:val="0"/>
              <w:autoSpaceDN w:val="0"/>
              <w:adjustRightInd w:val="0"/>
              <w:spacing w:after="0" w:line="240" w:lineRule="auto"/>
              <w:jc w:val="both"/>
              <w:rPr>
                <w:sz w:val="20"/>
                <w:szCs w:val="20"/>
              </w:rPr>
            </w:pPr>
            <w:r w:rsidRPr="00E85510">
              <w:rPr>
                <w:sz w:val="20"/>
                <w:szCs w:val="20"/>
              </w:rPr>
              <w:t>No</w:t>
            </w:r>
            <w:r>
              <w:rPr>
                <w:sz w:val="20"/>
                <w:szCs w:val="20"/>
              </w:rPr>
              <w:t>.</w:t>
            </w:r>
            <w:r w:rsidRPr="00E85510">
              <w:rPr>
                <w:sz w:val="20"/>
                <w:szCs w:val="20"/>
              </w:rPr>
              <w:t xml:space="preserve"> of Habitats </w:t>
            </w:r>
          </w:p>
        </w:tc>
        <w:tc>
          <w:tcPr>
            <w:tcW w:w="2936" w:type="dxa"/>
          </w:tcPr>
          <w:p w:rsidR="009F468D" w:rsidRPr="00E85510" w:rsidRDefault="009F468D" w:rsidP="003B3504">
            <w:pPr>
              <w:autoSpaceDE w:val="0"/>
              <w:autoSpaceDN w:val="0"/>
              <w:adjustRightInd w:val="0"/>
              <w:spacing w:after="0" w:line="240" w:lineRule="auto"/>
              <w:jc w:val="both"/>
              <w:rPr>
                <w:sz w:val="20"/>
                <w:szCs w:val="20"/>
              </w:rPr>
            </w:pPr>
            <w:r w:rsidRPr="00E85510">
              <w:rPr>
                <w:sz w:val="20"/>
                <w:szCs w:val="20"/>
              </w:rPr>
              <w:t>43 for ERF, 58 CDMP habitats</w:t>
            </w:r>
          </w:p>
        </w:tc>
      </w:tr>
      <w:tr w:rsidR="009F468D" w:rsidRPr="00E85510" w:rsidTr="003B3504">
        <w:trPr>
          <w:trHeight w:val="290"/>
        </w:trPr>
        <w:tc>
          <w:tcPr>
            <w:tcW w:w="1750" w:type="dxa"/>
          </w:tcPr>
          <w:p w:rsidR="009F468D" w:rsidRPr="00E85510" w:rsidRDefault="009F468D" w:rsidP="003B3504">
            <w:pPr>
              <w:autoSpaceDE w:val="0"/>
              <w:autoSpaceDN w:val="0"/>
              <w:adjustRightInd w:val="0"/>
              <w:spacing w:after="0" w:line="240" w:lineRule="auto"/>
              <w:jc w:val="both"/>
              <w:rPr>
                <w:sz w:val="20"/>
                <w:szCs w:val="20"/>
              </w:rPr>
            </w:pPr>
          </w:p>
        </w:tc>
        <w:tc>
          <w:tcPr>
            <w:tcW w:w="5120" w:type="dxa"/>
          </w:tcPr>
          <w:p w:rsidR="009F468D" w:rsidRPr="00E85510" w:rsidRDefault="009F468D" w:rsidP="003B3504">
            <w:pPr>
              <w:autoSpaceDE w:val="0"/>
              <w:autoSpaceDN w:val="0"/>
              <w:adjustRightInd w:val="0"/>
              <w:spacing w:after="0" w:line="240" w:lineRule="auto"/>
              <w:jc w:val="both"/>
              <w:rPr>
                <w:sz w:val="20"/>
                <w:szCs w:val="20"/>
              </w:rPr>
            </w:pPr>
            <w:r w:rsidRPr="00E85510">
              <w:rPr>
                <w:sz w:val="20"/>
                <w:szCs w:val="20"/>
              </w:rPr>
              <w:t>No</w:t>
            </w:r>
            <w:r>
              <w:rPr>
                <w:sz w:val="20"/>
                <w:szCs w:val="20"/>
              </w:rPr>
              <w:t>.</w:t>
            </w:r>
            <w:r w:rsidRPr="00E85510">
              <w:rPr>
                <w:sz w:val="20"/>
                <w:szCs w:val="20"/>
              </w:rPr>
              <w:t xml:space="preserve"> of people served </w:t>
            </w:r>
          </w:p>
        </w:tc>
        <w:tc>
          <w:tcPr>
            <w:tcW w:w="2936" w:type="dxa"/>
          </w:tcPr>
          <w:p w:rsidR="009F468D" w:rsidRPr="00E85510" w:rsidRDefault="009F468D" w:rsidP="003B3504">
            <w:pPr>
              <w:autoSpaceDE w:val="0"/>
              <w:autoSpaceDN w:val="0"/>
              <w:adjustRightInd w:val="0"/>
              <w:spacing w:after="0" w:line="240" w:lineRule="auto"/>
              <w:jc w:val="both"/>
              <w:rPr>
                <w:sz w:val="20"/>
                <w:szCs w:val="20"/>
              </w:rPr>
            </w:pPr>
            <w:r w:rsidRPr="00E85510">
              <w:rPr>
                <w:sz w:val="20"/>
                <w:szCs w:val="20"/>
              </w:rPr>
              <w:t xml:space="preserve">200 for ERF, 300 for CDMP </w:t>
            </w:r>
          </w:p>
        </w:tc>
      </w:tr>
      <w:tr w:rsidR="009F468D" w:rsidRPr="00E85510" w:rsidTr="003B3504">
        <w:trPr>
          <w:trHeight w:val="290"/>
        </w:trPr>
        <w:tc>
          <w:tcPr>
            <w:tcW w:w="1750" w:type="dxa"/>
          </w:tcPr>
          <w:p w:rsidR="009F468D" w:rsidRPr="00E85510" w:rsidRDefault="009F468D" w:rsidP="003B3504">
            <w:pPr>
              <w:autoSpaceDE w:val="0"/>
              <w:autoSpaceDN w:val="0"/>
              <w:adjustRightInd w:val="0"/>
              <w:spacing w:after="0" w:line="240" w:lineRule="auto"/>
              <w:jc w:val="both"/>
              <w:rPr>
                <w:sz w:val="20"/>
                <w:szCs w:val="20"/>
              </w:rPr>
            </w:pPr>
          </w:p>
        </w:tc>
        <w:tc>
          <w:tcPr>
            <w:tcW w:w="5120" w:type="dxa"/>
          </w:tcPr>
          <w:p w:rsidR="009F468D" w:rsidRPr="00E85510" w:rsidRDefault="009F468D" w:rsidP="003B3504">
            <w:pPr>
              <w:autoSpaceDE w:val="0"/>
              <w:autoSpaceDN w:val="0"/>
              <w:adjustRightInd w:val="0"/>
              <w:spacing w:after="0" w:line="240" w:lineRule="auto"/>
              <w:jc w:val="both"/>
              <w:rPr>
                <w:sz w:val="20"/>
                <w:szCs w:val="20"/>
              </w:rPr>
            </w:pPr>
            <w:r w:rsidRPr="00E85510">
              <w:rPr>
                <w:sz w:val="20"/>
                <w:szCs w:val="20"/>
              </w:rPr>
              <w:t>Discount rate</w:t>
            </w:r>
          </w:p>
        </w:tc>
        <w:tc>
          <w:tcPr>
            <w:tcW w:w="2936" w:type="dxa"/>
          </w:tcPr>
          <w:p w:rsidR="009F468D" w:rsidRPr="00E85510" w:rsidRDefault="009F468D" w:rsidP="003B3504">
            <w:pPr>
              <w:autoSpaceDE w:val="0"/>
              <w:autoSpaceDN w:val="0"/>
              <w:adjustRightInd w:val="0"/>
              <w:spacing w:after="0" w:line="240" w:lineRule="auto"/>
              <w:jc w:val="both"/>
              <w:rPr>
                <w:sz w:val="20"/>
                <w:szCs w:val="20"/>
              </w:rPr>
            </w:pPr>
            <w:r w:rsidRPr="00E85510">
              <w:rPr>
                <w:sz w:val="20"/>
                <w:szCs w:val="20"/>
              </w:rPr>
              <w:t>12%</w:t>
            </w:r>
          </w:p>
        </w:tc>
      </w:tr>
      <w:tr w:rsidR="009F468D" w:rsidRPr="00E85510" w:rsidTr="003B3504">
        <w:trPr>
          <w:trHeight w:val="290"/>
        </w:trPr>
        <w:tc>
          <w:tcPr>
            <w:tcW w:w="1750" w:type="dxa"/>
          </w:tcPr>
          <w:p w:rsidR="009F468D" w:rsidRPr="00E85510" w:rsidRDefault="009F468D" w:rsidP="003B3504">
            <w:pPr>
              <w:autoSpaceDE w:val="0"/>
              <w:autoSpaceDN w:val="0"/>
              <w:adjustRightInd w:val="0"/>
              <w:spacing w:after="0" w:line="240" w:lineRule="auto"/>
              <w:jc w:val="both"/>
              <w:rPr>
                <w:sz w:val="20"/>
                <w:szCs w:val="20"/>
              </w:rPr>
            </w:pPr>
          </w:p>
        </w:tc>
        <w:tc>
          <w:tcPr>
            <w:tcW w:w="5120" w:type="dxa"/>
          </w:tcPr>
          <w:p w:rsidR="009F468D" w:rsidRPr="00E85510" w:rsidRDefault="009F468D" w:rsidP="003B3504">
            <w:pPr>
              <w:autoSpaceDE w:val="0"/>
              <w:autoSpaceDN w:val="0"/>
              <w:adjustRightInd w:val="0"/>
              <w:spacing w:after="0" w:line="240" w:lineRule="auto"/>
              <w:jc w:val="both"/>
              <w:rPr>
                <w:sz w:val="20"/>
                <w:szCs w:val="20"/>
              </w:rPr>
            </w:pPr>
            <w:r w:rsidRPr="00E85510">
              <w:rPr>
                <w:sz w:val="20"/>
                <w:szCs w:val="20"/>
              </w:rPr>
              <w:t xml:space="preserve">Assumed changes in exposure and thus losses </w:t>
            </w:r>
          </w:p>
        </w:tc>
        <w:tc>
          <w:tcPr>
            <w:tcW w:w="2936" w:type="dxa"/>
          </w:tcPr>
          <w:p w:rsidR="009F468D" w:rsidRPr="00E85510" w:rsidRDefault="009F468D" w:rsidP="003B3504">
            <w:pPr>
              <w:autoSpaceDE w:val="0"/>
              <w:autoSpaceDN w:val="0"/>
              <w:adjustRightInd w:val="0"/>
              <w:spacing w:after="0" w:line="240" w:lineRule="auto"/>
              <w:jc w:val="both"/>
              <w:rPr>
                <w:sz w:val="20"/>
                <w:szCs w:val="20"/>
              </w:rPr>
            </w:pPr>
            <w:r w:rsidRPr="00E85510">
              <w:rPr>
                <w:sz w:val="20"/>
                <w:szCs w:val="20"/>
              </w:rPr>
              <w:t>5%</w:t>
            </w:r>
          </w:p>
        </w:tc>
      </w:tr>
    </w:tbl>
    <w:p w:rsidR="009F468D" w:rsidRDefault="009F468D" w:rsidP="009F468D">
      <w:pPr>
        <w:spacing w:line="240" w:lineRule="auto"/>
        <w:jc w:val="both"/>
        <w:rPr>
          <w:sz w:val="20"/>
          <w:szCs w:val="20"/>
        </w:rPr>
      </w:pPr>
    </w:p>
    <w:p w:rsidR="009F468D" w:rsidRDefault="009F468D" w:rsidP="009F468D">
      <w:pPr>
        <w:spacing w:line="240" w:lineRule="auto"/>
        <w:jc w:val="both"/>
        <w:rPr>
          <w:sz w:val="20"/>
          <w:szCs w:val="20"/>
        </w:rPr>
      </w:pPr>
    </w:p>
    <w:p w:rsidR="009F468D" w:rsidRDefault="009F468D" w:rsidP="009F468D">
      <w:pPr>
        <w:spacing w:line="240" w:lineRule="auto"/>
        <w:jc w:val="both"/>
        <w:rPr>
          <w:sz w:val="20"/>
          <w:szCs w:val="20"/>
        </w:rPr>
      </w:pPr>
    </w:p>
    <w:p w:rsidR="009F468D" w:rsidRDefault="009F468D" w:rsidP="009F468D">
      <w:pPr>
        <w:spacing w:line="240" w:lineRule="auto"/>
        <w:jc w:val="both"/>
        <w:rPr>
          <w:sz w:val="20"/>
          <w:szCs w:val="20"/>
        </w:rPr>
      </w:pPr>
    </w:p>
    <w:p w:rsidR="009F468D" w:rsidRDefault="009F468D" w:rsidP="009F468D">
      <w:pPr>
        <w:spacing w:line="240" w:lineRule="auto"/>
        <w:jc w:val="both"/>
        <w:rPr>
          <w:sz w:val="20"/>
          <w:szCs w:val="20"/>
        </w:rPr>
      </w:pPr>
    </w:p>
    <w:p w:rsidR="003B3504" w:rsidRDefault="003B3504" w:rsidP="009F468D">
      <w:pPr>
        <w:spacing w:line="240" w:lineRule="auto"/>
        <w:jc w:val="both"/>
        <w:rPr>
          <w:sz w:val="20"/>
          <w:szCs w:val="20"/>
        </w:rPr>
      </w:pPr>
    </w:p>
    <w:p w:rsidR="003B3504" w:rsidRDefault="003B3504" w:rsidP="009F468D">
      <w:pPr>
        <w:spacing w:line="240" w:lineRule="auto"/>
        <w:jc w:val="both"/>
        <w:rPr>
          <w:sz w:val="20"/>
          <w:szCs w:val="20"/>
        </w:rPr>
      </w:pPr>
    </w:p>
    <w:p w:rsidR="003B3504" w:rsidRDefault="003B3504" w:rsidP="009F468D">
      <w:pPr>
        <w:spacing w:line="240" w:lineRule="auto"/>
        <w:jc w:val="both"/>
        <w:rPr>
          <w:sz w:val="20"/>
          <w:szCs w:val="20"/>
        </w:rPr>
      </w:pPr>
    </w:p>
    <w:p w:rsidR="003B3504" w:rsidRDefault="003B3504" w:rsidP="009F468D">
      <w:pPr>
        <w:spacing w:line="240" w:lineRule="auto"/>
        <w:jc w:val="both"/>
        <w:rPr>
          <w:sz w:val="20"/>
          <w:szCs w:val="20"/>
        </w:rPr>
      </w:pPr>
    </w:p>
    <w:p w:rsidR="003B3504" w:rsidRDefault="003B3504" w:rsidP="009F468D">
      <w:pPr>
        <w:spacing w:line="240" w:lineRule="auto"/>
        <w:jc w:val="both"/>
        <w:rPr>
          <w:sz w:val="20"/>
          <w:szCs w:val="20"/>
        </w:rPr>
      </w:pPr>
    </w:p>
    <w:p w:rsidR="003B3504" w:rsidRDefault="003B3504" w:rsidP="009F468D">
      <w:pPr>
        <w:spacing w:line="240" w:lineRule="auto"/>
        <w:jc w:val="both"/>
        <w:rPr>
          <w:sz w:val="20"/>
          <w:szCs w:val="20"/>
        </w:rPr>
      </w:pPr>
    </w:p>
    <w:p w:rsidR="003B3504" w:rsidRPr="00E85510" w:rsidRDefault="003B3504" w:rsidP="009F468D">
      <w:pPr>
        <w:spacing w:line="240" w:lineRule="auto"/>
        <w:jc w:val="both"/>
        <w:rPr>
          <w:sz w:val="20"/>
          <w:szCs w:val="20"/>
        </w:rPr>
      </w:pPr>
    </w:p>
    <w:p w:rsidR="009F468D" w:rsidRPr="00E85510" w:rsidRDefault="009F468D" w:rsidP="009F468D">
      <w:pPr>
        <w:spacing w:line="300" w:lineRule="auto"/>
        <w:jc w:val="both"/>
        <w:rPr>
          <w:b/>
          <w:sz w:val="20"/>
          <w:szCs w:val="20"/>
          <w:lang w:val="fr-FR"/>
        </w:rPr>
      </w:pPr>
      <w:r w:rsidRPr="00E85510">
        <w:rPr>
          <w:b/>
          <w:sz w:val="20"/>
          <w:szCs w:val="20"/>
          <w:lang w:val="fr-FR"/>
        </w:rPr>
        <w:lastRenderedPageBreak/>
        <w:t>3-F Model</w:t>
      </w:r>
    </w:p>
    <w:tbl>
      <w:tblPr>
        <w:tblW w:w="98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4760"/>
        <w:gridCol w:w="3296"/>
      </w:tblGrid>
      <w:tr w:rsidR="009F468D" w:rsidRPr="00E85510" w:rsidTr="003B3504">
        <w:trPr>
          <w:trHeight w:val="362"/>
        </w:trPr>
        <w:tc>
          <w:tcPr>
            <w:tcW w:w="6510" w:type="dxa"/>
            <w:gridSpan w:val="2"/>
          </w:tcPr>
          <w:p w:rsidR="009F468D" w:rsidRPr="00E85510" w:rsidRDefault="009F468D" w:rsidP="003B3504">
            <w:pPr>
              <w:autoSpaceDE w:val="0"/>
              <w:autoSpaceDN w:val="0"/>
              <w:adjustRightInd w:val="0"/>
              <w:spacing w:after="0" w:line="240" w:lineRule="auto"/>
              <w:jc w:val="both"/>
              <w:rPr>
                <w:b/>
                <w:bCs/>
                <w:sz w:val="20"/>
                <w:szCs w:val="20"/>
              </w:rPr>
            </w:pPr>
            <w:r w:rsidRPr="00E85510">
              <w:rPr>
                <w:b/>
                <w:bCs/>
                <w:sz w:val="20"/>
                <w:szCs w:val="20"/>
              </w:rPr>
              <w:t>Economic efficiency calculations</w:t>
            </w:r>
          </w:p>
        </w:tc>
        <w:tc>
          <w:tcPr>
            <w:tcW w:w="3296" w:type="dxa"/>
            <w:vMerge w:val="restart"/>
          </w:tcPr>
          <w:p w:rsidR="009F468D" w:rsidRPr="00E85510" w:rsidRDefault="009F468D" w:rsidP="003B3504">
            <w:pPr>
              <w:autoSpaceDE w:val="0"/>
              <w:autoSpaceDN w:val="0"/>
              <w:adjustRightInd w:val="0"/>
              <w:spacing w:after="0" w:line="240" w:lineRule="auto"/>
              <w:jc w:val="both"/>
              <w:rPr>
                <w:b/>
                <w:bCs/>
                <w:sz w:val="20"/>
                <w:szCs w:val="20"/>
              </w:rPr>
            </w:pPr>
          </w:p>
        </w:tc>
      </w:tr>
      <w:tr w:rsidR="009F468D" w:rsidRPr="00E85510" w:rsidTr="003B3504">
        <w:trPr>
          <w:trHeight w:val="290"/>
        </w:trPr>
        <w:tc>
          <w:tcPr>
            <w:tcW w:w="1750" w:type="dxa"/>
          </w:tcPr>
          <w:p w:rsidR="009F468D" w:rsidRPr="00E85510" w:rsidRDefault="009F468D" w:rsidP="003B3504">
            <w:pPr>
              <w:autoSpaceDE w:val="0"/>
              <w:autoSpaceDN w:val="0"/>
              <w:adjustRightInd w:val="0"/>
              <w:spacing w:after="0" w:line="240" w:lineRule="auto"/>
              <w:rPr>
                <w:sz w:val="20"/>
                <w:szCs w:val="20"/>
              </w:rPr>
            </w:pPr>
            <w:r w:rsidRPr="00E85510">
              <w:rPr>
                <w:sz w:val="20"/>
                <w:szCs w:val="20"/>
              </w:rPr>
              <w:t>Definition</w:t>
            </w:r>
          </w:p>
        </w:tc>
        <w:tc>
          <w:tcPr>
            <w:tcW w:w="4760" w:type="dxa"/>
          </w:tcPr>
          <w:p w:rsidR="009F468D" w:rsidRPr="00E85510" w:rsidRDefault="009F468D" w:rsidP="003B3504">
            <w:pPr>
              <w:autoSpaceDE w:val="0"/>
              <w:autoSpaceDN w:val="0"/>
              <w:adjustRightInd w:val="0"/>
              <w:spacing w:after="0" w:line="240" w:lineRule="auto"/>
              <w:rPr>
                <w:sz w:val="20"/>
                <w:szCs w:val="20"/>
              </w:rPr>
            </w:pPr>
            <w:r w:rsidRPr="00E85510">
              <w:rPr>
                <w:sz w:val="20"/>
                <w:szCs w:val="20"/>
              </w:rPr>
              <w:t>Efficiency criteria</w:t>
            </w:r>
          </w:p>
        </w:tc>
        <w:tc>
          <w:tcPr>
            <w:tcW w:w="3296" w:type="dxa"/>
            <w:vMerge/>
          </w:tcPr>
          <w:p w:rsidR="009F468D" w:rsidRPr="00E85510" w:rsidRDefault="009F468D" w:rsidP="003B3504">
            <w:pPr>
              <w:autoSpaceDE w:val="0"/>
              <w:autoSpaceDN w:val="0"/>
              <w:adjustRightInd w:val="0"/>
              <w:spacing w:after="0" w:line="240" w:lineRule="auto"/>
              <w:rPr>
                <w:sz w:val="20"/>
                <w:szCs w:val="20"/>
              </w:rPr>
            </w:pPr>
          </w:p>
        </w:tc>
      </w:tr>
      <w:tr w:rsidR="009F468D" w:rsidRPr="00E85510" w:rsidTr="003B3504">
        <w:trPr>
          <w:trHeight w:val="290"/>
        </w:trPr>
        <w:tc>
          <w:tcPr>
            <w:tcW w:w="1750" w:type="dxa"/>
          </w:tcPr>
          <w:p w:rsidR="009F468D" w:rsidRPr="00E85510" w:rsidRDefault="009F468D" w:rsidP="003B3504">
            <w:pPr>
              <w:autoSpaceDE w:val="0"/>
              <w:autoSpaceDN w:val="0"/>
              <w:adjustRightInd w:val="0"/>
              <w:spacing w:after="0" w:line="240" w:lineRule="auto"/>
              <w:rPr>
                <w:sz w:val="20"/>
                <w:szCs w:val="20"/>
              </w:rPr>
            </w:pPr>
            <w:r w:rsidRPr="00E85510">
              <w:rPr>
                <w:sz w:val="20"/>
                <w:szCs w:val="20"/>
              </w:rPr>
              <w:t xml:space="preserve">Approach </w:t>
            </w:r>
          </w:p>
        </w:tc>
        <w:tc>
          <w:tcPr>
            <w:tcW w:w="4760" w:type="dxa"/>
          </w:tcPr>
          <w:p w:rsidR="009F468D" w:rsidRPr="00E85510" w:rsidRDefault="009F468D" w:rsidP="003B3504">
            <w:pPr>
              <w:autoSpaceDE w:val="0"/>
              <w:autoSpaceDN w:val="0"/>
              <w:adjustRightInd w:val="0"/>
              <w:spacing w:after="0" w:line="240" w:lineRule="auto"/>
              <w:rPr>
                <w:sz w:val="20"/>
                <w:szCs w:val="20"/>
              </w:rPr>
            </w:pPr>
            <w:r w:rsidRPr="00E85510">
              <w:rPr>
                <w:sz w:val="20"/>
                <w:szCs w:val="20"/>
              </w:rPr>
              <w:t>Before-After, With-Without  - Income benefits :</w:t>
            </w:r>
            <w:smartTag w:uri="urn:schemas-microsoft-com:office:smarttags" w:element="place">
              <w:r w:rsidRPr="00E85510">
                <w:rPr>
                  <w:sz w:val="20"/>
                  <w:szCs w:val="20"/>
                </w:rPr>
                <w:t>Forest</w:t>
              </w:r>
            </w:smartTag>
            <w:r w:rsidRPr="00E85510">
              <w:rPr>
                <w:sz w:val="20"/>
                <w:szCs w:val="20"/>
              </w:rPr>
              <w:t>, Fish, Fruits/Vegetables</w:t>
            </w:r>
          </w:p>
        </w:tc>
        <w:tc>
          <w:tcPr>
            <w:tcW w:w="3296" w:type="dxa"/>
          </w:tcPr>
          <w:p w:rsidR="009F468D" w:rsidRPr="00B860C6" w:rsidRDefault="009F468D" w:rsidP="003B3504">
            <w:pPr>
              <w:autoSpaceDE w:val="0"/>
              <w:autoSpaceDN w:val="0"/>
              <w:adjustRightInd w:val="0"/>
              <w:spacing w:after="0" w:line="240" w:lineRule="auto"/>
              <w:rPr>
                <w:sz w:val="20"/>
                <w:szCs w:val="20"/>
              </w:rPr>
            </w:pPr>
            <w:r w:rsidRPr="00B860C6">
              <w:rPr>
                <w:sz w:val="20"/>
                <w:szCs w:val="20"/>
              </w:rPr>
              <w:t>Field investigation; Nandi</w:t>
            </w:r>
            <w:r>
              <w:rPr>
                <w:rStyle w:val="FootnoteReference"/>
                <w:sz w:val="20"/>
                <w:szCs w:val="20"/>
              </w:rPr>
              <w:footnoteReference w:id="89"/>
            </w:r>
            <w:r>
              <w:rPr>
                <w:sz w:val="20"/>
                <w:szCs w:val="20"/>
              </w:rPr>
              <w:t>,</w:t>
            </w:r>
            <w:r>
              <w:rPr>
                <w:rStyle w:val="FootnoteReference"/>
                <w:sz w:val="20"/>
                <w:szCs w:val="20"/>
              </w:rPr>
              <w:footnoteReference w:id="90"/>
            </w:r>
            <w:r w:rsidRPr="00B860C6">
              <w:rPr>
                <w:sz w:val="20"/>
                <w:szCs w:val="20"/>
              </w:rPr>
              <w:t>and Islam and Mechler</w:t>
            </w:r>
            <w:r>
              <w:rPr>
                <w:sz w:val="20"/>
                <w:szCs w:val="20"/>
              </w:rPr>
              <w:t>.</w:t>
            </w:r>
            <w:r>
              <w:rPr>
                <w:rStyle w:val="FootnoteReference"/>
                <w:sz w:val="20"/>
                <w:szCs w:val="20"/>
              </w:rPr>
              <w:footnoteReference w:id="91"/>
            </w:r>
            <w:r w:rsidRPr="00B860C6">
              <w:rPr>
                <w:sz w:val="20"/>
                <w:szCs w:val="20"/>
              </w:rPr>
              <w:t xml:space="preserve"> (2007)</w:t>
            </w:r>
          </w:p>
        </w:tc>
      </w:tr>
      <w:tr w:rsidR="009F468D" w:rsidRPr="00E85510" w:rsidTr="003B3504">
        <w:trPr>
          <w:trHeight w:val="290"/>
        </w:trPr>
        <w:tc>
          <w:tcPr>
            <w:tcW w:w="1750" w:type="dxa"/>
          </w:tcPr>
          <w:p w:rsidR="009F468D" w:rsidRPr="00E85510" w:rsidRDefault="009F468D" w:rsidP="003B3504">
            <w:pPr>
              <w:autoSpaceDE w:val="0"/>
              <w:autoSpaceDN w:val="0"/>
              <w:adjustRightInd w:val="0"/>
              <w:spacing w:after="0" w:line="240" w:lineRule="auto"/>
              <w:rPr>
                <w:sz w:val="20"/>
                <w:szCs w:val="20"/>
              </w:rPr>
            </w:pPr>
            <w:r w:rsidRPr="00E85510">
              <w:rPr>
                <w:sz w:val="20"/>
                <w:szCs w:val="20"/>
              </w:rPr>
              <w:t>Description</w:t>
            </w:r>
          </w:p>
        </w:tc>
        <w:tc>
          <w:tcPr>
            <w:tcW w:w="4760" w:type="dxa"/>
          </w:tcPr>
          <w:p w:rsidR="009F468D" w:rsidRPr="00E85510" w:rsidRDefault="009F468D" w:rsidP="003B3504">
            <w:pPr>
              <w:autoSpaceDE w:val="0"/>
              <w:autoSpaceDN w:val="0"/>
              <w:adjustRightInd w:val="0"/>
              <w:spacing w:after="0" w:line="240" w:lineRule="auto"/>
              <w:rPr>
                <w:sz w:val="20"/>
                <w:szCs w:val="20"/>
              </w:rPr>
            </w:pPr>
            <w:r w:rsidRPr="00E85510">
              <w:rPr>
                <w:sz w:val="20"/>
                <w:szCs w:val="20"/>
              </w:rPr>
              <w:t xml:space="preserve">Calculation of efficiency in terms if </w:t>
            </w:r>
            <w:r w:rsidRPr="00E85510">
              <w:rPr>
                <w:b/>
                <w:sz w:val="20"/>
                <w:szCs w:val="20"/>
              </w:rPr>
              <w:t>net present value (NPV), B/C ratio, or expected internal rate of return</w:t>
            </w:r>
            <w:r w:rsidRPr="00E85510">
              <w:rPr>
                <w:sz w:val="20"/>
                <w:szCs w:val="20"/>
              </w:rPr>
              <w:t>. Important to discount costs and benefits over time.</w:t>
            </w:r>
          </w:p>
        </w:tc>
        <w:tc>
          <w:tcPr>
            <w:tcW w:w="3296" w:type="dxa"/>
          </w:tcPr>
          <w:p w:rsidR="009F468D" w:rsidRPr="00B860C6" w:rsidRDefault="009F468D" w:rsidP="003B3504">
            <w:pPr>
              <w:autoSpaceDE w:val="0"/>
              <w:autoSpaceDN w:val="0"/>
              <w:adjustRightInd w:val="0"/>
              <w:spacing w:after="0" w:line="240" w:lineRule="auto"/>
              <w:rPr>
                <w:sz w:val="20"/>
                <w:szCs w:val="20"/>
              </w:rPr>
            </w:pPr>
          </w:p>
        </w:tc>
      </w:tr>
      <w:tr w:rsidR="009F468D" w:rsidRPr="00E85510" w:rsidTr="003B3504">
        <w:trPr>
          <w:trHeight w:val="732"/>
        </w:trPr>
        <w:tc>
          <w:tcPr>
            <w:tcW w:w="1750" w:type="dxa"/>
          </w:tcPr>
          <w:p w:rsidR="009F468D" w:rsidRPr="00E85510" w:rsidRDefault="009F468D" w:rsidP="003B3504">
            <w:pPr>
              <w:autoSpaceDE w:val="0"/>
              <w:autoSpaceDN w:val="0"/>
              <w:adjustRightInd w:val="0"/>
              <w:spacing w:after="0" w:line="240" w:lineRule="auto"/>
              <w:rPr>
                <w:sz w:val="20"/>
                <w:szCs w:val="20"/>
              </w:rPr>
            </w:pPr>
            <w:r w:rsidRPr="00E85510">
              <w:rPr>
                <w:sz w:val="20"/>
                <w:szCs w:val="20"/>
              </w:rPr>
              <w:t>Inputs</w:t>
            </w:r>
          </w:p>
        </w:tc>
        <w:tc>
          <w:tcPr>
            <w:tcW w:w="4760" w:type="dxa"/>
          </w:tcPr>
          <w:p w:rsidR="009F468D" w:rsidRPr="00E85510" w:rsidRDefault="009F468D" w:rsidP="003B3504">
            <w:pPr>
              <w:autoSpaceDE w:val="0"/>
              <w:autoSpaceDN w:val="0"/>
              <w:adjustRightInd w:val="0"/>
              <w:spacing w:after="0" w:line="240" w:lineRule="auto"/>
              <w:rPr>
                <w:sz w:val="20"/>
                <w:szCs w:val="20"/>
              </w:rPr>
            </w:pPr>
            <w:r w:rsidRPr="00E85510">
              <w:rPr>
                <w:sz w:val="20"/>
                <w:szCs w:val="20"/>
              </w:rPr>
              <w:t>Costs of project</w:t>
            </w:r>
          </w:p>
        </w:tc>
        <w:tc>
          <w:tcPr>
            <w:tcW w:w="3296" w:type="dxa"/>
          </w:tcPr>
          <w:p w:rsidR="009F468D" w:rsidRPr="00B860C6" w:rsidRDefault="009F468D" w:rsidP="003B3504">
            <w:pPr>
              <w:autoSpaceDE w:val="0"/>
              <w:autoSpaceDN w:val="0"/>
              <w:adjustRightInd w:val="0"/>
              <w:spacing w:after="0" w:line="240" w:lineRule="auto"/>
              <w:rPr>
                <w:sz w:val="20"/>
                <w:szCs w:val="20"/>
              </w:rPr>
            </w:pPr>
            <w:r>
              <w:rPr>
                <w:sz w:val="20"/>
                <w:szCs w:val="20"/>
              </w:rPr>
              <w:t>e.g.</w:t>
            </w:r>
            <w:r w:rsidRPr="00B860C6">
              <w:rPr>
                <w:sz w:val="20"/>
                <w:szCs w:val="20"/>
              </w:rPr>
              <w:t xml:space="preserve"> Cleaning, Demarcation, Dy</w:t>
            </w:r>
            <w:r>
              <w:rPr>
                <w:sz w:val="20"/>
                <w:szCs w:val="20"/>
              </w:rPr>
              <w:t>k</w:t>
            </w:r>
            <w:r w:rsidRPr="00B860C6">
              <w:rPr>
                <w:sz w:val="20"/>
                <w:szCs w:val="20"/>
              </w:rPr>
              <w:t>e Construction, Raising &amp; Planting Seedling  for both vegetable and fruit; Land is free</w:t>
            </w:r>
          </w:p>
        </w:tc>
      </w:tr>
      <w:tr w:rsidR="009F468D" w:rsidRPr="00E85510" w:rsidTr="003B3504">
        <w:trPr>
          <w:trHeight w:val="345"/>
        </w:trPr>
        <w:tc>
          <w:tcPr>
            <w:tcW w:w="1750" w:type="dxa"/>
          </w:tcPr>
          <w:p w:rsidR="009F468D" w:rsidRPr="00E85510" w:rsidRDefault="009F468D" w:rsidP="003B3504">
            <w:pPr>
              <w:autoSpaceDE w:val="0"/>
              <w:autoSpaceDN w:val="0"/>
              <w:adjustRightInd w:val="0"/>
              <w:spacing w:after="0" w:line="240" w:lineRule="auto"/>
              <w:rPr>
                <w:sz w:val="20"/>
                <w:szCs w:val="20"/>
              </w:rPr>
            </w:pPr>
          </w:p>
        </w:tc>
        <w:tc>
          <w:tcPr>
            <w:tcW w:w="4760" w:type="dxa"/>
          </w:tcPr>
          <w:p w:rsidR="009F468D" w:rsidRPr="00E85510" w:rsidRDefault="009F468D" w:rsidP="003B3504">
            <w:pPr>
              <w:autoSpaceDE w:val="0"/>
              <w:autoSpaceDN w:val="0"/>
              <w:adjustRightInd w:val="0"/>
              <w:spacing w:after="0" w:line="240" w:lineRule="auto"/>
              <w:rPr>
                <w:sz w:val="20"/>
                <w:szCs w:val="20"/>
              </w:rPr>
            </w:pPr>
            <w:r w:rsidRPr="00E85510">
              <w:rPr>
                <w:sz w:val="20"/>
                <w:szCs w:val="20"/>
              </w:rPr>
              <w:t xml:space="preserve">0 &amp; M </w:t>
            </w:r>
          </w:p>
        </w:tc>
        <w:tc>
          <w:tcPr>
            <w:tcW w:w="3296" w:type="dxa"/>
          </w:tcPr>
          <w:p w:rsidR="009F468D" w:rsidRPr="00B860C6" w:rsidRDefault="009F468D" w:rsidP="003B3504">
            <w:pPr>
              <w:autoSpaceDE w:val="0"/>
              <w:autoSpaceDN w:val="0"/>
              <w:adjustRightInd w:val="0"/>
              <w:spacing w:after="0" w:line="240" w:lineRule="auto"/>
              <w:rPr>
                <w:sz w:val="20"/>
                <w:szCs w:val="20"/>
              </w:rPr>
            </w:pPr>
            <w:r w:rsidRPr="00B860C6">
              <w:rPr>
                <w:sz w:val="20"/>
                <w:szCs w:val="20"/>
              </w:rPr>
              <w:t>5%</w:t>
            </w:r>
          </w:p>
        </w:tc>
      </w:tr>
      <w:tr w:rsidR="009F468D" w:rsidRPr="00E85510" w:rsidTr="003B3504">
        <w:trPr>
          <w:trHeight w:val="290"/>
        </w:trPr>
        <w:tc>
          <w:tcPr>
            <w:tcW w:w="1750" w:type="dxa"/>
          </w:tcPr>
          <w:p w:rsidR="009F468D" w:rsidRPr="00E85510" w:rsidRDefault="009F468D" w:rsidP="003B3504">
            <w:pPr>
              <w:autoSpaceDE w:val="0"/>
              <w:autoSpaceDN w:val="0"/>
              <w:adjustRightInd w:val="0"/>
              <w:spacing w:after="0" w:line="240" w:lineRule="auto"/>
              <w:rPr>
                <w:sz w:val="20"/>
                <w:szCs w:val="20"/>
              </w:rPr>
            </w:pPr>
          </w:p>
        </w:tc>
        <w:tc>
          <w:tcPr>
            <w:tcW w:w="4760" w:type="dxa"/>
          </w:tcPr>
          <w:p w:rsidR="009F468D" w:rsidRDefault="009F468D" w:rsidP="003B3504">
            <w:pPr>
              <w:autoSpaceDE w:val="0"/>
              <w:autoSpaceDN w:val="0"/>
              <w:adjustRightInd w:val="0"/>
              <w:spacing w:after="0" w:line="240" w:lineRule="auto"/>
              <w:rPr>
                <w:sz w:val="20"/>
                <w:szCs w:val="20"/>
              </w:rPr>
            </w:pPr>
            <w:r w:rsidRPr="00E85510">
              <w:rPr>
                <w:sz w:val="20"/>
                <w:szCs w:val="20"/>
              </w:rPr>
              <w:t>Potential loss/damage avoided = Benefits</w:t>
            </w:r>
          </w:p>
          <w:p w:rsidR="009F468D" w:rsidRDefault="009F468D" w:rsidP="003B3504">
            <w:pPr>
              <w:autoSpaceDE w:val="0"/>
              <w:autoSpaceDN w:val="0"/>
              <w:adjustRightInd w:val="0"/>
              <w:spacing w:after="0" w:line="240" w:lineRule="auto"/>
              <w:rPr>
                <w:sz w:val="20"/>
                <w:szCs w:val="20"/>
              </w:rPr>
            </w:pPr>
          </w:p>
          <w:p w:rsidR="009F468D" w:rsidRPr="00E85510" w:rsidRDefault="009F468D" w:rsidP="003B3504">
            <w:pPr>
              <w:autoSpaceDE w:val="0"/>
              <w:autoSpaceDN w:val="0"/>
              <w:adjustRightInd w:val="0"/>
              <w:spacing w:after="0" w:line="240" w:lineRule="auto"/>
              <w:rPr>
                <w:sz w:val="20"/>
                <w:szCs w:val="20"/>
              </w:rPr>
            </w:pPr>
          </w:p>
        </w:tc>
        <w:tc>
          <w:tcPr>
            <w:tcW w:w="3296" w:type="dxa"/>
          </w:tcPr>
          <w:p w:rsidR="009F468D" w:rsidRPr="00B860C6" w:rsidRDefault="009F468D" w:rsidP="003B3504">
            <w:pPr>
              <w:autoSpaceDE w:val="0"/>
              <w:autoSpaceDN w:val="0"/>
              <w:adjustRightInd w:val="0"/>
              <w:spacing w:after="0" w:line="240" w:lineRule="auto"/>
              <w:rPr>
                <w:sz w:val="20"/>
                <w:szCs w:val="20"/>
              </w:rPr>
            </w:pPr>
            <w:r w:rsidRPr="00B860C6">
              <w:rPr>
                <w:sz w:val="20"/>
                <w:szCs w:val="20"/>
              </w:rPr>
              <w:t>Income benefits from forests (fuel+timber), fish and fruits /vegetables  based on fie</w:t>
            </w:r>
            <w:r>
              <w:rPr>
                <w:sz w:val="20"/>
                <w:szCs w:val="20"/>
              </w:rPr>
              <w:t>ld investigation, and  Nandi.</w:t>
            </w:r>
            <w:r>
              <w:rPr>
                <w:rStyle w:val="FootnoteReference"/>
                <w:sz w:val="20"/>
                <w:szCs w:val="20"/>
              </w:rPr>
              <w:footnoteReference w:id="92"/>
            </w:r>
          </w:p>
          <w:p w:rsidR="009F468D" w:rsidRPr="00B860C6" w:rsidRDefault="009F468D" w:rsidP="003B3504">
            <w:pPr>
              <w:spacing w:after="0" w:line="240" w:lineRule="auto"/>
              <w:rPr>
                <w:sz w:val="20"/>
                <w:szCs w:val="20"/>
              </w:rPr>
            </w:pPr>
            <w:r w:rsidRPr="00B860C6">
              <w:rPr>
                <w:sz w:val="20"/>
                <w:szCs w:val="20"/>
              </w:rPr>
              <w:t xml:space="preserve">Carbon capture is considered in this analysis for those plants which survived after 15 years (considered 15% of those planted originally). The plants are assumed to exist for 10 years after that. So carbon capture </w:t>
            </w:r>
            <w:r>
              <w:rPr>
                <w:sz w:val="20"/>
                <w:szCs w:val="20"/>
              </w:rPr>
              <w:t xml:space="preserve">is considered to </w:t>
            </w:r>
            <w:r w:rsidRPr="00B860C6">
              <w:rPr>
                <w:sz w:val="20"/>
                <w:szCs w:val="20"/>
              </w:rPr>
              <w:t xml:space="preserve">continue </w:t>
            </w:r>
            <w:r>
              <w:rPr>
                <w:sz w:val="20"/>
                <w:szCs w:val="20"/>
              </w:rPr>
              <w:t>for</w:t>
            </w:r>
            <w:r w:rsidRPr="00B860C6">
              <w:rPr>
                <w:sz w:val="20"/>
                <w:szCs w:val="20"/>
              </w:rPr>
              <w:t xml:space="preserve"> 10 years. </w:t>
            </w:r>
          </w:p>
          <w:p w:rsidR="009F468D" w:rsidRPr="006F5BB1" w:rsidRDefault="009F468D" w:rsidP="003B3504">
            <w:pPr>
              <w:spacing w:after="0" w:line="240" w:lineRule="auto"/>
            </w:pPr>
            <w:r w:rsidRPr="00B860C6">
              <w:rPr>
                <w:sz w:val="20"/>
                <w:szCs w:val="20"/>
              </w:rPr>
              <w:t>Carbon sin</w:t>
            </w:r>
            <w:r>
              <w:rPr>
                <w:sz w:val="20"/>
                <w:szCs w:val="20"/>
              </w:rPr>
              <w:t>k</w:t>
            </w:r>
            <w:r w:rsidRPr="00B860C6">
              <w:rPr>
                <w:sz w:val="20"/>
                <w:szCs w:val="20"/>
              </w:rPr>
              <w:t xml:space="preserve"> in this analysis is considered to include only above-ground </w:t>
            </w:r>
            <w:r>
              <w:rPr>
                <w:sz w:val="20"/>
                <w:szCs w:val="20"/>
              </w:rPr>
              <w:t>sink</w:t>
            </w:r>
            <w:r w:rsidRPr="00B860C6">
              <w:rPr>
                <w:sz w:val="20"/>
                <w:szCs w:val="20"/>
              </w:rPr>
              <w:t>, without considering ground storage capacity. The amount of carbon sin</w:t>
            </w:r>
            <w:r>
              <w:rPr>
                <w:sz w:val="20"/>
                <w:szCs w:val="20"/>
              </w:rPr>
              <w:t>k</w:t>
            </w:r>
            <w:r w:rsidRPr="00B860C6">
              <w:rPr>
                <w:sz w:val="20"/>
                <w:szCs w:val="20"/>
              </w:rPr>
              <w:t xml:space="preserve"> per ha is estimated as 100 tons per ha annually</w:t>
            </w:r>
            <w:r w:rsidRPr="00E85510">
              <w:rPr>
                <w:sz w:val="20"/>
                <w:szCs w:val="20"/>
              </w:rPr>
              <w:t>(drawn on Na</w:t>
            </w:r>
            <w:r>
              <w:rPr>
                <w:sz w:val="20"/>
                <w:szCs w:val="20"/>
              </w:rPr>
              <w:t xml:space="preserve">ndi. </w:t>
            </w:r>
            <w:r>
              <w:rPr>
                <w:rStyle w:val="FootnoteReference"/>
                <w:sz w:val="20"/>
                <w:szCs w:val="20"/>
              </w:rPr>
              <w:footnoteReference w:id="93"/>
            </w:r>
            <w:r>
              <w:rPr>
                <w:sz w:val="20"/>
                <w:szCs w:val="20"/>
              </w:rPr>
              <w:t>,</w:t>
            </w:r>
            <w:r>
              <w:rPr>
                <w:rStyle w:val="FootnoteReference"/>
                <w:sz w:val="20"/>
                <w:szCs w:val="20"/>
              </w:rPr>
              <w:footnoteReference w:id="94"/>
            </w:r>
          </w:p>
        </w:tc>
      </w:tr>
      <w:tr w:rsidR="009F468D" w:rsidRPr="00E85510" w:rsidTr="003B3504">
        <w:trPr>
          <w:trHeight w:val="290"/>
        </w:trPr>
        <w:tc>
          <w:tcPr>
            <w:tcW w:w="1750" w:type="dxa"/>
          </w:tcPr>
          <w:p w:rsidR="009F468D" w:rsidRPr="00E85510" w:rsidRDefault="009F468D" w:rsidP="003B3504">
            <w:pPr>
              <w:autoSpaceDE w:val="0"/>
              <w:autoSpaceDN w:val="0"/>
              <w:adjustRightInd w:val="0"/>
              <w:spacing w:after="0" w:line="240" w:lineRule="auto"/>
              <w:rPr>
                <w:sz w:val="20"/>
                <w:szCs w:val="20"/>
              </w:rPr>
            </w:pPr>
          </w:p>
        </w:tc>
        <w:tc>
          <w:tcPr>
            <w:tcW w:w="4760" w:type="dxa"/>
          </w:tcPr>
          <w:p w:rsidR="009F468D" w:rsidRPr="00E85510" w:rsidRDefault="009F468D" w:rsidP="003B3504">
            <w:pPr>
              <w:autoSpaceDE w:val="0"/>
              <w:autoSpaceDN w:val="0"/>
              <w:adjustRightInd w:val="0"/>
              <w:spacing w:after="0" w:line="240" w:lineRule="auto"/>
              <w:rPr>
                <w:sz w:val="20"/>
                <w:szCs w:val="20"/>
              </w:rPr>
            </w:pPr>
            <w:r w:rsidRPr="00E85510">
              <w:rPr>
                <w:sz w:val="20"/>
                <w:szCs w:val="20"/>
              </w:rPr>
              <w:t>Lifetime</w:t>
            </w:r>
          </w:p>
        </w:tc>
        <w:tc>
          <w:tcPr>
            <w:tcW w:w="3296" w:type="dxa"/>
          </w:tcPr>
          <w:p w:rsidR="009F468D" w:rsidRPr="00E85510" w:rsidRDefault="009F468D" w:rsidP="003B3504">
            <w:pPr>
              <w:autoSpaceDE w:val="0"/>
              <w:autoSpaceDN w:val="0"/>
              <w:adjustRightInd w:val="0"/>
              <w:spacing w:after="0" w:line="240" w:lineRule="auto"/>
              <w:rPr>
                <w:sz w:val="20"/>
                <w:szCs w:val="20"/>
              </w:rPr>
            </w:pPr>
            <w:r w:rsidRPr="00E85510">
              <w:rPr>
                <w:sz w:val="20"/>
                <w:szCs w:val="20"/>
              </w:rPr>
              <w:t>25 yrs</w:t>
            </w:r>
          </w:p>
        </w:tc>
      </w:tr>
      <w:tr w:rsidR="009F468D" w:rsidRPr="00E85510" w:rsidTr="003B3504">
        <w:trPr>
          <w:trHeight w:val="290"/>
        </w:trPr>
        <w:tc>
          <w:tcPr>
            <w:tcW w:w="1750" w:type="dxa"/>
          </w:tcPr>
          <w:p w:rsidR="009F468D" w:rsidRPr="00E85510" w:rsidRDefault="009F468D" w:rsidP="003B3504">
            <w:pPr>
              <w:autoSpaceDE w:val="0"/>
              <w:autoSpaceDN w:val="0"/>
              <w:adjustRightInd w:val="0"/>
              <w:spacing w:after="0" w:line="240" w:lineRule="auto"/>
              <w:rPr>
                <w:sz w:val="20"/>
                <w:szCs w:val="20"/>
              </w:rPr>
            </w:pPr>
          </w:p>
        </w:tc>
        <w:tc>
          <w:tcPr>
            <w:tcW w:w="4760" w:type="dxa"/>
          </w:tcPr>
          <w:p w:rsidR="009F468D" w:rsidRPr="00E85510" w:rsidRDefault="009F468D" w:rsidP="003B3504">
            <w:pPr>
              <w:autoSpaceDE w:val="0"/>
              <w:autoSpaceDN w:val="0"/>
              <w:adjustRightInd w:val="0"/>
              <w:spacing w:after="0" w:line="240" w:lineRule="auto"/>
              <w:rPr>
                <w:sz w:val="20"/>
                <w:szCs w:val="20"/>
              </w:rPr>
            </w:pPr>
            <w:r w:rsidRPr="00E85510">
              <w:rPr>
                <w:sz w:val="20"/>
                <w:szCs w:val="20"/>
              </w:rPr>
              <w:t>Discount rate</w:t>
            </w:r>
          </w:p>
        </w:tc>
        <w:tc>
          <w:tcPr>
            <w:tcW w:w="3296" w:type="dxa"/>
          </w:tcPr>
          <w:p w:rsidR="009F468D" w:rsidRPr="00E85510" w:rsidRDefault="009F468D" w:rsidP="003B3504">
            <w:pPr>
              <w:autoSpaceDE w:val="0"/>
              <w:autoSpaceDN w:val="0"/>
              <w:adjustRightInd w:val="0"/>
              <w:spacing w:after="0" w:line="240" w:lineRule="auto"/>
              <w:rPr>
                <w:sz w:val="20"/>
                <w:szCs w:val="20"/>
              </w:rPr>
            </w:pPr>
            <w:r w:rsidRPr="00E85510">
              <w:rPr>
                <w:sz w:val="20"/>
                <w:szCs w:val="20"/>
              </w:rPr>
              <w:t>12%</w:t>
            </w:r>
          </w:p>
        </w:tc>
      </w:tr>
      <w:tr w:rsidR="009F468D" w:rsidRPr="00E85510" w:rsidTr="003B3504">
        <w:trPr>
          <w:trHeight w:val="290"/>
        </w:trPr>
        <w:tc>
          <w:tcPr>
            <w:tcW w:w="1750" w:type="dxa"/>
          </w:tcPr>
          <w:p w:rsidR="009F468D" w:rsidRPr="00E85510" w:rsidRDefault="009F468D" w:rsidP="003B3504">
            <w:pPr>
              <w:autoSpaceDE w:val="0"/>
              <w:autoSpaceDN w:val="0"/>
              <w:adjustRightInd w:val="0"/>
              <w:spacing w:after="0" w:line="240" w:lineRule="auto"/>
              <w:rPr>
                <w:sz w:val="20"/>
                <w:szCs w:val="20"/>
              </w:rPr>
            </w:pPr>
          </w:p>
        </w:tc>
        <w:tc>
          <w:tcPr>
            <w:tcW w:w="4760" w:type="dxa"/>
          </w:tcPr>
          <w:p w:rsidR="009F468D" w:rsidRPr="00E85510" w:rsidRDefault="009F468D" w:rsidP="003B3504">
            <w:pPr>
              <w:autoSpaceDE w:val="0"/>
              <w:autoSpaceDN w:val="0"/>
              <w:adjustRightInd w:val="0"/>
              <w:spacing w:after="0" w:line="240" w:lineRule="auto"/>
              <w:rPr>
                <w:sz w:val="20"/>
                <w:szCs w:val="20"/>
              </w:rPr>
            </w:pPr>
            <w:r w:rsidRPr="00E85510">
              <w:rPr>
                <w:sz w:val="20"/>
                <w:szCs w:val="20"/>
              </w:rPr>
              <w:t xml:space="preserve">Assumed changes in exposure and thus losses </w:t>
            </w:r>
          </w:p>
        </w:tc>
        <w:tc>
          <w:tcPr>
            <w:tcW w:w="3296" w:type="dxa"/>
          </w:tcPr>
          <w:p w:rsidR="009F468D" w:rsidRPr="00E85510" w:rsidRDefault="009F468D" w:rsidP="003B3504">
            <w:pPr>
              <w:autoSpaceDE w:val="0"/>
              <w:autoSpaceDN w:val="0"/>
              <w:adjustRightInd w:val="0"/>
              <w:spacing w:after="0" w:line="240" w:lineRule="auto"/>
              <w:rPr>
                <w:sz w:val="20"/>
                <w:szCs w:val="20"/>
              </w:rPr>
            </w:pPr>
            <w:r w:rsidRPr="00E85510">
              <w:rPr>
                <w:sz w:val="20"/>
                <w:szCs w:val="20"/>
              </w:rPr>
              <w:t>5%</w:t>
            </w:r>
          </w:p>
        </w:tc>
      </w:tr>
    </w:tbl>
    <w:p w:rsidR="009F468D" w:rsidRPr="00C803AD" w:rsidRDefault="009F468D" w:rsidP="009F468D">
      <w:pPr>
        <w:tabs>
          <w:tab w:val="left" w:pos="-720"/>
          <w:tab w:val="left" w:pos="0"/>
          <w:tab w:val="left" w:pos="720"/>
          <w:tab w:val="left" w:pos="1440"/>
        </w:tabs>
        <w:autoSpaceDE w:val="0"/>
        <w:autoSpaceDN w:val="0"/>
        <w:adjustRightInd w:val="0"/>
        <w:spacing w:line="300" w:lineRule="auto"/>
        <w:jc w:val="both"/>
        <w:rPr>
          <w:b/>
        </w:rPr>
      </w:pPr>
      <w:r w:rsidRPr="00C803AD">
        <w:rPr>
          <w:b/>
        </w:rPr>
        <w:lastRenderedPageBreak/>
        <w:t xml:space="preserve">Broad Assumptions and Limitations </w:t>
      </w:r>
    </w:p>
    <w:p w:rsidR="009F468D" w:rsidRDefault="009F468D" w:rsidP="009F468D">
      <w:pPr>
        <w:autoSpaceDE w:val="0"/>
        <w:autoSpaceDN w:val="0"/>
        <w:adjustRightInd w:val="0"/>
        <w:spacing w:after="0" w:line="240" w:lineRule="auto"/>
        <w:jc w:val="both"/>
      </w:pPr>
      <w:r w:rsidRPr="00F47EEC">
        <w:t xml:space="preserve">Avoidance of potential loss due to floods, cyclones, storm surges is deemed to be one of the major benefits of the newly constructed habitats. </w:t>
      </w:r>
      <w:r>
        <w:t>In respect to flood loss estimates and a calculation of the benefits of their avoidance require data on a number of flood dimensions:</w:t>
      </w:r>
    </w:p>
    <w:p w:rsidR="009F468D" w:rsidRDefault="009F468D" w:rsidP="009F468D">
      <w:pPr>
        <w:autoSpaceDE w:val="0"/>
        <w:autoSpaceDN w:val="0"/>
        <w:adjustRightInd w:val="0"/>
        <w:spacing w:after="0" w:line="240" w:lineRule="auto"/>
        <w:jc w:val="both"/>
      </w:pPr>
    </w:p>
    <w:p w:rsidR="009F468D" w:rsidRPr="00F47EEC" w:rsidRDefault="009F468D" w:rsidP="009F468D">
      <w:pPr>
        <w:autoSpaceDE w:val="0"/>
        <w:autoSpaceDN w:val="0"/>
        <w:adjustRightInd w:val="0"/>
        <w:spacing w:after="0" w:line="240" w:lineRule="auto"/>
        <w:jc w:val="both"/>
      </w:pPr>
      <w:r w:rsidRPr="00F47EEC">
        <w:t>a)  Frequency of flooding</w:t>
      </w:r>
      <w:r>
        <w:t>,</w:t>
      </w:r>
    </w:p>
    <w:p w:rsidR="009F468D" w:rsidRPr="00F47EEC" w:rsidRDefault="009F468D" w:rsidP="009F468D">
      <w:pPr>
        <w:autoSpaceDE w:val="0"/>
        <w:autoSpaceDN w:val="0"/>
        <w:adjustRightInd w:val="0"/>
        <w:spacing w:after="0" w:line="240" w:lineRule="auto"/>
        <w:jc w:val="both"/>
      </w:pPr>
      <w:r w:rsidRPr="00F47EEC">
        <w:t>b)  Depth of flooding</w:t>
      </w:r>
      <w:r>
        <w:t>,</w:t>
      </w:r>
    </w:p>
    <w:p w:rsidR="009F468D" w:rsidRPr="00F47EEC" w:rsidRDefault="009F468D" w:rsidP="009F468D">
      <w:pPr>
        <w:autoSpaceDE w:val="0"/>
        <w:autoSpaceDN w:val="0"/>
        <w:adjustRightInd w:val="0"/>
        <w:spacing w:after="0" w:line="240" w:lineRule="auto"/>
        <w:jc w:val="both"/>
      </w:pPr>
      <w:r w:rsidRPr="00F47EEC">
        <w:t>c)  Duration of flooding</w:t>
      </w:r>
      <w:r>
        <w:t>,</w:t>
      </w:r>
    </w:p>
    <w:p w:rsidR="009F468D" w:rsidRPr="00F47EEC" w:rsidRDefault="009F468D" w:rsidP="009F468D">
      <w:pPr>
        <w:autoSpaceDE w:val="0"/>
        <w:autoSpaceDN w:val="0"/>
        <w:adjustRightInd w:val="0"/>
        <w:spacing w:after="0" w:line="240" w:lineRule="auto"/>
        <w:jc w:val="both"/>
      </w:pPr>
      <w:r w:rsidRPr="00F47EEC">
        <w:t>d)  Land levels and height of habitat floors</w:t>
      </w:r>
      <w:r>
        <w:t>, and</w:t>
      </w:r>
    </w:p>
    <w:p w:rsidR="009F468D" w:rsidRDefault="009F468D" w:rsidP="009F468D">
      <w:pPr>
        <w:autoSpaceDE w:val="0"/>
        <w:autoSpaceDN w:val="0"/>
        <w:adjustRightInd w:val="0"/>
        <w:spacing w:after="0" w:line="240" w:lineRule="auto"/>
        <w:jc w:val="both"/>
      </w:pPr>
      <w:r w:rsidRPr="00C803AD">
        <w:t>e)  Susceptibility of building materials to water</w:t>
      </w:r>
      <w:r>
        <w:t>.</w:t>
      </w:r>
    </w:p>
    <w:p w:rsidR="009F468D" w:rsidRPr="00C803AD" w:rsidRDefault="009F468D" w:rsidP="009F468D">
      <w:pPr>
        <w:autoSpaceDE w:val="0"/>
        <w:autoSpaceDN w:val="0"/>
        <w:adjustRightInd w:val="0"/>
        <w:spacing w:after="0" w:line="240" w:lineRule="auto"/>
        <w:jc w:val="both"/>
      </w:pPr>
    </w:p>
    <w:p w:rsidR="009F468D" w:rsidRDefault="009F468D" w:rsidP="009F468D">
      <w:pPr>
        <w:autoSpaceDE w:val="0"/>
        <w:autoSpaceDN w:val="0"/>
        <w:adjustRightInd w:val="0"/>
        <w:spacing w:after="0" w:line="240" w:lineRule="auto"/>
        <w:jc w:val="both"/>
      </w:pPr>
      <w:r>
        <w:t>These dimensions have profound implications for the</w:t>
      </w:r>
      <w:r w:rsidRPr="00F47EEC">
        <w:t xml:space="preserve"> design</w:t>
      </w:r>
      <w:r>
        <w:t>ing</w:t>
      </w:r>
      <w:r w:rsidRPr="00F47EEC">
        <w:t xml:space="preserve"> of flood protection structures and</w:t>
      </w:r>
      <w:r>
        <w:t xml:space="preserve"> for formulating flood response strategies. </w:t>
      </w:r>
    </w:p>
    <w:p w:rsidR="009F468D" w:rsidRDefault="009F468D" w:rsidP="009F468D">
      <w:pPr>
        <w:autoSpaceDE w:val="0"/>
        <w:autoSpaceDN w:val="0"/>
        <w:adjustRightInd w:val="0"/>
        <w:spacing w:after="0" w:line="240" w:lineRule="auto"/>
        <w:jc w:val="both"/>
      </w:pPr>
    </w:p>
    <w:p w:rsidR="009F468D" w:rsidRDefault="009F468D" w:rsidP="009F468D">
      <w:pPr>
        <w:autoSpaceDE w:val="0"/>
        <w:autoSpaceDN w:val="0"/>
        <w:adjustRightInd w:val="0"/>
        <w:spacing w:after="0" w:line="300" w:lineRule="auto"/>
        <w:jc w:val="both"/>
      </w:pPr>
      <w:r>
        <w:t xml:space="preserve">Considerations were given to </w:t>
      </w:r>
      <w:r w:rsidRPr="006F5BB1">
        <w:t>the inadequacy</w:t>
      </w:r>
      <w:r>
        <w:t xml:space="preserve"> of base</w:t>
      </w:r>
      <w:r w:rsidRPr="006F5BB1">
        <w:t>line data (with-without situation)</w:t>
      </w:r>
      <w:r>
        <w:t>. In the analysis,</w:t>
      </w:r>
      <w:r w:rsidR="003B3504">
        <w:t xml:space="preserve"> </w:t>
      </w:r>
      <w:r>
        <w:t xml:space="preserve">the </w:t>
      </w:r>
      <w:r w:rsidRPr="006F5BB1">
        <w:t>depths and duration of flooding are assumed as follows (based on quick survey and Islam</w:t>
      </w:r>
      <w:r w:rsidRPr="006F5BB1">
        <w:rPr>
          <w:rStyle w:val="FootnoteReference"/>
        </w:rPr>
        <w:footnoteReference w:id="95"/>
      </w:r>
      <w:r w:rsidRPr="006F5BB1">
        <w:t>:</w:t>
      </w:r>
    </w:p>
    <w:p w:rsidR="009F468D" w:rsidRPr="006F5BB1" w:rsidRDefault="009F468D" w:rsidP="009F468D">
      <w:pPr>
        <w:autoSpaceDE w:val="0"/>
        <w:autoSpaceDN w:val="0"/>
        <w:adjustRightInd w:val="0"/>
        <w:spacing w:after="0" w:line="300" w:lineRule="auto"/>
        <w:jc w:val="both"/>
      </w:pPr>
    </w:p>
    <w:p w:rsidR="009F468D" w:rsidRPr="00A248B7" w:rsidRDefault="009F468D" w:rsidP="009F468D">
      <w:pPr>
        <w:pStyle w:val="caption-table"/>
        <w:numPr>
          <w:ilvl w:val="0"/>
          <w:numId w:val="0"/>
        </w:numPr>
        <w:spacing w:line="300" w:lineRule="auto"/>
        <w:jc w:val="both"/>
        <w:rPr>
          <w:rFonts w:ascii="Calibri" w:hAnsi="Calibri"/>
          <w:b/>
          <w:szCs w:val="22"/>
        </w:rPr>
      </w:pPr>
      <w:r w:rsidRPr="00A248B7">
        <w:rPr>
          <w:rFonts w:ascii="Calibri" w:hAnsi="Calibri"/>
          <w:b/>
          <w:szCs w:val="22"/>
        </w:rPr>
        <w:t>Important assumptions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90"/>
        <w:gridCol w:w="2880"/>
        <w:gridCol w:w="2610"/>
      </w:tblGrid>
      <w:tr w:rsidR="009F468D" w:rsidRPr="006F5BB1" w:rsidTr="009F468D">
        <w:tc>
          <w:tcPr>
            <w:tcW w:w="2088" w:type="dxa"/>
            <w:shd w:val="clear" w:color="auto" w:fill="auto"/>
          </w:tcPr>
          <w:p w:rsidR="009F468D" w:rsidRPr="00A248B7" w:rsidRDefault="009F468D" w:rsidP="003B3504">
            <w:pPr>
              <w:spacing w:after="0" w:line="240" w:lineRule="auto"/>
              <w:rPr>
                <w:b/>
              </w:rPr>
            </w:pPr>
            <w:r w:rsidRPr="00A248B7">
              <w:rPr>
                <w:b/>
              </w:rPr>
              <w:t>Flood return periods</w:t>
            </w:r>
          </w:p>
        </w:tc>
        <w:tc>
          <w:tcPr>
            <w:tcW w:w="1890" w:type="dxa"/>
            <w:shd w:val="clear" w:color="auto" w:fill="auto"/>
          </w:tcPr>
          <w:p w:rsidR="009F468D" w:rsidRPr="00A248B7" w:rsidRDefault="009F468D" w:rsidP="003B3504">
            <w:pPr>
              <w:spacing w:after="0" w:line="240" w:lineRule="auto"/>
              <w:rPr>
                <w:b/>
              </w:rPr>
            </w:pPr>
            <w:r w:rsidRPr="00A248B7">
              <w:rPr>
                <w:b/>
              </w:rPr>
              <w:t>Prob. baseline</w:t>
            </w:r>
          </w:p>
        </w:tc>
        <w:tc>
          <w:tcPr>
            <w:tcW w:w="2880" w:type="dxa"/>
            <w:shd w:val="clear" w:color="auto" w:fill="auto"/>
          </w:tcPr>
          <w:p w:rsidR="009F468D" w:rsidRPr="00A248B7" w:rsidRDefault="009F468D" w:rsidP="003B3504">
            <w:pPr>
              <w:spacing w:after="0" w:line="240" w:lineRule="auto"/>
              <w:rPr>
                <w:b/>
              </w:rPr>
            </w:pPr>
            <w:r w:rsidRPr="00A248B7">
              <w:rPr>
                <w:b/>
              </w:rPr>
              <w:t>Average depth (above floor level) (Meter)</w:t>
            </w:r>
          </w:p>
        </w:tc>
        <w:tc>
          <w:tcPr>
            <w:tcW w:w="2610" w:type="dxa"/>
            <w:shd w:val="clear" w:color="auto" w:fill="auto"/>
          </w:tcPr>
          <w:p w:rsidR="009F468D" w:rsidRPr="00A248B7" w:rsidRDefault="009F468D" w:rsidP="003B3504">
            <w:pPr>
              <w:spacing w:after="0" w:line="240" w:lineRule="auto"/>
              <w:rPr>
                <w:b/>
              </w:rPr>
            </w:pPr>
            <w:r>
              <w:rPr>
                <w:b/>
              </w:rPr>
              <w:t xml:space="preserve">Duration of flooding </w:t>
            </w:r>
            <w:r w:rsidRPr="00A248B7">
              <w:rPr>
                <w:b/>
              </w:rPr>
              <w:t>(days)</w:t>
            </w:r>
          </w:p>
        </w:tc>
      </w:tr>
      <w:tr w:rsidR="009F468D" w:rsidRPr="006F5BB1" w:rsidTr="009F468D">
        <w:tc>
          <w:tcPr>
            <w:tcW w:w="2088" w:type="dxa"/>
            <w:shd w:val="clear" w:color="auto" w:fill="auto"/>
          </w:tcPr>
          <w:p w:rsidR="009F468D" w:rsidRPr="006F5BB1" w:rsidRDefault="009F468D" w:rsidP="003B3504">
            <w:pPr>
              <w:spacing w:after="0" w:line="240" w:lineRule="auto"/>
            </w:pPr>
            <w:r w:rsidRPr="006F5BB1">
              <w:t>2 Year</w:t>
            </w:r>
          </w:p>
        </w:tc>
        <w:tc>
          <w:tcPr>
            <w:tcW w:w="1890" w:type="dxa"/>
            <w:shd w:val="clear" w:color="auto" w:fill="auto"/>
          </w:tcPr>
          <w:p w:rsidR="009F468D" w:rsidRPr="006F5BB1" w:rsidRDefault="009F468D" w:rsidP="003B3504">
            <w:pPr>
              <w:spacing w:after="0" w:line="240" w:lineRule="auto"/>
              <w:jc w:val="center"/>
            </w:pPr>
            <w:r w:rsidRPr="006F5BB1">
              <w:t>50%</w:t>
            </w:r>
          </w:p>
        </w:tc>
        <w:tc>
          <w:tcPr>
            <w:tcW w:w="2880" w:type="dxa"/>
            <w:shd w:val="clear" w:color="auto" w:fill="auto"/>
          </w:tcPr>
          <w:p w:rsidR="009F468D" w:rsidRPr="006F5BB1" w:rsidRDefault="009F468D" w:rsidP="003B3504">
            <w:pPr>
              <w:spacing w:after="0" w:line="240" w:lineRule="auto"/>
            </w:pPr>
            <w:r w:rsidRPr="006F5BB1">
              <w:t>Floors not inundated, only courtyard flooded</w:t>
            </w:r>
          </w:p>
        </w:tc>
        <w:tc>
          <w:tcPr>
            <w:tcW w:w="2610" w:type="dxa"/>
            <w:shd w:val="clear" w:color="auto" w:fill="auto"/>
          </w:tcPr>
          <w:p w:rsidR="009F468D" w:rsidRPr="006F5BB1" w:rsidRDefault="009F468D" w:rsidP="003B3504">
            <w:pPr>
              <w:spacing w:after="0" w:line="240" w:lineRule="auto"/>
              <w:jc w:val="center"/>
            </w:pPr>
            <w:r w:rsidRPr="006F5BB1">
              <w:t>7</w:t>
            </w:r>
          </w:p>
        </w:tc>
      </w:tr>
      <w:tr w:rsidR="009F468D" w:rsidRPr="006F5BB1" w:rsidTr="009F468D">
        <w:tc>
          <w:tcPr>
            <w:tcW w:w="2088" w:type="dxa"/>
            <w:shd w:val="clear" w:color="auto" w:fill="auto"/>
          </w:tcPr>
          <w:p w:rsidR="009F468D" w:rsidRPr="006F5BB1" w:rsidRDefault="009F468D" w:rsidP="003B3504">
            <w:pPr>
              <w:spacing w:after="0" w:line="240" w:lineRule="auto"/>
            </w:pPr>
            <w:r w:rsidRPr="006F5BB1">
              <w:t>5 Year</w:t>
            </w:r>
          </w:p>
        </w:tc>
        <w:tc>
          <w:tcPr>
            <w:tcW w:w="1890" w:type="dxa"/>
            <w:shd w:val="clear" w:color="auto" w:fill="auto"/>
          </w:tcPr>
          <w:p w:rsidR="009F468D" w:rsidRPr="006F5BB1" w:rsidRDefault="009F468D" w:rsidP="003B3504">
            <w:pPr>
              <w:spacing w:after="0" w:line="240" w:lineRule="auto"/>
              <w:jc w:val="center"/>
            </w:pPr>
            <w:r w:rsidRPr="006F5BB1">
              <w:t>20%</w:t>
            </w:r>
          </w:p>
        </w:tc>
        <w:tc>
          <w:tcPr>
            <w:tcW w:w="2880" w:type="dxa"/>
            <w:shd w:val="clear" w:color="auto" w:fill="auto"/>
          </w:tcPr>
          <w:p w:rsidR="009F468D" w:rsidRPr="006F5BB1" w:rsidRDefault="009F468D" w:rsidP="003B3504">
            <w:pPr>
              <w:spacing w:after="0" w:line="240" w:lineRule="auto"/>
              <w:jc w:val="center"/>
            </w:pPr>
            <w:r w:rsidRPr="006F5BB1">
              <w:t>0.30</w:t>
            </w:r>
          </w:p>
        </w:tc>
        <w:tc>
          <w:tcPr>
            <w:tcW w:w="2610" w:type="dxa"/>
            <w:shd w:val="clear" w:color="auto" w:fill="auto"/>
          </w:tcPr>
          <w:p w:rsidR="009F468D" w:rsidRPr="006F5BB1" w:rsidRDefault="009F468D" w:rsidP="003B3504">
            <w:pPr>
              <w:spacing w:after="0" w:line="240" w:lineRule="auto"/>
              <w:jc w:val="center"/>
            </w:pPr>
            <w:r w:rsidRPr="006F5BB1">
              <w:t>7</w:t>
            </w:r>
          </w:p>
        </w:tc>
      </w:tr>
      <w:tr w:rsidR="009F468D" w:rsidRPr="006F5BB1" w:rsidTr="009F468D">
        <w:tc>
          <w:tcPr>
            <w:tcW w:w="2088" w:type="dxa"/>
            <w:shd w:val="clear" w:color="auto" w:fill="auto"/>
          </w:tcPr>
          <w:p w:rsidR="009F468D" w:rsidRPr="006F5BB1" w:rsidRDefault="009F468D" w:rsidP="003B3504">
            <w:pPr>
              <w:spacing w:after="0" w:line="240" w:lineRule="auto"/>
            </w:pPr>
            <w:r w:rsidRPr="006F5BB1">
              <w:t>10 Year</w:t>
            </w:r>
          </w:p>
        </w:tc>
        <w:tc>
          <w:tcPr>
            <w:tcW w:w="1890" w:type="dxa"/>
            <w:shd w:val="clear" w:color="auto" w:fill="auto"/>
          </w:tcPr>
          <w:p w:rsidR="009F468D" w:rsidRPr="006F5BB1" w:rsidRDefault="009F468D" w:rsidP="003B3504">
            <w:pPr>
              <w:spacing w:after="0" w:line="240" w:lineRule="auto"/>
              <w:jc w:val="center"/>
            </w:pPr>
            <w:r w:rsidRPr="006F5BB1">
              <w:t>10%</w:t>
            </w:r>
          </w:p>
        </w:tc>
        <w:tc>
          <w:tcPr>
            <w:tcW w:w="2880" w:type="dxa"/>
            <w:shd w:val="clear" w:color="auto" w:fill="auto"/>
          </w:tcPr>
          <w:p w:rsidR="009F468D" w:rsidRPr="006F5BB1" w:rsidRDefault="009F468D" w:rsidP="003B3504">
            <w:pPr>
              <w:spacing w:after="0" w:line="240" w:lineRule="auto"/>
              <w:jc w:val="center"/>
            </w:pPr>
            <w:r w:rsidRPr="006F5BB1">
              <w:t>0.61</w:t>
            </w:r>
          </w:p>
        </w:tc>
        <w:tc>
          <w:tcPr>
            <w:tcW w:w="2610" w:type="dxa"/>
            <w:shd w:val="clear" w:color="auto" w:fill="auto"/>
          </w:tcPr>
          <w:p w:rsidR="009F468D" w:rsidRPr="006F5BB1" w:rsidRDefault="009F468D" w:rsidP="003B3504">
            <w:pPr>
              <w:spacing w:after="0" w:line="240" w:lineRule="auto"/>
              <w:jc w:val="center"/>
            </w:pPr>
            <w:r w:rsidRPr="006F5BB1">
              <w:t>14</w:t>
            </w:r>
          </w:p>
        </w:tc>
      </w:tr>
      <w:tr w:rsidR="009F468D" w:rsidRPr="006F5BB1" w:rsidTr="009F468D">
        <w:tc>
          <w:tcPr>
            <w:tcW w:w="2088" w:type="dxa"/>
            <w:shd w:val="clear" w:color="auto" w:fill="auto"/>
          </w:tcPr>
          <w:p w:rsidR="009F468D" w:rsidRPr="006F5BB1" w:rsidRDefault="009F468D" w:rsidP="003B3504">
            <w:pPr>
              <w:spacing w:after="0" w:line="240" w:lineRule="auto"/>
            </w:pPr>
            <w:r w:rsidRPr="006F5BB1">
              <w:t xml:space="preserve">20 Year </w:t>
            </w:r>
          </w:p>
        </w:tc>
        <w:tc>
          <w:tcPr>
            <w:tcW w:w="1890" w:type="dxa"/>
            <w:shd w:val="clear" w:color="auto" w:fill="auto"/>
          </w:tcPr>
          <w:p w:rsidR="009F468D" w:rsidRPr="006F5BB1" w:rsidRDefault="009F468D" w:rsidP="003B3504">
            <w:pPr>
              <w:spacing w:after="0" w:line="240" w:lineRule="auto"/>
              <w:jc w:val="center"/>
            </w:pPr>
            <w:r w:rsidRPr="006F5BB1">
              <w:t>5%</w:t>
            </w:r>
          </w:p>
        </w:tc>
        <w:tc>
          <w:tcPr>
            <w:tcW w:w="2880" w:type="dxa"/>
            <w:shd w:val="clear" w:color="auto" w:fill="auto"/>
          </w:tcPr>
          <w:p w:rsidR="009F468D" w:rsidRPr="006F5BB1" w:rsidRDefault="009F468D" w:rsidP="003B3504">
            <w:pPr>
              <w:spacing w:after="0" w:line="240" w:lineRule="auto"/>
              <w:jc w:val="center"/>
            </w:pPr>
            <w:r w:rsidRPr="006F5BB1">
              <w:t>1.22</w:t>
            </w:r>
          </w:p>
        </w:tc>
        <w:tc>
          <w:tcPr>
            <w:tcW w:w="2610" w:type="dxa"/>
            <w:shd w:val="clear" w:color="auto" w:fill="auto"/>
          </w:tcPr>
          <w:p w:rsidR="009F468D" w:rsidRPr="006F5BB1" w:rsidRDefault="009F468D" w:rsidP="003B3504">
            <w:pPr>
              <w:spacing w:after="0" w:line="240" w:lineRule="auto"/>
              <w:jc w:val="center"/>
            </w:pPr>
            <w:r w:rsidRPr="006F5BB1">
              <w:t>14</w:t>
            </w:r>
          </w:p>
        </w:tc>
      </w:tr>
    </w:tbl>
    <w:p w:rsidR="009F468D" w:rsidRPr="006F5BB1" w:rsidRDefault="009F468D" w:rsidP="009F468D">
      <w:pPr>
        <w:spacing w:line="300" w:lineRule="auto"/>
        <w:jc w:val="both"/>
      </w:pPr>
    </w:p>
    <w:p w:rsidR="009F468D" w:rsidRPr="006F5BB1" w:rsidRDefault="009F468D" w:rsidP="001E161B">
      <w:pPr>
        <w:numPr>
          <w:ilvl w:val="3"/>
          <w:numId w:val="46"/>
        </w:numPr>
        <w:tabs>
          <w:tab w:val="clear" w:pos="2880"/>
          <w:tab w:val="num" w:pos="0"/>
          <w:tab w:val="left" w:pos="360"/>
        </w:tabs>
        <w:spacing w:after="0" w:line="240" w:lineRule="auto"/>
        <w:ind w:left="0" w:firstLine="0"/>
        <w:jc w:val="both"/>
      </w:pPr>
      <w:r w:rsidRPr="006F5BB1">
        <w:t xml:space="preserve">Frequency of cyclone/storm surge taken as 5 = 20% Base Prob. Potential damages from both floods and storms are factored into this analysis.  </w:t>
      </w:r>
    </w:p>
    <w:p w:rsidR="009F468D" w:rsidRPr="006F5BB1" w:rsidRDefault="009F468D" w:rsidP="009F468D">
      <w:pPr>
        <w:tabs>
          <w:tab w:val="num" w:pos="0"/>
          <w:tab w:val="left" w:pos="180"/>
          <w:tab w:val="left" w:pos="360"/>
        </w:tabs>
        <w:spacing w:line="240" w:lineRule="auto"/>
        <w:jc w:val="both"/>
      </w:pPr>
    </w:p>
    <w:p w:rsidR="009F468D" w:rsidRPr="006F5BB1" w:rsidRDefault="009F468D" w:rsidP="001E161B">
      <w:pPr>
        <w:numPr>
          <w:ilvl w:val="3"/>
          <w:numId w:val="46"/>
        </w:numPr>
        <w:tabs>
          <w:tab w:val="clear" w:pos="2880"/>
          <w:tab w:val="num" w:pos="0"/>
          <w:tab w:val="left" w:pos="360"/>
        </w:tabs>
        <w:spacing w:after="0" w:line="240" w:lineRule="auto"/>
        <w:ind w:left="0" w:firstLine="0"/>
        <w:jc w:val="both"/>
      </w:pPr>
      <w:r>
        <w:t>The s</w:t>
      </w:r>
      <w:r w:rsidRPr="006F5BB1">
        <w:t>tandard potential flood loss data base generated by Islam</w:t>
      </w:r>
      <w:r w:rsidRPr="006F5BB1">
        <w:rPr>
          <w:rStyle w:val="FootnoteReference"/>
        </w:rPr>
        <w:footnoteReference w:id="96"/>
      </w:r>
      <w:r w:rsidRPr="006F5BB1">
        <w:t>has been used in the value of loss avoidance vis-à-vis benefits of protection.  Data on costs of construction were collected from relevant project documents.</w:t>
      </w:r>
    </w:p>
    <w:p w:rsidR="009F468D" w:rsidRPr="006F5BB1" w:rsidRDefault="009F468D" w:rsidP="009F468D">
      <w:pPr>
        <w:tabs>
          <w:tab w:val="num" w:pos="0"/>
          <w:tab w:val="left" w:pos="360"/>
        </w:tabs>
        <w:spacing w:line="240" w:lineRule="auto"/>
        <w:jc w:val="both"/>
      </w:pPr>
    </w:p>
    <w:p w:rsidR="009F468D" w:rsidRPr="006F5BB1" w:rsidRDefault="009F468D" w:rsidP="001E161B">
      <w:pPr>
        <w:numPr>
          <w:ilvl w:val="3"/>
          <w:numId w:val="46"/>
        </w:numPr>
        <w:tabs>
          <w:tab w:val="clear" w:pos="2880"/>
          <w:tab w:val="num" w:pos="0"/>
          <w:tab w:val="left" w:pos="360"/>
        </w:tabs>
        <w:spacing w:after="0" w:line="240" w:lineRule="auto"/>
        <w:ind w:left="0" w:firstLine="0"/>
        <w:jc w:val="both"/>
      </w:pPr>
      <w:r w:rsidRPr="006F5BB1">
        <w:t xml:space="preserve">The analyses carried out were from a financial point of view. Given the scope of the study, economic analyses per se were not possible, which needed </w:t>
      </w:r>
      <w:r>
        <w:t xml:space="preserve">the </w:t>
      </w:r>
      <w:r w:rsidRPr="006F5BB1">
        <w:t xml:space="preserve">incorporation of appropriate conversion factors to convert to economic costs and benefits.  </w:t>
      </w:r>
    </w:p>
    <w:p w:rsidR="009F468D" w:rsidRPr="006F5BB1" w:rsidRDefault="009F468D" w:rsidP="009F468D">
      <w:pPr>
        <w:spacing w:line="240" w:lineRule="auto"/>
        <w:jc w:val="both"/>
        <w:rPr>
          <w:b/>
        </w:rPr>
      </w:pPr>
    </w:p>
    <w:p w:rsidR="009F468D" w:rsidRPr="006F5BB1" w:rsidRDefault="009F468D" w:rsidP="009F468D">
      <w:pPr>
        <w:spacing w:line="240" w:lineRule="auto"/>
        <w:jc w:val="both"/>
        <w:rPr>
          <w:b/>
        </w:rPr>
      </w:pPr>
      <w:r w:rsidRPr="006F5BB1">
        <w:rPr>
          <w:b/>
        </w:rPr>
        <w:lastRenderedPageBreak/>
        <w:t xml:space="preserve">Limitations </w:t>
      </w:r>
    </w:p>
    <w:p w:rsidR="009F468D" w:rsidRPr="006F5BB1" w:rsidRDefault="009F468D" w:rsidP="009F468D">
      <w:pPr>
        <w:spacing w:line="240" w:lineRule="auto"/>
        <w:jc w:val="both"/>
      </w:pPr>
      <w:r w:rsidRPr="006F5BB1">
        <w:t xml:space="preserve">It is noteworthy </w:t>
      </w:r>
      <w:r>
        <w:t xml:space="preserve">here to indicate </w:t>
      </w:r>
      <w:r w:rsidRPr="006F5BB1">
        <w:t>some of the limitations of the economic efficiency and effectiveness analyses carried out in the present Evaluation study. These are as follows:</w:t>
      </w:r>
    </w:p>
    <w:p w:rsidR="009F468D" w:rsidRPr="006F5BB1" w:rsidRDefault="009F468D" w:rsidP="001E161B">
      <w:pPr>
        <w:pStyle w:val="ListParagraph"/>
        <w:numPr>
          <w:ilvl w:val="3"/>
          <w:numId w:val="46"/>
        </w:numPr>
        <w:tabs>
          <w:tab w:val="clear" w:pos="2880"/>
          <w:tab w:val="num" w:pos="720"/>
        </w:tabs>
        <w:spacing w:line="240" w:lineRule="auto"/>
        <w:ind w:left="720" w:hanging="720"/>
        <w:jc w:val="both"/>
      </w:pPr>
      <w:r w:rsidRPr="006F5BB1">
        <w:t>Own labor of beneficiaries was not incorporated in this financial analysis.</w:t>
      </w:r>
    </w:p>
    <w:p w:rsidR="009F468D" w:rsidRPr="006F5BB1" w:rsidRDefault="009F468D" w:rsidP="001619E4">
      <w:pPr>
        <w:pStyle w:val="ListParagraph"/>
        <w:numPr>
          <w:ilvl w:val="3"/>
          <w:numId w:val="46"/>
        </w:numPr>
        <w:tabs>
          <w:tab w:val="clear" w:pos="2880"/>
          <w:tab w:val="num" w:pos="720"/>
        </w:tabs>
        <w:spacing w:line="240" w:lineRule="auto"/>
        <w:ind w:left="720" w:hanging="720"/>
        <w:jc w:val="both"/>
      </w:pPr>
      <w:r w:rsidRPr="006F5BB1">
        <w:t xml:space="preserve">Price of land was not incorporated (given free) in this financial analysis. In economic analysis </w:t>
      </w:r>
      <w:r w:rsidR="001619E4">
        <w:t xml:space="preserve">        </w:t>
      </w:r>
      <w:r w:rsidRPr="006F5BB1">
        <w:t>per se, this variable should be incorporated.</w:t>
      </w:r>
    </w:p>
    <w:p w:rsidR="009F468D" w:rsidRPr="006F5BB1" w:rsidRDefault="009F468D" w:rsidP="001E161B">
      <w:pPr>
        <w:pStyle w:val="ListParagraph"/>
        <w:numPr>
          <w:ilvl w:val="3"/>
          <w:numId w:val="46"/>
        </w:numPr>
        <w:tabs>
          <w:tab w:val="clear" w:pos="2880"/>
          <w:tab w:val="num" w:pos="720"/>
        </w:tabs>
        <w:spacing w:line="240" w:lineRule="auto"/>
        <w:ind w:left="720" w:hanging="720"/>
        <w:jc w:val="both"/>
      </w:pPr>
      <w:r w:rsidRPr="006F5BB1">
        <w:t>For linkage effects,   5% exposures were assumed</w:t>
      </w:r>
    </w:p>
    <w:p w:rsidR="009F468D" w:rsidRPr="006F5BB1" w:rsidRDefault="009F468D" w:rsidP="001E161B">
      <w:pPr>
        <w:pStyle w:val="ListParagraph"/>
        <w:numPr>
          <w:ilvl w:val="3"/>
          <w:numId w:val="46"/>
        </w:numPr>
        <w:tabs>
          <w:tab w:val="clear" w:pos="2880"/>
          <w:tab w:val="num" w:pos="720"/>
        </w:tabs>
        <w:spacing w:line="240" w:lineRule="auto"/>
        <w:ind w:left="720" w:hanging="720"/>
        <w:jc w:val="both"/>
      </w:pPr>
      <w:r w:rsidRPr="006F5BB1">
        <w:t>O &amp; M assumed to be 5%</w:t>
      </w:r>
    </w:p>
    <w:p w:rsidR="009F468D" w:rsidRPr="006F5BB1" w:rsidRDefault="009F468D" w:rsidP="001E161B">
      <w:pPr>
        <w:pStyle w:val="ListParagraph"/>
        <w:numPr>
          <w:ilvl w:val="3"/>
          <w:numId w:val="46"/>
        </w:numPr>
        <w:tabs>
          <w:tab w:val="clear" w:pos="2880"/>
          <w:tab w:val="num" w:pos="720"/>
        </w:tabs>
        <w:spacing w:line="240" w:lineRule="auto"/>
        <w:ind w:left="720" w:hanging="720"/>
        <w:jc w:val="both"/>
      </w:pPr>
      <w:r w:rsidRPr="006F5BB1">
        <w:t xml:space="preserve">Benefits to or cost of </w:t>
      </w:r>
      <w:r>
        <w:t xml:space="preserve">the </w:t>
      </w:r>
      <w:r w:rsidRPr="006F5BB1">
        <w:t xml:space="preserve">environment were not accounted for; however, the value of carbon captured is incorporated (in case </w:t>
      </w:r>
      <w:r>
        <w:t>of the FFF</w:t>
      </w:r>
      <w:r w:rsidRPr="006F5BB1">
        <w:t xml:space="preserve"> Model) (drawn on Nandi</w:t>
      </w:r>
      <w:r w:rsidRPr="006F5BB1">
        <w:rPr>
          <w:rStyle w:val="FootnoteReference"/>
        </w:rPr>
        <w:footnoteReference w:id="97"/>
      </w:r>
      <w:r w:rsidR="001219B8">
        <w:rPr>
          <w:vertAlign w:val="superscript"/>
        </w:rPr>
        <w:t>,</w:t>
      </w:r>
      <w:r w:rsidRPr="006F5BB1">
        <w:rPr>
          <w:rStyle w:val="FootnoteReference"/>
        </w:rPr>
        <w:footnoteReference w:id="98"/>
      </w:r>
      <w:r w:rsidRPr="006F5BB1">
        <w:t>).</w:t>
      </w:r>
    </w:p>
    <w:p w:rsidR="009F468D" w:rsidRPr="006F5BB1" w:rsidRDefault="009F468D" w:rsidP="009F468D">
      <w:pPr>
        <w:spacing w:line="240" w:lineRule="auto"/>
        <w:jc w:val="both"/>
      </w:pPr>
    </w:p>
    <w:p w:rsidR="009F468D" w:rsidRPr="00C803AD" w:rsidRDefault="009F468D" w:rsidP="009F468D">
      <w:pPr>
        <w:spacing w:line="240" w:lineRule="auto"/>
        <w:jc w:val="both"/>
      </w:pPr>
    </w:p>
    <w:p w:rsidR="0061232B" w:rsidRDefault="0061232B" w:rsidP="009F468D">
      <w:pPr>
        <w:spacing w:after="0" w:line="240" w:lineRule="auto"/>
        <w:rPr>
          <w:rFonts w:cs="Calibri"/>
          <w:sz w:val="18"/>
          <w:szCs w:val="18"/>
        </w:rPr>
        <w:sectPr w:rsidR="0061232B" w:rsidSect="009F468D">
          <w:pgSz w:w="12240" w:h="15840"/>
          <w:pgMar w:top="1440" w:right="1440" w:bottom="1440" w:left="1440" w:header="706" w:footer="706" w:gutter="0"/>
          <w:cols w:space="708"/>
          <w:docGrid w:linePitch="360"/>
        </w:sectPr>
      </w:pPr>
    </w:p>
    <w:p w:rsidR="0061232B" w:rsidRPr="0062581D" w:rsidRDefault="0061232B" w:rsidP="0061232B">
      <w:pPr>
        <w:spacing w:after="0" w:line="240" w:lineRule="auto"/>
        <w:jc w:val="center"/>
        <w:rPr>
          <w:rFonts w:cstheme="minorHAnsi"/>
          <w:b/>
          <w:bCs/>
        </w:rPr>
      </w:pPr>
      <w:r>
        <w:rPr>
          <w:rFonts w:cstheme="minorHAnsi"/>
          <w:b/>
          <w:bCs/>
        </w:rPr>
        <w:lastRenderedPageBreak/>
        <w:t>Annex XIV</w:t>
      </w:r>
      <w:r w:rsidRPr="0062581D">
        <w:rPr>
          <w:rFonts w:cstheme="minorHAnsi"/>
          <w:b/>
          <w:bCs/>
        </w:rPr>
        <w:t xml:space="preserve">: </w:t>
      </w:r>
      <w:r>
        <w:rPr>
          <w:rFonts w:cstheme="minorHAnsi"/>
          <w:b/>
          <w:bCs/>
        </w:rPr>
        <w:t xml:space="preserve">Six </w:t>
      </w:r>
      <w:r w:rsidRPr="0062581D">
        <w:rPr>
          <w:rFonts w:cstheme="minorHAnsi"/>
          <w:b/>
          <w:bCs/>
        </w:rPr>
        <w:t>Selected UNDP Project</w:t>
      </w:r>
      <w:r>
        <w:rPr>
          <w:rFonts w:cstheme="minorHAnsi"/>
          <w:b/>
          <w:bCs/>
        </w:rPr>
        <w:t>s</w:t>
      </w:r>
      <w:r w:rsidRPr="0062581D">
        <w:rPr>
          <w:rFonts w:cstheme="minorHAnsi"/>
          <w:b/>
          <w:bCs/>
        </w:rPr>
        <w:t xml:space="preserve"> Evaluation Matrix by Criteria</w:t>
      </w:r>
    </w:p>
    <w:p w:rsidR="0061232B" w:rsidRPr="006B2B20" w:rsidRDefault="0061232B" w:rsidP="0061232B">
      <w:pPr>
        <w:spacing w:after="0" w:line="240" w:lineRule="auto"/>
        <w:jc w:val="both"/>
        <w:rPr>
          <w:rFonts w:cstheme="minorHAnsi"/>
          <w:b/>
          <w:bCs/>
          <w:sz w:val="18"/>
          <w:szCs w:val="18"/>
        </w:rPr>
      </w:pPr>
    </w:p>
    <w:p w:rsidR="0061232B" w:rsidRPr="006B2B20" w:rsidRDefault="0061232B" w:rsidP="0061232B">
      <w:pPr>
        <w:spacing w:after="0" w:line="240" w:lineRule="auto"/>
        <w:jc w:val="both"/>
        <w:rPr>
          <w:rFonts w:cstheme="minorHAnsi"/>
          <w:sz w:val="18"/>
          <w:szCs w:val="18"/>
        </w:rPr>
      </w:pPr>
      <w:r w:rsidRPr="006B2B20">
        <w:rPr>
          <w:rFonts w:cstheme="minorHAnsi"/>
          <w:b/>
          <w:bCs/>
          <w:sz w:val="18"/>
          <w:szCs w:val="18"/>
        </w:rPr>
        <w:t xml:space="preserve">Evaluator’s observation and assessment, based on evaluation criteria, of the selected six UNDP projects </w:t>
      </w:r>
      <w:r w:rsidRPr="006B2B20">
        <w:rPr>
          <w:rFonts w:cstheme="minorHAnsi"/>
          <w:sz w:val="18"/>
          <w:szCs w:val="18"/>
        </w:rPr>
        <w:t>(information for each of the selected climate change adaptation, disaster management, natural resources management and low-carbon energy project was procured from documents, reports, field observation, participant interviews and focus group discussions):</w:t>
      </w:r>
    </w:p>
    <w:p w:rsidR="009F468D" w:rsidRDefault="009F468D"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1490"/>
      </w:tblGrid>
      <w:tr w:rsidR="0061232B" w:rsidRPr="006B2B20" w:rsidTr="00E84BAD">
        <w:trPr>
          <w:trHeight w:val="332"/>
        </w:trPr>
        <w:tc>
          <w:tcPr>
            <w:tcW w:w="1686" w:type="dxa"/>
            <w:shd w:val="clear" w:color="auto" w:fill="C6D9F1" w:themeFill="text2" w:themeFillTint="33"/>
          </w:tcPr>
          <w:p w:rsidR="0061232B" w:rsidRPr="006B2B20" w:rsidRDefault="0061232B" w:rsidP="00E84BAD">
            <w:pPr>
              <w:pStyle w:val="Default"/>
              <w:rPr>
                <w:rFonts w:asciiTheme="minorHAnsi" w:hAnsiTheme="minorHAnsi" w:cstheme="minorHAnsi"/>
                <w:color w:val="auto"/>
                <w:sz w:val="18"/>
                <w:szCs w:val="18"/>
              </w:rPr>
            </w:pPr>
            <w:r w:rsidRPr="006B2B20">
              <w:rPr>
                <w:rFonts w:asciiTheme="minorHAnsi" w:hAnsiTheme="minorHAnsi" w:cstheme="minorHAnsi"/>
                <w:color w:val="auto"/>
                <w:sz w:val="18"/>
                <w:szCs w:val="18"/>
              </w:rPr>
              <w:t xml:space="preserve">Project </w:t>
            </w:r>
          </w:p>
        </w:tc>
        <w:tc>
          <w:tcPr>
            <w:tcW w:w="11490" w:type="dxa"/>
            <w:shd w:val="clear" w:color="auto" w:fill="C6D9F1" w:themeFill="text2" w:themeFillTint="33"/>
          </w:tcPr>
          <w:p w:rsidR="0061232B" w:rsidRPr="006B2B20" w:rsidRDefault="0061232B" w:rsidP="00E84BAD">
            <w:pPr>
              <w:pStyle w:val="Default"/>
              <w:jc w:val="both"/>
              <w:rPr>
                <w:rFonts w:asciiTheme="minorHAnsi" w:hAnsiTheme="minorHAnsi" w:cstheme="minorHAnsi"/>
                <w:sz w:val="18"/>
                <w:szCs w:val="18"/>
              </w:rPr>
            </w:pPr>
            <w:r w:rsidRPr="006B2B20">
              <w:rPr>
                <w:rFonts w:asciiTheme="minorHAnsi" w:hAnsiTheme="minorHAnsi" w:cstheme="minorHAnsi"/>
                <w:sz w:val="18"/>
                <w:szCs w:val="18"/>
              </w:rPr>
              <w:t xml:space="preserve"> Relevance</w:t>
            </w:r>
          </w:p>
        </w:tc>
      </w:tr>
      <w:tr w:rsidR="0061232B" w:rsidRPr="006B2B20" w:rsidTr="00E84BAD">
        <w:tc>
          <w:tcPr>
            <w:tcW w:w="1686" w:type="dxa"/>
            <w:vMerge w:val="restart"/>
            <w:shd w:val="clear" w:color="auto" w:fill="C6D9F1" w:themeFill="text2" w:themeFillTint="33"/>
          </w:tcPr>
          <w:p w:rsidR="0061232B" w:rsidRPr="006B2B20" w:rsidRDefault="0061232B" w:rsidP="00E84BAD">
            <w:pPr>
              <w:spacing w:after="0" w:line="240" w:lineRule="auto"/>
              <w:rPr>
                <w:rFonts w:cstheme="minorHAnsi"/>
                <w:b/>
                <w:sz w:val="18"/>
                <w:szCs w:val="18"/>
              </w:rPr>
            </w:pPr>
          </w:p>
          <w:p w:rsidR="0061232B" w:rsidRPr="006B2B20" w:rsidRDefault="0061232B" w:rsidP="00E84BAD">
            <w:pPr>
              <w:spacing w:after="0" w:line="240" w:lineRule="auto"/>
              <w:rPr>
                <w:rFonts w:cstheme="minorHAnsi"/>
                <w:sz w:val="18"/>
                <w:szCs w:val="18"/>
              </w:rPr>
            </w:pPr>
            <w:r w:rsidRPr="006B2B20">
              <w:rPr>
                <w:rFonts w:cstheme="minorHAnsi"/>
                <w:sz w:val="18"/>
                <w:szCs w:val="18"/>
              </w:rPr>
              <w:t>Project: Comprehensive Disaster Management Program (CDMP) Phase II</w:t>
            </w:r>
          </w:p>
          <w:p w:rsidR="0061232B" w:rsidRPr="006B2B20" w:rsidRDefault="0061232B" w:rsidP="00E84BAD">
            <w:pPr>
              <w:spacing w:after="0" w:line="240" w:lineRule="auto"/>
              <w:rPr>
                <w:rFonts w:cstheme="minorHAnsi"/>
                <w:sz w:val="18"/>
                <w:szCs w:val="18"/>
              </w:rPr>
            </w:pPr>
          </w:p>
          <w:p w:rsidR="0061232B" w:rsidRPr="006B2B20" w:rsidRDefault="0061232B" w:rsidP="00E84BAD">
            <w:pPr>
              <w:spacing w:after="0" w:line="240" w:lineRule="auto"/>
              <w:rPr>
                <w:rFonts w:cstheme="minorHAnsi"/>
                <w:sz w:val="18"/>
                <w:szCs w:val="18"/>
              </w:rPr>
            </w:pPr>
            <w:r w:rsidRPr="006B2B20">
              <w:rPr>
                <w:rFonts w:cstheme="minorHAnsi"/>
                <w:sz w:val="18"/>
                <w:szCs w:val="18"/>
              </w:rPr>
              <w:t>Project Start Date: January 1, 2010</w:t>
            </w:r>
          </w:p>
          <w:p w:rsidR="0061232B" w:rsidRPr="006B2B20" w:rsidRDefault="0061232B" w:rsidP="00E84BAD">
            <w:pPr>
              <w:spacing w:after="0" w:line="240" w:lineRule="auto"/>
              <w:rPr>
                <w:rFonts w:cstheme="minorHAnsi"/>
                <w:sz w:val="18"/>
                <w:szCs w:val="18"/>
              </w:rPr>
            </w:pPr>
            <w:r w:rsidRPr="006B2B20">
              <w:rPr>
                <w:rFonts w:cstheme="minorHAnsi"/>
                <w:sz w:val="18"/>
                <w:szCs w:val="18"/>
              </w:rPr>
              <w:t>Project End Date: December 31, 2014</w:t>
            </w:r>
          </w:p>
          <w:p w:rsidR="0061232B" w:rsidRPr="006B2B20" w:rsidRDefault="0061232B" w:rsidP="00E84BAD">
            <w:pPr>
              <w:spacing w:after="0" w:line="240" w:lineRule="auto"/>
              <w:rPr>
                <w:rFonts w:cstheme="minorHAnsi"/>
                <w:sz w:val="18"/>
                <w:szCs w:val="18"/>
              </w:rPr>
            </w:pPr>
          </w:p>
          <w:p w:rsidR="0061232B" w:rsidRPr="006B2B20" w:rsidRDefault="0061232B" w:rsidP="00E84BAD">
            <w:pPr>
              <w:spacing w:after="0" w:line="240" w:lineRule="auto"/>
              <w:rPr>
                <w:rFonts w:cstheme="minorHAnsi"/>
                <w:sz w:val="18"/>
                <w:szCs w:val="18"/>
              </w:rPr>
            </w:pPr>
            <w:r w:rsidRPr="006B2B20">
              <w:rPr>
                <w:rFonts w:cstheme="minorHAnsi"/>
                <w:sz w:val="18"/>
                <w:szCs w:val="18"/>
              </w:rPr>
              <w:t>Partners: DFID, EU, SIDA, Norway, AusAid, Bangladesh Government &amp; UNDP</w:t>
            </w:r>
          </w:p>
          <w:p w:rsidR="0061232B" w:rsidRPr="006B2B20" w:rsidRDefault="0061232B" w:rsidP="00E84BAD">
            <w:pPr>
              <w:spacing w:after="0" w:line="240" w:lineRule="auto"/>
              <w:rPr>
                <w:rFonts w:cstheme="minorHAnsi"/>
                <w:b/>
                <w:sz w:val="18"/>
                <w:szCs w:val="18"/>
              </w:rPr>
            </w:pPr>
          </w:p>
          <w:p w:rsidR="0061232B" w:rsidRPr="006B2B20" w:rsidRDefault="0061232B" w:rsidP="00E84BAD">
            <w:pPr>
              <w:spacing w:after="0" w:line="240" w:lineRule="auto"/>
              <w:rPr>
                <w:rFonts w:cstheme="minorHAnsi"/>
                <w:sz w:val="18"/>
                <w:szCs w:val="18"/>
              </w:rPr>
            </w:pPr>
            <w:r w:rsidRPr="006B2B20">
              <w:rPr>
                <w:rFonts w:cstheme="minorHAnsi"/>
                <w:sz w:val="18"/>
                <w:szCs w:val="18"/>
              </w:rPr>
              <w:t>Fund: 75.24 Million USD</w:t>
            </w:r>
          </w:p>
          <w:p w:rsidR="0061232B" w:rsidRPr="006B2B20" w:rsidRDefault="0061232B" w:rsidP="00E84BAD">
            <w:pPr>
              <w:spacing w:after="0" w:line="240" w:lineRule="auto"/>
              <w:rPr>
                <w:rFonts w:cstheme="minorHAnsi"/>
                <w:b/>
                <w:sz w:val="18"/>
                <w:szCs w:val="18"/>
              </w:rPr>
            </w:pPr>
          </w:p>
          <w:p w:rsidR="0061232B" w:rsidRPr="006B2B20" w:rsidRDefault="0061232B" w:rsidP="00E84BAD">
            <w:pPr>
              <w:spacing w:after="0" w:line="240" w:lineRule="auto"/>
              <w:rPr>
                <w:rFonts w:cstheme="minorHAnsi"/>
                <w:b/>
                <w:sz w:val="18"/>
                <w:szCs w:val="18"/>
              </w:rPr>
            </w:pPr>
          </w:p>
          <w:p w:rsidR="0061232B" w:rsidRPr="006B2B20" w:rsidRDefault="0061232B" w:rsidP="00E84BAD">
            <w:pPr>
              <w:spacing w:after="0" w:line="240" w:lineRule="auto"/>
              <w:rPr>
                <w:rFonts w:cstheme="minorHAnsi"/>
                <w:b/>
                <w:sz w:val="18"/>
                <w:szCs w:val="18"/>
              </w:rPr>
            </w:pPr>
          </w:p>
          <w:p w:rsidR="0061232B" w:rsidRPr="006B2B20" w:rsidRDefault="0061232B" w:rsidP="00E84BAD">
            <w:pPr>
              <w:spacing w:after="0" w:line="240" w:lineRule="auto"/>
              <w:rPr>
                <w:rFonts w:cstheme="minorHAnsi"/>
                <w:b/>
                <w:sz w:val="18"/>
                <w:szCs w:val="18"/>
              </w:rPr>
            </w:pPr>
          </w:p>
          <w:p w:rsidR="0061232B" w:rsidRPr="006B2B20" w:rsidRDefault="0061232B" w:rsidP="00E84BAD">
            <w:pPr>
              <w:spacing w:after="0" w:line="240" w:lineRule="auto"/>
              <w:rPr>
                <w:rFonts w:cstheme="minorHAnsi"/>
                <w:b/>
                <w:sz w:val="18"/>
                <w:szCs w:val="18"/>
              </w:rPr>
            </w:pPr>
          </w:p>
          <w:p w:rsidR="0061232B" w:rsidRPr="006B2B20" w:rsidRDefault="0061232B" w:rsidP="00E84BAD">
            <w:pPr>
              <w:spacing w:after="0" w:line="240" w:lineRule="auto"/>
              <w:rPr>
                <w:rFonts w:cstheme="minorHAnsi"/>
                <w:b/>
                <w:sz w:val="18"/>
                <w:szCs w:val="18"/>
              </w:rPr>
            </w:pPr>
          </w:p>
          <w:p w:rsidR="0061232B" w:rsidRPr="006B2B20" w:rsidRDefault="0061232B" w:rsidP="00E84BAD">
            <w:pPr>
              <w:spacing w:after="0" w:line="240" w:lineRule="auto"/>
              <w:rPr>
                <w:rFonts w:cstheme="minorHAnsi"/>
                <w:b/>
                <w:sz w:val="18"/>
                <w:szCs w:val="18"/>
              </w:rPr>
            </w:pPr>
          </w:p>
          <w:p w:rsidR="0061232B" w:rsidRPr="006B2B20" w:rsidRDefault="0061232B" w:rsidP="00E84BAD">
            <w:pPr>
              <w:spacing w:after="0" w:line="240" w:lineRule="auto"/>
              <w:rPr>
                <w:rFonts w:cstheme="minorHAnsi"/>
                <w:b/>
                <w:bCs/>
                <w:sz w:val="18"/>
                <w:szCs w:val="18"/>
              </w:rPr>
            </w:pPr>
          </w:p>
        </w:tc>
        <w:tc>
          <w:tcPr>
            <w:tcW w:w="11490" w:type="dxa"/>
            <w:shd w:val="clear" w:color="auto" w:fill="FFFFFF" w:themeFill="background1"/>
          </w:tcPr>
          <w:p w:rsidR="0061232B" w:rsidRPr="006B2B20" w:rsidRDefault="0061232B" w:rsidP="00E84BAD">
            <w:pPr>
              <w:spacing w:after="0" w:line="240" w:lineRule="auto"/>
              <w:jc w:val="both"/>
              <w:rPr>
                <w:rFonts w:cstheme="minorHAnsi"/>
                <w:sz w:val="18"/>
                <w:szCs w:val="18"/>
              </w:rPr>
            </w:pPr>
            <w:r w:rsidRPr="006B2B20">
              <w:rPr>
                <w:rFonts w:cstheme="minorHAnsi"/>
                <w:sz w:val="18"/>
                <w:szCs w:val="18"/>
              </w:rPr>
              <w:t>The goal of CDMP Phase II was to institutionalize a newer approach by promoting a paradigm shift from relief and rehabilitation strategy to more focused activities in ris</w:t>
            </w:r>
            <w:r>
              <w:rPr>
                <w:rFonts w:cstheme="minorHAnsi"/>
                <w:sz w:val="18"/>
                <w:szCs w:val="18"/>
              </w:rPr>
              <w:t>k</w:t>
            </w:r>
            <w:r w:rsidRPr="006B2B20">
              <w:rPr>
                <w:rFonts w:cstheme="minorHAnsi"/>
                <w:sz w:val="18"/>
                <w:szCs w:val="18"/>
              </w:rPr>
              <w:t xml:space="preserve"> reduction, by incorporating a multi-hazard framewor</w:t>
            </w:r>
            <w:r>
              <w:rPr>
                <w:rFonts w:cstheme="minorHAnsi"/>
                <w:sz w:val="18"/>
                <w:szCs w:val="18"/>
              </w:rPr>
              <w:t>k</w:t>
            </w:r>
            <w:r w:rsidRPr="006B2B20">
              <w:rPr>
                <w:rFonts w:cstheme="minorHAnsi"/>
                <w:sz w:val="18"/>
                <w:szCs w:val="18"/>
              </w:rPr>
              <w:t xml:space="preserve">   Operationally, the project aimed to reduce vulnerability to adverse natural and anthropogenic events through technical assistance in ris</w:t>
            </w:r>
            <w:r>
              <w:rPr>
                <w:rFonts w:cstheme="minorHAnsi"/>
                <w:sz w:val="18"/>
                <w:szCs w:val="18"/>
              </w:rPr>
              <w:t>k</w:t>
            </w:r>
            <w:r w:rsidRPr="006B2B20">
              <w:rPr>
                <w:rFonts w:cstheme="minorHAnsi"/>
                <w:sz w:val="18"/>
                <w:szCs w:val="18"/>
              </w:rPr>
              <w:t xml:space="preserve"> reduction and comprehensive disaster management activities. These goals directly fit into national priorities to reduce Bangladesh’s vulnerability to disasters and climate change ris</w:t>
            </w:r>
            <w:r>
              <w:rPr>
                <w:rFonts w:cstheme="minorHAnsi"/>
                <w:sz w:val="18"/>
                <w:szCs w:val="18"/>
              </w:rPr>
              <w:t>k</w:t>
            </w:r>
            <w:r w:rsidRPr="006B2B20">
              <w:rPr>
                <w:rFonts w:cstheme="minorHAnsi"/>
                <w:sz w:val="18"/>
                <w:szCs w:val="18"/>
              </w:rPr>
              <w:t>s, as elicited in the SFYP, 2011-15. The six outcomes of the project were designed to address priority issues relating to Bangladesh’s DRR capacity, and to contribute to strengthen GoB institutions other sta</w:t>
            </w:r>
            <w:r>
              <w:rPr>
                <w:rFonts w:cstheme="minorHAnsi"/>
                <w:sz w:val="18"/>
                <w:szCs w:val="18"/>
              </w:rPr>
              <w:t>k</w:t>
            </w:r>
            <w:r w:rsidRPr="006B2B20">
              <w:rPr>
                <w:rFonts w:cstheme="minorHAnsi"/>
                <w:sz w:val="18"/>
                <w:szCs w:val="18"/>
              </w:rPr>
              <w:t>eholders to engage with disaster management in general. As elicited in the MTR, the project’s thin</w:t>
            </w:r>
            <w:r>
              <w:rPr>
                <w:rFonts w:cstheme="minorHAnsi"/>
                <w:sz w:val="18"/>
                <w:szCs w:val="18"/>
              </w:rPr>
              <w:t>k</w:t>
            </w:r>
            <w:r w:rsidRPr="006B2B20">
              <w:rPr>
                <w:rFonts w:cstheme="minorHAnsi"/>
                <w:sz w:val="18"/>
                <w:szCs w:val="18"/>
              </w:rPr>
              <w:t>-tan</w:t>
            </w:r>
            <w:r>
              <w:rPr>
                <w:rFonts w:cstheme="minorHAnsi"/>
                <w:sz w:val="18"/>
                <w:szCs w:val="18"/>
              </w:rPr>
              <w:t>k</w:t>
            </w:r>
            <w:r w:rsidRPr="006B2B20">
              <w:rPr>
                <w:rFonts w:cstheme="minorHAnsi"/>
                <w:sz w:val="18"/>
                <w:szCs w:val="18"/>
              </w:rPr>
              <w:t xml:space="preserve"> role in DM has been materialized through developing analyses, policy and guidelines formulation and implementation that fulfilled the national priority areas and influenced significantly </w:t>
            </w:r>
            <w:r>
              <w:rPr>
                <w:rFonts w:cstheme="minorHAnsi"/>
                <w:sz w:val="18"/>
                <w:szCs w:val="18"/>
              </w:rPr>
              <w:t>k</w:t>
            </w:r>
            <w:r w:rsidRPr="006B2B20">
              <w:rPr>
                <w:rFonts w:cstheme="minorHAnsi"/>
                <w:sz w:val="18"/>
                <w:szCs w:val="18"/>
              </w:rPr>
              <w:t xml:space="preserve">ey policies and practices of several institutions.  Overall, in the role of providing a ‘platform’ to bring new ideas, </w:t>
            </w:r>
            <w:r>
              <w:rPr>
                <w:rFonts w:cstheme="minorHAnsi"/>
                <w:sz w:val="18"/>
                <w:szCs w:val="18"/>
              </w:rPr>
              <w:t>k</w:t>
            </w:r>
            <w:r w:rsidRPr="006B2B20">
              <w:rPr>
                <w:rFonts w:cstheme="minorHAnsi"/>
                <w:sz w:val="18"/>
                <w:szCs w:val="18"/>
              </w:rPr>
              <w:t>nowledge and institutions together to push the DRR/CCA agenda, CDMP II functioned as a catalyst. For example, CDMP II played a vital role in developing the climate change cell in the MoEF, and former has subsequently become independent. In perspective of adding value, CDMP II or similar projects should facilitate creating more ‘space’ for other institutions. The project design has incorporated very relevant components in all major hazard areas, including cyclones, tidal surges, floods, climate change and variability, earthqua</w:t>
            </w:r>
            <w:r>
              <w:rPr>
                <w:rFonts w:cstheme="minorHAnsi"/>
                <w:sz w:val="18"/>
                <w:szCs w:val="18"/>
              </w:rPr>
              <w:t>k</w:t>
            </w:r>
            <w:r w:rsidRPr="006B2B20">
              <w:rPr>
                <w:rFonts w:cstheme="minorHAnsi"/>
                <w:sz w:val="18"/>
                <w:szCs w:val="18"/>
              </w:rPr>
              <w:t>es, fire, toxic chemical spill, and gas lea</w:t>
            </w:r>
            <w:r>
              <w:rPr>
                <w:rFonts w:cstheme="minorHAnsi"/>
                <w:sz w:val="18"/>
                <w:szCs w:val="18"/>
              </w:rPr>
              <w:t>k</w:t>
            </w:r>
            <w:r w:rsidRPr="006B2B20">
              <w:rPr>
                <w:rFonts w:cstheme="minorHAnsi"/>
                <w:sz w:val="18"/>
                <w:szCs w:val="18"/>
              </w:rPr>
              <w:t xml:space="preserve">age, to achieve its goals. The multi-level (national, regional and local) coverage has made the project design more relevant to the noted SFYP, 2011-15 priorities. For examples, at the national level, the project assisted formulation and enactment of the Disaster Management Act 2012. At the district level, Resource Centres were established to create relevant </w:t>
            </w:r>
            <w:r>
              <w:rPr>
                <w:rFonts w:cstheme="minorHAnsi"/>
                <w:sz w:val="18"/>
                <w:szCs w:val="18"/>
              </w:rPr>
              <w:t>k</w:t>
            </w:r>
            <w:r w:rsidRPr="006B2B20">
              <w:rPr>
                <w:rFonts w:cstheme="minorHAnsi"/>
                <w:sz w:val="18"/>
                <w:szCs w:val="18"/>
              </w:rPr>
              <w:t xml:space="preserve">nowledge material inventory.  However, achievement in creating usable new </w:t>
            </w:r>
            <w:r>
              <w:rPr>
                <w:rFonts w:cstheme="minorHAnsi"/>
                <w:sz w:val="18"/>
                <w:szCs w:val="18"/>
              </w:rPr>
              <w:t>k</w:t>
            </w:r>
            <w:r w:rsidRPr="006B2B20">
              <w:rPr>
                <w:rFonts w:cstheme="minorHAnsi"/>
                <w:sz w:val="18"/>
                <w:szCs w:val="18"/>
              </w:rPr>
              <w:t>nowledge, based on evidence-based research and lessons learned from disaster management experience was limited. Relevant to local climate change and disaster vulnerability and ris</w:t>
            </w:r>
            <w:r>
              <w:rPr>
                <w:rFonts w:cstheme="minorHAnsi"/>
                <w:sz w:val="18"/>
                <w:szCs w:val="18"/>
              </w:rPr>
              <w:t>k</w:t>
            </w:r>
            <w:r w:rsidRPr="006B2B20">
              <w:rPr>
                <w:rFonts w:cstheme="minorHAnsi"/>
                <w:sz w:val="18"/>
                <w:szCs w:val="18"/>
              </w:rPr>
              <w:t xml:space="preserve"> reduction, it has been claimed that approximately 2.8 million people, of which 47% were women), have been covered to provide benefits from disaster resilient jobs and livelihood opportunities under the DRR schemes (e.g., emban</w:t>
            </w:r>
            <w:r>
              <w:rPr>
                <w:rFonts w:cstheme="minorHAnsi"/>
                <w:sz w:val="18"/>
                <w:szCs w:val="18"/>
              </w:rPr>
              <w:t>k</w:t>
            </w:r>
            <w:r w:rsidRPr="006B2B20">
              <w:rPr>
                <w:rFonts w:cstheme="minorHAnsi"/>
                <w:sz w:val="18"/>
                <w:szCs w:val="18"/>
              </w:rPr>
              <w:t>ments, shelters, ponds, roads). The Evaluation Team agree with the MTR that, in terms of the operational role, it was too ambitious to try to reach out all or most of the local communities, at the union level, as well as to attempt to address all disaster ris</w:t>
            </w:r>
            <w:r>
              <w:rPr>
                <w:rFonts w:cstheme="minorHAnsi"/>
                <w:sz w:val="18"/>
                <w:szCs w:val="18"/>
              </w:rPr>
              <w:t>k</w:t>
            </w:r>
            <w:r w:rsidRPr="006B2B20">
              <w:rPr>
                <w:rFonts w:cstheme="minorHAnsi"/>
                <w:sz w:val="18"/>
                <w:szCs w:val="18"/>
              </w:rPr>
              <w:t xml:space="preserve"> related needs of these communities.  A much closer engagement with DMCs is needed to ensure that the project’s own designing and implementation of activities are aligned and coordinated with other </w:t>
            </w:r>
            <w:r>
              <w:rPr>
                <w:rFonts w:cstheme="minorHAnsi"/>
                <w:sz w:val="18"/>
                <w:szCs w:val="18"/>
              </w:rPr>
              <w:t>k</w:t>
            </w:r>
            <w:r w:rsidRPr="006B2B20">
              <w:rPr>
                <w:rFonts w:cstheme="minorHAnsi"/>
                <w:sz w:val="18"/>
                <w:szCs w:val="18"/>
              </w:rPr>
              <w:t>ey projects.</w:t>
            </w:r>
          </w:p>
          <w:p w:rsidR="0061232B" w:rsidRPr="006B2B20" w:rsidRDefault="0061232B" w:rsidP="00E84BAD">
            <w:pPr>
              <w:spacing w:after="0" w:line="240" w:lineRule="auto"/>
              <w:jc w:val="both"/>
              <w:rPr>
                <w:rFonts w:cstheme="minorHAnsi"/>
                <w:sz w:val="18"/>
                <w:szCs w:val="18"/>
              </w:rPr>
            </w:pPr>
          </w:p>
          <w:p w:rsidR="0061232B" w:rsidRPr="006B2B20" w:rsidRDefault="0061232B" w:rsidP="00E84BAD">
            <w:pPr>
              <w:spacing w:after="0" w:line="240" w:lineRule="auto"/>
              <w:jc w:val="both"/>
              <w:rPr>
                <w:rFonts w:cstheme="minorHAnsi"/>
                <w:sz w:val="18"/>
                <w:szCs w:val="18"/>
              </w:rPr>
            </w:pPr>
            <w:r w:rsidRPr="006B2B20">
              <w:rPr>
                <w:rFonts w:cstheme="minorHAnsi"/>
                <w:sz w:val="18"/>
                <w:szCs w:val="18"/>
              </w:rPr>
              <w:t xml:space="preserve">Overall, CDMP II has succeeded in functioning as a needed national platform to facilitate and assist all </w:t>
            </w:r>
            <w:r>
              <w:rPr>
                <w:rFonts w:cstheme="minorHAnsi"/>
                <w:sz w:val="18"/>
                <w:szCs w:val="18"/>
              </w:rPr>
              <w:t>k</w:t>
            </w:r>
            <w:r w:rsidRPr="006B2B20">
              <w:rPr>
                <w:rFonts w:cstheme="minorHAnsi"/>
                <w:sz w:val="18"/>
                <w:szCs w:val="18"/>
              </w:rPr>
              <w:t>ey institutions to mainstreaming DRR and CCA, as well as strengthen, albeit on a limited scale, delivery of ris</w:t>
            </w:r>
            <w:r>
              <w:rPr>
                <w:rFonts w:cstheme="minorHAnsi"/>
                <w:sz w:val="18"/>
                <w:szCs w:val="18"/>
              </w:rPr>
              <w:t>k</w:t>
            </w:r>
            <w:r w:rsidRPr="006B2B20">
              <w:rPr>
                <w:rFonts w:cstheme="minorHAnsi"/>
                <w:sz w:val="18"/>
                <w:szCs w:val="18"/>
              </w:rPr>
              <w:t xml:space="preserve"> reduction outcomes for at-ris</w:t>
            </w:r>
            <w:r>
              <w:rPr>
                <w:rFonts w:cstheme="minorHAnsi"/>
                <w:sz w:val="18"/>
                <w:szCs w:val="18"/>
              </w:rPr>
              <w:t>k</w:t>
            </w:r>
            <w:r w:rsidRPr="006B2B20">
              <w:rPr>
                <w:rFonts w:cstheme="minorHAnsi"/>
                <w:sz w:val="18"/>
                <w:szCs w:val="18"/>
              </w:rPr>
              <w:t xml:space="preserve"> local communities. </w:t>
            </w:r>
          </w:p>
          <w:p w:rsidR="0061232B" w:rsidRPr="006B2B20" w:rsidRDefault="0061232B" w:rsidP="00E84BAD">
            <w:pPr>
              <w:pStyle w:val="Default"/>
              <w:jc w:val="both"/>
              <w:rPr>
                <w:rFonts w:asciiTheme="minorHAnsi" w:hAnsiTheme="minorHAnsi" w:cstheme="minorHAnsi"/>
                <w:b/>
                <w:bCs/>
                <w:sz w:val="18"/>
                <w:szCs w:val="18"/>
              </w:rPr>
            </w:pP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bCs/>
                <w:sz w:val="18"/>
                <w:szCs w:val="18"/>
              </w:rPr>
            </w:pPr>
          </w:p>
        </w:tc>
        <w:tc>
          <w:tcPr>
            <w:tcW w:w="11490" w:type="dxa"/>
            <w:shd w:val="clear" w:color="auto" w:fill="C6D9F1" w:themeFill="text2" w:themeFillTint="33"/>
          </w:tcPr>
          <w:p w:rsidR="0061232B" w:rsidRPr="006B2B20" w:rsidRDefault="0061232B" w:rsidP="00E84BAD">
            <w:pPr>
              <w:pStyle w:val="Default"/>
              <w:jc w:val="both"/>
              <w:rPr>
                <w:rFonts w:asciiTheme="minorHAnsi" w:hAnsiTheme="minorHAnsi" w:cstheme="minorHAnsi"/>
                <w:b/>
                <w:bCs/>
                <w:sz w:val="18"/>
                <w:szCs w:val="18"/>
              </w:rPr>
            </w:pPr>
            <w:r w:rsidRPr="006B2B20">
              <w:rPr>
                <w:rFonts w:asciiTheme="minorHAnsi" w:hAnsiTheme="minorHAnsi" w:cstheme="minorHAnsi"/>
                <w:b/>
                <w:bCs/>
                <w:sz w:val="18"/>
                <w:szCs w:val="18"/>
              </w:rPr>
              <w:t>Effectiveness</w:t>
            </w: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bCs/>
                <w:sz w:val="18"/>
                <w:szCs w:val="18"/>
              </w:rPr>
            </w:pPr>
          </w:p>
        </w:tc>
        <w:tc>
          <w:tcPr>
            <w:tcW w:w="11490" w:type="dxa"/>
            <w:shd w:val="clear" w:color="auto" w:fill="FFFFFF" w:themeFill="background1"/>
          </w:tcPr>
          <w:p w:rsidR="0061232B" w:rsidRPr="006B2B20" w:rsidRDefault="0061232B" w:rsidP="00E84BAD">
            <w:pPr>
              <w:pStyle w:val="Default"/>
              <w:jc w:val="both"/>
              <w:rPr>
                <w:rFonts w:asciiTheme="minorHAnsi" w:hAnsiTheme="minorHAnsi" w:cstheme="minorHAnsi"/>
                <w:bCs/>
                <w:sz w:val="18"/>
                <w:szCs w:val="18"/>
              </w:rPr>
            </w:pPr>
            <w:r w:rsidRPr="006B2B20">
              <w:rPr>
                <w:rFonts w:asciiTheme="minorHAnsi" w:hAnsiTheme="minorHAnsi" w:cstheme="minorHAnsi"/>
                <w:bCs/>
                <w:sz w:val="18"/>
                <w:szCs w:val="18"/>
              </w:rPr>
              <w:t xml:space="preserve">CDMP Phase II project was grounded on the successful implementation of the CDMP Phase I (2004-09) project, and therefore primarily was an incremental effort.  This has facilitated CDMP Phase II project to become reasonably effective in designing and implementing activities and achieve outputs consistent with targeted outcomes, though it’s engagement with GoB machinery at multi-scale (district, upazila and union) has been ‘sporadic’, and in many cases interactions occurred after prolonged gaps (e.g. several years) .Capacity deficiency of DMCs at the sub-national and local level was observed during the field visits. It was also observed where implementation support was sought from local NGOs, planning and delivery was substituted, though without a permanent solution to capacity deficiency. </w:t>
            </w:r>
          </w:p>
          <w:p w:rsidR="0061232B" w:rsidRPr="006B2B20" w:rsidRDefault="0061232B" w:rsidP="00E84BAD">
            <w:pPr>
              <w:pStyle w:val="Default"/>
              <w:jc w:val="both"/>
              <w:rPr>
                <w:rFonts w:asciiTheme="minorHAnsi" w:hAnsiTheme="minorHAnsi" w:cstheme="minorHAnsi"/>
                <w:bCs/>
                <w:sz w:val="18"/>
                <w:szCs w:val="18"/>
              </w:rPr>
            </w:pPr>
          </w:p>
          <w:p w:rsidR="0061232B" w:rsidRPr="006B2B20" w:rsidRDefault="0061232B" w:rsidP="00E84BAD">
            <w:pPr>
              <w:pStyle w:val="Default"/>
              <w:jc w:val="both"/>
              <w:rPr>
                <w:rFonts w:asciiTheme="minorHAnsi" w:hAnsiTheme="minorHAnsi" w:cstheme="minorHAnsi"/>
                <w:bCs/>
                <w:sz w:val="18"/>
                <w:szCs w:val="18"/>
              </w:rPr>
            </w:pPr>
            <w:r w:rsidRPr="006B2B20">
              <w:rPr>
                <w:rFonts w:asciiTheme="minorHAnsi" w:hAnsiTheme="minorHAnsi" w:cstheme="minorHAnsi"/>
                <w:bCs/>
                <w:sz w:val="18"/>
                <w:szCs w:val="18"/>
              </w:rPr>
              <w:lastRenderedPageBreak/>
              <w:t>Commendable effectiveness has been observed by the Evaluation Team in achieving Outcome 1 and Outcome 5 which focussed on professionalizing disaster management system and mainstreaming and institutionalizing disaster ris</w:t>
            </w:r>
            <w:r>
              <w:rPr>
                <w:rFonts w:asciiTheme="minorHAnsi" w:hAnsiTheme="minorHAnsi" w:cstheme="minorHAnsi"/>
                <w:bCs/>
                <w:sz w:val="18"/>
                <w:szCs w:val="18"/>
              </w:rPr>
              <w:t>k</w:t>
            </w:r>
            <w:r w:rsidRPr="006B2B20">
              <w:rPr>
                <w:rFonts w:asciiTheme="minorHAnsi" w:hAnsiTheme="minorHAnsi" w:cstheme="minorHAnsi"/>
                <w:bCs/>
                <w:sz w:val="18"/>
                <w:szCs w:val="18"/>
              </w:rPr>
              <w:t xml:space="preserve"> reduction, with visible and measurable national impacts.   For examples, both CDMP-II and PECM project interventions can be lin</w:t>
            </w:r>
            <w:r>
              <w:rPr>
                <w:rFonts w:asciiTheme="minorHAnsi" w:hAnsiTheme="minorHAnsi" w:cstheme="minorHAnsi"/>
                <w:bCs/>
                <w:sz w:val="18"/>
                <w:szCs w:val="18"/>
              </w:rPr>
              <w:t>k</w:t>
            </w:r>
            <w:r w:rsidRPr="006B2B20">
              <w:rPr>
                <w:rFonts w:asciiTheme="minorHAnsi" w:hAnsiTheme="minorHAnsi" w:cstheme="minorHAnsi"/>
                <w:bCs/>
                <w:sz w:val="18"/>
                <w:szCs w:val="18"/>
              </w:rPr>
              <w:t>ed with the fact that DRR and CCA policy directives have been incorporated effectively within the planning and budgeting processes of 12 partner ministries of the Government of Bangladesh by 2014. As well, technical capacities of relevant departments and ministries, including Bangladesh Meteorological Department in early warning formulation and dissemination, Flood Forecasting and Warning Centre in expanding the lead time in flood forecasting, Bangladesh Fire Service and Civil Defence in quic</w:t>
            </w:r>
            <w:r>
              <w:rPr>
                <w:rFonts w:asciiTheme="minorHAnsi" w:hAnsiTheme="minorHAnsi" w:cstheme="minorHAnsi"/>
                <w:bCs/>
                <w:sz w:val="18"/>
                <w:szCs w:val="18"/>
              </w:rPr>
              <w:t>k</w:t>
            </w:r>
            <w:r w:rsidRPr="006B2B20">
              <w:rPr>
                <w:rFonts w:asciiTheme="minorHAnsi" w:hAnsiTheme="minorHAnsi" w:cstheme="minorHAnsi"/>
                <w:bCs/>
                <w:sz w:val="18"/>
                <w:szCs w:val="18"/>
              </w:rPr>
              <w:t xml:space="preserve"> response capacity, Department of Public Health Engineering in better land-use planning, were significantly enhanced in a timely manner.  Varying extent of the outputs and outcomes was achieved in Outcomes 2,3,4 and 6. Although the project activity targets were specified in correspondence with outputs and outcomes throughout the project design, the implemented activities and outputs were not well coordinated with targets. For example, Outcome 2.2 targeted communities in 2000 unions in high-ris</w:t>
            </w:r>
            <w:r>
              <w:rPr>
                <w:rFonts w:asciiTheme="minorHAnsi" w:hAnsiTheme="minorHAnsi" w:cstheme="minorHAnsi"/>
                <w:bCs/>
                <w:sz w:val="18"/>
                <w:szCs w:val="18"/>
              </w:rPr>
              <w:t>k</w:t>
            </w:r>
            <w:r w:rsidRPr="006B2B20">
              <w:rPr>
                <w:rFonts w:asciiTheme="minorHAnsi" w:hAnsiTheme="minorHAnsi" w:cstheme="minorHAnsi"/>
                <w:bCs/>
                <w:sz w:val="18"/>
                <w:szCs w:val="18"/>
              </w:rPr>
              <w:t xml:space="preserve"> districts would become well-conversant of ris</w:t>
            </w:r>
            <w:r>
              <w:rPr>
                <w:rFonts w:asciiTheme="minorHAnsi" w:hAnsiTheme="minorHAnsi" w:cstheme="minorHAnsi"/>
                <w:bCs/>
                <w:sz w:val="18"/>
                <w:szCs w:val="18"/>
              </w:rPr>
              <w:t>k</w:t>
            </w:r>
            <w:r w:rsidRPr="006B2B20">
              <w:rPr>
                <w:rFonts w:asciiTheme="minorHAnsi" w:hAnsiTheme="minorHAnsi" w:cstheme="minorHAnsi"/>
                <w:bCs/>
                <w:sz w:val="18"/>
                <w:szCs w:val="18"/>
              </w:rPr>
              <w:t>s and vulnerabilities and ris</w:t>
            </w:r>
            <w:r>
              <w:rPr>
                <w:rFonts w:asciiTheme="minorHAnsi" w:hAnsiTheme="minorHAnsi" w:cstheme="minorHAnsi"/>
                <w:bCs/>
                <w:sz w:val="18"/>
                <w:szCs w:val="18"/>
              </w:rPr>
              <w:t>k</w:t>
            </w:r>
            <w:r w:rsidRPr="006B2B20">
              <w:rPr>
                <w:rFonts w:asciiTheme="minorHAnsi" w:hAnsiTheme="minorHAnsi" w:cstheme="minorHAnsi"/>
                <w:bCs/>
                <w:sz w:val="18"/>
                <w:szCs w:val="18"/>
              </w:rPr>
              <w:t xml:space="preserve"> reductions options , and benefitted from structural and non-structural ris</w:t>
            </w:r>
            <w:r>
              <w:rPr>
                <w:rFonts w:asciiTheme="minorHAnsi" w:hAnsiTheme="minorHAnsi" w:cstheme="minorHAnsi"/>
                <w:bCs/>
                <w:sz w:val="18"/>
                <w:szCs w:val="18"/>
              </w:rPr>
              <w:t>k</w:t>
            </w:r>
            <w:r w:rsidRPr="006B2B20">
              <w:rPr>
                <w:rFonts w:asciiTheme="minorHAnsi" w:hAnsiTheme="minorHAnsi" w:cstheme="minorHAnsi"/>
                <w:bCs/>
                <w:sz w:val="18"/>
                <w:szCs w:val="18"/>
              </w:rPr>
              <w:t xml:space="preserve"> reductions and adaptation interventions. The progress reports cited that since 2010, a total of 1865 schemes have been implemented with 99,226 interventions.  More close annual monitoring and a method of incorporation of the feedbac</w:t>
            </w:r>
            <w:r>
              <w:rPr>
                <w:rFonts w:asciiTheme="minorHAnsi" w:hAnsiTheme="minorHAnsi" w:cstheme="minorHAnsi"/>
                <w:bCs/>
                <w:sz w:val="18"/>
                <w:szCs w:val="18"/>
              </w:rPr>
              <w:t>k</w:t>
            </w:r>
            <w:r w:rsidRPr="006B2B20">
              <w:rPr>
                <w:rFonts w:asciiTheme="minorHAnsi" w:hAnsiTheme="minorHAnsi" w:cstheme="minorHAnsi"/>
                <w:bCs/>
                <w:sz w:val="18"/>
                <w:szCs w:val="18"/>
              </w:rPr>
              <w:t xml:space="preserve"> to catch-up with the lags as well as required resource and scheduling adjustments would ma</w:t>
            </w:r>
            <w:r>
              <w:rPr>
                <w:rFonts w:asciiTheme="minorHAnsi" w:hAnsiTheme="minorHAnsi" w:cstheme="minorHAnsi"/>
                <w:bCs/>
                <w:sz w:val="18"/>
                <w:szCs w:val="18"/>
              </w:rPr>
              <w:t>k</w:t>
            </w:r>
            <w:r w:rsidRPr="006B2B20">
              <w:rPr>
                <w:rFonts w:asciiTheme="minorHAnsi" w:hAnsiTheme="minorHAnsi" w:cstheme="minorHAnsi"/>
                <w:bCs/>
                <w:sz w:val="18"/>
                <w:szCs w:val="18"/>
              </w:rPr>
              <w:t>e the implementation and achievement of outcomes more effective.  In terms of overall effectiveness, the Evaluation Team ran</w:t>
            </w:r>
            <w:r>
              <w:rPr>
                <w:rFonts w:asciiTheme="minorHAnsi" w:hAnsiTheme="minorHAnsi" w:cstheme="minorHAnsi"/>
                <w:bCs/>
                <w:sz w:val="18"/>
                <w:szCs w:val="18"/>
              </w:rPr>
              <w:t>k</w:t>
            </w:r>
            <w:r w:rsidRPr="006B2B20">
              <w:rPr>
                <w:rFonts w:asciiTheme="minorHAnsi" w:hAnsiTheme="minorHAnsi" w:cstheme="minorHAnsi"/>
                <w:bCs/>
                <w:sz w:val="18"/>
                <w:szCs w:val="18"/>
              </w:rPr>
              <w:t xml:space="preserve"> it ‘highly effective’. </w:t>
            </w:r>
          </w:p>
          <w:p w:rsidR="0061232B" w:rsidRPr="006B2B20" w:rsidRDefault="0061232B" w:rsidP="00E84BAD">
            <w:pPr>
              <w:pStyle w:val="Default"/>
              <w:jc w:val="both"/>
              <w:rPr>
                <w:rFonts w:asciiTheme="minorHAnsi" w:hAnsiTheme="minorHAnsi" w:cstheme="minorHAnsi"/>
                <w:bCs/>
                <w:sz w:val="18"/>
                <w:szCs w:val="18"/>
              </w:rPr>
            </w:pP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bCs/>
                <w:sz w:val="18"/>
                <w:szCs w:val="18"/>
              </w:rPr>
            </w:pPr>
          </w:p>
        </w:tc>
        <w:tc>
          <w:tcPr>
            <w:tcW w:w="11490" w:type="dxa"/>
            <w:shd w:val="clear" w:color="auto" w:fill="C6D9F1" w:themeFill="text2" w:themeFillTint="33"/>
          </w:tcPr>
          <w:p w:rsidR="0061232B" w:rsidRPr="006B2B20" w:rsidRDefault="0061232B" w:rsidP="00E84BAD">
            <w:pPr>
              <w:pStyle w:val="Default"/>
              <w:jc w:val="both"/>
              <w:rPr>
                <w:rFonts w:asciiTheme="minorHAnsi" w:hAnsiTheme="minorHAnsi" w:cstheme="minorHAnsi"/>
                <w:b/>
                <w:bCs/>
                <w:sz w:val="18"/>
                <w:szCs w:val="18"/>
              </w:rPr>
            </w:pPr>
            <w:r w:rsidRPr="006B2B20">
              <w:rPr>
                <w:rFonts w:asciiTheme="minorHAnsi" w:hAnsiTheme="minorHAnsi" w:cstheme="minorHAnsi"/>
                <w:b/>
                <w:bCs/>
                <w:sz w:val="18"/>
                <w:szCs w:val="18"/>
              </w:rPr>
              <w:t>Efficiency</w:t>
            </w: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bCs/>
                <w:sz w:val="18"/>
                <w:szCs w:val="18"/>
              </w:rPr>
            </w:pPr>
          </w:p>
        </w:tc>
        <w:tc>
          <w:tcPr>
            <w:tcW w:w="11490" w:type="dxa"/>
            <w:shd w:val="clear" w:color="auto" w:fill="FFFFFF" w:themeFill="background1"/>
          </w:tcPr>
          <w:p w:rsidR="0061232B" w:rsidRPr="006B2B20" w:rsidRDefault="0061232B" w:rsidP="00E84BAD">
            <w:pPr>
              <w:pStyle w:val="Default"/>
              <w:rPr>
                <w:rFonts w:asciiTheme="minorHAnsi" w:hAnsiTheme="minorHAnsi" w:cstheme="minorHAnsi"/>
                <w:bCs/>
                <w:sz w:val="18"/>
                <w:szCs w:val="18"/>
              </w:rPr>
            </w:pPr>
            <w:r w:rsidRPr="006B2B20">
              <w:rPr>
                <w:rFonts w:asciiTheme="minorHAnsi" w:hAnsiTheme="minorHAnsi" w:cstheme="minorHAnsi"/>
                <w:bCs/>
                <w:sz w:val="18"/>
                <w:szCs w:val="18"/>
              </w:rPr>
              <w:t>As efficiency measures the performance of how good economically resources or inputs (e.g., funds, expertise and time) are converted to results (UNDP, 2009), the focus of evaluation team is up on assessing the extent to which resources have been used efficiently in terms of financial, human resources, and time investment until the time of evaluation (i.e., 2014) to achieve the intended results. Up to mid-2014 (in the 5</w:t>
            </w:r>
            <w:r w:rsidRPr="006B2B20">
              <w:rPr>
                <w:rFonts w:asciiTheme="minorHAnsi" w:hAnsiTheme="minorHAnsi" w:cstheme="minorHAnsi"/>
                <w:bCs/>
                <w:sz w:val="18"/>
                <w:szCs w:val="18"/>
                <w:vertAlign w:val="superscript"/>
              </w:rPr>
              <w:t>th</w:t>
            </w:r>
            <w:r w:rsidRPr="006B2B20">
              <w:rPr>
                <w:rFonts w:asciiTheme="minorHAnsi" w:hAnsiTheme="minorHAnsi" w:cstheme="minorHAnsi"/>
                <w:bCs/>
                <w:sz w:val="18"/>
                <w:szCs w:val="18"/>
              </w:rPr>
              <w:t xml:space="preserve"> year), total budget utilization of CDMP II was low, both totally at 75%, and year by year-wise – see </w:t>
            </w:r>
            <w:r w:rsidRPr="00CB6F08">
              <w:rPr>
                <w:rFonts w:asciiTheme="minorHAnsi" w:hAnsiTheme="minorHAnsi" w:cstheme="minorHAnsi"/>
                <w:bCs/>
                <w:color w:val="auto"/>
                <w:sz w:val="18"/>
                <w:szCs w:val="18"/>
              </w:rPr>
              <w:t>(Annex 1.A)</w:t>
            </w:r>
            <w:r w:rsidRPr="006B2B20">
              <w:rPr>
                <w:rFonts w:asciiTheme="minorHAnsi" w:hAnsiTheme="minorHAnsi" w:cstheme="minorHAnsi"/>
                <w:bCs/>
                <w:sz w:val="18"/>
                <w:szCs w:val="18"/>
              </w:rPr>
              <w:t xml:space="preserve">and ‘marginally satisfactory’ in perspective of its terminal year. </w:t>
            </w:r>
          </w:p>
          <w:p w:rsidR="0061232B" w:rsidRPr="006B2B20" w:rsidRDefault="0061232B" w:rsidP="00E84BAD">
            <w:pPr>
              <w:pStyle w:val="Default"/>
              <w:rPr>
                <w:rFonts w:asciiTheme="minorHAnsi" w:hAnsiTheme="minorHAnsi" w:cstheme="minorHAnsi"/>
                <w:bCs/>
                <w:sz w:val="18"/>
                <w:szCs w:val="18"/>
              </w:rPr>
            </w:pPr>
          </w:p>
          <w:p w:rsidR="0061232B" w:rsidRPr="006B2B20" w:rsidRDefault="0061232B" w:rsidP="00E84BAD">
            <w:pPr>
              <w:pStyle w:val="Default"/>
              <w:rPr>
                <w:rFonts w:asciiTheme="minorHAnsi" w:hAnsiTheme="minorHAnsi" w:cstheme="minorHAnsi"/>
                <w:bCs/>
                <w:sz w:val="18"/>
                <w:szCs w:val="18"/>
              </w:rPr>
            </w:pPr>
            <w:r w:rsidRPr="006B2B20">
              <w:rPr>
                <w:rFonts w:asciiTheme="minorHAnsi" w:hAnsiTheme="minorHAnsi" w:cstheme="minorHAnsi"/>
                <w:bCs/>
                <w:sz w:val="18"/>
                <w:szCs w:val="18"/>
              </w:rPr>
              <w:t xml:space="preserve">The project implementation agency expected to have spent 85% of the available funds by the termination of the program in December 2014. As UNDP requirement is 96%, budget utilization falls short substantially, indicating inadequate financial planning and implementation capacity.  The Evaluation Team concur with the observation of DFID assessment conclusion that CDMP II have offered ‘good economy’ (e.g., lower management costs that some other UNDP projects as well as exhibited numerous good practice examples over the years.  In terms achieving programme results, most targeted outputs were produced, as revealed by the </w:t>
            </w:r>
            <w:r>
              <w:rPr>
                <w:rFonts w:asciiTheme="minorHAnsi" w:hAnsiTheme="minorHAnsi" w:cstheme="minorHAnsi"/>
                <w:bCs/>
                <w:sz w:val="18"/>
                <w:szCs w:val="18"/>
              </w:rPr>
              <w:t>k</w:t>
            </w:r>
            <w:r w:rsidRPr="006B2B20">
              <w:rPr>
                <w:rFonts w:asciiTheme="minorHAnsi" w:hAnsiTheme="minorHAnsi" w:cstheme="minorHAnsi"/>
                <w:bCs/>
                <w:sz w:val="18"/>
                <w:szCs w:val="18"/>
              </w:rPr>
              <w:t>ey indicators (e.g., number of beneficiaries, s</w:t>
            </w:r>
            <w:r>
              <w:rPr>
                <w:rFonts w:asciiTheme="minorHAnsi" w:hAnsiTheme="minorHAnsi" w:cstheme="minorHAnsi"/>
                <w:bCs/>
                <w:sz w:val="18"/>
                <w:szCs w:val="18"/>
              </w:rPr>
              <w:t>k</w:t>
            </w:r>
            <w:r w:rsidRPr="006B2B20">
              <w:rPr>
                <w:rFonts w:asciiTheme="minorHAnsi" w:hAnsiTheme="minorHAnsi" w:cstheme="minorHAnsi"/>
                <w:bCs/>
                <w:sz w:val="18"/>
                <w:szCs w:val="18"/>
              </w:rPr>
              <w:t>ill development through training programmes).  Also, due it CDMP II’s positive economic performance, outputs visibility and earned reputation, new programmes in the country are adopting its evidence and experience (e.g., an over $14 m project on Seismic Ris</w:t>
            </w:r>
            <w:r>
              <w:rPr>
                <w:rFonts w:asciiTheme="minorHAnsi" w:hAnsiTheme="minorHAnsi" w:cstheme="minorHAnsi"/>
                <w:bCs/>
                <w:sz w:val="18"/>
                <w:szCs w:val="18"/>
              </w:rPr>
              <w:t>k</w:t>
            </w:r>
            <w:r w:rsidRPr="006B2B20">
              <w:rPr>
                <w:rFonts w:asciiTheme="minorHAnsi" w:hAnsiTheme="minorHAnsi" w:cstheme="minorHAnsi"/>
                <w:bCs/>
                <w:sz w:val="18"/>
                <w:szCs w:val="18"/>
              </w:rPr>
              <w:t xml:space="preserve"> Mitigation and Emergency Preparedness, $125 m project on Urban Resilience Project). The Evaluation Team recognizes that up on implementation of the entire project cycle, the CDMP II interventions, benefits from them, especially from Early Warning System and Core Family Shelters</w:t>
            </w:r>
            <w:r w:rsidRPr="006B2B20">
              <w:rPr>
                <w:rFonts w:asciiTheme="minorHAnsi" w:hAnsiTheme="minorHAnsi" w:cstheme="minorHAnsi"/>
                <w:bCs/>
                <w:color w:val="auto"/>
                <w:sz w:val="18"/>
                <w:szCs w:val="18"/>
              </w:rPr>
              <w:t>,</w:t>
            </w:r>
            <w:r w:rsidRPr="006B2B20">
              <w:rPr>
                <w:rFonts w:asciiTheme="minorHAnsi" w:hAnsiTheme="minorHAnsi" w:cstheme="minorHAnsi"/>
                <w:bCs/>
                <w:sz w:val="18"/>
                <w:szCs w:val="18"/>
              </w:rPr>
              <w:t xml:space="preserve"> would outweigh the costs, and provide positive and extremely high value for money. This is more valid particularly for the Early Warning System (EWS) interventions.  It is important to highlight here that more clear evidence is required to conclude on VfM definitively across all activities and/or components through close and effective monitoring of results and boo</w:t>
            </w:r>
            <w:r>
              <w:rPr>
                <w:rFonts w:asciiTheme="minorHAnsi" w:hAnsiTheme="minorHAnsi" w:cstheme="minorHAnsi"/>
                <w:bCs/>
                <w:sz w:val="18"/>
                <w:szCs w:val="18"/>
              </w:rPr>
              <w:t>kk</w:t>
            </w:r>
            <w:r w:rsidRPr="006B2B20">
              <w:rPr>
                <w:rFonts w:asciiTheme="minorHAnsi" w:hAnsiTheme="minorHAnsi" w:cstheme="minorHAnsi"/>
                <w:bCs/>
                <w:sz w:val="18"/>
                <w:szCs w:val="18"/>
              </w:rPr>
              <w:t>eeping on output-based costing. DFID VfM assessment demonstrated the significance of output-based costing, which revealed varying performance by outcome area whereby outcome 1 has been slowest spender and outcome 5 has achieved highest utilization</w:t>
            </w:r>
            <w:r w:rsidRPr="006B2B20">
              <w:rPr>
                <w:rFonts w:asciiTheme="minorHAnsi" w:hAnsiTheme="minorHAnsi" w:cstheme="minorHAnsi"/>
                <w:bCs/>
                <w:color w:val="auto"/>
                <w:sz w:val="18"/>
                <w:szCs w:val="18"/>
              </w:rPr>
              <w:t xml:space="preserve"> rate</w:t>
            </w:r>
            <w:r w:rsidRPr="00CB6F08">
              <w:rPr>
                <w:rFonts w:asciiTheme="minorHAnsi" w:hAnsiTheme="minorHAnsi" w:cstheme="minorHAnsi"/>
                <w:bCs/>
                <w:color w:val="auto"/>
                <w:sz w:val="18"/>
                <w:szCs w:val="18"/>
              </w:rPr>
              <w:t>(Annex 4.G).</w:t>
            </w:r>
          </w:p>
          <w:p w:rsidR="0061232B" w:rsidRPr="006B2B20" w:rsidRDefault="0061232B" w:rsidP="00E84BAD">
            <w:pPr>
              <w:pStyle w:val="Default"/>
              <w:jc w:val="both"/>
              <w:rPr>
                <w:rFonts w:asciiTheme="minorHAnsi" w:hAnsiTheme="minorHAnsi" w:cstheme="minorHAnsi"/>
                <w:b/>
                <w:bCs/>
                <w:sz w:val="18"/>
                <w:szCs w:val="18"/>
              </w:rPr>
            </w:pP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bCs/>
                <w:sz w:val="18"/>
                <w:szCs w:val="18"/>
              </w:rPr>
            </w:pPr>
          </w:p>
        </w:tc>
        <w:tc>
          <w:tcPr>
            <w:tcW w:w="11490" w:type="dxa"/>
            <w:shd w:val="clear" w:color="auto" w:fill="C6D9F1" w:themeFill="text2" w:themeFillTint="33"/>
          </w:tcPr>
          <w:p w:rsidR="0061232B" w:rsidRPr="006B2B20" w:rsidRDefault="0061232B" w:rsidP="00E84BAD">
            <w:pPr>
              <w:pStyle w:val="Default"/>
              <w:jc w:val="both"/>
              <w:rPr>
                <w:rFonts w:asciiTheme="minorHAnsi" w:hAnsiTheme="minorHAnsi" w:cstheme="minorHAnsi"/>
                <w:b/>
                <w:bCs/>
                <w:sz w:val="18"/>
                <w:szCs w:val="18"/>
              </w:rPr>
            </w:pPr>
            <w:r w:rsidRPr="006B2B20">
              <w:rPr>
                <w:rFonts w:asciiTheme="minorHAnsi" w:hAnsiTheme="minorHAnsi" w:cstheme="minorHAnsi"/>
                <w:b/>
                <w:bCs/>
                <w:sz w:val="18"/>
                <w:szCs w:val="18"/>
              </w:rPr>
              <w:t>Cross-cutting themes (gender and other related perspectives)</w:t>
            </w: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bCs/>
                <w:sz w:val="18"/>
                <w:szCs w:val="18"/>
              </w:rPr>
            </w:pPr>
          </w:p>
        </w:tc>
        <w:tc>
          <w:tcPr>
            <w:tcW w:w="11490" w:type="dxa"/>
            <w:shd w:val="clear" w:color="auto" w:fill="FFFFFF" w:themeFill="background1"/>
          </w:tcPr>
          <w:p w:rsidR="0061232B" w:rsidRPr="006B2B20" w:rsidRDefault="0061232B" w:rsidP="00E84BAD">
            <w:pPr>
              <w:spacing w:after="0" w:line="240" w:lineRule="auto"/>
              <w:jc w:val="both"/>
              <w:rPr>
                <w:rFonts w:cstheme="minorHAnsi"/>
                <w:sz w:val="18"/>
                <w:szCs w:val="18"/>
              </w:rPr>
            </w:pPr>
            <w:r w:rsidRPr="006B2B20">
              <w:rPr>
                <w:rFonts w:cstheme="minorHAnsi"/>
                <w:bCs/>
                <w:sz w:val="18"/>
                <w:szCs w:val="18"/>
              </w:rPr>
              <w:t>The disaster and climate ris</w:t>
            </w:r>
            <w:r>
              <w:rPr>
                <w:rFonts w:cstheme="minorHAnsi"/>
                <w:bCs/>
                <w:sz w:val="18"/>
                <w:szCs w:val="18"/>
              </w:rPr>
              <w:t>k</w:t>
            </w:r>
            <w:r w:rsidRPr="006B2B20">
              <w:rPr>
                <w:rFonts w:cstheme="minorHAnsi"/>
                <w:bCs/>
                <w:sz w:val="18"/>
                <w:szCs w:val="18"/>
              </w:rPr>
              <w:t xml:space="preserve"> reduction projects usually create ample opportunities to activate initiatives that addresses gender inequalities and to support conditions for more equitable benefits from vulnerability and ris</w:t>
            </w:r>
            <w:r>
              <w:rPr>
                <w:rFonts w:cstheme="minorHAnsi"/>
                <w:bCs/>
                <w:sz w:val="18"/>
                <w:szCs w:val="18"/>
              </w:rPr>
              <w:t>k</w:t>
            </w:r>
            <w:r w:rsidRPr="006B2B20">
              <w:rPr>
                <w:rFonts w:cstheme="minorHAnsi"/>
                <w:bCs/>
                <w:sz w:val="18"/>
                <w:szCs w:val="18"/>
              </w:rPr>
              <w:t xml:space="preserve"> reduction interventions. An assessment of the cross-cutting themes of CDMP II project by the Evaluation Team revealed that although some of the project activities have been dealing with the issues of gender equality, benefits specifically to the disadvantaged groups, and some aspects of human rights (e.g., access to information, and resources), limited attention has particularly been given to address gender equality in the early years of implementation. However, in the later years, CDMP II supported designated activities of women. For example, it wor</w:t>
            </w:r>
            <w:r>
              <w:rPr>
                <w:rFonts w:cstheme="minorHAnsi"/>
                <w:bCs/>
                <w:sz w:val="18"/>
                <w:szCs w:val="18"/>
              </w:rPr>
              <w:t>k</w:t>
            </w:r>
            <w:r w:rsidRPr="006B2B20">
              <w:rPr>
                <w:rFonts w:cstheme="minorHAnsi"/>
                <w:bCs/>
                <w:sz w:val="18"/>
                <w:szCs w:val="18"/>
              </w:rPr>
              <w:t>ed with the Department of Women Affairs to develop a Ris</w:t>
            </w:r>
            <w:r>
              <w:rPr>
                <w:rFonts w:cstheme="minorHAnsi"/>
                <w:bCs/>
                <w:sz w:val="18"/>
                <w:szCs w:val="18"/>
              </w:rPr>
              <w:t>k</w:t>
            </w:r>
            <w:r w:rsidRPr="006B2B20">
              <w:rPr>
                <w:rFonts w:cstheme="minorHAnsi"/>
                <w:bCs/>
                <w:sz w:val="18"/>
                <w:szCs w:val="18"/>
              </w:rPr>
              <w:t xml:space="preserve"> Reduction Plan for 2013-18, earth qua</w:t>
            </w:r>
            <w:r>
              <w:rPr>
                <w:rFonts w:cstheme="minorHAnsi"/>
                <w:bCs/>
                <w:sz w:val="18"/>
                <w:szCs w:val="18"/>
              </w:rPr>
              <w:t>k</w:t>
            </w:r>
            <w:r w:rsidRPr="006B2B20">
              <w:rPr>
                <w:rFonts w:cstheme="minorHAnsi"/>
                <w:bCs/>
                <w:sz w:val="18"/>
                <w:szCs w:val="18"/>
              </w:rPr>
              <w:t xml:space="preserve">e contingency plan and </w:t>
            </w:r>
            <w:r w:rsidRPr="006B2B20">
              <w:rPr>
                <w:rFonts w:cstheme="minorHAnsi"/>
                <w:bCs/>
                <w:sz w:val="18"/>
                <w:szCs w:val="18"/>
              </w:rPr>
              <w:lastRenderedPageBreak/>
              <w:t xml:space="preserve">DRR tool </w:t>
            </w:r>
            <w:r>
              <w:rPr>
                <w:rFonts w:cstheme="minorHAnsi"/>
                <w:bCs/>
                <w:sz w:val="18"/>
                <w:szCs w:val="18"/>
              </w:rPr>
              <w:t>k</w:t>
            </w:r>
            <w:r w:rsidRPr="006B2B20">
              <w:rPr>
                <w:rFonts w:cstheme="minorHAnsi"/>
                <w:bCs/>
                <w:sz w:val="18"/>
                <w:szCs w:val="18"/>
              </w:rPr>
              <w:t xml:space="preserve">it.  </w:t>
            </w:r>
            <w:r w:rsidRPr="006B2B20">
              <w:rPr>
                <w:rFonts w:cstheme="minorHAnsi"/>
                <w:sz w:val="18"/>
                <w:szCs w:val="18"/>
              </w:rPr>
              <w:t xml:space="preserve">Gender equality has been advanced through the national Disaster Management Act and subsequent enforceable Rules (2014), which were drafted to ensure national and local representation of the Ministry of Women and Children Affairs/ Department of Women Affairs in the disaster coordination and management committees. Standing Orders on Disaster (SOD) spells out the responsibility of different agencies and ensure the representation of local government women members at the local level disaster management committees. However, it is evident that the female members of local level disaster management committees are not effectively participating in the process (CDMPII, Annual Progress Report, 2013). </w:t>
            </w:r>
            <w:r w:rsidRPr="006B2B20">
              <w:rPr>
                <w:rFonts w:cstheme="minorHAnsi"/>
                <w:bCs/>
                <w:sz w:val="18"/>
                <w:szCs w:val="18"/>
              </w:rPr>
              <w:t xml:space="preserve">Notably, social equity issues were not explicitly targeted by the project whereas disasters are </w:t>
            </w:r>
            <w:r>
              <w:rPr>
                <w:rFonts w:cstheme="minorHAnsi"/>
                <w:bCs/>
                <w:sz w:val="18"/>
                <w:szCs w:val="18"/>
              </w:rPr>
              <w:t>k</w:t>
            </w:r>
            <w:r w:rsidRPr="006B2B20">
              <w:rPr>
                <w:rFonts w:cstheme="minorHAnsi"/>
                <w:bCs/>
                <w:sz w:val="18"/>
                <w:szCs w:val="18"/>
              </w:rPr>
              <w:t>nown to augment marginalization and pauperization.</w:t>
            </w:r>
          </w:p>
          <w:p w:rsidR="0061232B" w:rsidRPr="006B2B20" w:rsidRDefault="0061232B" w:rsidP="00E84BAD">
            <w:pPr>
              <w:pStyle w:val="Default"/>
              <w:jc w:val="both"/>
              <w:rPr>
                <w:rFonts w:asciiTheme="minorHAnsi" w:hAnsiTheme="minorHAnsi" w:cstheme="minorHAnsi"/>
                <w:bCs/>
                <w:sz w:val="18"/>
                <w:szCs w:val="18"/>
              </w:rPr>
            </w:pPr>
          </w:p>
          <w:p w:rsidR="0061232B" w:rsidRPr="006B2B20" w:rsidRDefault="0061232B" w:rsidP="00E84BAD">
            <w:pPr>
              <w:pStyle w:val="Default"/>
              <w:jc w:val="both"/>
              <w:rPr>
                <w:rFonts w:asciiTheme="minorHAnsi" w:hAnsiTheme="minorHAnsi" w:cstheme="minorHAnsi"/>
                <w:bCs/>
                <w:sz w:val="18"/>
                <w:szCs w:val="18"/>
              </w:rPr>
            </w:pPr>
            <w:r w:rsidRPr="006B2B20">
              <w:rPr>
                <w:rFonts w:asciiTheme="minorHAnsi" w:hAnsiTheme="minorHAnsi" w:cstheme="minorHAnsi"/>
                <w:bCs/>
                <w:sz w:val="18"/>
                <w:szCs w:val="18"/>
              </w:rPr>
              <w:t>CDMP II can be regarded as a show case of successful partnership development for intersectoral lin</w:t>
            </w:r>
            <w:r>
              <w:rPr>
                <w:rFonts w:asciiTheme="minorHAnsi" w:hAnsiTheme="minorHAnsi" w:cstheme="minorHAnsi"/>
                <w:bCs/>
                <w:sz w:val="18"/>
                <w:szCs w:val="18"/>
              </w:rPr>
              <w:t>k</w:t>
            </w:r>
            <w:r w:rsidRPr="006B2B20">
              <w:rPr>
                <w:rFonts w:asciiTheme="minorHAnsi" w:hAnsiTheme="minorHAnsi" w:cstheme="minorHAnsi"/>
                <w:bCs/>
                <w:sz w:val="18"/>
                <w:szCs w:val="18"/>
              </w:rPr>
              <w:t>ages among various government ministries and departments.  Some of the activities involved non-government organizations, civil society organizations, and volunteers effectively; nonetheless, their scale was limited.  The opportunity to cement enhanced partnership with community-based non-governmental institutions should not be missed, and be emphasized in future programming.</w:t>
            </w:r>
          </w:p>
          <w:p w:rsidR="0061232B" w:rsidRPr="006B2B20" w:rsidRDefault="0061232B" w:rsidP="00E84BAD">
            <w:pPr>
              <w:pStyle w:val="Default"/>
              <w:jc w:val="both"/>
              <w:rPr>
                <w:rFonts w:asciiTheme="minorHAnsi" w:hAnsiTheme="minorHAnsi" w:cstheme="minorHAnsi"/>
                <w:bCs/>
                <w:sz w:val="18"/>
                <w:szCs w:val="18"/>
              </w:rPr>
            </w:pP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bCs/>
                <w:sz w:val="18"/>
                <w:szCs w:val="18"/>
              </w:rPr>
            </w:pPr>
          </w:p>
        </w:tc>
        <w:tc>
          <w:tcPr>
            <w:tcW w:w="11490" w:type="dxa"/>
            <w:shd w:val="clear" w:color="auto" w:fill="C6D9F1" w:themeFill="text2" w:themeFillTint="33"/>
          </w:tcPr>
          <w:p w:rsidR="0061232B" w:rsidRPr="006B2B20" w:rsidRDefault="0061232B" w:rsidP="00E84BAD">
            <w:pPr>
              <w:pStyle w:val="Default"/>
              <w:jc w:val="both"/>
              <w:rPr>
                <w:rFonts w:asciiTheme="minorHAnsi" w:hAnsiTheme="minorHAnsi" w:cstheme="minorHAnsi"/>
                <w:b/>
                <w:bCs/>
                <w:sz w:val="18"/>
                <w:szCs w:val="18"/>
              </w:rPr>
            </w:pPr>
            <w:r w:rsidRPr="006B2B20">
              <w:rPr>
                <w:rFonts w:asciiTheme="minorHAnsi" w:hAnsiTheme="minorHAnsi" w:cstheme="minorHAnsi"/>
                <w:b/>
                <w:bCs/>
                <w:sz w:val="18"/>
                <w:szCs w:val="18"/>
              </w:rPr>
              <w:t>Sustainability and potential for replication</w:t>
            </w: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FFFFFF" w:themeFill="background1"/>
          </w:tcPr>
          <w:p w:rsidR="0061232B" w:rsidRPr="006B2B20" w:rsidRDefault="0061232B" w:rsidP="00E84BAD">
            <w:pPr>
              <w:spacing w:after="0" w:line="240" w:lineRule="auto"/>
              <w:jc w:val="both"/>
              <w:rPr>
                <w:rFonts w:cstheme="minorHAnsi"/>
                <w:sz w:val="18"/>
                <w:szCs w:val="18"/>
              </w:rPr>
            </w:pPr>
            <w:r w:rsidRPr="006B2B20">
              <w:rPr>
                <w:rFonts w:cstheme="minorHAnsi"/>
                <w:sz w:val="18"/>
                <w:szCs w:val="18"/>
              </w:rPr>
              <w:t xml:space="preserve">The high degree of success in institutionalizing and mainstreaming DRR and CCA by the CDMP II through policy, </w:t>
            </w:r>
            <w:r>
              <w:rPr>
                <w:rFonts w:cstheme="minorHAnsi"/>
                <w:sz w:val="18"/>
                <w:szCs w:val="18"/>
              </w:rPr>
              <w:t>k</w:t>
            </w:r>
            <w:r w:rsidRPr="006B2B20">
              <w:rPr>
                <w:rFonts w:cstheme="minorHAnsi"/>
                <w:sz w:val="18"/>
                <w:szCs w:val="18"/>
              </w:rPr>
              <w:t>nowledge delivery and management, and advocacy wor</w:t>
            </w:r>
            <w:r>
              <w:rPr>
                <w:rFonts w:cstheme="minorHAnsi"/>
                <w:sz w:val="18"/>
                <w:szCs w:val="18"/>
              </w:rPr>
              <w:t>k</w:t>
            </w:r>
            <w:r w:rsidRPr="006B2B20">
              <w:rPr>
                <w:rFonts w:cstheme="minorHAnsi"/>
                <w:sz w:val="18"/>
                <w:szCs w:val="18"/>
              </w:rPr>
              <w:t xml:space="preserve"> at the national level is li</w:t>
            </w:r>
            <w:r>
              <w:rPr>
                <w:rFonts w:cstheme="minorHAnsi"/>
                <w:sz w:val="18"/>
                <w:szCs w:val="18"/>
              </w:rPr>
              <w:t>k</w:t>
            </w:r>
            <w:r w:rsidRPr="006B2B20">
              <w:rPr>
                <w:rFonts w:cstheme="minorHAnsi"/>
                <w:sz w:val="18"/>
                <w:szCs w:val="18"/>
              </w:rPr>
              <w:t xml:space="preserve">ely to sustain in the long run.  The participation in and ownership of DRR and CCA, which were assisted by the CDMP II project activities, by the </w:t>
            </w:r>
            <w:r>
              <w:rPr>
                <w:rFonts w:cstheme="minorHAnsi"/>
                <w:sz w:val="18"/>
                <w:szCs w:val="18"/>
              </w:rPr>
              <w:t>k</w:t>
            </w:r>
            <w:r w:rsidRPr="006B2B20">
              <w:rPr>
                <w:rFonts w:cstheme="minorHAnsi"/>
                <w:sz w:val="18"/>
                <w:szCs w:val="18"/>
              </w:rPr>
              <w:t xml:space="preserve">ey government ministries and departments were exemplary.  </w:t>
            </w:r>
            <w:r>
              <w:rPr>
                <w:rFonts w:cstheme="minorHAnsi"/>
                <w:sz w:val="18"/>
                <w:szCs w:val="18"/>
              </w:rPr>
              <w:t>K</w:t>
            </w:r>
            <w:r w:rsidRPr="006B2B20">
              <w:rPr>
                <w:rFonts w:cstheme="minorHAnsi"/>
                <w:sz w:val="18"/>
                <w:szCs w:val="18"/>
              </w:rPr>
              <w:t xml:space="preserve">eeping the synergy for DRR and CCA in sectoral activities and budget, however will require further support beyond 2014. This is more applicable because many </w:t>
            </w:r>
            <w:r>
              <w:rPr>
                <w:rFonts w:cstheme="minorHAnsi"/>
                <w:sz w:val="18"/>
                <w:szCs w:val="18"/>
              </w:rPr>
              <w:t>k</w:t>
            </w:r>
            <w:r w:rsidRPr="006B2B20">
              <w:rPr>
                <w:rFonts w:cstheme="minorHAnsi"/>
                <w:sz w:val="18"/>
                <w:szCs w:val="18"/>
              </w:rPr>
              <w:t>ey institutions are still evolving.  As the mid-term review observed, CDMP’s primary Government of Bangladesh counterpart, namely the Disaster Management Bureau in the Ministry of Food and Disaster Management, has remained under-resourced and has limited capacity to continue to provide leadership in mainstreaming DRR and CCA in the country. The sustainability ris</w:t>
            </w:r>
            <w:r>
              <w:rPr>
                <w:rFonts w:cstheme="minorHAnsi"/>
                <w:sz w:val="18"/>
                <w:szCs w:val="18"/>
              </w:rPr>
              <w:t>k</w:t>
            </w:r>
            <w:r w:rsidRPr="006B2B20">
              <w:rPr>
                <w:rFonts w:cstheme="minorHAnsi"/>
                <w:sz w:val="18"/>
                <w:szCs w:val="18"/>
              </w:rPr>
              <w:t xml:space="preserve"> is high in number of areas, which were found in the programme design and implementation. As the institutional capacity continues to be deficient at the sub-national and local level, as well as at the city corporation’s level, it will be necessary to underscore cross-scale (City corporation/district, upazila, union level) sustainable capacity and institution building. For example, urban volunteers were trained without a provision of their institutionalization, and long term sustainability strategy. Re-fresher training would be required with new technology, </w:t>
            </w:r>
            <w:r>
              <w:rPr>
                <w:rFonts w:cstheme="minorHAnsi"/>
                <w:sz w:val="18"/>
                <w:szCs w:val="18"/>
              </w:rPr>
              <w:t>k</w:t>
            </w:r>
            <w:r w:rsidRPr="006B2B20">
              <w:rPr>
                <w:rFonts w:cstheme="minorHAnsi"/>
                <w:sz w:val="18"/>
                <w:szCs w:val="18"/>
              </w:rPr>
              <w:t>nowledge and newer type of ris</w:t>
            </w:r>
            <w:r>
              <w:rPr>
                <w:rFonts w:cstheme="minorHAnsi"/>
                <w:sz w:val="18"/>
                <w:szCs w:val="18"/>
              </w:rPr>
              <w:t>k</w:t>
            </w:r>
            <w:r w:rsidRPr="006B2B20">
              <w:rPr>
                <w:rFonts w:cstheme="minorHAnsi"/>
                <w:sz w:val="18"/>
                <w:szCs w:val="18"/>
              </w:rPr>
              <w:t>, and without cross-scale institutionalizing DRR and CCA, the current achievements would face gradual degradation.</w:t>
            </w:r>
          </w:p>
          <w:p w:rsidR="0061232B" w:rsidRPr="006B2B20" w:rsidRDefault="0061232B" w:rsidP="00E84BAD">
            <w:pPr>
              <w:spacing w:after="0" w:line="240" w:lineRule="auto"/>
              <w:jc w:val="both"/>
              <w:rPr>
                <w:rFonts w:cstheme="minorHAnsi"/>
                <w:sz w:val="18"/>
                <w:szCs w:val="18"/>
              </w:rPr>
            </w:pPr>
          </w:p>
          <w:p w:rsidR="0061232B" w:rsidRPr="006B2B20" w:rsidRDefault="0061232B" w:rsidP="00E84BAD">
            <w:pPr>
              <w:spacing w:after="0" w:line="240" w:lineRule="auto"/>
              <w:jc w:val="both"/>
              <w:rPr>
                <w:rFonts w:cstheme="minorHAnsi"/>
                <w:sz w:val="18"/>
                <w:szCs w:val="18"/>
              </w:rPr>
            </w:pPr>
            <w:r w:rsidRPr="006B2B20">
              <w:rPr>
                <w:rFonts w:cstheme="minorHAnsi"/>
                <w:sz w:val="18"/>
                <w:szCs w:val="18"/>
              </w:rPr>
              <w:t>The ris</w:t>
            </w:r>
            <w:r>
              <w:rPr>
                <w:rFonts w:cstheme="minorHAnsi"/>
                <w:sz w:val="18"/>
                <w:szCs w:val="18"/>
              </w:rPr>
              <w:t>k</w:t>
            </w:r>
            <w:r w:rsidRPr="006B2B20">
              <w:rPr>
                <w:rFonts w:cstheme="minorHAnsi"/>
                <w:sz w:val="18"/>
                <w:szCs w:val="18"/>
              </w:rPr>
              <w:t xml:space="preserve"> reduction activities funded directly by CDMP II through Local Disaster Ris</w:t>
            </w:r>
            <w:r>
              <w:rPr>
                <w:rFonts w:cstheme="minorHAnsi"/>
                <w:sz w:val="18"/>
                <w:szCs w:val="18"/>
              </w:rPr>
              <w:t>k</w:t>
            </w:r>
            <w:r w:rsidRPr="006B2B20">
              <w:rPr>
                <w:rFonts w:cstheme="minorHAnsi"/>
                <w:sz w:val="18"/>
                <w:szCs w:val="18"/>
              </w:rPr>
              <w:t xml:space="preserve"> Reduction Fund (LDRRF) could be made sustainable by strengthening the engagement and capacity building wor</w:t>
            </w:r>
            <w:r>
              <w:rPr>
                <w:rFonts w:cstheme="minorHAnsi"/>
                <w:sz w:val="18"/>
                <w:szCs w:val="18"/>
              </w:rPr>
              <w:t>k</w:t>
            </w:r>
            <w:r w:rsidRPr="006B2B20">
              <w:rPr>
                <w:rFonts w:cstheme="minorHAnsi"/>
                <w:sz w:val="18"/>
                <w:szCs w:val="18"/>
              </w:rPr>
              <w:t xml:space="preserve"> with the Disaster Management Committees and local level institutions as well as by integrating DRR and CCA with local level livelihood security and enhancement programs. </w:t>
            </w:r>
          </w:p>
          <w:p w:rsidR="0061232B" w:rsidRPr="006B2B20" w:rsidRDefault="0061232B" w:rsidP="00E84BAD">
            <w:pPr>
              <w:spacing w:after="0" w:line="240" w:lineRule="auto"/>
              <w:jc w:val="both"/>
              <w:rPr>
                <w:rFonts w:cstheme="minorHAnsi"/>
                <w:sz w:val="18"/>
                <w:szCs w:val="18"/>
              </w:rPr>
            </w:pPr>
          </w:p>
        </w:tc>
      </w:tr>
      <w:tr w:rsidR="0061232B" w:rsidRPr="006B2B20" w:rsidTr="00E84BAD">
        <w:tc>
          <w:tcPr>
            <w:tcW w:w="1686" w:type="dxa"/>
            <w:vMerge w:val="restart"/>
            <w:shd w:val="clear" w:color="auto" w:fill="C6D9F1" w:themeFill="text2" w:themeFillTint="33"/>
          </w:tcPr>
          <w:p w:rsidR="0061232B" w:rsidRPr="006B2B20" w:rsidRDefault="0061232B" w:rsidP="00E84BAD">
            <w:pPr>
              <w:spacing w:after="0" w:line="240" w:lineRule="auto"/>
              <w:rPr>
                <w:rFonts w:cstheme="minorHAnsi"/>
                <w:sz w:val="18"/>
                <w:szCs w:val="18"/>
              </w:rPr>
            </w:pPr>
            <w:r w:rsidRPr="006B2B20">
              <w:rPr>
                <w:rFonts w:cstheme="minorHAnsi"/>
                <w:sz w:val="18"/>
                <w:szCs w:val="18"/>
              </w:rPr>
              <w:t>Project: Early Recovery Facility (ERF)</w:t>
            </w:r>
          </w:p>
          <w:p w:rsidR="0061232B" w:rsidRPr="006B2B20" w:rsidRDefault="0061232B" w:rsidP="00E84BAD">
            <w:pPr>
              <w:spacing w:after="0" w:line="240" w:lineRule="auto"/>
              <w:rPr>
                <w:rFonts w:cstheme="minorHAnsi"/>
                <w:sz w:val="18"/>
                <w:szCs w:val="18"/>
              </w:rPr>
            </w:pPr>
          </w:p>
          <w:p w:rsidR="0061232B" w:rsidRPr="006B2B20" w:rsidRDefault="0061232B" w:rsidP="00E84BAD">
            <w:pPr>
              <w:spacing w:after="0" w:line="240" w:lineRule="auto"/>
              <w:rPr>
                <w:rFonts w:cstheme="minorHAnsi"/>
                <w:sz w:val="18"/>
                <w:szCs w:val="18"/>
              </w:rPr>
            </w:pPr>
            <w:r w:rsidRPr="006B2B20">
              <w:rPr>
                <w:rFonts w:cstheme="minorHAnsi"/>
                <w:sz w:val="18"/>
                <w:szCs w:val="18"/>
              </w:rPr>
              <w:t>Project Start Date: January 1, 2011</w:t>
            </w:r>
          </w:p>
          <w:p w:rsidR="0061232B" w:rsidRPr="006B2B20" w:rsidRDefault="0061232B" w:rsidP="00E84BAD">
            <w:pPr>
              <w:spacing w:after="0" w:line="240" w:lineRule="auto"/>
              <w:rPr>
                <w:rFonts w:cstheme="minorHAnsi"/>
                <w:sz w:val="18"/>
                <w:szCs w:val="18"/>
              </w:rPr>
            </w:pPr>
            <w:r w:rsidRPr="006B2B20">
              <w:rPr>
                <w:rFonts w:cstheme="minorHAnsi"/>
                <w:sz w:val="18"/>
                <w:szCs w:val="18"/>
              </w:rPr>
              <w:t>Project End Date: December 31, 2015</w:t>
            </w:r>
          </w:p>
          <w:p w:rsidR="0061232B" w:rsidRPr="006B2B20" w:rsidRDefault="0061232B" w:rsidP="00E84BAD">
            <w:pPr>
              <w:spacing w:after="0" w:line="240" w:lineRule="auto"/>
              <w:rPr>
                <w:rFonts w:cstheme="minorHAnsi"/>
                <w:sz w:val="18"/>
                <w:szCs w:val="18"/>
              </w:rPr>
            </w:pPr>
          </w:p>
          <w:p w:rsidR="0061232B" w:rsidRPr="006B2B20" w:rsidRDefault="0061232B" w:rsidP="00E84BAD">
            <w:pPr>
              <w:spacing w:after="0" w:line="240" w:lineRule="auto"/>
              <w:rPr>
                <w:rFonts w:cstheme="minorHAnsi"/>
                <w:sz w:val="18"/>
                <w:szCs w:val="18"/>
              </w:rPr>
            </w:pPr>
            <w:r w:rsidRPr="006B2B20">
              <w:rPr>
                <w:rFonts w:cstheme="minorHAnsi"/>
                <w:sz w:val="18"/>
                <w:szCs w:val="18"/>
              </w:rPr>
              <w:t>Partners: SDC, AusAid, UNDP, BCPR</w:t>
            </w:r>
          </w:p>
          <w:p w:rsidR="0061232B" w:rsidRPr="006B2B20" w:rsidRDefault="0061232B" w:rsidP="00E84BAD">
            <w:pPr>
              <w:spacing w:after="0" w:line="240" w:lineRule="auto"/>
              <w:rPr>
                <w:rFonts w:cstheme="minorHAnsi"/>
                <w:sz w:val="18"/>
                <w:szCs w:val="18"/>
              </w:rPr>
            </w:pPr>
          </w:p>
          <w:p w:rsidR="0061232B" w:rsidRPr="006B2B20" w:rsidRDefault="0061232B" w:rsidP="00E84BAD">
            <w:pPr>
              <w:spacing w:after="0" w:line="240" w:lineRule="auto"/>
              <w:rPr>
                <w:rFonts w:cstheme="minorHAnsi"/>
                <w:sz w:val="18"/>
                <w:szCs w:val="18"/>
              </w:rPr>
            </w:pPr>
            <w:r w:rsidRPr="006B2B20">
              <w:rPr>
                <w:rFonts w:cstheme="minorHAnsi"/>
                <w:sz w:val="18"/>
                <w:szCs w:val="18"/>
              </w:rPr>
              <w:lastRenderedPageBreak/>
              <w:t>Fund: 10 Million USD</w:t>
            </w:r>
          </w:p>
          <w:p w:rsidR="0061232B" w:rsidRPr="006B2B20" w:rsidRDefault="0061232B" w:rsidP="00E84BAD">
            <w:pPr>
              <w:spacing w:after="0" w:line="240" w:lineRule="auto"/>
              <w:rPr>
                <w:rFonts w:cstheme="minorHAnsi"/>
                <w:b/>
                <w:sz w:val="18"/>
                <w:szCs w:val="18"/>
              </w:rPr>
            </w:pPr>
          </w:p>
        </w:tc>
        <w:tc>
          <w:tcPr>
            <w:tcW w:w="11490" w:type="dxa"/>
            <w:shd w:val="clear" w:color="auto" w:fill="C6D9F1" w:themeFill="text2" w:themeFillTint="33"/>
          </w:tcPr>
          <w:p w:rsidR="0061232B" w:rsidRPr="006B2B20" w:rsidRDefault="0061232B" w:rsidP="00E84BAD">
            <w:pPr>
              <w:spacing w:after="0" w:line="240" w:lineRule="auto"/>
              <w:jc w:val="both"/>
              <w:rPr>
                <w:rFonts w:cstheme="minorHAnsi"/>
                <w:b/>
                <w:sz w:val="18"/>
                <w:szCs w:val="18"/>
              </w:rPr>
            </w:pPr>
            <w:r w:rsidRPr="006B2B20">
              <w:rPr>
                <w:rFonts w:cstheme="minorHAnsi"/>
                <w:b/>
                <w:sz w:val="18"/>
                <w:szCs w:val="18"/>
              </w:rPr>
              <w:lastRenderedPageBreak/>
              <w:t>Relevance</w:t>
            </w: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sz w:val="18"/>
                <w:szCs w:val="18"/>
              </w:rPr>
            </w:pPr>
          </w:p>
        </w:tc>
        <w:tc>
          <w:tcPr>
            <w:tcW w:w="11490" w:type="dxa"/>
            <w:shd w:val="clear" w:color="auto" w:fill="FFFFFF" w:themeFill="background1"/>
          </w:tcPr>
          <w:p w:rsidR="0061232B" w:rsidRPr="006B2B20" w:rsidRDefault="0061232B" w:rsidP="00E84BAD">
            <w:pPr>
              <w:spacing w:after="0" w:line="240" w:lineRule="auto"/>
              <w:jc w:val="both"/>
              <w:rPr>
                <w:rFonts w:cstheme="minorHAnsi"/>
                <w:sz w:val="18"/>
                <w:szCs w:val="18"/>
              </w:rPr>
            </w:pPr>
            <w:r w:rsidRPr="006B2B20">
              <w:rPr>
                <w:rFonts w:cstheme="minorHAnsi"/>
                <w:sz w:val="18"/>
                <w:szCs w:val="18"/>
              </w:rPr>
              <w:t>The Early Recovery (ER) initiative intends to enable disaster affected communities and institutions (chiefly, government) to recover quic</w:t>
            </w:r>
            <w:r>
              <w:rPr>
                <w:rFonts w:cstheme="minorHAnsi"/>
                <w:sz w:val="18"/>
                <w:szCs w:val="18"/>
              </w:rPr>
              <w:t>k</w:t>
            </w:r>
            <w:r w:rsidRPr="006B2B20">
              <w:rPr>
                <w:rFonts w:cstheme="minorHAnsi"/>
                <w:sz w:val="18"/>
                <w:szCs w:val="18"/>
              </w:rPr>
              <w:t>ly through responsive and flexible response by assessing, and planning for recovery and delivery of ER intervention. Guided by development principles that aim to build on humanitarian programmes and catalyze sustainable development opportunities, ER intends to minimize gaps between end relief and long-term recovery and overall humanitarian needs. The UNDP ERF project is directly aligned with Bangladesh’s National Plan for DM, and was built upon an earlier DRF project. The project interventions of the ERF project in the area of capacity building have been found to be effectively complementing the UNDP funded CDMP II project’s goals and activities.  The expected Outcomes (which include i) coordinated early recovery mechanism in place; ii) early recovery innovation are locally developed and tested; iii) national scale emergency and early recovery needs are complemented; iv) early recovery procedures are sustained; v) early recovery policies and standards are developed and applied) were appropriately designed to institutionalize coordination of early recovery assessment, planning and response in the country; this has effectively promoted early recovery agenda in Bangladesh. As ER encompasses the restoration of basic services, livelihoods, shelter, governance security and rule of law, environment and social dimensions quic</w:t>
            </w:r>
            <w:r>
              <w:rPr>
                <w:rFonts w:cstheme="minorHAnsi"/>
                <w:sz w:val="18"/>
                <w:szCs w:val="18"/>
              </w:rPr>
              <w:t>k</w:t>
            </w:r>
            <w:r w:rsidRPr="006B2B20">
              <w:rPr>
                <w:rFonts w:cstheme="minorHAnsi"/>
                <w:sz w:val="18"/>
                <w:szCs w:val="18"/>
              </w:rPr>
              <w:t>ly, project interventions including construction of Core Family Shelters, providing Cash for Wor</w:t>
            </w:r>
            <w:r>
              <w:rPr>
                <w:rFonts w:cstheme="minorHAnsi"/>
                <w:sz w:val="18"/>
                <w:szCs w:val="18"/>
              </w:rPr>
              <w:t>k</w:t>
            </w:r>
            <w:r w:rsidRPr="006B2B20">
              <w:rPr>
                <w:rFonts w:cstheme="minorHAnsi"/>
                <w:sz w:val="18"/>
                <w:szCs w:val="18"/>
              </w:rPr>
              <w:t>, Cash for Training and Cash Grants in the Bangladesh context have been recognized to be highly relevant as well as effective in the rural Bangladesh context.</w:t>
            </w:r>
          </w:p>
          <w:p w:rsidR="0061232B" w:rsidRPr="006B2B20" w:rsidRDefault="0061232B" w:rsidP="00E84BAD">
            <w:pPr>
              <w:spacing w:after="0" w:line="240" w:lineRule="auto"/>
              <w:jc w:val="both"/>
              <w:rPr>
                <w:rFonts w:cstheme="minorHAnsi"/>
                <w:b/>
                <w:sz w:val="18"/>
                <w:szCs w:val="18"/>
              </w:rPr>
            </w:pP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C6D9F1" w:themeFill="text2" w:themeFillTint="33"/>
          </w:tcPr>
          <w:p w:rsidR="0061232B" w:rsidRPr="006B2B20" w:rsidRDefault="0061232B" w:rsidP="00E84BAD">
            <w:pPr>
              <w:spacing w:after="0" w:line="240" w:lineRule="auto"/>
              <w:jc w:val="both"/>
              <w:rPr>
                <w:rFonts w:cstheme="minorHAnsi"/>
                <w:b/>
                <w:sz w:val="18"/>
                <w:szCs w:val="18"/>
              </w:rPr>
            </w:pPr>
            <w:r w:rsidRPr="006B2B20">
              <w:rPr>
                <w:rFonts w:cstheme="minorHAnsi"/>
                <w:b/>
                <w:sz w:val="18"/>
                <w:szCs w:val="18"/>
              </w:rPr>
              <w:t>Effectiveness</w:t>
            </w: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FFFFFF" w:themeFill="background1"/>
          </w:tcPr>
          <w:p w:rsidR="0061232B" w:rsidRPr="006B2B20" w:rsidRDefault="0061232B" w:rsidP="00E84BAD">
            <w:pPr>
              <w:spacing w:after="0" w:line="240" w:lineRule="auto"/>
              <w:jc w:val="both"/>
              <w:rPr>
                <w:rFonts w:cstheme="minorHAnsi"/>
                <w:sz w:val="18"/>
                <w:szCs w:val="18"/>
              </w:rPr>
            </w:pPr>
            <w:r w:rsidRPr="006B2B20">
              <w:rPr>
                <w:rFonts w:cstheme="minorHAnsi"/>
                <w:sz w:val="18"/>
                <w:szCs w:val="18"/>
              </w:rPr>
              <w:t>The ERF has provided crucial support to the implementation of the Disaster Management Act 2012, by contributing to capacity building in the newly created Department of Disaster Management. In addition, ERF has assisted enhancing capacities of humanitarian actors including the partner NGOs, particularly by facilitating various training programmes on early ER. In 2014, the ERF is left with only one more year for implementation, and therefore, an early assessment of effectiveness can be attempted. The Evaluation Team found out that, in terms of achieving targeted outputs in a timely manner, ERF made commendable progress as it has already attained 80-90% of outputs by 2014, and it is li</w:t>
            </w:r>
            <w:r>
              <w:rPr>
                <w:rFonts w:cstheme="minorHAnsi"/>
                <w:sz w:val="18"/>
                <w:szCs w:val="18"/>
              </w:rPr>
              <w:t>k</w:t>
            </w:r>
            <w:r w:rsidRPr="006B2B20">
              <w:rPr>
                <w:rFonts w:cstheme="minorHAnsi"/>
                <w:sz w:val="18"/>
                <w:szCs w:val="18"/>
              </w:rPr>
              <w:t xml:space="preserve">ely to achieve 100% of targeted Outputs in all but one area by 2015 at termination.As elaborated in the LCG-DER progress reports, one of the most conspicuous contributions of ERF has been the support to implementation of LCG-DER priorities during 2012-14. Overall, programmes were able to perform ‘very well’ when they mobilized </w:t>
            </w:r>
            <w:r>
              <w:rPr>
                <w:rFonts w:cstheme="minorHAnsi"/>
                <w:sz w:val="18"/>
                <w:szCs w:val="18"/>
              </w:rPr>
              <w:t>k</w:t>
            </w:r>
            <w:r w:rsidRPr="006B2B20">
              <w:rPr>
                <w:rFonts w:cstheme="minorHAnsi"/>
                <w:sz w:val="18"/>
                <w:szCs w:val="18"/>
              </w:rPr>
              <w:t>nowledge and built capacity of the partners. However, internal business processes were not always optimum to achieve them as ER has not been adopted in its core business processes. The fixed disbursement of funds schedule constraints the implementation partners, as pre-financing arrangement may cause an ‘exclusion ris</w:t>
            </w:r>
            <w:r>
              <w:rPr>
                <w:rFonts w:cstheme="minorHAnsi"/>
                <w:sz w:val="18"/>
                <w:szCs w:val="18"/>
              </w:rPr>
              <w:t>k</w:t>
            </w:r>
            <w:r w:rsidRPr="006B2B20">
              <w:rPr>
                <w:rFonts w:cstheme="minorHAnsi"/>
                <w:sz w:val="18"/>
                <w:szCs w:val="18"/>
              </w:rPr>
              <w:t>’ of good NGOs participating in the bidding process. As noted in the MTR, UNDP’s capacity and size at the field level (district, sub-district) were not balanced against the requirements to accelerate partner’s capacity and functions. Such deficiency often left wea</w:t>
            </w:r>
            <w:r>
              <w:rPr>
                <w:rFonts w:cstheme="minorHAnsi"/>
                <w:sz w:val="18"/>
                <w:szCs w:val="18"/>
              </w:rPr>
              <w:t>k</w:t>
            </w:r>
            <w:r w:rsidRPr="006B2B20">
              <w:rPr>
                <w:rFonts w:cstheme="minorHAnsi"/>
                <w:sz w:val="18"/>
                <w:szCs w:val="18"/>
              </w:rPr>
              <w:t xml:space="preserve">nesses in programme implementation. For example, the beneficiaries of the Resilient Habitat program at </w:t>
            </w:r>
            <w:r>
              <w:rPr>
                <w:rFonts w:cstheme="minorHAnsi"/>
                <w:sz w:val="18"/>
                <w:szCs w:val="18"/>
              </w:rPr>
              <w:t>K</w:t>
            </w:r>
            <w:r w:rsidRPr="006B2B20">
              <w:rPr>
                <w:rFonts w:cstheme="minorHAnsi"/>
                <w:sz w:val="18"/>
                <w:szCs w:val="18"/>
              </w:rPr>
              <w:t>edarbarazar, ShyamnagarUpazila remained highly vulnerable to cyclonic storm surges due to breaching of an emban</w:t>
            </w:r>
            <w:r>
              <w:rPr>
                <w:rFonts w:cstheme="minorHAnsi"/>
                <w:sz w:val="18"/>
                <w:szCs w:val="18"/>
              </w:rPr>
              <w:t>k</w:t>
            </w:r>
            <w:r w:rsidRPr="006B2B20">
              <w:rPr>
                <w:rFonts w:cstheme="minorHAnsi"/>
                <w:sz w:val="18"/>
                <w:szCs w:val="18"/>
              </w:rPr>
              <w:t>ment which was not repaired.</w:t>
            </w:r>
          </w:p>
          <w:p w:rsidR="0061232B" w:rsidRPr="006B2B20" w:rsidRDefault="0061232B" w:rsidP="00E84BAD">
            <w:pPr>
              <w:spacing w:after="0" w:line="240" w:lineRule="auto"/>
              <w:jc w:val="both"/>
              <w:rPr>
                <w:rFonts w:cstheme="minorHAnsi"/>
                <w:b/>
                <w:sz w:val="18"/>
                <w:szCs w:val="18"/>
              </w:rPr>
            </w:pP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C6D9F1" w:themeFill="text2" w:themeFillTint="33"/>
          </w:tcPr>
          <w:p w:rsidR="0061232B" w:rsidRPr="006B2B20" w:rsidRDefault="0061232B" w:rsidP="00E84BAD">
            <w:pPr>
              <w:pStyle w:val="Default"/>
              <w:jc w:val="both"/>
              <w:rPr>
                <w:rFonts w:asciiTheme="minorHAnsi" w:hAnsiTheme="minorHAnsi" w:cstheme="minorHAnsi"/>
                <w:b/>
                <w:bCs/>
                <w:sz w:val="18"/>
                <w:szCs w:val="18"/>
              </w:rPr>
            </w:pPr>
            <w:r w:rsidRPr="006B2B20">
              <w:rPr>
                <w:rFonts w:asciiTheme="minorHAnsi" w:hAnsiTheme="minorHAnsi" w:cstheme="minorHAnsi"/>
                <w:b/>
                <w:bCs/>
                <w:sz w:val="18"/>
                <w:szCs w:val="18"/>
              </w:rPr>
              <w:t>Efficiency</w:t>
            </w: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FFFFFF" w:themeFill="background1"/>
          </w:tcPr>
          <w:p w:rsidR="0061232B" w:rsidRPr="006B2B20" w:rsidRDefault="0061232B" w:rsidP="00E84BAD">
            <w:pPr>
              <w:spacing w:after="0" w:line="240" w:lineRule="auto"/>
              <w:rPr>
                <w:rFonts w:cstheme="minorHAnsi"/>
                <w:sz w:val="18"/>
                <w:szCs w:val="18"/>
              </w:rPr>
            </w:pPr>
            <w:r w:rsidRPr="006B2B20">
              <w:rPr>
                <w:rFonts w:cstheme="minorHAnsi"/>
                <w:sz w:val="18"/>
                <w:szCs w:val="18"/>
              </w:rPr>
              <w:t>ERF project interventions appear to be generally cost-effective. The unit cost of Disaster Resilient Core Family Shelters, for example, was quite competitive mar</w:t>
            </w:r>
            <w:r>
              <w:rPr>
                <w:rFonts w:cstheme="minorHAnsi"/>
                <w:sz w:val="18"/>
                <w:szCs w:val="18"/>
              </w:rPr>
              <w:t>k</w:t>
            </w:r>
            <w:r w:rsidRPr="006B2B20">
              <w:rPr>
                <w:rFonts w:cstheme="minorHAnsi"/>
                <w:sz w:val="18"/>
                <w:szCs w:val="18"/>
              </w:rPr>
              <w:t>et price-wiseat the time of its implementation. However, the lessons learned from these shelter programmes indicated that lin</w:t>
            </w:r>
            <w:r>
              <w:rPr>
                <w:rFonts w:cstheme="minorHAnsi"/>
                <w:sz w:val="18"/>
                <w:szCs w:val="18"/>
              </w:rPr>
              <w:t>k</w:t>
            </w:r>
            <w:r w:rsidRPr="006B2B20">
              <w:rPr>
                <w:rFonts w:cstheme="minorHAnsi"/>
                <w:sz w:val="18"/>
                <w:szCs w:val="18"/>
              </w:rPr>
              <w:t>ing the disaster shelter programmes with livelihood opportunities ma</w:t>
            </w:r>
            <w:r>
              <w:rPr>
                <w:rFonts w:cstheme="minorHAnsi"/>
                <w:sz w:val="18"/>
                <w:szCs w:val="18"/>
              </w:rPr>
              <w:t>k</w:t>
            </w:r>
            <w:r w:rsidRPr="006B2B20">
              <w:rPr>
                <w:rFonts w:cstheme="minorHAnsi"/>
                <w:sz w:val="18"/>
                <w:szCs w:val="18"/>
              </w:rPr>
              <w:t>e them considerably efficient and effectiv</w:t>
            </w:r>
            <w:r>
              <w:rPr>
                <w:rFonts w:cstheme="minorHAnsi"/>
                <w:sz w:val="18"/>
                <w:szCs w:val="18"/>
              </w:rPr>
              <w:t>e</w:t>
            </w:r>
            <w:r w:rsidRPr="00CB6F08">
              <w:rPr>
                <w:rFonts w:cstheme="minorHAnsi"/>
                <w:sz w:val="18"/>
                <w:szCs w:val="18"/>
              </w:rPr>
              <w:t>.</w:t>
            </w:r>
            <w:r w:rsidRPr="006B2B20">
              <w:rPr>
                <w:rFonts w:cstheme="minorHAnsi"/>
                <w:sz w:val="18"/>
                <w:szCs w:val="18"/>
              </w:rPr>
              <w:t xml:space="preserve">  Under the </w:t>
            </w:r>
            <w:r>
              <w:rPr>
                <w:rFonts w:cstheme="minorHAnsi"/>
                <w:sz w:val="18"/>
                <w:szCs w:val="18"/>
              </w:rPr>
              <w:t>K</w:t>
            </w:r>
            <w:r w:rsidRPr="006B2B20">
              <w:rPr>
                <w:rFonts w:cstheme="minorHAnsi"/>
                <w:sz w:val="18"/>
                <w:szCs w:val="18"/>
              </w:rPr>
              <w:t>edarbazar (Shyamnagar) Resilient Habitat programme, 43 disaster resistant houses were constructed, at a cost of approximately US $211,754. At the time of its implementation, it was a very innovative initiative. These ‘resilient housing’ structures have provided a sense of dignity and safety and security against catastrophic cyclones and storm surges to the landless recipients. However, the Evaluation Team was informed and observed that the clay-tile roofs of the houses have had seepage problem revealing a poor quality of roof construction; further the stairs to move upstairs were of poor design as several children were injured from falling through the gaps. Subsequently, ERF provided white corrugated iron sheets to address the roof lea</w:t>
            </w:r>
            <w:r>
              <w:rPr>
                <w:rFonts w:cstheme="minorHAnsi"/>
                <w:sz w:val="18"/>
                <w:szCs w:val="18"/>
              </w:rPr>
              <w:t>k</w:t>
            </w:r>
            <w:r w:rsidRPr="006B2B20">
              <w:rPr>
                <w:rFonts w:cstheme="minorHAnsi"/>
                <w:sz w:val="18"/>
                <w:szCs w:val="18"/>
              </w:rPr>
              <w:t>ing and seepage problem as an ad-hoc solution.Even though the quality of ‘resilient houses’ has suffered, economically these shelters proved to be efficient where Benefit Cost Ratio (BCR) is 1.88: 1.</w:t>
            </w:r>
          </w:p>
          <w:p w:rsidR="0061232B" w:rsidRPr="006B2B20" w:rsidRDefault="0061232B" w:rsidP="00E84BAD">
            <w:pPr>
              <w:pStyle w:val="Default"/>
              <w:jc w:val="both"/>
              <w:rPr>
                <w:rFonts w:asciiTheme="minorHAnsi" w:hAnsiTheme="minorHAnsi" w:cstheme="minorHAnsi"/>
                <w:b/>
                <w:bCs/>
                <w:sz w:val="18"/>
                <w:szCs w:val="18"/>
              </w:rPr>
            </w:pP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C6D9F1" w:themeFill="text2" w:themeFillTint="33"/>
          </w:tcPr>
          <w:p w:rsidR="0061232B" w:rsidRPr="006B2B20" w:rsidRDefault="0061232B" w:rsidP="00E84BAD">
            <w:pPr>
              <w:pStyle w:val="Default"/>
              <w:jc w:val="both"/>
              <w:rPr>
                <w:rFonts w:asciiTheme="minorHAnsi" w:hAnsiTheme="minorHAnsi" w:cstheme="minorHAnsi"/>
                <w:b/>
                <w:bCs/>
                <w:sz w:val="18"/>
                <w:szCs w:val="18"/>
              </w:rPr>
            </w:pPr>
            <w:r w:rsidRPr="006B2B20">
              <w:rPr>
                <w:rFonts w:asciiTheme="minorHAnsi" w:hAnsiTheme="minorHAnsi" w:cstheme="minorHAnsi"/>
                <w:b/>
                <w:bCs/>
                <w:sz w:val="18"/>
                <w:szCs w:val="18"/>
              </w:rPr>
              <w:t>Cross-cutting themes (gender and other related perspectives)</w:t>
            </w: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FFFFFF" w:themeFill="background1"/>
          </w:tcPr>
          <w:p w:rsidR="0061232B" w:rsidRPr="006B2B20" w:rsidRDefault="0061232B" w:rsidP="00E84BAD">
            <w:pPr>
              <w:pStyle w:val="Default"/>
              <w:jc w:val="both"/>
              <w:rPr>
                <w:rFonts w:asciiTheme="minorHAnsi" w:eastAsia="Calibri" w:hAnsiTheme="minorHAnsi" w:cstheme="minorHAnsi"/>
                <w:sz w:val="18"/>
                <w:szCs w:val="18"/>
              </w:rPr>
            </w:pPr>
            <w:r w:rsidRPr="006B2B20">
              <w:rPr>
                <w:rFonts w:asciiTheme="minorHAnsi" w:hAnsiTheme="minorHAnsi" w:cstheme="minorHAnsi"/>
                <w:bCs/>
                <w:sz w:val="18"/>
                <w:szCs w:val="18"/>
              </w:rPr>
              <w:t>ERF does not have a gender equality focussed designated Output, though two specific women-focused programmes  were being implemented under Output 1 and Output 2 that addressed the proportion of women in ERF stuff issue and training needs of the female DDM officials in ER.</w:t>
            </w:r>
            <w:r>
              <w:rPr>
                <w:rFonts w:asciiTheme="minorHAnsi" w:hAnsiTheme="minorHAnsi" w:cstheme="minorHAnsi"/>
                <w:bCs/>
                <w:sz w:val="18"/>
                <w:szCs w:val="18"/>
              </w:rPr>
              <w:t xml:space="preserve"> </w:t>
            </w:r>
            <w:r w:rsidRPr="006B2B20">
              <w:rPr>
                <w:rFonts w:asciiTheme="minorHAnsi" w:eastAsia="Calibri" w:hAnsiTheme="minorHAnsi" w:cstheme="minorHAnsi"/>
                <w:sz w:val="18"/>
                <w:szCs w:val="18"/>
              </w:rPr>
              <w:t>The resilience habitat intervention in Shyamnagar under ERF project exhibited promise</w:t>
            </w:r>
            <w:r>
              <w:rPr>
                <w:rFonts w:asciiTheme="minorHAnsi" w:eastAsia="Calibri" w:hAnsiTheme="minorHAnsi" w:cstheme="minorHAnsi"/>
                <w:sz w:val="18"/>
                <w:szCs w:val="18"/>
              </w:rPr>
              <w:t xml:space="preserve"> </w:t>
            </w:r>
            <w:r w:rsidRPr="006B2B20">
              <w:rPr>
                <w:rFonts w:asciiTheme="minorHAnsi" w:eastAsia="Calibri" w:hAnsiTheme="minorHAnsi" w:cstheme="minorHAnsi"/>
                <w:sz w:val="18"/>
                <w:szCs w:val="18"/>
              </w:rPr>
              <w:t>largely missed the potential to lin</w:t>
            </w:r>
            <w:r>
              <w:rPr>
                <w:rFonts w:asciiTheme="minorHAnsi" w:eastAsia="Calibri" w:hAnsiTheme="minorHAnsi" w:cstheme="minorHAnsi"/>
                <w:sz w:val="18"/>
                <w:szCs w:val="18"/>
              </w:rPr>
              <w:t>k</w:t>
            </w:r>
            <w:r w:rsidRPr="006B2B20">
              <w:rPr>
                <w:rFonts w:asciiTheme="minorHAnsi" w:eastAsia="Calibri" w:hAnsiTheme="minorHAnsi" w:cstheme="minorHAnsi"/>
                <w:sz w:val="18"/>
                <w:szCs w:val="18"/>
              </w:rPr>
              <w:t xml:space="preserve"> people living at that community with development initiatives. The women at the local level complained about the design of the houses (the stairs are not conducive for pregnant women and toddlers), fresh drin</w:t>
            </w:r>
            <w:r>
              <w:rPr>
                <w:rFonts w:asciiTheme="minorHAnsi" w:eastAsia="Calibri" w:hAnsiTheme="minorHAnsi" w:cstheme="minorHAnsi"/>
                <w:sz w:val="18"/>
                <w:szCs w:val="18"/>
              </w:rPr>
              <w:t>k</w:t>
            </w:r>
            <w:r w:rsidRPr="006B2B20">
              <w:rPr>
                <w:rFonts w:asciiTheme="minorHAnsi" w:eastAsia="Calibri" w:hAnsiTheme="minorHAnsi" w:cstheme="minorHAnsi"/>
                <w:sz w:val="18"/>
                <w:szCs w:val="18"/>
              </w:rPr>
              <w:t>ing water remained a challenge, no health and education program were lin</w:t>
            </w:r>
            <w:r>
              <w:rPr>
                <w:rFonts w:asciiTheme="minorHAnsi" w:eastAsia="Calibri" w:hAnsiTheme="minorHAnsi" w:cstheme="minorHAnsi"/>
                <w:sz w:val="18"/>
                <w:szCs w:val="18"/>
              </w:rPr>
              <w:t>k</w:t>
            </w:r>
            <w:r w:rsidRPr="006B2B20">
              <w:rPr>
                <w:rFonts w:asciiTheme="minorHAnsi" w:eastAsia="Calibri" w:hAnsiTheme="minorHAnsi" w:cstheme="minorHAnsi"/>
                <w:sz w:val="18"/>
                <w:szCs w:val="18"/>
              </w:rPr>
              <w:t>ed. As nominal livelihood options were provided, and after Aila, land based production became difficult because of salinity intrusion, male usually out migrate during the lean season of employment and women bac</w:t>
            </w:r>
            <w:r>
              <w:rPr>
                <w:rFonts w:asciiTheme="minorHAnsi" w:eastAsia="Calibri" w:hAnsiTheme="minorHAnsi" w:cstheme="minorHAnsi"/>
                <w:sz w:val="18"/>
                <w:szCs w:val="18"/>
              </w:rPr>
              <w:t>k</w:t>
            </w:r>
            <w:r w:rsidRPr="006B2B20">
              <w:rPr>
                <w:rFonts w:asciiTheme="minorHAnsi" w:eastAsia="Calibri" w:hAnsiTheme="minorHAnsi" w:cstheme="minorHAnsi"/>
                <w:sz w:val="18"/>
                <w:szCs w:val="18"/>
              </w:rPr>
              <w:t xml:space="preserve"> home face income insecurity resulting in health erosion of the family members. Limited efforts were made to understand whether the wor</w:t>
            </w:r>
            <w:r>
              <w:rPr>
                <w:rFonts w:asciiTheme="minorHAnsi" w:eastAsia="Calibri" w:hAnsiTheme="minorHAnsi" w:cstheme="minorHAnsi"/>
                <w:sz w:val="18"/>
                <w:szCs w:val="18"/>
              </w:rPr>
              <w:t>k</w:t>
            </w:r>
            <w:r w:rsidRPr="006B2B20">
              <w:rPr>
                <w:rFonts w:asciiTheme="minorHAnsi" w:eastAsia="Calibri" w:hAnsiTheme="minorHAnsi" w:cstheme="minorHAnsi"/>
                <w:sz w:val="18"/>
                <w:szCs w:val="18"/>
              </w:rPr>
              <w:t>load by men and women in the given community has increased and how to share such wor</w:t>
            </w:r>
            <w:r>
              <w:rPr>
                <w:rFonts w:asciiTheme="minorHAnsi" w:eastAsia="Calibri" w:hAnsiTheme="minorHAnsi" w:cstheme="minorHAnsi"/>
                <w:sz w:val="18"/>
                <w:szCs w:val="18"/>
              </w:rPr>
              <w:t>k</w:t>
            </w:r>
            <w:r w:rsidRPr="006B2B20">
              <w:rPr>
                <w:rFonts w:asciiTheme="minorHAnsi" w:eastAsia="Calibri" w:hAnsiTheme="minorHAnsi" w:cstheme="minorHAnsi"/>
                <w:sz w:val="18"/>
                <w:szCs w:val="18"/>
              </w:rPr>
              <w:t>load.</w:t>
            </w:r>
          </w:p>
          <w:p w:rsidR="0061232B" w:rsidRPr="006B2B20" w:rsidRDefault="0061232B" w:rsidP="00E84BAD">
            <w:pPr>
              <w:pStyle w:val="Default"/>
              <w:jc w:val="both"/>
              <w:rPr>
                <w:rFonts w:asciiTheme="minorHAnsi" w:hAnsiTheme="minorHAnsi" w:cstheme="minorHAnsi"/>
                <w:bCs/>
                <w:sz w:val="18"/>
                <w:szCs w:val="18"/>
              </w:rPr>
            </w:pP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C6D9F1" w:themeFill="text2" w:themeFillTint="33"/>
          </w:tcPr>
          <w:p w:rsidR="0061232B" w:rsidRPr="006B2B20" w:rsidRDefault="0061232B" w:rsidP="00E84BAD">
            <w:pPr>
              <w:pStyle w:val="Default"/>
              <w:jc w:val="both"/>
              <w:rPr>
                <w:rFonts w:asciiTheme="minorHAnsi" w:hAnsiTheme="minorHAnsi" w:cstheme="minorHAnsi"/>
                <w:b/>
                <w:bCs/>
                <w:sz w:val="18"/>
                <w:szCs w:val="18"/>
              </w:rPr>
            </w:pPr>
            <w:r w:rsidRPr="006B2B20">
              <w:rPr>
                <w:rFonts w:asciiTheme="minorHAnsi" w:hAnsiTheme="minorHAnsi" w:cstheme="minorHAnsi"/>
                <w:b/>
                <w:bCs/>
                <w:sz w:val="18"/>
                <w:szCs w:val="18"/>
              </w:rPr>
              <w:t>Sustainability and potential for replication</w:t>
            </w: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FFFFFF" w:themeFill="background1"/>
          </w:tcPr>
          <w:p w:rsidR="0061232B" w:rsidRPr="006B2B20" w:rsidRDefault="0061232B" w:rsidP="00E84BAD">
            <w:pPr>
              <w:spacing w:after="0" w:line="240" w:lineRule="auto"/>
              <w:jc w:val="both"/>
              <w:rPr>
                <w:rFonts w:cstheme="minorHAnsi"/>
                <w:sz w:val="18"/>
                <w:szCs w:val="18"/>
              </w:rPr>
            </w:pPr>
            <w:r w:rsidRPr="006B2B20">
              <w:rPr>
                <w:rFonts w:cstheme="minorHAnsi"/>
                <w:sz w:val="18"/>
                <w:szCs w:val="18"/>
              </w:rPr>
              <w:t xml:space="preserve">The Evaluation Team found out that most of the ERF initiated interventions, e.g., capacity building and enhancement of DDM officials, hazard specific contingency plan, annual reporting provision on disaster response and recovery, are closely anchored within relevant units of DDM. Nonetheless, continuous updating and refreshing </w:t>
            </w:r>
            <w:r>
              <w:rPr>
                <w:rFonts w:cstheme="minorHAnsi"/>
                <w:sz w:val="18"/>
                <w:szCs w:val="18"/>
              </w:rPr>
              <w:t>k</w:t>
            </w:r>
            <w:r w:rsidRPr="006B2B20">
              <w:rPr>
                <w:rFonts w:cstheme="minorHAnsi"/>
                <w:sz w:val="18"/>
                <w:szCs w:val="18"/>
              </w:rPr>
              <w:t>nowledge and s</w:t>
            </w:r>
            <w:r>
              <w:rPr>
                <w:rFonts w:cstheme="minorHAnsi"/>
                <w:sz w:val="18"/>
                <w:szCs w:val="18"/>
              </w:rPr>
              <w:t>k</w:t>
            </w:r>
            <w:r w:rsidRPr="006B2B20">
              <w:rPr>
                <w:rFonts w:cstheme="minorHAnsi"/>
                <w:sz w:val="18"/>
                <w:szCs w:val="18"/>
              </w:rPr>
              <w:t xml:space="preserve">ills will be required to sustain ERF and its capacity.  Sustainability of local programmes and their benefits will not be ensured without effective partnership with the local government and other development partners (e.g., reconstructed rural roads and </w:t>
            </w:r>
            <w:r w:rsidRPr="006B2B20">
              <w:rPr>
                <w:rFonts w:cstheme="minorHAnsi"/>
                <w:sz w:val="18"/>
                <w:szCs w:val="18"/>
              </w:rPr>
              <w:lastRenderedPageBreak/>
              <w:t>emban</w:t>
            </w:r>
            <w:r>
              <w:rPr>
                <w:rFonts w:cstheme="minorHAnsi"/>
                <w:sz w:val="18"/>
                <w:szCs w:val="18"/>
              </w:rPr>
              <w:t>k</w:t>
            </w:r>
            <w:r w:rsidRPr="006B2B20">
              <w:rPr>
                <w:rFonts w:cstheme="minorHAnsi"/>
                <w:sz w:val="18"/>
                <w:szCs w:val="18"/>
              </w:rPr>
              <w:t>ments, health and education, Core Family Shelters). Resilience of the community could further be enhanced by integrating livelihood approaches.</w:t>
            </w:r>
          </w:p>
          <w:p w:rsidR="0061232B" w:rsidRPr="006B2B20" w:rsidRDefault="0061232B" w:rsidP="00E84BAD">
            <w:pPr>
              <w:spacing w:after="0" w:line="240" w:lineRule="auto"/>
              <w:jc w:val="both"/>
              <w:rPr>
                <w:rFonts w:cstheme="minorHAnsi"/>
                <w:sz w:val="18"/>
                <w:szCs w:val="18"/>
              </w:rPr>
            </w:pPr>
          </w:p>
        </w:tc>
      </w:tr>
      <w:tr w:rsidR="0061232B" w:rsidRPr="006B2B20" w:rsidTr="00E84BAD">
        <w:tc>
          <w:tcPr>
            <w:tcW w:w="1686" w:type="dxa"/>
            <w:vMerge w:val="restart"/>
            <w:shd w:val="clear" w:color="auto" w:fill="C6D9F1" w:themeFill="text2" w:themeFillTint="33"/>
          </w:tcPr>
          <w:p w:rsidR="0061232B" w:rsidRPr="006B2B20" w:rsidRDefault="0061232B" w:rsidP="00E84BAD">
            <w:pPr>
              <w:spacing w:after="0" w:line="240" w:lineRule="auto"/>
              <w:rPr>
                <w:rFonts w:cstheme="minorHAnsi"/>
                <w:sz w:val="18"/>
                <w:szCs w:val="18"/>
              </w:rPr>
            </w:pPr>
            <w:r w:rsidRPr="006B2B20">
              <w:rPr>
                <w:rFonts w:cstheme="minorHAnsi"/>
                <w:sz w:val="18"/>
                <w:szCs w:val="18"/>
              </w:rPr>
              <w:lastRenderedPageBreak/>
              <w:t>Project: Poverty Environment Climate Mainstreaming (PECM)</w:t>
            </w:r>
          </w:p>
          <w:p w:rsidR="0061232B" w:rsidRPr="006B2B20" w:rsidRDefault="0061232B" w:rsidP="00E84BAD">
            <w:pPr>
              <w:spacing w:after="0" w:line="240" w:lineRule="auto"/>
              <w:rPr>
                <w:rFonts w:cstheme="minorHAnsi"/>
                <w:sz w:val="18"/>
                <w:szCs w:val="18"/>
              </w:rPr>
            </w:pPr>
          </w:p>
          <w:p w:rsidR="0061232B" w:rsidRPr="006B2B20" w:rsidRDefault="0061232B" w:rsidP="00E84BAD">
            <w:pPr>
              <w:spacing w:after="0" w:line="240" w:lineRule="auto"/>
              <w:rPr>
                <w:rFonts w:cstheme="minorHAnsi"/>
                <w:sz w:val="18"/>
                <w:szCs w:val="18"/>
              </w:rPr>
            </w:pPr>
            <w:r w:rsidRPr="006B2B20">
              <w:rPr>
                <w:rFonts w:cstheme="minorHAnsi"/>
                <w:sz w:val="18"/>
                <w:szCs w:val="18"/>
              </w:rPr>
              <w:t>Project Start Date: July, 2010</w:t>
            </w:r>
          </w:p>
          <w:p w:rsidR="0061232B" w:rsidRPr="006B2B20" w:rsidRDefault="0061232B" w:rsidP="00E84BAD">
            <w:pPr>
              <w:spacing w:after="0" w:line="240" w:lineRule="auto"/>
              <w:rPr>
                <w:rFonts w:cstheme="minorHAnsi"/>
                <w:sz w:val="18"/>
                <w:szCs w:val="18"/>
              </w:rPr>
            </w:pPr>
            <w:r w:rsidRPr="006B2B20">
              <w:rPr>
                <w:rFonts w:cstheme="minorHAnsi"/>
                <w:sz w:val="18"/>
                <w:szCs w:val="18"/>
              </w:rPr>
              <w:t>Project End Date: September, 2013</w:t>
            </w:r>
          </w:p>
          <w:p w:rsidR="0061232B" w:rsidRPr="006B2B20" w:rsidRDefault="0061232B" w:rsidP="00E84BAD">
            <w:pPr>
              <w:spacing w:after="0" w:line="240" w:lineRule="auto"/>
              <w:rPr>
                <w:rFonts w:cstheme="minorHAnsi"/>
                <w:sz w:val="18"/>
                <w:szCs w:val="18"/>
              </w:rPr>
            </w:pPr>
          </w:p>
          <w:p w:rsidR="0061232B" w:rsidRPr="006B2B20" w:rsidRDefault="0061232B" w:rsidP="00E84BAD">
            <w:pPr>
              <w:spacing w:after="0" w:line="240" w:lineRule="auto"/>
              <w:rPr>
                <w:rFonts w:cstheme="minorHAnsi"/>
                <w:sz w:val="18"/>
                <w:szCs w:val="18"/>
              </w:rPr>
            </w:pPr>
            <w:r w:rsidRPr="006B2B20">
              <w:rPr>
                <w:rFonts w:cstheme="minorHAnsi"/>
                <w:sz w:val="18"/>
                <w:szCs w:val="18"/>
              </w:rPr>
              <w:t>Partners: UNDP and UNDP-UNEP PEI</w:t>
            </w:r>
          </w:p>
          <w:p w:rsidR="0061232B" w:rsidRPr="006B2B20" w:rsidRDefault="0061232B" w:rsidP="00E84BAD">
            <w:pPr>
              <w:spacing w:after="0" w:line="240" w:lineRule="auto"/>
              <w:rPr>
                <w:rFonts w:cstheme="minorHAnsi"/>
                <w:sz w:val="18"/>
                <w:szCs w:val="18"/>
              </w:rPr>
            </w:pPr>
          </w:p>
          <w:p w:rsidR="0061232B" w:rsidRPr="006B2B20" w:rsidRDefault="0061232B" w:rsidP="00E84BAD">
            <w:pPr>
              <w:spacing w:after="0" w:line="240" w:lineRule="auto"/>
              <w:rPr>
                <w:rFonts w:cstheme="minorHAnsi"/>
                <w:b/>
                <w:sz w:val="18"/>
                <w:szCs w:val="18"/>
              </w:rPr>
            </w:pPr>
            <w:r w:rsidRPr="006B2B20">
              <w:rPr>
                <w:rFonts w:cstheme="minorHAnsi"/>
                <w:sz w:val="18"/>
                <w:szCs w:val="18"/>
              </w:rPr>
              <w:t>Fund: 1.00 Million USD</w:t>
            </w:r>
          </w:p>
        </w:tc>
        <w:tc>
          <w:tcPr>
            <w:tcW w:w="11490" w:type="dxa"/>
            <w:shd w:val="clear" w:color="auto" w:fill="C6D9F1" w:themeFill="text2" w:themeFillTint="33"/>
          </w:tcPr>
          <w:p w:rsidR="0061232B" w:rsidRPr="006B2B20" w:rsidRDefault="0061232B" w:rsidP="00E84BAD">
            <w:pPr>
              <w:spacing w:after="0" w:line="240" w:lineRule="auto"/>
              <w:jc w:val="both"/>
              <w:rPr>
                <w:rFonts w:cstheme="minorHAnsi"/>
                <w:sz w:val="18"/>
                <w:szCs w:val="18"/>
              </w:rPr>
            </w:pPr>
            <w:r w:rsidRPr="006B2B20">
              <w:rPr>
                <w:rFonts w:cstheme="minorHAnsi"/>
                <w:b/>
                <w:sz w:val="18"/>
                <w:szCs w:val="18"/>
              </w:rPr>
              <w:t>Relevance</w:t>
            </w: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FFFFFF" w:themeFill="background1"/>
          </w:tcPr>
          <w:p w:rsidR="0061232B" w:rsidRPr="006B2B20" w:rsidRDefault="0061232B" w:rsidP="00E84BAD">
            <w:pPr>
              <w:autoSpaceDE w:val="0"/>
              <w:autoSpaceDN w:val="0"/>
              <w:adjustRightInd w:val="0"/>
              <w:spacing w:after="0" w:line="240" w:lineRule="auto"/>
              <w:jc w:val="both"/>
              <w:rPr>
                <w:rFonts w:cstheme="minorHAnsi"/>
                <w:bCs/>
                <w:sz w:val="18"/>
                <w:szCs w:val="18"/>
              </w:rPr>
            </w:pPr>
            <w:r w:rsidRPr="006B2B20">
              <w:rPr>
                <w:rFonts w:cstheme="minorHAnsi"/>
                <w:bCs/>
                <w:sz w:val="18"/>
                <w:szCs w:val="18"/>
              </w:rPr>
              <w:t xml:space="preserve">The Project aims to ensure </w:t>
            </w:r>
            <w:r w:rsidRPr="006B2B20">
              <w:rPr>
                <w:rFonts w:cstheme="minorHAnsi"/>
                <w:bCs/>
                <w:iCs/>
                <w:sz w:val="18"/>
                <w:szCs w:val="18"/>
              </w:rPr>
              <w:t xml:space="preserve">integration of climate change and environmental considerations into development planning and budgeting processes. </w:t>
            </w:r>
            <w:r w:rsidRPr="006B2B20">
              <w:rPr>
                <w:rFonts w:cstheme="minorHAnsi"/>
                <w:bCs/>
                <w:sz w:val="18"/>
                <w:szCs w:val="18"/>
              </w:rPr>
              <w:t>PECM is highly relevant to the Government of Bangladesh’s policies and priorities, UNDP policies and global priorities, and the needs of people especially those most li</w:t>
            </w:r>
            <w:r>
              <w:rPr>
                <w:rFonts w:cstheme="minorHAnsi"/>
                <w:bCs/>
                <w:sz w:val="18"/>
                <w:szCs w:val="18"/>
              </w:rPr>
              <w:t>k</w:t>
            </w:r>
            <w:r w:rsidRPr="006B2B20">
              <w:rPr>
                <w:rFonts w:cstheme="minorHAnsi"/>
                <w:bCs/>
                <w:sz w:val="18"/>
                <w:szCs w:val="18"/>
              </w:rPr>
              <w:t>ely to be affected by climate change. Relevant to policies and actions such as BCCSAP, as it highlighted the need to strengthen organizations and institutions to meet the challenge of climate change. PECM is also relevant to International climate change negotiations, disaster ris</w:t>
            </w:r>
            <w:r>
              <w:rPr>
                <w:rFonts w:cstheme="minorHAnsi"/>
                <w:bCs/>
                <w:sz w:val="18"/>
                <w:szCs w:val="18"/>
              </w:rPr>
              <w:t>k</w:t>
            </w:r>
            <w:r w:rsidRPr="006B2B20">
              <w:rPr>
                <w:rFonts w:cstheme="minorHAnsi"/>
                <w:bCs/>
                <w:sz w:val="18"/>
                <w:szCs w:val="18"/>
              </w:rPr>
              <w:t xml:space="preserve"> reduction and response.</w:t>
            </w:r>
          </w:p>
          <w:p w:rsidR="0061232B" w:rsidRPr="006B2B20" w:rsidRDefault="0061232B" w:rsidP="00E84BAD">
            <w:pPr>
              <w:spacing w:after="0" w:line="240" w:lineRule="auto"/>
              <w:jc w:val="both"/>
              <w:rPr>
                <w:rFonts w:cstheme="minorHAnsi"/>
                <w:b/>
                <w:sz w:val="18"/>
                <w:szCs w:val="18"/>
              </w:rPr>
            </w:pP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C6D9F1" w:themeFill="text2" w:themeFillTint="33"/>
          </w:tcPr>
          <w:p w:rsidR="0061232B" w:rsidRPr="006B2B20" w:rsidRDefault="0061232B" w:rsidP="00E84BAD">
            <w:pPr>
              <w:spacing w:after="0" w:line="240" w:lineRule="auto"/>
              <w:jc w:val="both"/>
              <w:rPr>
                <w:rFonts w:cstheme="minorHAnsi"/>
                <w:sz w:val="18"/>
                <w:szCs w:val="18"/>
              </w:rPr>
            </w:pPr>
            <w:r w:rsidRPr="006B2B20">
              <w:rPr>
                <w:rFonts w:cstheme="minorHAnsi"/>
                <w:b/>
                <w:sz w:val="18"/>
                <w:szCs w:val="18"/>
              </w:rPr>
              <w:t>Effectiveness</w:t>
            </w: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FFFFFF" w:themeFill="background1"/>
          </w:tcPr>
          <w:p w:rsidR="0061232B" w:rsidRPr="006B2B20" w:rsidRDefault="0061232B" w:rsidP="00E84BAD">
            <w:pPr>
              <w:autoSpaceDE w:val="0"/>
              <w:autoSpaceDN w:val="0"/>
              <w:adjustRightInd w:val="0"/>
              <w:spacing w:after="0" w:line="240" w:lineRule="auto"/>
              <w:jc w:val="both"/>
              <w:rPr>
                <w:rFonts w:cstheme="minorHAnsi"/>
                <w:noProof/>
                <w:sz w:val="18"/>
                <w:szCs w:val="18"/>
                <w:lang w:eastAsia="en-GB"/>
              </w:rPr>
            </w:pPr>
            <w:r w:rsidRPr="006B2B20">
              <w:rPr>
                <w:rFonts w:cstheme="minorHAnsi"/>
                <w:bCs/>
                <w:color w:val="0F243E"/>
                <w:sz w:val="18"/>
                <w:szCs w:val="18"/>
              </w:rPr>
              <w:t xml:space="preserve">A large number of activities/documents demonstrate the project to be highly effective. Poverty-Environment-Climate (PEC) </w:t>
            </w:r>
            <w:r w:rsidRPr="006B2B20">
              <w:rPr>
                <w:rFonts w:cstheme="minorHAnsi"/>
                <w:bCs/>
                <w:sz w:val="18"/>
                <w:szCs w:val="18"/>
              </w:rPr>
              <w:t>lin</w:t>
            </w:r>
            <w:r>
              <w:rPr>
                <w:rFonts w:cstheme="minorHAnsi"/>
                <w:bCs/>
                <w:sz w:val="18"/>
                <w:szCs w:val="18"/>
              </w:rPr>
              <w:t>k</w:t>
            </w:r>
            <w:r w:rsidRPr="006B2B20">
              <w:rPr>
                <w:rFonts w:cstheme="minorHAnsi"/>
                <w:bCs/>
                <w:sz w:val="18"/>
                <w:szCs w:val="18"/>
              </w:rPr>
              <w:t>ages mainstreamed into UNDP programmes</w:t>
            </w:r>
            <w:r w:rsidRPr="006B2B20">
              <w:rPr>
                <w:rFonts w:cstheme="minorHAnsi"/>
                <w:b/>
                <w:sz w:val="18"/>
                <w:szCs w:val="18"/>
              </w:rPr>
              <w:t>.</w:t>
            </w:r>
            <w:r w:rsidRPr="006B2B20">
              <w:rPr>
                <w:rFonts w:cstheme="minorHAnsi"/>
                <w:bCs/>
                <w:color w:val="0F243E"/>
                <w:sz w:val="18"/>
                <w:szCs w:val="18"/>
              </w:rPr>
              <w:t xml:space="preserve">PEC issues integrated into </w:t>
            </w:r>
            <w:r>
              <w:rPr>
                <w:rFonts w:cstheme="minorHAnsi"/>
                <w:bCs/>
                <w:color w:val="0F243E"/>
                <w:sz w:val="18"/>
                <w:szCs w:val="18"/>
              </w:rPr>
              <w:t>k</w:t>
            </w:r>
            <w:r w:rsidRPr="006B2B20">
              <w:rPr>
                <w:rFonts w:cstheme="minorHAnsi"/>
                <w:bCs/>
                <w:color w:val="0F243E"/>
                <w:sz w:val="18"/>
                <w:szCs w:val="18"/>
              </w:rPr>
              <w:t xml:space="preserve">ey national and sectoral planning documents. </w:t>
            </w:r>
            <w:r w:rsidRPr="006B2B20">
              <w:rPr>
                <w:rFonts w:cstheme="minorHAnsi"/>
                <w:bCs/>
                <w:sz w:val="18"/>
                <w:szCs w:val="18"/>
              </w:rPr>
              <w:t>Technical brief has been provided to incorpora</w:t>
            </w:r>
            <w:r>
              <w:rPr>
                <w:rFonts w:cstheme="minorHAnsi"/>
                <w:bCs/>
                <w:sz w:val="18"/>
                <w:szCs w:val="18"/>
              </w:rPr>
              <w:t>te PEC Nexus issues in the</w:t>
            </w:r>
            <w:r w:rsidRPr="006B2B20">
              <w:rPr>
                <w:rFonts w:cstheme="minorHAnsi"/>
                <w:bCs/>
                <w:sz w:val="18"/>
                <w:szCs w:val="18"/>
              </w:rPr>
              <w:t xml:space="preserve"> DPP and TPP format, Delta Plan 2100 and PEC Nexus related clauses have been addressed in the ADP Guideline.PEC nexus issues integrated into Monitoring and Evaluation (M&amp;E) framewor</w:t>
            </w:r>
            <w:r>
              <w:rPr>
                <w:rFonts w:cstheme="minorHAnsi"/>
                <w:bCs/>
                <w:sz w:val="18"/>
                <w:szCs w:val="18"/>
              </w:rPr>
              <w:t>k</w:t>
            </w:r>
            <w:r w:rsidRPr="006B2B20">
              <w:rPr>
                <w:rFonts w:cstheme="minorHAnsi"/>
                <w:bCs/>
                <w:sz w:val="18"/>
                <w:szCs w:val="18"/>
              </w:rPr>
              <w:t xml:space="preserve"> of 6th Five Year Plan, National Perspective Plan and National Sustainable Development Strategy</w:t>
            </w:r>
            <w:r w:rsidRPr="006B2B20">
              <w:rPr>
                <w:rFonts w:cstheme="minorHAnsi"/>
                <w:noProof/>
                <w:sz w:val="18"/>
                <w:szCs w:val="18"/>
                <w:lang w:eastAsia="en-GB"/>
              </w:rPr>
              <w:t xml:space="preserve"> (2010-21). </w:t>
            </w:r>
          </w:p>
          <w:p w:rsidR="0061232B" w:rsidRPr="006B2B20" w:rsidRDefault="0061232B" w:rsidP="00E84BAD">
            <w:pPr>
              <w:autoSpaceDE w:val="0"/>
              <w:autoSpaceDN w:val="0"/>
              <w:adjustRightInd w:val="0"/>
              <w:spacing w:after="0" w:line="240" w:lineRule="auto"/>
              <w:jc w:val="both"/>
              <w:rPr>
                <w:rFonts w:cstheme="minorHAnsi"/>
                <w:noProof/>
                <w:sz w:val="18"/>
                <w:szCs w:val="18"/>
                <w:lang w:eastAsia="en-GB"/>
              </w:rPr>
            </w:pPr>
          </w:p>
          <w:p w:rsidR="0061232B" w:rsidRPr="006B2B20" w:rsidRDefault="0061232B" w:rsidP="00E84BAD">
            <w:pPr>
              <w:autoSpaceDE w:val="0"/>
              <w:autoSpaceDN w:val="0"/>
              <w:adjustRightInd w:val="0"/>
              <w:spacing w:after="0" w:line="240" w:lineRule="auto"/>
              <w:ind w:left="-19"/>
              <w:jc w:val="both"/>
              <w:rPr>
                <w:rFonts w:cstheme="minorHAnsi"/>
                <w:bCs/>
                <w:sz w:val="18"/>
                <w:szCs w:val="18"/>
              </w:rPr>
            </w:pPr>
            <w:r w:rsidRPr="006B2B20">
              <w:rPr>
                <w:rFonts w:cstheme="minorHAnsi"/>
                <w:bCs/>
                <w:sz w:val="18"/>
                <w:szCs w:val="18"/>
              </w:rPr>
              <w:t xml:space="preserve">PEC nexus issues integrated into </w:t>
            </w:r>
            <w:r w:rsidRPr="006B2B20">
              <w:rPr>
                <w:rFonts w:cstheme="minorHAnsi"/>
                <w:noProof/>
                <w:sz w:val="18"/>
                <w:szCs w:val="18"/>
                <w:lang w:eastAsia="en-GB"/>
              </w:rPr>
              <w:t>Country Investment Plan for the Agriculture Sector and the Annual Development Programme (ADP) Guidelines.</w:t>
            </w:r>
            <w:r w:rsidRPr="006B2B20">
              <w:rPr>
                <w:rFonts w:cstheme="minorHAnsi"/>
                <w:bCs/>
                <w:color w:val="0F243E"/>
                <w:sz w:val="18"/>
                <w:szCs w:val="18"/>
              </w:rPr>
              <w:t>Development Project Proforma (DPP) and Technical Project Proforma (</w:t>
            </w:r>
            <w:r w:rsidRPr="006B2B20">
              <w:rPr>
                <w:rFonts w:cstheme="minorHAnsi"/>
                <w:bCs/>
                <w:sz w:val="18"/>
                <w:szCs w:val="18"/>
              </w:rPr>
              <w:t xml:space="preserve">TPP) formats </w:t>
            </w:r>
            <w:r w:rsidRPr="006B2B20">
              <w:rPr>
                <w:rFonts w:cstheme="minorHAnsi"/>
                <w:bCs/>
                <w:color w:val="0F243E"/>
                <w:sz w:val="18"/>
                <w:szCs w:val="18"/>
              </w:rPr>
              <w:t xml:space="preserve">revised to include PEC issues in development planning and appraisal processes. </w:t>
            </w:r>
            <w:r w:rsidRPr="006B2B20">
              <w:rPr>
                <w:rFonts w:cstheme="minorHAnsi"/>
                <w:bCs/>
                <w:sz w:val="18"/>
                <w:szCs w:val="18"/>
              </w:rPr>
              <w:t>New guidelines for preparing the Annual Development Programme and Development Project Proforma, which include an Indicator Framewor</w:t>
            </w:r>
            <w:r>
              <w:rPr>
                <w:rFonts w:cstheme="minorHAnsi"/>
                <w:bCs/>
                <w:sz w:val="18"/>
                <w:szCs w:val="18"/>
              </w:rPr>
              <w:t>k</w:t>
            </w:r>
            <w:r w:rsidRPr="006B2B20">
              <w:rPr>
                <w:rFonts w:cstheme="minorHAnsi"/>
                <w:bCs/>
                <w:sz w:val="18"/>
                <w:szCs w:val="18"/>
              </w:rPr>
              <w:t>, have been approved, which should result in more PEC-focused investment projects. Manual of Instruction for preparation of PEC inclusive DPP and TPP developed and published. Indicator Framewor</w:t>
            </w:r>
            <w:r>
              <w:rPr>
                <w:rFonts w:cstheme="minorHAnsi"/>
                <w:bCs/>
                <w:sz w:val="18"/>
                <w:szCs w:val="18"/>
              </w:rPr>
              <w:t>k</w:t>
            </w:r>
            <w:r w:rsidRPr="006B2B20">
              <w:rPr>
                <w:rFonts w:cstheme="minorHAnsi"/>
                <w:bCs/>
                <w:sz w:val="18"/>
                <w:szCs w:val="18"/>
              </w:rPr>
              <w:t xml:space="preserve"> for Pro-poor, Environmental Friendly, Low Emission, and Climate Resilient Development prepared with an appropriate monitoring and review mechanism. Climate Public Expenditure and Institutional Review (CPEIR) prepared and published. A new Climate Fiscal Framewor</w:t>
            </w:r>
            <w:r>
              <w:rPr>
                <w:rFonts w:cstheme="minorHAnsi"/>
                <w:bCs/>
                <w:sz w:val="18"/>
                <w:szCs w:val="18"/>
              </w:rPr>
              <w:t>k</w:t>
            </w:r>
            <w:r w:rsidRPr="006B2B20">
              <w:rPr>
                <w:rFonts w:cstheme="minorHAnsi"/>
                <w:bCs/>
                <w:sz w:val="18"/>
                <w:szCs w:val="18"/>
              </w:rPr>
              <w:t xml:space="preserve"> has been developed by the Ministry of Finance, ma</w:t>
            </w:r>
            <w:r>
              <w:rPr>
                <w:rFonts w:cstheme="minorHAnsi"/>
                <w:bCs/>
                <w:sz w:val="18"/>
                <w:szCs w:val="18"/>
              </w:rPr>
              <w:t>k</w:t>
            </w:r>
            <w:r w:rsidRPr="006B2B20">
              <w:rPr>
                <w:rFonts w:cstheme="minorHAnsi"/>
                <w:bCs/>
                <w:sz w:val="18"/>
                <w:szCs w:val="18"/>
              </w:rPr>
              <w:t>ing it possible to trac</w:t>
            </w:r>
            <w:r>
              <w:rPr>
                <w:rFonts w:cstheme="minorHAnsi"/>
                <w:bCs/>
                <w:sz w:val="18"/>
                <w:szCs w:val="18"/>
              </w:rPr>
              <w:t>k</w:t>
            </w:r>
            <w:r w:rsidRPr="006B2B20">
              <w:rPr>
                <w:rFonts w:cstheme="minorHAnsi"/>
                <w:bCs/>
                <w:sz w:val="18"/>
                <w:szCs w:val="18"/>
              </w:rPr>
              <w:t xml:space="preserve"> government’s performance on PEC mainstreaming.GED implemented a Local Climate Fiscal Framewor</w:t>
            </w:r>
            <w:r>
              <w:rPr>
                <w:rFonts w:cstheme="minorHAnsi"/>
                <w:bCs/>
                <w:sz w:val="18"/>
                <w:szCs w:val="18"/>
              </w:rPr>
              <w:t>k</w:t>
            </w:r>
            <w:r w:rsidRPr="006B2B20">
              <w:rPr>
                <w:rFonts w:cstheme="minorHAnsi"/>
                <w:bCs/>
                <w:sz w:val="18"/>
                <w:szCs w:val="18"/>
              </w:rPr>
              <w:t>, for use by local government</w:t>
            </w:r>
            <w:r>
              <w:rPr>
                <w:rFonts w:cstheme="minorHAnsi"/>
                <w:bCs/>
                <w:sz w:val="18"/>
                <w:szCs w:val="18"/>
              </w:rPr>
              <w:t>.</w:t>
            </w:r>
          </w:p>
          <w:p w:rsidR="0061232B" w:rsidRPr="006B2B20" w:rsidRDefault="0061232B" w:rsidP="00E84BAD">
            <w:pPr>
              <w:spacing w:after="0" w:line="240" w:lineRule="auto"/>
              <w:jc w:val="both"/>
              <w:rPr>
                <w:rFonts w:cstheme="minorHAnsi"/>
                <w:b/>
                <w:sz w:val="18"/>
                <w:szCs w:val="18"/>
              </w:rPr>
            </w:pP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C6D9F1" w:themeFill="text2" w:themeFillTint="33"/>
          </w:tcPr>
          <w:p w:rsidR="0061232B" w:rsidRPr="006B2B20" w:rsidRDefault="0061232B" w:rsidP="00E84BAD">
            <w:pPr>
              <w:spacing w:after="0" w:line="240" w:lineRule="auto"/>
              <w:jc w:val="both"/>
              <w:rPr>
                <w:rFonts w:cstheme="minorHAnsi"/>
                <w:sz w:val="18"/>
                <w:szCs w:val="18"/>
              </w:rPr>
            </w:pPr>
            <w:r w:rsidRPr="006B2B20">
              <w:rPr>
                <w:rFonts w:cstheme="minorHAnsi"/>
                <w:b/>
                <w:bCs/>
                <w:sz w:val="18"/>
                <w:szCs w:val="18"/>
              </w:rPr>
              <w:t>Efficiency</w:t>
            </w: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FFFFFF" w:themeFill="background1"/>
          </w:tcPr>
          <w:p w:rsidR="0061232B" w:rsidRPr="006B2B20" w:rsidRDefault="0061232B" w:rsidP="00E84BAD">
            <w:pPr>
              <w:autoSpaceDE w:val="0"/>
              <w:autoSpaceDN w:val="0"/>
              <w:adjustRightInd w:val="0"/>
              <w:spacing w:after="0" w:line="240" w:lineRule="auto"/>
              <w:jc w:val="both"/>
              <w:rPr>
                <w:rFonts w:cstheme="minorHAnsi"/>
                <w:bCs/>
                <w:color w:val="000000"/>
                <w:sz w:val="18"/>
                <w:szCs w:val="18"/>
              </w:rPr>
            </w:pPr>
            <w:r w:rsidRPr="006B2B20">
              <w:rPr>
                <w:rFonts w:cstheme="minorHAnsi"/>
                <w:bCs/>
                <w:color w:val="000000"/>
                <w:sz w:val="18"/>
                <w:szCs w:val="18"/>
              </w:rPr>
              <w:t>All the outputs have been delivered within stipulated time. Although the results can hardly be monetized it would undoubtedly give high value for money, particularly in respect of relatively small amount of budget ($1.0m).</w:t>
            </w:r>
          </w:p>
          <w:p w:rsidR="0061232B" w:rsidRPr="006B2B20" w:rsidRDefault="0061232B" w:rsidP="00E84BAD">
            <w:pPr>
              <w:pStyle w:val="Default"/>
              <w:jc w:val="both"/>
              <w:rPr>
                <w:rFonts w:asciiTheme="minorHAnsi" w:hAnsiTheme="minorHAnsi" w:cstheme="minorHAnsi"/>
                <w:b/>
                <w:bCs/>
                <w:sz w:val="18"/>
                <w:szCs w:val="18"/>
              </w:rPr>
            </w:pP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C6D9F1" w:themeFill="text2" w:themeFillTint="33"/>
          </w:tcPr>
          <w:p w:rsidR="0061232B" w:rsidRPr="006B2B20" w:rsidRDefault="0061232B" w:rsidP="00E84BAD">
            <w:pPr>
              <w:spacing w:after="0" w:line="240" w:lineRule="auto"/>
              <w:jc w:val="both"/>
              <w:rPr>
                <w:rFonts w:cstheme="minorHAnsi"/>
                <w:sz w:val="18"/>
                <w:szCs w:val="18"/>
              </w:rPr>
            </w:pPr>
            <w:r w:rsidRPr="006B2B20">
              <w:rPr>
                <w:rFonts w:cstheme="minorHAnsi"/>
                <w:b/>
                <w:bCs/>
                <w:sz w:val="18"/>
                <w:szCs w:val="18"/>
              </w:rPr>
              <w:t>Cross-cutting themes (gender and other related perspectives)</w:t>
            </w: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FFFFFF" w:themeFill="background1"/>
          </w:tcPr>
          <w:p w:rsidR="0061232B" w:rsidRPr="006B2B20" w:rsidRDefault="0061232B" w:rsidP="00E84BAD">
            <w:pPr>
              <w:autoSpaceDE w:val="0"/>
              <w:autoSpaceDN w:val="0"/>
              <w:adjustRightInd w:val="0"/>
              <w:spacing w:after="0" w:line="240" w:lineRule="auto"/>
              <w:jc w:val="both"/>
              <w:rPr>
                <w:rFonts w:eastAsia="Calibri" w:cstheme="minorHAnsi"/>
                <w:sz w:val="18"/>
                <w:szCs w:val="18"/>
              </w:rPr>
            </w:pPr>
            <w:r w:rsidRPr="006B2B20">
              <w:rPr>
                <w:rFonts w:eastAsia="Calibri" w:cstheme="minorHAnsi"/>
                <w:sz w:val="18"/>
                <w:szCs w:val="18"/>
              </w:rPr>
              <w:t>The PECM is one the most successful cross-cutting, integrative UNDP interventions that have generated profound effects on channeling budgeting for CCA, DRR and environment, along with implication for gender equality. In this regard, the example of the revised Development Project Proforma (DPP) can be cited here. DPP entails, in its “project detail” format , a description of effect/impact and specific mitigation measures thereof in any on “gender, women, children, person with disability/excluded group’s needs” (among others). Target groups and potential benefits to different sectors of the target population are required to be spelled out in this DPP format. Sex disaggregated data for target population needs to be furnished-especially potential opportunities and constraints created by the project to women have to be identified. The manual adopted Gender Analysis Framewor</w:t>
            </w:r>
            <w:r>
              <w:rPr>
                <w:rFonts w:eastAsia="Calibri" w:cstheme="minorHAnsi"/>
                <w:sz w:val="18"/>
                <w:szCs w:val="18"/>
              </w:rPr>
              <w:t>k</w:t>
            </w:r>
            <w:r w:rsidRPr="006B2B20">
              <w:rPr>
                <w:rFonts w:eastAsia="Calibri" w:cstheme="minorHAnsi"/>
                <w:sz w:val="18"/>
                <w:szCs w:val="18"/>
              </w:rPr>
              <w:t xml:space="preserve"> to systematically analyze gender relations within a community and identify issues and barriers facing women in the community. As for another example, the Department of Women Affairs organizes training for their officials at different tiers on a regular basis. Climate change, environment and disaster ris</w:t>
            </w:r>
            <w:r>
              <w:rPr>
                <w:rFonts w:eastAsia="Calibri" w:cstheme="minorHAnsi"/>
                <w:sz w:val="18"/>
                <w:szCs w:val="18"/>
              </w:rPr>
              <w:t>k</w:t>
            </w:r>
            <w:r w:rsidRPr="006B2B20">
              <w:rPr>
                <w:rFonts w:eastAsia="Calibri" w:cstheme="minorHAnsi"/>
                <w:sz w:val="18"/>
                <w:szCs w:val="18"/>
              </w:rPr>
              <w:t xml:space="preserve"> reduction are new thrust of thematic areas they focus on, along with other pertinent issues. However, though mainstreaming gender in all development projects has been facilitated through revised DPP manual, along with mainstreaming climate change, environment and disaster ris</w:t>
            </w:r>
            <w:r>
              <w:rPr>
                <w:rFonts w:eastAsia="Calibri" w:cstheme="minorHAnsi"/>
                <w:sz w:val="18"/>
                <w:szCs w:val="18"/>
              </w:rPr>
              <w:t>k</w:t>
            </w:r>
            <w:r w:rsidRPr="006B2B20">
              <w:rPr>
                <w:rFonts w:eastAsia="Calibri" w:cstheme="minorHAnsi"/>
                <w:sz w:val="18"/>
                <w:szCs w:val="18"/>
              </w:rPr>
              <w:t xml:space="preserve"> reduction, it has not yet been implemented. Partially because of the fact that there is a need to strengthen capacity on gender issues and using gender lens. </w:t>
            </w:r>
          </w:p>
          <w:p w:rsidR="0061232B" w:rsidRPr="006B2B20" w:rsidRDefault="0061232B" w:rsidP="00E84BAD">
            <w:pPr>
              <w:pStyle w:val="Default"/>
              <w:jc w:val="both"/>
              <w:rPr>
                <w:rFonts w:asciiTheme="minorHAnsi" w:hAnsiTheme="minorHAnsi" w:cstheme="minorHAnsi"/>
                <w:b/>
                <w:bCs/>
                <w:sz w:val="18"/>
                <w:szCs w:val="18"/>
              </w:rPr>
            </w:pP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C6D9F1" w:themeFill="text2" w:themeFillTint="33"/>
          </w:tcPr>
          <w:p w:rsidR="0061232B" w:rsidRPr="006B2B20" w:rsidRDefault="0061232B" w:rsidP="00E84BAD">
            <w:pPr>
              <w:spacing w:after="0" w:line="240" w:lineRule="auto"/>
              <w:jc w:val="both"/>
              <w:rPr>
                <w:rFonts w:cstheme="minorHAnsi"/>
                <w:sz w:val="18"/>
                <w:szCs w:val="18"/>
              </w:rPr>
            </w:pPr>
            <w:r w:rsidRPr="006B2B20">
              <w:rPr>
                <w:rFonts w:cstheme="minorHAnsi"/>
                <w:b/>
                <w:bCs/>
                <w:sz w:val="18"/>
                <w:szCs w:val="18"/>
              </w:rPr>
              <w:t>Sustainability and potential for replication</w:t>
            </w: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FFFFFF" w:themeFill="background1"/>
          </w:tcPr>
          <w:p w:rsidR="0061232B" w:rsidRPr="006B2B20" w:rsidRDefault="0061232B" w:rsidP="00E84BAD">
            <w:pPr>
              <w:autoSpaceDE w:val="0"/>
              <w:autoSpaceDN w:val="0"/>
              <w:adjustRightInd w:val="0"/>
              <w:spacing w:after="0" w:line="240" w:lineRule="auto"/>
              <w:jc w:val="both"/>
              <w:rPr>
                <w:rFonts w:cstheme="minorHAnsi"/>
                <w:bCs/>
                <w:sz w:val="18"/>
                <w:szCs w:val="18"/>
              </w:rPr>
            </w:pPr>
            <w:r w:rsidRPr="006B2B20">
              <w:rPr>
                <w:rFonts w:cstheme="minorHAnsi"/>
                <w:bCs/>
                <w:color w:val="000000"/>
                <w:sz w:val="18"/>
                <w:szCs w:val="18"/>
              </w:rPr>
              <w:t>Many achievements of the project will sustain but as Steve Jones and Ranadhir Das (2013) suggested, a follow-on project will be needed to consolidate the gains made and build a constituency for change.</w:t>
            </w:r>
            <w:r>
              <w:rPr>
                <w:rFonts w:cstheme="minorHAnsi"/>
                <w:sz w:val="18"/>
                <w:szCs w:val="18"/>
              </w:rPr>
              <w:t>K</w:t>
            </w:r>
            <w:r w:rsidRPr="006B2B20">
              <w:rPr>
                <w:rFonts w:cstheme="minorHAnsi"/>
                <w:sz w:val="18"/>
                <w:szCs w:val="18"/>
              </w:rPr>
              <w:t>nowledge generated by the Project will indirectly help enhance resilience of the country as whole and vulnerable communities in particular against climate change and natural disasters. It should also help manage natural resources more efficiently and effectively. through Environment Friendly, Low Emission and Climate Resilient Development</w:t>
            </w:r>
          </w:p>
          <w:p w:rsidR="0061232B" w:rsidRPr="006B2B20" w:rsidRDefault="0061232B" w:rsidP="00E84BAD">
            <w:pPr>
              <w:spacing w:after="0" w:line="240" w:lineRule="auto"/>
              <w:jc w:val="both"/>
              <w:rPr>
                <w:rFonts w:cstheme="minorHAnsi"/>
                <w:sz w:val="18"/>
                <w:szCs w:val="18"/>
              </w:rPr>
            </w:pPr>
          </w:p>
        </w:tc>
      </w:tr>
      <w:tr w:rsidR="0061232B" w:rsidRPr="006B2B20" w:rsidTr="00E84BAD">
        <w:tc>
          <w:tcPr>
            <w:tcW w:w="1686" w:type="dxa"/>
            <w:vMerge w:val="restart"/>
            <w:shd w:val="clear" w:color="auto" w:fill="C6D9F1" w:themeFill="text2" w:themeFillTint="33"/>
          </w:tcPr>
          <w:p w:rsidR="0061232B" w:rsidRPr="006B2B20" w:rsidRDefault="0061232B" w:rsidP="00E84BAD">
            <w:pPr>
              <w:spacing w:after="0" w:line="240" w:lineRule="auto"/>
              <w:rPr>
                <w:rFonts w:cstheme="minorHAnsi"/>
                <w:sz w:val="18"/>
                <w:szCs w:val="18"/>
              </w:rPr>
            </w:pPr>
            <w:r w:rsidRPr="006B2B20">
              <w:rPr>
                <w:rFonts w:cstheme="minorHAnsi"/>
                <w:sz w:val="18"/>
                <w:szCs w:val="18"/>
              </w:rPr>
              <w:t>Project: Community-Based Adaptation to Climate Change through Coastal Afforestation in Bangladesh (CBACC-CF)</w:t>
            </w:r>
          </w:p>
          <w:p w:rsidR="0061232B" w:rsidRPr="006B2B20" w:rsidRDefault="0061232B" w:rsidP="00E84BAD">
            <w:pPr>
              <w:spacing w:after="0" w:line="240" w:lineRule="auto"/>
              <w:rPr>
                <w:rFonts w:cstheme="minorHAnsi"/>
                <w:sz w:val="18"/>
                <w:szCs w:val="18"/>
              </w:rPr>
            </w:pPr>
          </w:p>
          <w:p w:rsidR="0061232B" w:rsidRPr="006B2B20" w:rsidRDefault="0061232B" w:rsidP="00E84BAD">
            <w:pPr>
              <w:spacing w:after="0" w:line="240" w:lineRule="auto"/>
              <w:rPr>
                <w:rFonts w:cstheme="minorHAnsi"/>
                <w:sz w:val="18"/>
                <w:szCs w:val="18"/>
              </w:rPr>
            </w:pPr>
            <w:r w:rsidRPr="006B2B20">
              <w:rPr>
                <w:rFonts w:cstheme="minorHAnsi"/>
                <w:sz w:val="18"/>
                <w:szCs w:val="18"/>
              </w:rPr>
              <w:t>Project Start Date: March  2009</w:t>
            </w:r>
          </w:p>
          <w:p w:rsidR="0061232B" w:rsidRPr="006B2B20" w:rsidRDefault="0061232B" w:rsidP="00E84BAD">
            <w:pPr>
              <w:spacing w:after="0" w:line="240" w:lineRule="auto"/>
              <w:rPr>
                <w:rFonts w:cstheme="minorHAnsi"/>
                <w:sz w:val="18"/>
                <w:szCs w:val="18"/>
              </w:rPr>
            </w:pPr>
            <w:r w:rsidRPr="006B2B20">
              <w:rPr>
                <w:rFonts w:cstheme="minorHAnsi"/>
                <w:sz w:val="18"/>
                <w:szCs w:val="18"/>
              </w:rPr>
              <w:t>Project End Date: April, 2013</w:t>
            </w:r>
          </w:p>
          <w:p w:rsidR="0061232B" w:rsidRPr="006B2B20" w:rsidRDefault="0061232B" w:rsidP="00E84BAD">
            <w:pPr>
              <w:spacing w:after="0" w:line="240" w:lineRule="auto"/>
              <w:rPr>
                <w:rFonts w:cstheme="minorHAnsi"/>
                <w:sz w:val="18"/>
                <w:szCs w:val="18"/>
              </w:rPr>
            </w:pPr>
          </w:p>
          <w:p w:rsidR="0061232B" w:rsidRPr="006B2B20" w:rsidRDefault="0061232B" w:rsidP="00E84BAD">
            <w:pPr>
              <w:spacing w:after="0" w:line="240" w:lineRule="auto"/>
              <w:rPr>
                <w:rFonts w:cstheme="minorHAnsi"/>
                <w:sz w:val="18"/>
                <w:szCs w:val="18"/>
              </w:rPr>
            </w:pPr>
            <w:r w:rsidRPr="006B2B20">
              <w:rPr>
                <w:rFonts w:cstheme="minorHAnsi"/>
                <w:sz w:val="18"/>
                <w:szCs w:val="18"/>
              </w:rPr>
              <w:t>Partners: GEF Climate Change Adaptation, SDC, E</w:t>
            </w:r>
            <w:r>
              <w:rPr>
                <w:rFonts w:cstheme="minorHAnsi"/>
                <w:sz w:val="18"/>
                <w:szCs w:val="18"/>
              </w:rPr>
              <w:t>K</w:t>
            </w:r>
            <w:r w:rsidRPr="006B2B20">
              <w:rPr>
                <w:rFonts w:cstheme="minorHAnsi"/>
                <w:sz w:val="18"/>
                <w:szCs w:val="18"/>
              </w:rPr>
              <w:t>N</w:t>
            </w:r>
          </w:p>
          <w:p w:rsidR="0061232B" w:rsidRPr="006B2B20" w:rsidRDefault="0061232B" w:rsidP="00E84BAD">
            <w:pPr>
              <w:spacing w:after="0" w:line="240" w:lineRule="auto"/>
              <w:rPr>
                <w:rFonts w:cstheme="minorHAnsi"/>
                <w:sz w:val="18"/>
                <w:szCs w:val="18"/>
              </w:rPr>
            </w:pPr>
          </w:p>
          <w:p w:rsidR="0061232B" w:rsidRPr="006B2B20" w:rsidRDefault="0061232B" w:rsidP="00E84BAD">
            <w:pPr>
              <w:spacing w:after="0" w:line="240" w:lineRule="auto"/>
              <w:rPr>
                <w:rFonts w:cstheme="minorHAnsi"/>
                <w:sz w:val="18"/>
                <w:szCs w:val="18"/>
              </w:rPr>
            </w:pPr>
            <w:r w:rsidRPr="006B2B20">
              <w:rPr>
                <w:rFonts w:cstheme="minorHAnsi"/>
                <w:sz w:val="18"/>
                <w:szCs w:val="18"/>
              </w:rPr>
              <w:t>Fund:  7.55 Million USD</w:t>
            </w:r>
          </w:p>
          <w:p w:rsidR="0061232B" w:rsidRPr="006B2B20" w:rsidRDefault="0061232B" w:rsidP="00E84BAD">
            <w:pPr>
              <w:spacing w:after="0" w:line="240" w:lineRule="auto"/>
              <w:rPr>
                <w:rFonts w:cstheme="minorHAnsi"/>
                <w:b/>
                <w:sz w:val="18"/>
                <w:szCs w:val="18"/>
              </w:rPr>
            </w:pPr>
          </w:p>
        </w:tc>
        <w:tc>
          <w:tcPr>
            <w:tcW w:w="11490" w:type="dxa"/>
            <w:shd w:val="clear" w:color="auto" w:fill="C6D9F1" w:themeFill="text2" w:themeFillTint="33"/>
          </w:tcPr>
          <w:p w:rsidR="0061232B" w:rsidRPr="006B2B20" w:rsidRDefault="0061232B" w:rsidP="00E84BAD">
            <w:pPr>
              <w:spacing w:after="0" w:line="240" w:lineRule="auto"/>
              <w:jc w:val="both"/>
              <w:rPr>
                <w:rFonts w:cstheme="minorHAnsi"/>
                <w:b/>
                <w:sz w:val="18"/>
                <w:szCs w:val="18"/>
              </w:rPr>
            </w:pPr>
            <w:r w:rsidRPr="006B2B20">
              <w:rPr>
                <w:rFonts w:cstheme="minorHAnsi"/>
                <w:b/>
                <w:sz w:val="18"/>
                <w:szCs w:val="18"/>
              </w:rPr>
              <w:t>Relevance</w:t>
            </w: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FFFFFF" w:themeFill="background1"/>
          </w:tcPr>
          <w:p w:rsidR="0061232B" w:rsidRPr="006B2B20" w:rsidRDefault="0061232B" w:rsidP="00E84BAD">
            <w:pPr>
              <w:pStyle w:val="Default"/>
              <w:jc w:val="both"/>
              <w:rPr>
                <w:rFonts w:asciiTheme="minorHAnsi" w:hAnsiTheme="minorHAnsi" w:cstheme="minorHAnsi"/>
                <w:color w:val="auto"/>
                <w:sz w:val="18"/>
                <w:szCs w:val="18"/>
              </w:rPr>
            </w:pPr>
            <w:r w:rsidRPr="006B2B20">
              <w:rPr>
                <w:rFonts w:asciiTheme="minorHAnsi" w:hAnsiTheme="minorHAnsi" w:cstheme="minorHAnsi"/>
                <w:bCs/>
                <w:sz w:val="18"/>
                <w:szCs w:val="18"/>
              </w:rPr>
              <w:t xml:space="preserve">CBACC-CF project is highly relevant to the Government of Bangladesh’s policies and priorities, UNDP policies and global priorities, and the needs of coastal people most affected by climate change.  It is a priority project of Bangladesh under National Adaptation Programme of Actions (NAPA) confronting climate change impacts, and currently in implementation in vulnerable four coastal areas It is also relevant to </w:t>
            </w:r>
            <w:r w:rsidRPr="006B2B20">
              <w:rPr>
                <w:rFonts w:asciiTheme="minorHAnsi" w:hAnsiTheme="minorHAnsi" w:cstheme="minorHAnsi"/>
                <w:sz w:val="18"/>
                <w:szCs w:val="18"/>
              </w:rPr>
              <w:t xml:space="preserve">Bangladesh Climate Change Strategy Action Plan (BCCSAP). It is aligned with </w:t>
            </w:r>
            <w:r w:rsidRPr="006B2B20">
              <w:rPr>
                <w:rFonts w:asciiTheme="minorHAnsi" w:hAnsiTheme="minorHAnsi" w:cstheme="minorHAnsi"/>
                <w:color w:val="auto"/>
                <w:sz w:val="18"/>
                <w:szCs w:val="18"/>
              </w:rPr>
              <w:t xml:space="preserve">Coastal Development Strategy and Coastal Development Policy. </w:t>
            </w:r>
          </w:p>
          <w:p w:rsidR="0061232B" w:rsidRPr="006B2B20" w:rsidRDefault="0061232B" w:rsidP="00E84BAD">
            <w:pPr>
              <w:spacing w:after="0" w:line="240" w:lineRule="auto"/>
              <w:jc w:val="both"/>
              <w:rPr>
                <w:rFonts w:cstheme="minorHAnsi"/>
                <w:b/>
                <w:sz w:val="18"/>
                <w:szCs w:val="18"/>
              </w:rPr>
            </w:pP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C6D9F1" w:themeFill="text2" w:themeFillTint="33"/>
          </w:tcPr>
          <w:p w:rsidR="0061232B" w:rsidRPr="006B2B20" w:rsidRDefault="0061232B" w:rsidP="00E84BAD">
            <w:pPr>
              <w:spacing w:after="0" w:line="240" w:lineRule="auto"/>
              <w:jc w:val="both"/>
              <w:rPr>
                <w:rFonts w:cstheme="minorHAnsi"/>
                <w:b/>
                <w:sz w:val="18"/>
                <w:szCs w:val="18"/>
              </w:rPr>
            </w:pPr>
            <w:r w:rsidRPr="006B2B20">
              <w:rPr>
                <w:rFonts w:cstheme="minorHAnsi"/>
                <w:b/>
                <w:sz w:val="18"/>
                <w:szCs w:val="18"/>
              </w:rPr>
              <w:t>Effectiveness</w:t>
            </w: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FFFFFF" w:themeFill="background1"/>
          </w:tcPr>
          <w:p w:rsidR="0061232B" w:rsidRPr="006B2B20" w:rsidRDefault="0061232B" w:rsidP="00E84BAD">
            <w:pPr>
              <w:autoSpaceDE w:val="0"/>
              <w:autoSpaceDN w:val="0"/>
              <w:adjustRightInd w:val="0"/>
              <w:spacing w:after="0" w:line="240" w:lineRule="auto"/>
              <w:jc w:val="both"/>
              <w:rPr>
                <w:rFonts w:cstheme="minorHAnsi"/>
                <w:b/>
                <w:bCs/>
                <w:sz w:val="18"/>
                <w:szCs w:val="18"/>
              </w:rPr>
            </w:pPr>
            <w:r w:rsidRPr="006B2B20">
              <w:rPr>
                <w:rFonts w:cstheme="minorHAnsi"/>
                <w:bCs/>
                <w:sz w:val="18"/>
                <w:szCs w:val="18"/>
              </w:rPr>
              <w:t>The CBACC-CF project shows significant effectiveness in promoting climate-resilient development in the coastal areas of Bangladesh, especially to reduce the vulnerability of coastal communities to the impacts of climate change-induced ris</w:t>
            </w:r>
            <w:r>
              <w:rPr>
                <w:rFonts w:cstheme="minorHAnsi"/>
                <w:bCs/>
                <w:sz w:val="18"/>
                <w:szCs w:val="18"/>
              </w:rPr>
              <w:t>k</w:t>
            </w:r>
            <w:r w:rsidRPr="006B2B20">
              <w:rPr>
                <w:rFonts w:cstheme="minorHAnsi"/>
                <w:bCs/>
                <w:sz w:val="18"/>
                <w:szCs w:val="18"/>
              </w:rPr>
              <w:t xml:space="preserve">s. </w:t>
            </w:r>
            <w:r w:rsidRPr="006B2B20">
              <w:rPr>
                <w:rFonts w:cstheme="minorHAnsi"/>
                <w:sz w:val="18"/>
                <w:szCs w:val="18"/>
              </w:rPr>
              <w:t>The Evaluation Team found out that, in terms of achieving targeted outputs in a timely manner, CBACC-CF made commendable progress as it has already attained 100% of outputs except  model demonstration (75%) by 2014, and it is li</w:t>
            </w:r>
            <w:r>
              <w:rPr>
                <w:rFonts w:cstheme="minorHAnsi"/>
                <w:sz w:val="18"/>
                <w:szCs w:val="18"/>
              </w:rPr>
              <w:t>k</w:t>
            </w:r>
            <w:r w:rsidRPr="006B2B20">
              <w:rPr>
                <w:rFonts w:cstheme="minorHAnsi"/>
                <w:sz w:val="18"/>
                <w:szCs w:val="18"/>
              </w:rPr>
              <w:t xml:space="preserve">ely to achieve 100% of targeted Outputs in all area by 2015 at termination. The project enhanced resilience of coastal ecosystems through increasing forest coverage, creating livelihood diversification practices through innovative land use technique (e.g., Triple F model) to vulnerable communities, and mainstreaming women’s role in climate change adaptation. Resilience of protective ecosystems was enhanced through different types of afforestation interventions and diversification of livelihood strategies. </w:t>
            </w:r>
            <w:r w:rsidRPr="006B2B20">
              <w:rPr>
                <w:rFonts w:cstheme="minorHAnsi"/>
                <w:bCs/>
                <w:sz w:val="18"/>
                <w:szCs w:val="18"/>
              </w:rPr>
              <w:t>Meanwhile, more than 8,500 ha of mangrove plantation and coastal afforestation interventions were underta</w:t>
            </w:r>
            <w:r>
              <w:rPr>
                <w:rFonts w:cstheme="minorHAnsi"/>
                <w:bCs/>
                <w:sz w:val="18"/>
                <w:szCs w:val="18"/>
              </w:rPr>
              <w:t>k</w:t>
            </w:r>
            <w:r w:rsidRPr="006B2B20">
              <w:rPr>
                <w:rFonts w:cstheme="minorHAnsi"/>
                <w:bCs/>
                <w:sz w:val="18"/>
                <w:szCs w:val="18"/>
              </w:rPr>
              <w:t>en. More than 200 ha di</w:t>
            </w:r>
            <w:r>
              <w:rPr>
                <w:rFonts w:cstheme="minorHAnsi"/>
                <w:bCs/>
                <w:sz w:val="18"/>
                <w:szCs w:val="18"/>
              </w:rPr>
              <w:t>k</w:t>
            </w:r>
            <w:r w:rsidRPr="006B2B20">
              <w:rPr>
                <w:rFonts w:cstheme="minorHAnsi"/>
                <w:bCs/>
                <w:sz w:val="18"/>
                <w:szCs w:val="18"/>
              </w:rPr>
              <w:t>e plantation activities were underta</w:t>
            </w:r>
            <w:r>
              <w:rPr>
                <w:rFonts w:cstheme="minorHAnsi"/>
                <w:bCs/>
                <w:sz w:val="18"/>
                <w:szCs w:val="18"/>
              </w:rPr>
              <w:t>k</w:t>
            </w:r>
            <w:r w:rsidRPr="006B2B20">
              <w:rPr>
                <w:rFonts w:cstheme="minorHAnsi"/>
                <w:bCs/>
                <w:sz w:val="18"/>
                <w:szCs w:val="18"/>
              </w:rPr>
              <w:t xml:space="preserve">en, including implementation of the Triple F Model. </w:t>
            </w:r>
            <w:r w:rsidRPr="006B2B20">
              <w:rPr>
                <w:rFonts w:cstheme="minorHAnsi"/>
                <w:sz w:val="18"/>
                <w:szCs w:val="18"/>
              </w:rPr>
              <w:t>The project has crucial support in drafting Climate Resilient Coastal Zone Policy Recommendations for 4 sectoral policies and development of framewor</w:t>
            </w:r>
            <w:r>
              <w:rPr>
                <w:rFonts w:cstheme="minorHAnsi"/>
                <w:sz w:val="18"/>
                <w:szCs w:val="18"/>
              </w:rPr>
              <w:t>k</w:t>
            </w:r>
            <w:r w:rsidRPr="006B2B20">
              <w:rPr>
                <w:rFonts w:cstheme="minorHAnsi"/>
                <w:sz w:val="18"/>
                <w:szCs w:val="18"/>
              </w:rPr>
              <w:t xml:space="preserve"> for mainstreaming mechanism for climate resilient policy which is now underway.</w:t>
            </w:r>
            <w:r>
              <w:rPr>
                <w:rFonts w:cstheme="minorHAnsi"/>
                <w:sz w:val="18"/>
                <w:szCs w:val="18"/>
              </w:rPr>
              <w:t xml:space="preserve"> </w:t>
            </w:r>
            <w:r w:rsidRPr="006B2B20">
              <w:rPr>
                <w:rFonts w:cstheme="minorHAnsi"/>
                <w:bCs/>
                <w:sz w:val="18"/>
                <w:szCs w:val="18"/>
              </w:rPr>
              <w:t>As noted in the MTR, there is a general lac</w:t>
            </w:r>
            <w:r>
              <w:rPr>
                <w:rFonts w:cstheme="minorHAnsi"/>
                <w:bCs/>
                <w:sz w:val="18"/>
                <w:szCs w:val="18"/>
              </w:rPr>
              <w:t>k</w:t>
            </w:r>
            <w:r w:rsidRPr="006B2B20">
              <w:rPr>
                <w:rFonts w:cstheme="minorHAnsi"/>
                <w:bCs/>
                <w:sz w:val="18"/>
                <w:szCs w:val="18"/>
              </w:rPr>
              <w:t xml:space="preserve"> of self-help motivation and genuine ownership (e.g., land tenureship and lac</w:t>
            </w:r>
            <w:r>
              <w:rPr>
                <w:rFonts w:cstheme="minorHAnsi"/>
                <w:bCs/>
                <w:sz w:val="18"/>
                <w:szCs w:val="18"/>
              </w:rPr>
              <w:t>k</w:t>
            </w:r>
            <w:r w:rsidRPr="006B2B20">
              <w:rPr>
                <w:rFonts w:cstheme="minorHAnsi"/>
                <w:bCs/>
                <w:sz w:val="18"/>
                <w:szCs w:val="18"/>
              </w:rPr>
              <w:t xml:space="preserve"> of cooperatives) to currently sustain many of the individual and group outputs. It is not apparent that the necessary level of technical capacity and beneficiary ownership has yet been reached to assure sustainability although this is achievable.</w:t>
            </w:r>
          </w:p>
          <w:p w:rsidR="0061232B" w:rsidRPr="006B2B20" w:rsidRDefault="0061232B" w:rsidP="00E84BAD">
            <w:pPr>
              <w:spacing w:after="0" w:line="240" w:lineRule="auto"/>
              <w:jc w:val="both"/>
              <w:rPr>
                <w:rFonts w:cstheme="minorHAnsi"/>
                <w:b/>
                <w:sz w:val="18"/>
                <w:szCs w:val="18"/>
              </w:rPr>
            </w:pP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C6D9F1" w:themeFill="text2" w:themeFillTint="33"/>
          </w:tcPr>
          <w:p w:rsidR="0061232B" w:rsidRPr="006B2B20" w:rsidRDefault="0061232B" w:rsidP="00E84BAD">
            <w:pPr>
              <w:pStyle w:val="Default"/>
              <w:jc w:val="both"/>
              <w:rPr>
                <w:rFonts w:asciiTheme="minorHAnsi" w:hAnsiTheme="minorHAnsi" w:cstheme="minorHAnsi"/>
                <w:b/>
                <w:bCs/>
                <w:sz w:val="18"/>
                <w:szCs w:val="18"/>
              </w:rPr>
            </w:pPr>
            <w:r w:rsidRPr="006B2B20">
              <w:rPr>
                <w:rFonts w:asciiTheme="minorHAnsi" w:hAnsiTheme="minorHAnsi" w:cstheme="minorHAnsi"/>
                <w:b/>
                <w:bCs/>
                <w:sz w:val="18"/>
                <w:szCs w:val="18"/>
              </w:rPr>
              <w:t>Efficiency</w:t>
            </w: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FFFFFF" w:themeFill="background1"/>
          </w:tcPr>
          <w:p w:rsidR="0061232B" w:rsidRPr="006B2B20" w:rsidRDefault="0061232B" w:rsidP="001E161B">
            <w:pPr>
              <w:pStyle w:val="Default"/>
              <w:numPr>
                <w:ilvl w:val="0"/>
                <w:numId w:val="36"/>
              </w:numPr>
              <w:autoSpaceDE w:val="0"/>
              <w:autoSpaceDN w:val="0"/>
              <w:adjustRightInd w:val="0"/>
              <w:jc w:val="both"/>
              <w:rPr>
                <w:rFonts w:asciiTheme="minorHAnsi" w:hAnsiTheme="minorHAnsi" w:cstheme="minorHAnsi"/>
                <w:sz w:val="18"/>
                <w:szCs w:val="18"/>
              </w:rPr>
            </w:pPr>
            <w:r w:rsidRPr="006B2B20">
              <w:rPr>
                <w:rFonts w:asciiTheme="minorHAnsi" w:hAnsiTheme="minorHAnsi" w:cstheme="minorHAnsi"/>
                <w:sz w:val="18"/>
                <w:szCs w:val="18"/>
              </w:rPr>
              <w:t xml:space="preserve">The CBACC-CF project interventions generally appear to be efficient in time and cost. It delivered all outputs in stipulated time which provided high value for money.  </w:t>
            </w:r>
            <w:r w:rsidRPr="006B2B20">
              <w:rPr>
                <w:rFonts w:asciiTheme="minorHAnsi" w:hAnsiTheme="minorHAnsi" w:cstheme="minorHAnsi"/>
                <w:bCs/>
                <w:sz w:val="18"/>
                <w:szCs w:val="18"/>
              </w:rPr>
              <w:t xml:space="preserve">Both the MTR and the Evaluation Team observed that the project disbursement is relatively low at 76% in 2014 (4th year of project implementation period). </w:t>
            </w:r>
            <w:r w:rsidRPr="006B2B20">
              <w:rPr>
                <w:rFonts w:asciiTheme="minorHAnsi" w:hAnsiTheme="minorHAnsi" w:cstheme="minorHAnsi"/>
                <w:sz w:val="18"/>
                <w:szCs w:val="18"/>
              </w:rPr>
              <w:t>Coastal communities have not only pursued regular, short-term and medium-term alternative income options, but also planted forest tree species on their di</w:t>
            </w:r>
            <w:r>
              <w:rPr>
                <w:rFonts w:asciiTheme="minorHAnsi" w:hAnsiTheme="minorHAnsi" w:cstheme="minorHAnsi"/>
                <w:sz w:val="18"/>
                <w:szCs w:val="18"/>
              </w:rPr>
              <w:t>k</w:t>
            </w:r>
            <w:r w:rsidRPr="006B2B20">
              <w:rPr>
                <w:rFonts w:asciiTheme="minorHAnsi" w:hAnsiTheme="minorHAnsi" w:cstheme="minorHAnsi"/>
                <w:sz w:val="18"/>
                <w:szCs w:val="18"/>
              </w:rPr>
              <w:t>e for long-term benefits. Planting trees and palms on di</w:t>
            </w:r>
            <w:r>
              <w:rPr>
                <w:rFonts w:asciiTheme="minorHAnsi" w:hAnsiTheme="minorHAnsi" w:cstheme="minorHAnsi"/>
                <w:sz w:val="18"/>
                <w:szCs w:val="18"/>
              </w:rPr>
              <w:t>k</w:t>
            </w:r>
            <w:r w:rsidRPr="006B2B20">
              <w:rPr>
                <w:rFonts w:asciiTheme="minorHAnsi" w:hAnsiTheme="minorHAnsi" w:cstheme="minorHAnsi"/>
                <w:sz w:val="18"/>
                <w:szCs w:val="18"/>
              </w:rPr>
              <w:t>es provided communities with long-term timber and mid-term fuel wood from branch pruning, as well as food (e.g., coconut) products. The project has until now been able to increase average annual income of landless and marginalized groups through enhancing significant level of adaptive capacity. The Triple F Model is an important component of CBACC-CF project which provides a very high value for money, BCR being as high as 5: 1.</w:t>
            </w:r>
            <w:r w:rsidRPr="006B2B20">
              <w:rPr>
                <w:rFonts w:asciiTheme="minorHAnsi" w:hAnsiTheme="minorHAnsi" w:cstheme="minorHAnsi"/>
                <w:bCs/>
                <w:sz w:val="18"/>
                <w:szCs w:val="18"/>
              </w:rPr>
              <w:t xml:space="preserve">Many of the planned outputs are ahead of schedule, and some other are generally regarded as secondary. The project overall has been efficient in achieving the targeted outputs; however, their sustainability and outcome results remain major concerns. </w:t>
            </w:r>
          </w:p>
          <w:p w:rsidR="0061232B" w:rsidRPr="006B2B20" w:rsidRDefault="0061232B" w:rsidP="00E84BAD">
            <w:pPr>
              <w:pStyle w:val="Default"/>
              <w:jc w:val="both"/>
              <w:rPr>
                <w:rFonts w:asciiTheme="minorHAnsi" w:hAnsiTheme="minorHAnsi" w:cstheme="minorHAnsi"/>
                <w:b/>
                <w:bCs/>
                <w:sz w:val="18"/>
                <w:szCs w:val="18"/>
              </w:rPr>
            </w:pP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C6D9F1" w:themeFill="text2" w:themeFillTint="33"/>
          </w:tcPr>
          <w:p w:rsidR="0061232B" w:rsidRPr="006B2B20" w:rsidRDefault="0061232B" w:rsidP="00E84BAD">
            <w:pPr>
              <w:pStyle w:val="Default"/>
              <w:jc w:val="both"/>
              <w:rPr>
                <w:rFonts w:asciiTheme="minorHAnsi" w:hAnsiTheme="minorHAnsi" w:cstheme="minorHAnsi"/>
                <w:b/>
                <w:bCs/>
                <w:sz w:val="18"/>
                <w:szCs w:val="18"/>
              </w:rPr>
            </w:pPr>
            <w:r w:rsidRPr="006B2B20">
              <w:rPr>
                <w:rFonts w:asciiTheme="minorHAnsi" w:hAnsiTheme="minorHAnsi" w:cstheme="minorHAnsi"/>
                <w:b/>
                <w:bCs/>
                <w:sz w:val="18"/>
                <w:szCs w:val="18"/>
              </w:rPr>
              <w:t>Cross-cutting themes (gender and other related perspectives)</w:t>
            </w: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FFFFFF" w:themeFill="background1"/>
          </w:tcPr>
          <w:p w:rsidR="0061232B" w:rsidRPr="006B2B20" w:rsidRDefault="0061232B" w:rsidP="00E84BAD">
            <w:pPr>
              <w:spacing w:after="0" w:line="240" w:lineRule="auto"/>
              <w:jc w:val="both"/>
              <w:rPr>
                <w:rFonts w:eastAsia="Calibri" w:cstheme="minorHAnsi"/>
                <w:sz w:val="18"/>
                <w:szCs w:val="18"/>
              </w:rPr>
            </w:pPr>
            <w:r w:rsidRPr="006B2B20">
              <w:rPr>
                <w:rFonts w:cstheme="minorHAnsi"/>
                <w:bCs/>
                <w:color w:val="000000"/>
                <w:sz w:val="18"/>
                <w:szCs w:val="18"/>
              </w:rPr>
              <w:t>The CBACC-CF project Outcomes do not include any gender specific activities and results, while the intervention per se largely relates CCA lin</w:t>
            </w:r>
            <w:r>
              <w:rPr>
                <w:rFonts w:cstheme="minorHAnsi"/>
                <w:bCs/>
                <w:color w:val="000000"/>
                <w:sz w:val="18"/>
                <w:szCs w:val="18"/>
              </w:rPr>
              <w:t>k</w:t>
            </w:r>
            <w:r w:rsidRPr="006B2B20">
              <w:rPr>
                <w:rFonts w:cstheme="minorHAnsi"/>
                <w:bCs/>
                <w:color w:val="000000"/>
                <w:sz w:val="18"/>
                <w:szCs w:val="18"/>
              </w:rPr>
              <w:t xml:space="preserve">ing with livelihood enhancement (in which women’s role is very prominent). However, some of the CBACC-CF project components engage women heavily in their implementation. For example, in the Triple F Model, </w:t>
            </w:r>
            <w:r w:rsidRPr="006B2B20">
              <w:rPr>
                <w:rFonts w:eastAsia="Calibri" w:cstheme="minorHAnsi"/>
                <w:sz w:val="18"/>
                <w:szCs w:val="18"/>
              </w:rPr>
              <w:t xml:space="preserve">women are largely engaged in production system. However, the productive inputs are collected from </w:t>
            </w:r>
            <w:r w:rsidRPr="006B2B20">
              <w:rPr>
                <w:rFonts w:eastAsia="Calibri" w:cstheme="minorHAnsi"/>
                <w:sz w:val="18"/>
                <w:szCs w:val="18"/>
              </w:rPr>
              <w:lastRenderedPageBreak/>
              <w:t>the mar</w:t>
            </w:r>
            <w:r>
              <w:rPr>
                <w:rFonts w:eastAsia="Calibri" w:cstheme="minorHAnsi"/>
                <w:sz w:val="18"/>
                <w:szCs w:val="18"/>
              </w:rPr>
              <w:t>k</w:t>
            </w:r>
            <w:r w:rsidRPr="006B2B20">
              <w:rPr>
                <w:rFonts w:eastAsia="Calibri" w:cstheme="minorHAnsi"/>
                <w:sz w:val="18"/>
                <w:szCs w:val="18"/>
              </w:rPr>
              <w:t>ets by the male members where the women ta</w:t>
            </w:r>
            <w:r>
              <w:rPr>
                <w:rFonts w:eastAsia="Calibri" w:cstheme="minorHAnsi"/>
                <w:sz w:val="18"/>
                <w:szCs w:val="18"/>
              </w:rPr>
              <w:t>k</w:t>
            </w:r>
            <w:r w:rsidRPr="006B2B20">
              <w:rPr>
                <w:rFonts w:eastAsia="Calibri" w:cstheme="minorHAnsi"/>
                <w:sz w:val="18"/>
                <w:szCs w:val="18"/>
              </w:rPr>
              <w:t>e the lead to maintain the production (specifically the Ditch and Dy</w:t>
            </w:r>
            <w:r>
              <w:rPr>
                <w:rFonts w:eastAsia="Calibri" w:cstheme="minorHAnsi"/>
                <w:sz w:val="18"/>
                <w:szCs w:val="18"/>
              </w:rPr>
              <w:t>k</w:t>
            </w:r>
            <w:r w:rsidRPr="006B2B20">
              <w:rPr>
                <w:rFonts w:eastAsia="Calibri" w:cstheme="minorHAnsi"/>
                <w:sz w:val="18"/>
                <w:szCs w:val="18"/>
              </w:rPr>
              <w:t>e interventions at the coastal belt). The wor</w:t>
            </w:r>
            <w:r>
              <w:rPr>
                <w:rFonts w:eastAsia="Calibri" w:cstheme="minorHAnsi"/>
                <w:sz w:val="18"/>
                <w:szCs w:val="18"/>
              </w:rPr>
              <w:t>k</w:t>
            </w:r>
            <w:r w:rsidRPr="006B2B20">
              <w:rPr>
                <w:rFonts w:eastAsia="Calibri" w:cstheme="minorHAnsi"/>
                <w:sz w:val="18"/>
                <w:szCs w:val="18"/>
              </w:rPr>
              <w:t>load of the women consequently has increased enormously; they are ta</w:t>
            </w:r>
            <w:r>
              <w:rPr>
                <w:rFonts w:eastAsia="Calibri" w:cstheme="minorHAnsi"/>
                <w:sz w:val="18"/>
                <w:szCs w:val="18"/>
              </w:rPr>
              <w:t>k</w:t>
            </w:r>
            <w:r w:rsidRPr="006B2B20">
              <w:rPr>
                <w:rFonts w:eastAsia="Calibri" w:cstheme="minorHAnsi"/>
                <w:sz w:val="18"/>
                <w:szCs w:val="18"/>
              </w:rPr>
              <w:t>ing the ris</w:t>
            </w:r>
            <w:r>
              <w:rPr>
                <w:rFonts w:eastAsia="Calibri" w:cstheme="minorHAnsi"/>
                <w:sz w:val="18"/>
                <w:szCs w:val="18"/>
              </w:rPr>
              <w:t>k</w:t>
            </w:r>
            <w:r w:rsidRPr="006B2B20">
              <w:rPr>
                <w:rFonts w:eastAsia="Calibri" w:cstheme="minorHAnsi"/>
                <w:sz w:val="18"/>
                <w:szCs w:val="18"/>
              </w:rPr>
              <w:t xml:space="preserve"> of getting into deep forest even in the rainy season. No wor</w:t>
            </w:r>
            <w:r>
              <w:rPr>
                <w:rFonts w:eastAsia="Calibri" w:cstheme="minorHAnsi"/>
                <w:sz w:val="18"/>
                <w:szCs w:val="18"/>
              </w:rPr>
              <w:t>k</w:t>
            </w:r>
            <w:r w:rsidRPr="006B2B20">
              <w:rPr>
                <w:rFonts w:eastAsia="Calibri" w:cstheme="minorHAnsi"/>
                <w:sz w:val="18"/>
                <w:szCs w:val="18"/>
              </w:rPr>
              <w:t xml:space="preserve"> load sharing effort was made. The CBACC-CF project needs to reassess and re-focus on gender implications of the local level interventions and create for ‘space’ for women in the decision-ma</w:t>
            </w:r>
            <w:r>
              <w:rPr>
                <w:rFonts w:eastAsia="Calibri" w:cstheme="minorHAnsi"/>
                <w:sz w:val="18"/>
                <w:szCs w:val="18"/>
              </w:rPr>
              <w:t>k</w:t>
            </w:r>
            <w:r w:rsidRPr="006B2B20">
              <w:rPr>
                <w:rFonts w:eastAsia="Calibri" w:cstheme="minorHAnsi"/>
                <w:sz w:val="18"/>
                <w:szCs w:val="18"/>
              </w:rPr>
              <w:t xml:space="preserve">ing. </w:t>
            </w:r>
          </w:p>
          <w:p w:rsidR="0061232B" w:rsidRPr="006B2B20" w:rsidRDefault="0061232B" w:rsidP="00E84BAD">
            <w:pPr>
              <w:pStyle w:val="Default"/>
              <w:jc w:val="both"/>
              <w:rPr>
                <w:rFonts w:asciiTheme="minorHAnsi" w:hAnsiTheme="minorHAnsi" w:cstheme="minorHAnsi"/>
                <w:b/>
                <w:bCs/>
                <w:sz w:val="18"/>
                <w:szCs w:val="18"/>
              </w:rPr>
            </w:pPr>
          </w:p>
        </w:tc>
      </w:tr>
      <w:tr w:rsidR="0061232B" w:rsidRPr="006B2B20" w:rsidTr="00E84BAD">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C6D9F1" w:themeFill="text2" w:themeFillTint="33"/>
          </w:tcPr>
          <w:p w:rsidR="0061232B" w:rsidRPr="006B2B20" w:rsidRDefault="0061232B" w:rsidP="00E84BAD">
            <w:pPr>
              <w:pStyle w:val="Default"/>
              <w:jc w:val="both"/>
              <w:rPr>
                <w:rFonts w:asciiTheme="minorHAnsi" w:hAnsiTheme="minorHAnsi" w:cstheme="minorHAnsi"/>
                <w:b/>
                <w:bCs/>
                <w:sz w:val="18"/>
                <w:szCs w:val="18"/>
              </w:rPr>
            </w:pPr>
            <w:r w:rsidRPr="006B2B20">
              <w:rPr>
                <w:rFonts w:asciiTheme="minorHAnsi" w:hAnsiTheme="minorHAnsi" w:cstheme="minorHAnsi"/>
                <w:b/>
                <w:bCs/>
                <w:sz w:val="18"/>
                <w:szCs w:val="18"/>
              </w:rPr>
              <w:t>Sustainability and potential for replication</w:t>
            </w:r>
          </w:p>
        </w:tc>
      </w:tr>
      <w:tr w:rsidR="0061232B" w:rsidRPr="006B2B20" w:rsidTr="00E84BAD">
        <w:trPr>
          <w:trHeight w:val="432"/>
        </w:trPr>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FFFFFF" w:themeFill="background1"/>
          </w:tcPr>
          <w:p w:rsidR="0061232B" w:rsidRPr="006B2B20" w:rsidRDefault="0061232B" w:rsidP="00E84BAD">
            <w:pPr>
              <w:spacing w:after="0" w:line="240" w:lineRule="auto"/>
              <w:jc w:val="both"/>
              <w:rPr>
                <w:rFonts w:cstheme="minorHAnsi"/>
                <w:spacing w:val="7"/>
                <w:sz w:val="18"/>
                <w:szCs w:val="18"/>
              </w:rPr>
            </w:pPr>
            <w:r w:rsidRPr="006B2B20">
              <w:rPr>
                <w:rFonts w:cstheme="minorHAnsi"/>
                <w:spacing w:val="4"/>
                <w:sz w:val="18"/>
                <w:szCs w:val="18"/>
              </w:rPr>
              <w:t>The recurrent income generation from continuous flow of resources has increased the adaptive capacity of the coastal communities to cope with climate change related shoc</w:t>
            </w:r>
            <w:r>
              <w:rPr>
                <w:rFonts w:cstheme="minorHAnsi"/>
                <w:spacing w:val="4"/>
                <w:sz w:val="18"/>
                <w:szCs w:val="18"/>
              </w:rPr>
              <w:t>k</w:t>
            </w:r>
            <w:r w:rsidRPr="006B2B20">
              <w:rPr>
                <w:rFonts w:cstheme="minorHAnsi"/>
                <w:spacing w:val="4"/>
                <w:sz w:val="18"/>
                <w:szCs w:val="18"/>
              </w:rPr>
              <w:t>s and disaster impact. The livelihood support is li</w:t>
            </w:r>
            <w:r>
              <w:rPr>
                <w:rFonts w:cstheme="minorHAnsi"/>
                <w:spacing w:val="4"/>
                <w:sz w:val="18"/>
                <w:szCs w:val="18"/>
              </w:rPr>
              <w:t>k</w:t>
            </w:r>
            <w:r w:rsidRPr="006B2B20">
              <w:rPr>
                <w:rFonts w:cstheme="minorHAnsi"/>
                <w:spacing w:val="4"/>
                <w:sz w:val="18"/>
                <w:szCs w:val="18"/>
              </w:rPr>
              <w:t xml:space="preserve">ely to sustain the </w:t>
            </w:r>
            <w:r>
              <w:rPr>
                <w:rFonts w:cstheme="minorHAnsi"/>
                <w:spacing w:val="4"/>
                <w:sz w:val="18"/>
                <w:szCs w:val="18"/>
              </w:rPr>
              <w:t>Forest, Fish and</w:t>
            </w:r>
            <w:r w:rsidRPr="006B2B20">
              <w:rPr>
                <w:rFonts w:cstheme="minorHAnsi"/>
                <w:spacing w:val="4"/>
                <w:sz w:val="18"/>
                <w:szCs w:val="18"/>
              </w:rPr>
              <w:t xml:space="preserve"> Fruit (Triple F) Model in any anticipated conditions induced by climate change. Additional measures, focussing on enhancing </w:t>
            </w:r>
            <w:r w:rsidRPr="006B2B20">
              <w:rPr>
                <w:rFonts w:cstheme="minorHAnsi"/>
                <w:spacing w:val="7"/>
                <w:sz w:val="18"/>
                <w:szCs w:val="18"/>
              </w:rPr>
              <w:t xml:space="preserve">management and technical capacities, </w:t>
            </w:r>
            <w:r w:rsidRPr="006B2B20">
              <w:rPr>
                <w:rFonts w:cstheme="minorHAnsi"/>
                <w:spacing w:val="4"/>
                <w:sz w:val="18"/>
                <w:szCs w:val="18"/>
              </w:rPr>
              <w:t>are necessary to ensure the sustainability of the project interventions.</w:t>
            </w:r>
          </w:p>
          <w:p w:rsidR="0061232B" w:rsidRPr="006B2B20" w:rsidRDefault="0061232B" w:rsidP="00E84BAD">
            <w:pPr>
              <w:spacing w:after="0" w:line="240" w:lineRule="auto"/>
              <w:jc w:val="both"/>
              <w:rPr>
                <w:rFonts w:cstheme="minorHAnsi"/>
                <w:spacing w:val="7"/>
                <w:sz w:val="18"/>
                <w:szCs w:val="18"/>
              </w:rPr>
            </w:pPr>
          </w:p>
          <w:p w:rsidR="0061232B" w:rsidRPr="006B2B20" w:rsidRDefault="0061232B" w:rsidP="00E84BAD">
            <w:pPr>
              <w:spacing w:after="0" w:line="240" w:lineRule="auto"/>
              <w:jc w:val="both"/>
              <w:rPr>
                <w:rFonts w:cstheme="minorHAnsi"/>
                <w:spacing w:val="5"/>
                <w:sz w:val="18"/>
                <w:szCs w:val="18"/>
              </w:rPr>
            </w:pPr>
            <w:r w:rsidRPr="006B2B20">
              <w:rPr>
                <w:rFonts w:cstheme="minorHAnsi"/>
                <w:spacing w:val="7"/>
                <w:sz w:val="18"/>
                <w:szCs w:val="18"/>
              </w:rPr>
              <w:t>In line with the principles of the UNDP Adaptation Policy Framewor</w:t>
            </w:r>
            <w:r>
              <w:rPr>
                <w:rFonts w:cstheme="minorHAnsi"/>
                <w:spacing w:val="7"/>
                <w:sz w:val="18"/>
                <w:szCs w:val="18"/>
              </w:rPr>
              <w:t>k</w:t>
            </w:r>
            <w:r w:rsidRPr="006B2B20">
              <w:rPr>
                <w:rFonts w:cstheme="minorHAnsi"/>
                <w:spacing w:val="7"/>
                <w:sz w:val="18"/>
                <w:szCs w:val="18"/>
              </w:rPr>
              <w:t xml:space="preserve">s </w:t>
            </w:r>
            <w:r w:rsidRPr="006B2B20">
              <w:rPr>
                <w:rFonts w:cstheme="minorHAnsi"/>
                <w:spacing w:val="9"/>
                <w:sz w:val="18"/>
                <w:szCs w:val="18"/>
              </w:rPr>
              <w:t xml:space="preserve">(APF) and NAPA priority profile the type, the Triple F Model contributes to </w:t>
            </w:r>
            <w:r w:rsidRPr="006B2B20">
              <w:rPr>
                <w:rFonts w:cstheme="minorHAnsi"/>
                <w:spacing w:val="6"/>
                <w:sz w:val="18"/>
                <w:szCs w:val="18"/>
              </w:rPr>
              <w:t>ongoing activities by the government and other donors who are actively wor</w:t>
            </w:r>
            <w:r>
              <w:rPr>
                <w:rFonts w:cstheme="minorHAnsi"/>
                <w:spacing w:val="6"/>
                <w:sz w:val="18"/>
                <w:szCs w:val="18"/>
              </w:rPr>
              <w:t>k</w:t>
            </w:r>
            <w:r w:rsidRPr="006B2B20">
              <w:rPr>
                <w:rFonts w:cstheme="minorHAnsi"/>
                <w:spacing w:val="6"/>
                <w:sz w:val="18"/>
                <w:szCs w:val="18"/>
              </w:rPr>
              <w:t>ing towards coastal development. Institutional</w:t>
            </w:r>
            <w:r>
              <w:rPr>
                <w:rFonts w:cstheme="minorHAnsi"/>
                <w:spacing w:val="6"/>
                <w:sz w:val="18"/>
                <w:szCs w:val="18"/>
              </w:rPr>
              <w:t xml:space="preserve"> </w:t>
            </w:r>
            <w:r w:rsidRPr="006B2B20">
              <w:rPr>
                <w:rFonts w:cstheme="minorHAnsi"/>
                <w:spacing w:val="6"/>
                <w:sz w:val="18"/>
                <w:szCs w:val="18"/>
              </w:rPr>
              <w:t>lin</w:t>
            </w:r>
            <w:r>
              <w:rPr>
                <w:rFonts w:cstheme="minorHAnsi"/>
                <w:spacing w:val="6"/>
                <w:sz w:val="18"/>
                <w:szCs w:val="18"/>
              </w:rPr>
              <w:t>k</w:t>
            </w:r>
            <w:r w:rsidRPr="006B2B20">
              <w:rPr>
                <w:rFonts w:cstheme="minorHAnsi"/>
                <w:spacing w:val="6"/>
                <w:sz w:val="18"/>
                <w:szCs w:val="18"/>
              </w:rPr>
              <w:t>ages are expected to continue to be strengthened through cross-functional community-based adaptation measures</w:t>
            </w:r>
            <w:r w:rsidRPr="006B2B20">
              <w:rPr>
                <w:rFonts w:cstheme="minorHAnsi"/>
                <w:spacing w:val="5"/>
                <w:sz w:val="18"/>
                <w:szCs w:val="18"/>
              </w:rPr>
              <w:t>, which in turn will enhance the sustainability of project outcomes.</w:t>
            </w:r>
          </w:p>
          <w:p w:rsidR="0061232B" w:rsidRPr="006B2B20" w:rsidRDefault="0061232B" w:rsidP="00E84BAD">
            <w:pPr>
              <w:spacing w:after="0" w:line="240" w:lineRule="auto"/>
              <w:jc w:val="both"/>
              <w:rPr>
                <w:rFonts w:cstheme="minorHAnsi"/>
                <w:spacing w:val="4"/>
                <w:sz w:val="18"/>
                <w:szCs w:val="18"/>
              </w:rPr>
            </w:pPr>
            <w:r w:rsidRPr="006B2B20">
              <w:rPr>
                <w:rFonts w:cstheme="minorHAnsi"/>
                <w:spacing w:val="5"/>
                <w:sz w:val="18"/>
                <w:szCs w:val="18"/>
              </w:rPr>
              <w:t>The capacity-building components of the project will empower sta</w:t>
            </w:r>
            <w:r>
              <w:rPr>
                <w:rFonts w:cstheme="minorHAnsi"/>
                <w:spacing w:val="5"/>
                <w:sz w:val="18"/>
                <w:szCs w:val="18"/>
              </w:rPr>
              <w:t>k</w:t>
            </w:r>
            <w:r w:rsidRPr="006B2B20">
              <w:rPr>
                <w:rFonts w:cstheme="minorHAnsi"/>
                <w:spacing w:val="5"/>
                <w:sz w:val="18"/>
                <w:szCs w:val="18"/>
              </w:rPr>
              <w:t xml:space="preserve">eholders at all levels </w:t>
            </w:r>
            <w:r w:rsidRPr="006B2B20">
              <w:rPr>
                <w:rFonts w:cstheme="minorHAnsi"/>
                <w:spacing w:val="4"/>
                <w:sz w:val="18"/>
                <w:szCs w:val="18"/>
              </w:rPr>
              <w:t xml:space="preserve">- </w:t>
            </w:r>
            <w:r w:rsidRPr="006B2B20">
              <w:rPr>
                <w:rFonts w:cstheme="minorHAnsi"/>
                <w:spacing w:val="6"/>
                <w:sz w:val="18"/>
                <w:szCs w:val="18"/>
              </w:rPr>
              <w:t xml:space="preserve">from community members, to district authorities, </w:t>
            </w:r>
            <w:r w:rsidRPr="006B2B20">
              <w:rPr>
                <w:rFonts w:cstheme="minorHAnsi"/>
                <w:spacing w:val="3"/>
                <w:sz w:val="18"/>
                <w:szCs w:val="18"/>
              </w:rPr>
              <w:t>to policyma</w:t>
            </w:r>
            <w:r>
              <w:rPr>
                <w:rFonts w:cstheme="minorHAnsi"/>
                <w:spacing w:val="3"/>
                <w:sz w:val="18"/>
                <w:szCs w:val="18"/>
              </w:rPr>
              <w:t>k</w:t>
            </w:r>
            <w:r w:rsidRPr="006B2B20">
              <w:rPr>
                <w:rFonts w:cstheme="minorHAnsi"/>
                <w:spacing w:val="3"/>
                <w:sz w:val="18"/>
                <w:szCs w:val="18"/>
              </w:rPr>
              <w:t xml:space="preserve">ers </w:t>
            </w:r>
            <w:r w:rsidRPr="006B2B20">
              <w:rPr>
                <w:rFonts w:cstheme="minorHAnsi"/>
                <w:spacing w:val="4"/>
                <w:sz w:val="18"/>
                <w:szCs w:val="18"/>
              </w:rPr>
              <w:t>- with a greater understanding of climate change ris</w:t>
            </w:r>
            <w:r>
              <w:rPr>
                <w:rFonts w:cstheme="minorHAnsi"/>
                <w:spacing w:val="4"/>
                <w:sz w:val="18"/>
                <w:szCs w:val="18"/>
              </w:rPr>
              <w:t>k</w:t>
            </w:r>
            <w:r w:rsidRPr="006B2B20">
              <w:rPr>
                <w:rFonts w:cstheme="minorHAnsi"/>
                <w:spacing w:val="4"/>
                <w:sz w:val="18"/>
                <w:szCs w:val="18"/>
              </w:rPr>
              <w:t>s, adaptation options, and enhanced adaptive capacity.</w:t>
            </w:r>
          </w:p>
          <w:p w:rsidR="0061232B" w:rsidRPr="006B2B20" w:rsidRDefault="0061232B" w:rsidP="00E84BAD">
            <w:pPr>
              <w:spacing w:after="0" w:line="240" w:lineRule="auto"/>
              <w:rPr>
                <w:rFonts w:cstheme="minorHAnsi"/>
                <w:b/>
                <w:spacing w:val="7"/>
                <w:sz w:val="18"/>
                <w:szCs w:val="18"/>
              </w:rPr>
            </w:pPr>
          </w:p>
          <w:p w:rsidR="0061232B" w:rsidRPr="006B2B20" w:rsidRDefault="0061232B" w:rsidP="00E84BAD">
            <w:pPr>
              <w:spacing w:after="0" w:line="240" w:lineRule="auto"/>
              <w:jc w:val="both"/>
              <w:rPr>
                <w:rFonts w:cstheme="minorHAnsi"/>
                <w:spacing w:val="1"/>
                <w:sz w:val="18"/>
                <w:szCs w:val="18"/>
              </w:rPr>
            </w:pPr>
            <w:r w:rsidRPr="006B2B20">
              <w:rPr>
                <w:rFonts w:cstheme="minorHAnsi"/>
                <w:spacing w:val="6"/>
                <w:sz w:val="18"/>
                <w:szCs w:val="18"/>
              </w:rPr>
              <w:t>The project will further generate adaptation benefits by facilitating the integration of climate ris</w:t>
            </w:r>
            <w:r>
              <w:rPr>
                <w:rFonts w:cstheme="minorHAnsi"/>
                <w:spacing w:val="6"/>
                <w:sz w:val="18"/>
                <w:szCs w:val="18"/>
              </w:rPr>
              <w:t>k</w:t>
            </w:r>
            <w:r w:rsidRPr="006B2B20">
              <w:rPr>
                <w:rFonts w:cstheme="minorHAnsi"/>
                <w:spacing w:val="6"/>
                <w:sz w:val="18"/>
                <w:szCs w:val="18"/>
              </w:rPr>
              <w:t xml:space="preserve"> into existing poverty reduction and </w:t>
            </w:r>
            <w:r w:rsidRPr="006B2B20">
              <w:rPr>
                <w:rFonts w:cstheme="minorHAnsi"/>
                <w:spacing w:val="4"/>
                <w:sz w:val="18"/>
                <w:szCs w:val="18"/>
              </w:rPr>
              <w:t xml:space="preserve">rural development strategies, especially as they pertain to coastal regions. Once the viability of the applied adaptation interventions is </w:t>
            </w:r>
            <w:r w:rsidRPr="006B2B20">
              <w:rPr>
                <w:rFonts w:cstheme="minorHAnsi"/>
                <w:spacing w:val="7"/>
                <w:sz w:val="18"/>
                <w:szCs w:val="18"/>
              </w:rPr>
              <w:t xml:space="preserve">proven and national and local adaptive capacity has increased, there will be further opportunities for up-scaling and replication in </w:t>
            </w:r>
            <w:r w:rsidRPr="006B2B20">
              <w:rPr>
                <w:rFonts w:cstheme="minorHAnsi"/>
                <w:spacing w:val="4"/>
                <w:sz w:val="18"/>
                <w:szCs w:val="18"/>
              </w:rPr>
              <w:t xml:space="preserve">other coastal sites exposed to climate-induced hazards. Learning and </w:t>
            </w:r>
            <w:r>
              <w:rPr>
                <w:rFonts w:cstheme="minorHAnsi"/>
                <w:spacing w:val="4"/>
                <w:sz w:val="18"/>
                <w:szCs w:val="18"/>
              </w:rPr>
              <w:t>k</w:t>
            </w:r>
            <w:r w:rsidRPr="006B2B20">
              <w:rPr>
                <w:rFonts w:cstheme="minorHAnsi"/>
                <w:spacing w:val="4"/>
                <w:sz w:val="18"/>
                <w:szCs w:val="18"/>
              </w:rPr>
              <w:t xml:space="preserve">nowledge-sharing is promoted through project activities, </w:t>
            </w:r>
            <w:r w:rsidRPr="006B2B20">
              <w:rPr>
                <w:rFonts w:cstheme="minorHAnsi"/>
                <w:spacing w:val="5"/>
                <w:sz w:val="18"/>
                <w:szCs w:val="18"/>
              </w:rPr>
              <w:t xml:space="preserve">including contributions to the Adaptation Learning Mechanism so that government ministries and other organizations are able to </w:t>
            </w:r>
            <w:r w:rsidRPr="006B2B20">
              <w:rPr>
                <w:rFonts w:cstheme="minorHAnsi"/>
                <w:spacing w:val="3"/>
                <w:sz w:val="18"/>
                <w:szCs w:val="18"/>
              </w:rPr>
              <w:t xml:space="preserve">access and leverage the </w:t>
            </w:r>
            <w:r>
              <w:rPr>
                <w:rFonts w:cstheme="minorHAnsi"/>
                <w:spacing w:val="3"/>
                <w:sz w:val="18"/>
                <w:szCs w:val="18"/>
              </w:rPr>
              <w:t>k</w:t>
            </w:r>
            <w:r w:rsidRPr="006B2B20">
              <w:rPr>
                <w:rFonts w:cstheme="minorHAnsi"/>
                <w:spacing w:val="3"/>
                <w:sz w:val="18"/>
                <w:szCs w:val="18"/>
              </w:rPr>
              <w:t xml:space="preserve">nowledge and resources developed through the CBACC-CF. National and international dialogue forums will </w:t>
            </w:r>
            <w:r w:rsidRPr="006B2B20">
              <w:rPr>
                <w:rFonts w:cstheme="minorHAnsi"/>
                <w:spacing w:val="5"/>
                <w:sz w:val="18"/>
                <w:szCs w:val="18"/>
              </w:rPr>
              <w:t xml:space="preserve">continue to provide opportunities for identifying similarly vulnerable areas within and outside of Bangladesh where a similar approach </w:t>
            </w:r>
            <w:r w:rsidRPr="006B2B20">
              <w:rPr>
                <w:rFonts w:cstheme="minorHAnsi"/>
                <w:spacing w:val="1"/>
                <w:sz w:val="18"/>
                <w:szCs w:val="18"/>
              </w:rPr>
              <w:t>may be suitable for use.</w:t>
            </w:r>
          </w:p>
          <w:p w:rsidR="0061232B" w:rsidRPr="006B2B20" w:rsidRDefault="0061232B" w:rsidP="00E84BAD">
            <w:pPr>
              <w:spacing w:after="0" w:line="240" w:lineRule="auto"/>
              <w:jc w:val="both"/>
              <w:rPr>
                <w:rFonts w:cstheme="minorHAnsi"/>
                <w:b/>
                <w:sz w:val="18"/>
                <w:szCs w:val="18"/>
              </w:rPr>
            </w:pPr>
          </w:p>
        </w:tc>
      </w:tr>
      <w:tr w:rsidR="0061232B" w:rsidRPr="006B2B20" w:rsidTr="00E84BAD">
        <w:trPr>
          <w:trHeight w:val="260"/>
        </w:trPr>
        <w:tc>
          <w:tcPr>
            <w:tcW w:w="1686" w:type="dxa"/>
            <w:vMerge w:val="restart"/>
            <w:shd w:val="clear" w:color="auto" w:fill="C6D9F1" w:themeFill="text2" w:themeFillTint="33"/>
          </w:tcPr>
          <w:p w:rsidR="0061232B" w:rsidRPr="006B2B20" w:rsidRDefault="0061232B" w:rsidP="00E84BAD">
            <w:pPr>
              <w:pStyle w:val="Default"/>
              <w:rPr>
                <w:rFonts w:asciiTheme="minorHAnsi" w:hAnsiTheme="minorHAnsi" w:cstheme="minorHAnsi"/>
                <w:color w:val="auto"/>
                <w:sz w:val="18"/>
                <w:szCs w:val="18"/>
              </w:rPr>
            </w:pPr>
            <w:r w:rsidRPr="006B2B20">
              <w:rPr>
                <w:rFonts w:asciiTheme="minorHAnsi" w:hAnsiTheme="minorHAnsi" w:cstheme="minorHAnsi"/>
                <w:color w:val="auto"/>
                <w:sz w:val="18"/>
                <w:szCs w:val="18"/>
              </w:rPr>
              <w:t>Project: Barrier Removal for Energy Standards &amp;Labelling (BRESL)</w:t>
            </w:r>
          </w:p>
          <w:p w:rsidR="0061232B" w:rsidRDefault="0061232B" w:rsidP="00E84BAD">
            <w:pPr>
              <w:spacing w:after="0" w:line="240" w:lineRule="auto"/>
              <w:rPr>
                <w:rFonts w:cstheme="minorHAnsi"/>
                <w:sz w:val="18"/>
                <w:szCs w:val="18"/>
              </w:rPr>
            </w:pPr>
          </w:p>
          <w:p w:rsidR="0061232B" w:rsidRPr="006B2B20" w:rsidRDefault="0061232B" w:rsidP="00E84BAD">
            <w:pPr>
              <w:spacing w:after="0" w:line="240" w:lineRule="auto"/>
              <w:rPr>
                <w:rFonts w:cstheme="minorHAnsi"/>
                <w:sz w:val="18"/>
                <w:szCs w:val="18"/>
              </w:rPr>
            </w:pPr>
            <w:r>
              <w:rPr>
                <w:rFonts w:cstheme="minorHAnsi"/>
                <w:sz w:val="18"/>
                <w:szCs w:val="18"/>
              </w:rPr>
              <w:t>Project Duration (2006-2013)</w:t>
            </w:r>
          </w:p>
          <w:p w:rsidR="0061232B" w:rsidRPr="006B2B20" w:rsidRDefault="0061232B" w:rsidP="00E84BAD">
            <w:pPr>
              <w:spacing w:after="0" w:line="240" w:lineRule="auto"/>
              <w:rPr>
                <w:rFonts w:cstheme="minorHAnsi"/>
                <w:sz w:val="18"/>
                <w:szCs w:val="18"/>
              </w:rPr>
            </w:pPr>
            <w:r w:rsidRPr="006B2B20">
              <w:rPr>
                <w:rFonts w:cstheme="minorHAnsi"/>
                <w:sz w:val="18"/>
                <w:szCs w:val="18"/>
              </w:rPr>
              <w:t>Project Start Date: July, 2010</w:t>
            </w:r>
          </w:p>
          <w:p w:rsidR="0061232B" w:rsidRPr="006B2B20" w:rsidRDefault="0061232B" w:rsidP="00E84BAD">
            <w:pPr>
              <w:spacing w:after="0" w:line="240" w:lineRule="auto"/>
              <w:rPr>
                <w:rFonts w:cstheme="minorHAnsi"/>
                <w:sz w:val="18"/>
                <w:szCs w:val="18"/>
              </w:rPr>
            </w:pPr>
            <w:r>
              <w:rPr>
                <w:rFonts w:cstheme="minorHAnsi"/>
                <w:sz w:val="18"/>
                <w:szCs w:val="18"/>
              </w:rPr>
              <w:t>Project End Date: June, 2015</w:t>
            </w:r>
          </w:p>
          <w:p w:rsidR="0061232B" w:rsidRPr="006B2B20" w:rsidRDefault="0061232B" w:rsidP="00E84BAD">
            <w:pPr>
              <w:spacing w:after="0" w:line="240" w:lineRule="auto"/>
              <w:rPr>
                <w:rFonts w:cstheme="minorHAnsi"/>
                <w:sz w:val="18"/>
                <w:szCs w:val="18"/>
              </w:rPr>
            </w:pPr>
          </w:p>
          <w:p w:rsidR="0061232B" w:rsidRPr="006B2B20" w:rsidRDefault="0061232B" w:rsidP="00E84BAD">
            <w:pPr>
              <w:spacing w:after="0" w:line="240" w:lineRule="auto"/>
              <w:rPr>
                <w:rFonts w:cstheme="minorHAnsi"/>
                <w:sz w:val="18"/>
                <w:szCs w:val="18"/>
              </w:rPr>
            </w:pPr>
            <w:r w:rsidRPr="006B2B20">
              <w:rPr>
                <w:rFonts w:cstheme="minorHAnsi"/>
                <w:sz w:val="18"/>
                <w:szCs w:val="18"/>
              </w:rPr>
              <w:t xml:space="preserve">Partners: GEF- Climate Change </w:t>
            </w:r>
            <w:r w:rsidRPr="006B2B20">
              <w:rPr>
                <w:rFonts w:cstheme="minorHAnsi"/>
                <w:sz w:val="18"/>
                <w:szCs w:val="18"/>
              </w:rPr>
              <w:lastRenderedPageBreak/>
              <w:t>Mitigation</w:t>
            </w:r>
          </w:p>
          <w:p w:rsidR="0061232B" w:rsidRPr="006B2B20" w:rsidRDefault="0061232B" w:rsidP="00E84BAD">
            <w:pPr>
              <w:spacing w:after="0" w:line="240" w:lineRule="auto"/>
              <w:rPr>
                <w:rFonts w:cstheme="minorHAnsi"/>
                <w:sz w:val="18"/>
                <w:szCs w:val="18"/>
              </w:rPr>
            </w:pPr>
          </w:p>
          <w:p w:rsidR="0061232B" w:rsidRPr="006B2B20" w:rsidRDefault="0061232B" w:rsidP="00E84BAD">
            <w:pPr>
              <w:spacing w:after="0" w:line="240" w:lineRule="auto"/>
              <w:rPr>
                <w:rFonts w:cstheme="minorHAnsi"/>
                <w:sz w:val="18"/>
                <w:szCs w:val="18"/>
              </w:rPr>
            </w:pPr>
            <w:r w:rsidRPr="006B2B20">
              <w:rPr>
                <w:rFonts w:cstheme="minorHAnsi"/>
                <w:sz w:val="18"/>
                <w:szCs w:val="18"/>
              </w:rPr>
              <w:t>Fund: 0.65 Million USD</w:t>
            </w:r>
          </w:p>
          <w:p w:rsidR="0061232B" w:rsidRPr="006B2B20" w:rsidRDefault="0061232B" w:rsidP="00E84BAD">
            <w:pPr>
              <w:spacing w:after="0" w:line="240" w:lineRule="auto"/>
              <w:rPr>
                <w:rFonts w:cstheme="minorHAnsi"/>
                <w:b/>
                <w:sz w:val="18"/>
                <w:szCs w:val="18"/>
              </w:rPr>
            </w:pPr>
          </w:p>
        </w:tc>
        <w:tc>
          <w:tcPr>
            <w:tcW w:w="11490" w:type="dxa"/>
            <w:shd w:val="clear" w:color="auto" w:fill="C6D9F1" w:themeFill="text2" w:themeFillTint="33"/>
          </w:tcPr>
          <w:p w:rsidR="0061232B" w:rsidRPr="006B2B20" w:rsidRDefault="0061232B" w:rsidP="00E84BAD">
            <w:pPr>
              <w:spacing w:after="0" w:line="240" w:lineRule="auto"/>
              <w:jc w:val="both"/>
              <w:rPr>
                <w:rFonts w:cstheme="minorHAnsi"/>
                <w:b/>
                <w:sz w:val="18"/>
                <w:szCs w:val="18"/>
              </w:rPr>
            </w:pPr>
            <w:r w:rsidRPr="006B2B20">
              <w:rPr>
                <w:rFonts w:cstheme="minorHAnsi"/>
                <w:b/>
                <w:sz w:val="18"/>
                <w:szCs w:val="18"/>
              </w:rPr>
              <w:lastRenderedPageBreak/>
              <w:t>Relevance</w:t>
            </w:r>
          </w:p>
        </w:tc>
      </w:tr>
      <w:tr w:rsidR="0061232B" w:rsidRPr="006B2B20" w:rsidTr="00E84BAD">
        <w:trPr>
          <w:trHeight w:val="432"/>
        </w:trPr>
        <w:tc>
          <w:tcPr>
            <w:tcW w:w="1686" w:type="dxa"/>
            <w:vMerge/>
            <w:shd w:val="clear" w:color="auto" w:fill="C6D9F1" w:themeFill="text2" w:themeFillTint="33"/>
          </w:tcPr>
          <w:p w:rsidR="0061232B" w:rsidRPr="006B2B20" w:rsidRDefault="0061232B" w:rsidP="00E84BAD">
            <w:pPr>
              <w:pStyle w:val="Default"/>
              <w:rPr>
                <w:rFonts w:asciiTheme="minorHAnsi" w:hAnsiTheme="minorHAnsi" w:cstheme="minorHAnsi"/>
                <w:b/>
                <w:color w:val="auto"/>
                <w:sz w:val="18"/>
                <w:szCs w:val="18"/>
              </w:rPr>
            </w:pPr>
          </w:p>
        </w:tc>
        <w:tc>
          <w:tcPr>
            <w:tcW w:w="11490" w:type="dxa"/>
            <w:shd w:val="clear" w:color="auto" w:fill="FFFFFF" w:themeFill="background1"/>
          </w:tcPr>
          <w:p w:rsidR="0061232B" w:rsidRPr="006B2B20" w:rsidRDefault="0061232B" w:rsidP="00E84BAD">
            <w:pPr>
              <w:spacing w:after="0" w:line="240" w:lineRule="auto"/>
              <w:jc w:val="both"/>
              <w:rPr>
                <w:rFonts w:cstheme="minorHAnsi"/>
                <w:sz w:val="18"/>
                <w:szCs w:val="18"/>
              </w:rPr>
            </w:pPr>
            <w:r w:rsidRPr="006B2B20">
              <w:rPr>
                <w:rFonts w:cstheme="minorHAnsi"/>
                <w:sz w:val="18"/>
                <w:szCs w:val="18"/>
              </w:rPr>
              <w:t>The project theme, i.e. appliance standards, is extremely relevant, and part of the government policy at the time of project initiation as well as today. Before the project in 2006, no minimum energy performance standards existed in Bangladesh, and labels existed for residential fans, incandescent light bulbs and tube lamps only. Since the National Energy Policy in 1996, the Bangladesh Standards and Testing Institute had responsibility for the implementation of standards and labels. 1 m USD of GEF funds was topped up be 2 m USD of GoB funds which indicates that the project was also of high relevance for the government. However, the choice of the appliances and the long implementation time is raising doubts about the relevance of the specific standards and labels.</w:t>
            </w:r>
          </w:p>
          <w:p w:rsidR="0061232B" w:rsidRPr="006B2B20" w:rsidRDefault="0061232B" w:rsidP="00E84BAD">
            <w:pPr>
              <w:spacing w:after="0" w:line="240" w:lineRule="auto"/>
              <w:jc w:val="both"/>
              <w:rPr>
                <w:rFonts w:cstheme="minorHAnsi"/>
                <w:b/>
                <w:sz w:val="18"/>
                <w:szCs w:val="18"/>
              </w:rPr>
            </w:pPr>
          </w:p>
        </w:tc>
      </w:tr>
      <w:tr w:rsidR="0061232B" w:rsidRPr="006B2B20" w:rsidTr="00E84BAD">
        <w:trPr>
          <w:trHeight w:val="278"/>
        </w:trPr>
        <w:tc>
          <w:tcPr>
            <w:tcW w:w="1686" w:type="dxa"/>
            <w:vMerge/>
            <w:shd w:val="clear" w:color="auto" w:fill="C6D9F1" w:themeFill="text2" w:themeFillTint="33"/>
          </w:tcPr>
          <w:p w:rsidR="0061232B" w:rsidRPr="006B2B20" w:rsidRDefault="0061232B" w:rsidP="00E84BAD">
            <w:pPr>
              <w:pStyle w:val="Default"/>
              <w:rPr>
                <w:rFonts w:asciiTheme="minorHAnsi" w:hAnsiTheme="minorHAnsi" w:cstheme="minorHAnsi"/>
                <w:b/>
                <w:color w:val="auto"/>
                <w:sz w:val="18"/>
                <w:szCs w:val="18"/>
              </w:rPr>
            </w:pPr>
          </w:p>
        </w:tc>
        <w:tc>
          <w:tcPr>
            <w:tcW w:w="11490" w:type="dxa"/>
            <w:shd w:val="clear" w:color="auto" w:fill="C6D9F1" w:themeFill="text2" w:themeFillTint="33"/>
          </w:tcPr>
          <w:p w:rsidR="0061232B" w:rsidRPr="006B2B20" w:rsidRDefault="0061232B" w:rsidP="00E84BAD">
            <w:pPr>
              <w:spacing w:after="0" w:line="240" w:lineRule="auto"/>
              <w:jc w:val="both"/>
              <w:rPr>
                <w:rFonts w:cstheme="minorHAnsi"/>
                <w:b/>
                <w:sz w:val="18"/>
                <w:szCs w:val="18"/>
              </w:rPr>
            </w:pPr>
            <w:r w:rsidRPr="006B2B20">
              <w:rPr>
                <w:rFonts w:cstheme="minorHAnsi"/>
                <w:b/>
                <w:sz w:val="18"/>
                <w:szCs w:val="18"/>
              </w:rPr>
              <w:t>Effectiveness</w:t>
            </w:r>
          </w:p>
        </w:tc>
      </w:tr>
      <w:tr w:rsidR="0061232B" w:rsidRPr="006B2B20" w:rsidTr="00E84BAD">
        <w:trPr>
          <w:trHeight w:val="432"/>
        </w:trPr>
        <w:tc>
          <w:tcPr>
            <w:tcW w:w="1686" w:type="dxa"/>
            <w:vMerge/>
            <w:shd w:val="clear" w:color="auto" w:fill="C6D9F1" w:themeFill="text2" w:themeFillTint="33"/>
          </w:tcPr>
          <w:p w:rsidR="0061232B" w:rsidRPr="006B2B20" w:rsidRDefault="0061232B" w:rsidP="00E84BAD">
            <w:pPr>
              <w:pStyle w:val="Default"/>
              <w:rPr>
                <w:rFonts w:asciiTheme="minorHAnsi" w:hAnsiTheme="minorHAnsi" w:cstheme="minorHAnsi"/>
                <w:b/>
                <w:color w:val="auto"/>
                <w:sz w:val="18"/>
                <w:szCs w:val="18"/>
              </w:rPr>
            </w:pPr>
          </w:p>
        </w:tc>
        <w:tc>
          <w:tcPr>
            <w:tcW w:w="11490" w:type="dxa"/>
            <w:shd w:val="clear" w:color="auto" w:fill="FFFFFF" w:themeFill="background1"/>
          </w:tcPr>
          <w:p w:rsidR="0061232B" w:rsidRPr="006B2B20" w:rsidRDefault="0061232B" w:rsidP="00E84BAD">
            <w:pPr>
              <w:spacing w:after="0" w:line="240" w:lineRule="auto"/>
              <w:jc w:val="both"/>
              <w:rPr>
                <w:rFonts w:cstheme="minorHAnsi"/>
                <w:sz w:val="18"/>
                <w:szCs w:val="18"/>
              </w:rPr>
            </w:pPr>
            <w:r w:rsidRPr="006B2B20">
              <w:rPr>
                <w:rFonts w:cstheme="minorHAnsi"/>
                <w:sz w:val="18"/>
                <w:szCs w:val="18"/>
              </w:rPr>
              <w:t>62 manufactures have updated their product lines and met the new standards. In terms of changing consumer behaviour the project has not yet been very effective. Public demand for efficient appliances seems low but slowly rising (e.gen 2014). The supervision and monitoring of the standards is unclear, currently the standards are voluntary only (although the EE&amp;C Master plan provides for stepwise introduction of mandatory standards).  Assessment is limited by lac</w:t>
            </w:r>
            <w:r>
              <w:rPr>
                <w:rFonts w:cstheme="minorHAnsi"/>
                <w:sz w:val="18"/>
                <w:szCs w:val="18"/>
              </w:rPr>
              <w:t>k</w:t>
            </w:r>
            <w:r w:rsidRPr="006B2B20">
              <w:rPr>
                <w:rFonts w:cstheme="minorHAnsi"/>
                <w:sz w:val="18"/>
                <w:szCs w:val="18"/>
              </w:rPr>
              <w:t xml:space="preserve"> of MTR or TE. </w:t>
            </w:r>
          </w:p>
          <w:p w:rsidR="0061232B" w:rsidRPr="006B2B20" w:rsidRDefault="0061232B" w:rsidP="00E84BAD">
            <w:pPr>
              <w:spacing w:after="0" w:line="240" w:lineRule="auto"/>
              <w:jc w:val="both"/>
              <w:rPr>
                <w:rFonts w:cstheme="minorHAnsi"/>
                <w:sz w:val="18"/>
                <w:szCs w:val="18"/>
              </w:rPr>
            </w:pPr>
          </w:p>
        </w:tc>
      </w:tr>
      <w:tr w:rsidR="0061232B" w:rsidRPr="006B2B20" w:rsidTr="00E84BAD">
        <w:trPr>
          <w:trHeight w:val="432"/>
        </w:trPr>
        <w:tc>
          <w:tcPr>
            <w:tcW w:w="1686" w:type="dxa"/>
            <w:vMerge/>
            <w:shd w:val="clear" w:color="auto" w:fill="C6D9F1" w:themeFill="text2" w:themeFillTint="33"/>
          </w:tcPr>
          <w:p w:rsidR="0061232B" w:rsidRPr="006B2B20" w:rsidRDefault="0061232B" w:rsidP="00E84BAD">
            <w:pPr>
              <w:pStyle w:val="Default"/>
              <w:rPr>
                <w:rFonts w:asciiTheme="minorHAnsi" w:hAnsiTheme="minorHAnsi" w:cstheme="minorHAnsi"/>
                <w:b/>
                <w:color w:val="auto"/>
                <w:sz w:val="18"/>
                <w:szCs w:val="18"/>
              </w:rPr>
            </w:pPr>
          </w:p>
        </w:tc>
        <w:tc>
          <w:tcPr>
            <w:tcW w:w="11490" w:type="dxa"/>
            <w:shd w:val="clear" w:color="auto" w:fill="C6D9F1" w:themeFill="text2" w:themeFillTint="33"/>
          </w:tcPr>
          <w:p w:rsidR="0061232B" w:rsidRPr="006B2B20" w:rsidRDefault="0061232B" w:rsidP="00E84BAD">
            <w:pPr>
              <w:pStyle w:val="Default"/>
              <w:jc w:val="both"/>
              <w:rPr>
                <w:rFonts w:asciiTheme="minorHAnsi" w:hAnsiTheme="minorHAnsi" w:cstheme="minorHAnsi"/>
                <w:b/>
                <w:bCs/>
                <w:sz w:val="18"/>
                <w:szCs w:val="18"/>
              </w:rPr>
            </w:pPr>
            <w:r w:rsidRPr="006B2B20">
              <w:rPr>
                <w:rFonts w:asciiTheme="minorHAnsi" w:hAnsiTheme="minorHAnsi" w:cstheme="minorHAnsi"/>
                <w:b/>
                <w:bCs/>
                <w:sz w:val="18"/>
                <w:szCs w:val="18"/>
              </w:rPr>
              <w:t>Efficiency</w:t>
            </w:r>
          </w:p>
        </w:tc>
      </w:tr>
      <w:tr w:rsidR="0061232B" w:rsidRPr="006B2B20" w:rsidTr="00E84BAD">
        <w:trPr>
          <w:trHeight w:val="432"/>
        </w:trPr>
        <w:tc>
          <w:tcPr>
            <w:tcW w:w="1686" w:type="dxa"/>
            <w:vMerge/>
            <w:shd w:val="clear" w:color="auto" w:fill="C6D9F1" w:themeFill="text2" w:themeFillTint="33"/>
          </w:tcPr>
          <w:p w:rsidR="0061232B" w:rsidRPr="006B2B20" w:rsidRDefault="0061232B" w:rsidP="00E84BAD">
            <w:pPr>
              <w:pStyle w:val="Default"/>
              <w:rPr>
                <w:rFonts w:asciiTheme="minorHAnsi" w:hAnsiTheme="minorHAnsi" w:cstheme="minorHAnsi"/>
                <w:b/>
                <w:color w:val="auto"/>
                <w:sz w:val="18"/>
                <w:szCs w:val="18"/>
              </w:rPr>
            </w:pPr>
          </w:p>
        </w:tc>
        <w:tc>
          <w:tcPr>
            <w:tcW w:w="11490" w:type="dxa"/>
            <w:shd w:val="clear" w:color="auto" w:fill="FFFFFF" w:themeFill="background1"/>
          </w:tcPr>
          <w:p w:rsidR="0061232B" w:rsidRPr="006B2B20" w:rsidRDefault="0061232B" w:rsidP="00E84BAD">
            <w:pPr>
              <w:spacing w:after="0" w:line="240" w:lineRule="auto"/>
              <w:jc w:val="both"/>
              <w:rPr>
                <w:rFonts w:cstheme="minorHAnsi"/>
                <w:color w:val="000000"/>
                <w:sz w:val="18"/>
                <w:szCs w:val="18"/>
              </w:rPr>
            </w:pPr>
            <w:r w:rsidRPr="006B2B20">
              <w:rPr>
                <w:rFonts w:cstheme="minorHAnsi"/>
                <w:color w:val="000000"/>
                <w:sz w:val="18"/>
                <w:szCs w:val="18"/>
              </w:rPr>
              <w:t>BRESL Project was supposed to start in 2009, but for finalization of TPP (approval), Administrative order of each initiation and hiring of Project Staff too</w:t>
            </w:r>
            <w:r>
              <w:rPr>
                <w:rFonts w:cstheme="minorHAnsi"/>
                <w:color w:val="000000"/>
                <w:sz w:val="18"/>
                <w:szCs w:val="18"/>
              </w:rPr>
              <w:t>k</w:t>
            </w:r>
            <w:r w:rsidRPr="006B2B20">
              <w:rPr>
                <w:rFonts w:cstheme="minorHAnsi"/>
                <w:color w:val="000000"/>
                <w:sz w:val="18"/>
                <w:szCs w:val="18"/>
              </w:rPr>
              <w:t xml:space="preserve"> almost 1 year. Therefore, project activities have been started from July 2010 by nominating one National Project Director (NPD) from BSTI under Ministry of Industries (MoI). Overall costs of the projects in Bangladesh 3 million USD.</w:t>
            </w:r>
          </w:p>
          <w:p w:rsidR="0061232B" w:rsidRPr="006B2B20" w:rsidRDefault="0061232B" w:rsidP="00E84BAD">
            <w:pPr>
              <w:spacing w:after="0" w:line="240" w:lineRule="auto"/>
              <w:jc w:val="both"/>
              <w:rPr>
                <w:rFonts w:cstheme="minorHAnsi"/>
                <w:sz w:val="18"/>
                <w:szCs w:val="18"/>
              </w:rPr>
            </w:pPr>
          </w:p>
        </w:tc>
      </w:tr>
      <w:tr w:rsidR="0061232B" w:rsidRPr="006B2B20" w:rsidTr="00E84BAD">
        <w:trPr>
          <w:trHeight w:val="323"/>
        </w:trPr>
        <w:tc>
          <w:tcPr>
            <w:tcW w:w="1686" w:type="dxa"/>
            <w:vMerge/>
            <w:shd w:val="clear" w:color="auto" w:fill="C6D9F1" w:themeFill="text2" w:themeFillTint="33"/>
          </w:tcPr>
          <w:p w:rsidR="0061232B" w:rsidRPr="006B2B20" w:rsidRDefault="0061232B" w:rsidP="00E84BAD">
            <w:pPr>
              <w:pStyle w:val="Default"/>
              <w:rPr>
                <w:rFonts w:asciiTheme="minorHAnsi" w:hAnsiTheme="minorHAnsi" w:cstheme="minorHAnsi"/>
                <w:b/>
                <w:color w:val="auto"/>
                <w:sz w:val="18"/>
                <w:szCs w:val="18"/>
              </w:rPr>
            </w:pPr>
          </w:p>
        </w:tc>
        <w:tc>
          <w:tcPr>
            <w:tcW w:w="11490" w:type="dxa"/>
            <w:shd w:val="clear" w:color="auto" w:fill="C6D9F1" w:themeFill="text2" w:themeFillTint="33"/>
          </w:tcPr>
          <w:p w:rsidR="0061232B" w:rsidRPr="006B2B20" w:rsidRDefault="0061232B" w:rsidP="00E84BAD">
            <w:pPr>
              <w:pStyle w:val="Default"/>
              <w:jc w:val="both"/>
              <w:rPr>
                <w:rFonts w:asciiTheme="minorHAnsi" w:hAnsiTheme="minorHAnsi" w:cstheme="minorHAnsi"/>
                <w:b/>
                <w:bCs/>
                <w:sz w:val="18"/>
                <w:szCs w:val="18"/>
              </w:rPr>
            </w:pPr>
            <w:r w:rsidRPr="006B2B20">
              <w:rPr>
                <w:rFonts w:asciiTheme="minorHAnsi" w:hAnsiTheme="minorHAnsi" w:cstheme="minorHAnsi"/>
                <w:b/>
                <w:bCs/>
                <w:sz w:val="18"/>
                <w:szCs w:val="18"/>
              </w:rPr>
              <w:t>Cross-cutting themes (gender and other related perspectives)</w:t>
            </w:r>
          </w:p>
        </w:tc>
      </w:tr>
      <w:tr w:rsidR="0061232B" w:rsidRPr="006B2B20" w:rsidTr="00E84BAD">
        <w:trPr>
          <w:trHeight w:val="432"/>
        </w:trPr>
        <w:tc>
          <w:tcPr>
            <w:tcW w:w="1686" w:type="dxa"/>
            <w:vMerge/>
            <w:shd w:val="clear" w:color="auto" w:fill="C6D9F1" w:themeFill="text2" w:themeFillTint="33"/>
          </w:tcPr>
          <w:p w:rsidR="0061232B" w:rsidRPr="006B2B20" w:rsidRDefault="0061232B" w:rsidP="00E84BAD">
            <w:pPr>
              <w:pStyle w:val="Default"/>
              <w:rPr>
                <w:rFonts w:asciiTheme="minorHAnsi" w:hAnsiTheme="minorHAnsi" w:cstheme="minorHAnsi"/>
                <w:b/>
                <w:color w:val="auto"/>
                <w:sz w:val="18"/>
                <w:szCs w:val="18"/>
              </w:rPr>
            </w:pPr>
          </w:p>
        </w:tc>
        <w:tc>
          <w:tcPr>
            <w:tcW w:w="11490" w:type="dxa"/>
            <w:shd w:val="clear" w:color="auto" w:fill="FFFFFF" w:themeFill="background1"/>
          </w:tcPr>
          <w:p w:rsidR="0061232B" w:rsidRPr="006B2B20" w:rsidRDefault="0061232B" w:rsidP="00E84BAD">
            <w:pPr>
              <w:spacing w:after="0" w:line="240" w:lineRule="auto"/>
              <w:jc w:val="both"/>
              <w:rPr>
                <w:rFonts w:cstheme="minorHAnsi"/>
                <w:color w:val="000000"/>
                <w:sz w:val="18"/>
                <w:szCs w:val="18"/>
              </w:rPr>
            </w:pPr>
            <w:r w:rsidRPr="006B2B20">
              <w:rPr>
                <w:rFonts w:cstheme="minorHAnsi"/>
                <w:color w:val="000000"/>
                <w:sz w:val="18"/>
                <w:szCs w:val="18"/>
              </w:rPr>
              <w:t>Gender or poor population groups were not explicit dimensions in this project.</w:t>
            </w:r>
          </w:p>
          <w:p w:rsidR="0061232B" w:rsidRPr="006B2B20" w:rsidRDefault="0061232B" w:rsidP="00E84BAD">
            <w:pPr>
              <w:spacing w:after="0" w:line="240" w:lineRule="auto"/>
              <w:jc w:val="both"/>
              <w:rPr>
                <w:rFonts w:cstheme="minorHAnsi"/>
                <w:sz w:val="18"/>
                <w:szCs w:val="18"/>
              </w:rPr>
            </w:pPr>
          </w:p>
        </w:tc>
      </w:tr>
      <w:tr w:rsidR="0061232B" w:rsidRPr="006B2B20" w:rsidTr="00E84BAD">
        <w:trPr>
          <w:trHeight w:val="278"/>
        </w:trPr>
        <w:tc>
          <w:tcPr>
            <w:tcW w:w="1686" w:type="dxa"/>
            <w:vMerge/>
            <w:shd w:val="clear" w:color="auto" w:fill="C6D9F1" w:themeFill="text2" w:themeFillTint="33"/>
          </w:tcPr>
          <w:p w:rsidR="0061232B" w:rsidRPr="006B2B20" w:rsidRDefault="0061232B" w:rsidP="00E84BAD">
            <w:pPr>
              <w:pStyle w:val="Default"/>
              <w:rPr>
                <w:rFonts w:asciiTheme="minorHAnsi" w:hAnsiTheme="minorHAnsi" w:cstheme="minorHAnsi"/>
                <w:b/>
                <w:color w:val="auto"/>
                <w:sz w:val="18"/>
                <w:szCs w:val="18"/>
              </w:rPr>
            </w:pPr>
          </w:p>
        </w:tc>
        <w:tc>
          <w:tcPr>
            <w:tcW w:w="11490" w:type="dxa"/>
            <w:shd w:val="clear" w:color="auto" w:fill="C6D9F1" w:themeFill="text2" w:themeFillTint="33"/>
          </w:tcPr>
          <w:p w:rsidR="0061232B" w:rsidRPr="006B2B20" w:rsidRDefault="0061232B" w:rsidP="00E84BAD">
            <w:pPr>
              <w:pStyle w:val="Default"/>
              <w:jc w:val="both"/>
              <w:rPr>
                <w:rFonts w:asciiTheme="minorHAnsi" w:hAnsiTheme="minorHAnsi" w:cstheme="minorHAnsi"/>
                <w:b/>
                <w:bCs/>
                <w:sz w:val="18"/>
                <w:szCs w:val="18"/>
              </w:rPr>
            </w:pPr>
            <w:r w:rsidRPr="006B2B20">
              <w:rPr>
                <w:rFonts w:asciiTheme="minorHAnsi" w:hAnsiTheme="minorHAnsi" w:cstheme="minorHAnsi"/>
                <w:b/>
                <w:bCs/>
                <w:sz w:val="18"/>
                <w:szCs w:val="18"/>
              </w:rPr>
              <w:t>Sustainability and potential for replication</w:t>
            </w:r>
          </w:p>
        </w:tc>
      </w:tr>
      <w:tr w:rsidR="0061232B" w:rsidRPr="006B2B20" w:rsidTr="00E84BAD">
        <w:trPr>
          <w:trHeight w:val="653"/>
        </w:trPr>
        <w:tc>
          <w:tcPr>
            <w:tcW w:w="1686" w:type="dxa"/>
            <w:vMerge/>
            <w:shd w:val="clear" w:color="auto" w:fill="C6D9F1" w:themeFill="text2" w:themeFillTint="33"/>
          </w:tcPr>
          <w:p w:rsidR="0061232B" w:rsidRPr="006B2B20" w:rsidRDefault="0061232B" w:rsidP="00E84BAD">
            <w:pPr>
              <w:pStyle w:val="Default"/>
              <w:rPr>
                <w:rFonts w:asciiTheme="minorHAnsi" w:hAnsiTheme="minorHAnsi" w:cstheme="minorHAnsi"/>
                <w:b/>
                <w:color w:val="auto"/>
                <w:sz w:val="18"/>
                <w:szCs w:val="18"/>
              </w:rPr>
            </w:pPr>
          </w:p>
        </w:tc>
        <w:tc>
          <w:tcPr>
            <w:tcW w:w="11490" w:type="dxa"/>
            <w:shd w:val="clear" w:color="auto" w:fill="FFFFFF" w:themeFill="background1"/>
          </w:tcPr>
          <w:p w:rsidR="0061232B" w:rsidRPr="006B2B20" w:rsidRDefault="0061232B" w:rsidP="00E84BAD">
            <w:pPr>
              <w:spacing w:after="0" w:line="240" w:lineRule="auto"/>
              <w:jc w:val="both"/>
              <w:rPr>
                <w:rFonts w:cstheme="minorHAnsi"/>
                <w:color w:val="000000"/>
                <w:sz w:val="18"/>
                <w:szCs w:val="18"/>
              </w:rPr>
            </w:pPr>
            <w:r w:rsidRPr="006B2B20">
              <w:rPr>
                <w:rFonts w:cstheme="minorHAnsi"/>
                <w:color w:val="000000"/>
                <w:sz w:val="18"/>
                <w:szCs w:val="18"/>
              </w:rPr>
              <w:t xml:space="preserve">The standards have found entry into the EE&amp;C Master plan (March 2015). While they are not mandatory at this stage, they are scheduled to become mandatory over time. Replication in the sense of widening the scope to more appliances and other areas of energy efficiency is possible and recommendable.  Review and tightening of standards needs to be ensured and institutionalized between SREDA and BSTI. </w:t>
            </w:r>
          </w:p>
          <w:p w:rsidR="0061232B" w:rsidRPr="006B2B20" w:rsidRDefault="0061232B" w:rsidP="00E84BAD">
            <w:pPr>
              <w:spacing w:after="0" w:line="240" w:lineRule="auto"/>
              <w:jc w:val="both"/>
              <w:rPr>
                <w:rFonts w:cstheme="minorHAnsi"/>
                <w:sz w:val="18"/>
                <w:szCs w:val="18"/>
              </w:rPr>
            </w:pPr>
          </w:p>
        </w:tc>
      </w:tr>
      <w:tr w:rsidR="0061232B" w:rsidRPr="006B2B20" w:rsidTr="00E84BAD">
        <w:trPr>
          <w:trHeight w:val="287"/>
        </w:trPr>
        <w:tc>
          <w:tcPr>
            <w:tcW w:w="1686" w:type="dxa"/>
            <w:vMerge w:val="restart"/>
            <w:shd w:val="clear" w:color="auto" w:fill="C6D9F1" w:themeFill="text2" w:themeFillTint="33"/>
          </w:tcPr>
          <w:p w:rsidR="0061232B" w:rsidRPr="006B2B20" w:rsidRDefault="0061232B" w:rsidP="00E84BAD">
            <w:pPr>
              <w:spacing w:after="0" w:line="240" w:lineRule="auto"/>
              <w:rPr>
                <w:rFonts w:cstheme="minorHAnsi"/>
                <w:sz w:val="18"/>
                <w:szCs w:val="18"/>
              </w:rPr>
            </w:pPr>
            <w:r w:rsidRPr="006B2B20">
              <w:rPr>
                <w:rFonts w:cstheme="minorHAnsi"/>
                <w:sz w:val="18"/>
                <w:szCs w:val="18"/>
              </w:rPr>
              <w:t xml:space="preserve">Project: Improving </w:t>
            </w:r>
            <w:r>
              <w:rPr>
                <w:rFonts w:cstheme="minorHAnsi"/>
                <w:sz w:val="18"/>
                <w:szCs w:val="18"/>
              </w:rPr>
              <w:t>K</w:t>
            </w:r>
            <w:r w:rsidRPr="006B2B20">
              <w:rPr>
                <w:rFonts w:cstheme="minorHAnsi"/>
                <w:sz w:val="18"/>
                <w:szCs w:val="18"/>
              </w:rPr>
              <w:t>iln Efficiency in the Bric</w:t>
            </w:r>
            <w:r>
              <w:rPr>
                <w:rFonts w:cstheme="minorHAnsi"/>
                <w:sz w:val="18"/>
                <w:szCs w:val="18"/>
              </w:rPr>
              <w:t>k</w:t>
            </w:r>
            <w:r w:rsidRPr="006B2B20">
              <w:rPr>
                <w:rFonts w:cstheme="minorHAnsi"/>
                <w:sz w:val="18"/>
                <w:szCs w:val="18"/>
              </w:rPr>
              <w:t xml:space="preserve"> Ma</w:t>
            </w:r>
            <w:r>
              <w:rPr>
                <w:rFonts w:cstheme="minorHAnsi"/>
                <w:sz w:val="18"/>
                <w:szCs w:val="18"/>
              </w:rPr>
              <w:t>k</w:t>
            </w:r>
            <w:r w:rsidRPr="006B2B20">
              <w:rPr>
                <w:rFonts w:cstheme="minorHAnsi"/>
                <w:sz w:val="18"/>
                <w:szCs w:val="18"/>
              </w:rPr>
              <w:t>ing Industry (I</w:t>
            </w:r>
            <w:r>
              <w:rPr>
                <w:rFonts w:cstheme="minorHAnsi"/>
                <w:sz w:val="18"/>
                <w:szCs w:val="18"/>
              </w:rPr>
              <w:t>K</w:t>
            </w:r>
            <w:r w:rsidRPr="006B2B20">
              <w:rPr>
                <w:rFonts w:cstheme="minorHAnsi"/>
                <w:sz w:val="18"/>
                <w:szCs w:val="18"/>
              </w:rPr>
              <w:t>EBMI)</w:t>
            </w:r>
          </w:p>
          <w:p w:rsidR="0061232B" w:rsidRPr="006B2B20" w:rsidRDefault="0061232B" w:rsidP="00E84BAD">
            <w:pPr>
              <w:spacing w:after="0" w:line="240" w:lineRule="auto"/>
              <w:rPr>
                <w:rFonts w:cstheme="minorHAnsi"/>
                <w:sz w:val="18"/>
                <w:szCs w:val="18"/>
              </w:rPr>
            </w:pPr>
          </w:p>
          <w:p w:rsidR="0061232B" w:rsidRPr="006B2B20" w:rsidRDefault="0061232B" w:rsidP="00E84BAD">
            <w:pPr>
              <w:spacing w:after="0" w:line="240" w:lineRule="auto"/>
              <w:rPr>
                <w:rFonts w:cstheme="minorHAnsi"/>
                <w:sz w:val="18"/>
                <w:szCs w:val="18"/>
              </w:rPr>
            </w:pPr>
            <w:r w:rsidRPr="006B2B20">
              <w:rPr>
                <w:rFonts w:cstheme="minorHAnsi"/>
                <w:sz w:val="18"/>
                <w:szCs w:val="18"/>
              </w:rPr>
              <w:t>Project Start Date: April, 2009</w:t>
            </w:r>
          </w:p>
          <w:p w:rsidR="0061232B" w:rsidRPr="006B2B20" w:rsidRDefault="0061232B" w:rsidP="00E84BAD">
            <w:pPr>
              <w:spacing w:after="0" w:line="240" w:lineRule="auto"/>
              <w:rPr>
                <w:rFonts w:cstheme="minorHAnsi"/>
                <w:sz w:val="18"/>
                <w:szCs w:val="18"/>
              </w:rPr>
            </w:pPr>
            <w:r w:rsidRPr="006B2B20">
              <w:rPr>
                <w:rFonts w:cstheme="minorHAnsi"/>
                <w:sz w:val="18"/>
                <w:szCs w:val="18"/>
              </w:rPr>
              <w:t>Project End Date: March, 2014</w:t>
            </w:r>
          </w:p>
          <w:p w:rsidR="0061232B" w:rsidRPr="006B2B20" w:rsidRDefault="0061232B" w:rsidP="00E84BAD">
            <w:pPr>
              <w:spacing w:after="0" w:line="240" w:lineRule="auto"/>
              <w:rPr>
                <w:rFonts w:cstheme="minorHAnsi"/>
                <w:sz w:val="18"/>
                <w:szCs w:val="18"/>
              </w:rPr>
            </w:pPr>
          </w:p>
          <w:p w:rsidR="0061232B" w:rsidRPr="006B2B20" w:rsidRDefault="0061232B" w:rsidP="00E84BAD">
            <w:pPr>
              <w:spacing w:after="0" w:line="240" w:lineRule="auto"/>
              <w:rPr>
                <w:rFonts w:cstheme="minorHAnsi"/>
                <w:sz w:val="18"/>
                <w:szCs w:val="18"/>
              </w:rPr>
            </w:pPr>
            <w:r w:rsidRPr="006B2B20">
              <w:rPr>
                <w:rFonts w:cstheme="minorHAnsi"/>
                <w:sz w:val="18"/>
                <w:szCs w:val="18"/>
              </w:rPr>
              <w:t>Partners: GEF- Climate Change Mitigation</w:t>
            </w:r>
          </w:p>
          <w:p w:rsidR="0061232B" w:rsidRPr="006B2B20" w:rsidRDefault="0061232B" w:rsidP="00E84BAD">
            <w:pPr>
              <w:spacing w:after="0" w:line="240" w:lineRule="auto"/>
              <w:rPr>
                <w:rFonts w:cstheme="minorHAnsi"/>
                <w:sz w:val="18"/>
                <w:szCs w:val="18"/>
              </w:rPr>
            </w:pPr>
          </w:p>
          <w:p w:rsidR="0061232B" w:rsidRPr="006B2B20" w:rsidRDefault="0061232B" w:rsidP="00E84BAD">
            <w:pPr>
              <w:spacing w:after="0" w:line="240" w:lineRule="auto"/>
              <w:rPr>
                <w:rFonts w:cstheme="minorHAnsi"/>
                <w:sz w:val="18"/>
                <w:szCs w:val="18"/>
              </w:rPr>
            </w:pPr>
            <w:r w:rsidRPr="006B2B20">
              <w:rPr>
                <w:rFonts w:cstheme="minorHAnsi"/>
                <w:sz w:val="18"/>
                <w:szCs w:val="18"/>
              </w:rPr>
              <w:t>Fund: 3.00 Million USD</w:t>
            </w:r>
          </w:p>
          <w:p w:rsidR="0061232B" w:rsidRPr="006B2B20" w:rsidRDefault="0061232B" w:rsidP="00E84BAD">
            <w:pPr>
              <w:spacing w:after="0" w:line="240" w:lineRule="auto"/>
              <w:rPr>
                <w:rFonts w:cstheme="minorHAnsi"/>
                <w:sz w:val="18"/>
                <w:szCs w:val="18"/>
              </w:rPr>
            </w:pPr>
          </w:p>
          <w:p w:rsidR="0061232B" w:rsidRPr="006B2B20" w:rsidRDefault="0061232B" w:rsidP="00E84BAD">
            <w:pPr>
              <w:spacing w:after="0" w:line="240" w:lineRule="auto"/>
              <w:rPr>
                <w:rFonts w:cstheme="minorHAnsi"/>
                <w:sz w:val="18"/>
                <w:szCs w:val="18"/>
              </w:rPr>
            </w:pPr>
          </w:p>
          <w:p w:rsidR="0061232B" w:rsidRPr="006B2B20" w:rsidRDefault="0061232B" w:rsidP="00E84BAD">
            <w:pPr>
              <w:spacing w:after="0" w:line="240" w:lineRule="auto"/>
              <w:rPr>
                <w:rFonts w:cstheme="minorHAnsi"/>
                <w:b/>
                <w:sz w:val="18"/>
                <w:szCs w:val="18"/>
              </w:rPr>
            </w:pPr>
          </w:p>
        </w:tc>
        <w:tc>
          <w:tcPr>
            <w:tcW w:w="11490" w:type="dxa"/>
            <w:shd w:val="clear" w:color="auto" w:fill="C6D9F1" w:themeFill="text2" w:themeFillTint="33"/>
          </w:tcPr>
          <w:p w:rsidR="0061232B" w:rsidRPr="006B2B20" w:rsidRDefault="0061232B" w:rsidP="00E84BAD">
            <w:pPr>
              <w:spacing w:after="0" w:line="240" w:lineRule="auto"/>
              <w:jc w:val="both"/>
              <w:rPr>
                <w:rFonts w:cstheme="minorHAnsi"/>
                <w:b/>
                <w:sz w:val="18"/>
                <w:szCs w:val="18"/>
              </w:rPr>
            </w:pPr>
            <w:r w:rsidRPr="006B2B20">
              <w:rPr>
                <w:rFonts w:cstheme="minorHAnsi"/>
                <w:b/>
                <w:sz w:val="18"/>
                <w:szCs w:val="18"/>
              </w:rPr>
              <w:t>Relevance</w:t>
            </w:r>
          </w:p>
        </w:tc>
      </w:tr>
      <w:tr w:rsidR="0061232B" w:rsidRPr="006B2B20" w:rsidTr="00E84BAD">
        <w:trPr>
          <w:trHeight w:val="440"/>
        </w:trPr>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FFFFFF" w:themeFill="background1"/>
          </w:tcPr>
          <w:p w:rsidR="0061232B" w:rsidRPr="006B2B20" w:rsidRDefault="0061232B" w:rsidP="00E84BAD">
            <w:pPr>
              <w:spacing w:after="0" w:line="240" w:lineRule="auto"/>
              <w:rPr>
                <w:rFonts w:cstheme="minorHAnsi"/>
                <w:sz w:val="18"/>
                <w:szCs w:val="18"/>
              </w:rPr>
            </w:pPr>
            <w:r w:rsidRPr="006B2B20">
              <w:rPr>
                <w:rFonts w:cstheme="minorHAnsi"/>
                <w:sz w:val="18"/>
                <w:szCs w:val="18"/>
              </w:rPr>
              <w:t>The traditional Bric</w:t>
            </w:r>
            <w:r>
              <w:rPr>
                <w:rFonts w:cstheme="minorHAnsi"/>
                <w:sz w:val="18"/>
                <w:szCs w:val="18"/>
              </w:rPr>
              <w:t>k K</w:t>
            </w:r>
            <w:r w:rsidRPr="006B2B20">
              <w:rPr>
                <w:rFonts w:cstheme="minorHAnsi"/>
                <w:sz w:val="18"/>
                <w:szCs w:val="18"/>
              </w:rPr>
              <w:t>iln Industry in Bangladesh is one of the biggest stationary sources of CO</w:t>
            </w:r>
            <w:r w:rsidRPr="006B2B20">
              <w:rPr>
                <w:rFonts w:cstheme="minorHAnsi"/>
                <w:sz w:val="18"/>
                <w:szCs w:val="18"/>
                <w:vertAlign w:val="subscript"/>
              </w:rPr>
              <w:t xml:space="preserve">2 </w:t>
            </w:r>
            <w:r w:rsidRPr="006B2B20">
              <w:rPr>
                <w:rFonts w:cstheme="minorHAnsi"/>
                <w:sz w:val="18"/>
                <w:szCs w:val="18"/>
              </w:rPr>
              <w:t>emissions. 2 million migratory wor</w:t>
            </w:r>
            <w:r>
              <w:rPr>
                <w:rFonts w:cstheme="minorHAnsi"/>
                <w:sz w:val="18"/>
                <w:szCs w:val="18"/>
              </w:rPr>
              <w:t>k</w:t>
            </w:r>
            <w:r w:rsidRPr="006B2B20">
              <w:rPr>
                <w:rFonts w:cstheme="minorHAnsi"/>
                <w:sz w:val="18"/>
                <w:szCs w:val="18"/>
              </w:rPr>
              <w:t xml:space="preserve">ers are employed in 8000 traditional </w:t>
            </w:r>
            <w:r>
              <w:rPr>
                <w:rFonts w:cstheme="minorHAnsi"/>
                <w:sz w:val="18"/>
                <w:szCs w:val="18"/>
              </w:rPr>
              <w:t>k</w:t>
            </w:r>
            <w:r w:rsidRPr="006B2B20">
              <w:rPr>
                <w:rFonts w:cstheme="minorHAnsi"/>
                <w:sz w:val="18"/>
                <w:szCs w:val="18"/>
              </w:rPr>
              <w:t>ilns in Bangladesh, using a technology that is several thousand years old. The significant social and environmental challenges of this industry ma</w:t>
            </w:r>
            <w:r>
              <w:rPr>
                <w:rFonts w:cstheme="minorHAnsi"/>
                <w:sz w:val="18"/>
                <w:szCs w:val="18"/>
              </w:rPr>
              <w:t>k</w:t>
            </w:r>
            <w:r w:rsidRPr="006B2B20">
              <w:rPr>
                <w:rFonts w:cstheme="minorHAnsi"/>
                <w:sz w:val="18"/>
                <w:szCs w:val="18"/>
              </w:rPr>
              <w:t xml:space="preserve">e this project highly relevant. </w:t>
            </w:r>
          </w:p>
          <w:p w:rsidR="0061232B" w:rsidRPr="006B2B20" w:rsidRDefault="0061232B" w:rsidP="00E84BAD">
            <w:pPr>
              <w:spacing w:after="0" w:line="240" w:lineRule="auto"/>
              <w:rPr>
                <w:rFonts w:cstheme="minorHAnsi"/>
                <w:sz w:val="18"/>
                <w:szCs w:val="18"/>
              </w:rPr>
            </w:pPr>
          </w:p>
        </w:tc>
      </w:tr>
      <w:tr w:rsidR="0061232B" w:rsidRPr="006B2B20" w:rsidTr="00E84BAD">
        <w:trPr>
          <w:trHeight w:val="260"/>
        </w:trPr>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C6D9F1" w:themeFill="text2" w:themeFillTint="33"/>
          </w:tcPr>
          <w:p w:rsidR="0061232B" w:rsidRPr="006B2B20" w:rsidRDefault="0061232B" w:rsidP="00E84BAD">
            <w:pPr>
              <w:spacing w:after="0" w:line="240" w:lineRule="auto"/>
              <w:jc w:val="both"/>
              <w:rPr>
                <w:rFonts w:cstheme="minorHAnsi"/>
                <w:b/>
                <w:sz w:val="18"/>
                <w:szCs w:val="18"/>
              </w:rPr>
            </w:pPr>
            <w:r w:rsidRPr="006B2B20">
              <w:rPr>
                <w:rFonts w:cstheme="minorHAnsi"/>
                <w:b/>
                <w:sz w:val="18"/>
                <w:szCs w:val="18"/>
              </w:rPr>
              <w:t>Effectiveness</w:t>
            </w:r>
          </w:p>
        </w:tc>
      </w:tr>
      <w:tr w:rsidR="0061232B" w:rsidRPr="006B2B20" w:rsidTr="00E84BAD">
        <w:trPr>
          <w:trHeight w:val="530"/>
        </w:trPr>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FFFFFF" w:themeFill="background1"/>
          </w:tcPr>
          <w:p w:rsidR="0061232B" w:rsidRPr="006B2B20" w:rsidRDefault="0061232B" w:rsidP="00E84BAD">
            <w:pPr>
              <w:spacing w:after="0" w:line="240" w:lineRule="auto"/>
              <w:rPr>
                <w:rFonts w:cstheme="minorHAnsi"/>
                <w:sz w:val="18"/>
                <w:szCs w:val="18"/>
              </w:rPr>
            </w:pPr>
            <w:r w:rsidRPr="006B2B20">
              <w:rPr>
                <w:rFonts w:cstheme="minorHAnsi"/>
                <w:sz w:val="18"/>
                <w:szCs w:val="18"/>
              </w:rPr>
              <w:t xml:space="preserve">While the project built a significantly reduced number of demonstration facilities only, the outreach and public resonance of the project lead to a sustainable and lasting impact. The project triggered a discussion about this technology and ultimately led to legal action prohibiting the worst technology, mitigating some of the environmental consequences and opening the minds for the actual modern technology of tunnel </w:t>
            </w:r>
            <w:r>
              <w:rPr>
                <w:rFonts w:cstheme="minorHAnsi"/>
                <w:sz w:val="18"/>
                <w:szCs w:val="18"/>
              </w:rPr>
              <w:t>k</w:t>
            </w:r>
            <w:r w:rsidRPr="006B2B20">
              <w:rPr>
                <w:rFonts w:cstheme="minorHAnsi"/>
                <w:sz w:val="18"/>
                <w:szCs w:val="18"/>
              </w:rPr>
              <w:t>ilns. This is actually better than the intended effect because the HH</w:t>
            </w:r>
            <w:r>
              <w:rPr>
                <w:rFonts w:cstheme="minorHAnsi"/>
                <w:sz w:val="18"/>
                <w:szCs w:val="18"/>
              </w:rPr>
              <w:t>K</w:t>
            </w:r>
            <w:r w:rsidRPr="006B2B20">
              <w:rPr>
                <w:rFonts w:cstheme="minorHAnsi"/>
                <w:sz w:val="18"/>
                <w:szCs w:val="18"/>
              </w:rPr>
              <w:t xml:space="preserve"> technology is not up to modern standards. </w:t>
            </w:r>
          </w:p>
          <w:p w:rsidR="0061232B" w:rsidRPr="006B2B20" w:rsidRDefault="0061232B" w:rsidP="00E84BAD">
            <w:pPr>
              <w:spacing w:after="0" w:line="240" w:lineRule="auto"/>
              <w:rPr>
                <w:rFonts w:cstheme="minorHAnsi"/>
                <w:sz w:val="18"/>
                <w:szCs w:val="18"/>
              </w:rPr>
            </w:pPr>
          </w:p>
        </w:tc>
      </w:tr>
      <w:tr w:rsidR="0061232B" w:rsidRPr="006B2B20" w:rsidTr="00E84BAD">
        <w:trPr>
          <w:trHeight w:val="350"/>
        </w:trPr>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C6D9F1" w:themeFill="text2" w:themeFillTint="33"/>
          </w:tcPr>
          <w:p w:rsidR="0061232B" w:rsidRPr="006B2B20" w:rsidRDefault="0061232B" w:rsidP="00E84BAD">
            <w:pPr>
              <w:pStyle w:val="Default"/>
              <w:jc w:val="both"/>
              <w:rPr>
                <w:rFonts w:asciiTheme="minorHAnsi" w:hAnsiTheme="minorHAnsi" w:cstheme="minorHAnsi"/>
                <w:b/>
                <w:bCs/>
                <w:sz w:val="18"/>
                <w:szCs w:val="18"/>
              </w:rPr>
            </w:pPr>
            <w:r w:rsidRPr="006B2B20">
              <w:rPr>
                <w:rFonts w:asciiTheme="minorHAnsi" w:hAnsiTheme="minorHAnsi" w:cstheme="minorHAnsi"/>
                <w:b/>
                <w:bCs/>
                <w:sz w:val="18"/>
                <w:szCs w:val="18"/>
              </w:rPr>
              <w:t>Efficiency</w:t>
            </w:r>
          </w:p>
        </w:tc>
      </w:tr>
      <w:tr w:rsidR="0061232B" w:rsidRPr="006B2B20" w:rsidTr="00E84BAD">
        <w:trPr>
          <w:trHeight w:val="530"/>
        </w:trPr>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FFFFFF" w:themeFill="background1"/>
          </w:tcPr>
          <w:p w:rsidR="0061232B" w:rsidRPr="006B2B20" w:rsidRDefault="0061232B" w:rsidP="00E84BAD">
            <w:pPr>
              <w:spacing w:after="0" w:line="240" w:lineRule="auto"/>
              <w:rPr>
                <w:rFonts w:cstheme="minorHAnsi"/>
                <w:sz w:val="18"/>
                <w:szCs w:val="18"/>
              </w:rPr>
            </w:pPr>
            <w:r w:rsidRPr="006B2B20">
              <w:rPr>
                <w:rFonts w:cstheme="minorHAnsi"/>
                <w:sz w:val="18"/>
                <w:szCs w:val="18"/>
              </w:rPr>
              <w:t>The project too</w:t>
            </w:r>
            <w:r>
              <w:rPr>
                <w:rFonts w:cstheme="minorHAnsi"/>
                <w:sz w:val="18"/>
                <w:szCs w:val="18"/>
              </w:rPr>
              <w:t>k</w:t>
            </w:r>
            <w:r w:rsidRPr="006B2B20">
              <w:rPr>
                <w:rFonts w:cstheme="minorHAnsi"/>
                <w:sz w:val="18"/>
                <w:szCs w:val="18"/>
              </w:rPr>
              <w:t xml:space="preserve"> 4 years for development and approval. It was implemented within scheduled 5 years but - it produced fewer outputs than requested. Cooperation with one single technology provider was partially hampering the efficiency of the project as this provider was distracted by other contracts (e.g. World Ban</w:t>
            </w:r>
            <w:r>
              <w:rPr>
                <w:rFonts w:cstheme="minorHAnsi"/>
                <w:sz w:val="18"/>
                <w:szCs w:val="18"/>
              </w:rPr>
              <w:t>k</w:t>
            </w:r>
            <w:r w:rsidRPr="006B2B20">
              <w:rPr>
                <w:rFonts w:cstheme="minorHAnsi"/>
                <w:sz w:val="18"/>
                <w:szCs w:val="18"/>
              </w:rPr>
              <w:t xml:space="preserve"> project). Also, it opened the project for criticism. However, from a purely economic point of view, a comparative financial analysis between the traditional and low-carbon emission based bric</w:t>
            </w:r>
            <w:r>
              <w:rPr>
                <w:rFonts w:cstheme="minorHAnsi"/>
                <w:sz w:val="18"/>
                <w:szCs w:val="18"/>
              </w:rPr>
              <w:t>k</w:t>
            </w:r>
            <w:r w:rsidRPr="006B2B20">
              <w:rPr>
                <w:rFonts w:cstheme="minorHAnsi"/>
                <w:sz w:val="18"/>
                <w:szCs w:val="18"/>
              </w:rPr>
              <w:t xml:space="preserve"> (Green Bric</w:t>
            </w:r>
            <w:r>
              <w:rPr>
                <w:rFonts w:cstheme="minorHAnsi"/>
                <w:sz w:val="18"/>
                <w:szCs w:val="18"/>
              </w:rPr>
              <w:t>k</w:t>
            </w:r>
            <w:r w:rsidRPr="006B2B20">
              <w:rPr>
                <w:rFonts w:cstheme="minorHAnsi"/>
                <w:sz w:val="18"/>
                <w:szCs w:val="18"/>
              </w:rPr>
              <w:t>) ma</w:t>
            </w:r>
            <w:r>
              <w:rPr>
                <w:rFonts w:cstheme="minorHAnsi"/>
                <w:sz w:val="18"/>
                <w:szCs w:val="18"/>
              </w:rPr>
              <w:t>k</w:t>
            </w:r>
            <w:r w:rsidRPr="006B2B20">
              <w:rPr>
                <w:rFonts w:cstheme="minorHAnsi"/>
                <w:sz w:val="18"/>
                <w:szCs w:val="18"/>
              </w:rPr>
              <w:t>ing activities was carried out in this mid-term evaluation effort. It has revealed that Green Bric</w:t>
            </w:r>
            <w:r>
              <w:rPr>
                <w:rFonts w:cstheme="minorHAnsi"/>
                <w:sz w:val="18"/>
                <w:szCs w:val="18"/>
              </w:rPr>
              <w:t>k</w:t>
            </w:r>
            <w:r w:rsidRPr="006B2B20">
              <w:rPr>
                <w:rFonts w:cstheme="minorHAnsi"/>
                <w:sz w:val="18"/>
                <w:szCs w:val="18"/>
              </w:rPr>
              <w:t xml:space="preserve"> ma</w:t>
            </w:r>
            <w:r>
              <w:rPr>
                <w:rFonts w:cstheme="minorHAnsi"/>
                <w:sz w:val="18"/>
                <w:szCs w:val="18"/>
              </w:rPr>
              <w:t>k</w:t>
            </w:r>
            <w:r w:rsidRPr="006B2B20">
              <w:rPr>
                <w:rFonts w:cstheme="minorHAnsi"/>
                <w:sz w:val="18"/>
                <w:szCs w:val="18"/>
              </w:rPr>
              <w:t>ing is more efficient that the traditional one, as BCR for Green Bric</w:t>
            </w:r>
            <w:r>
              <w:rPr>
                <w:rFonts w:cstheme="minorHAnsi"/>
                <w:sz w:val="18"/>
                <w:szCs w:val="18"/>
              </w:rPr>
              <w:t>k</w:t>
            </w:r>
            <w:r w:rsidRPr="006B2B20">
              <w:rPr>
                <w:rFonts w:cstheme="minorHAnsi"/>
                <w:sz w:val="18"/>
                <w:szCs w:val="18"/>
              </w:rPr>
              <w:t xml:space="preserve"> is 1.92: 1 whereas it is 1.48: 1 for the traditional bric</w:t>
            </w:r>
            <w:r>
              <w:rPr>
                <w:rFonts w:cstheme="minorHAnsi"/>
                <w:sz w:val="18"/>
                <w:szCs w:val="18"/>
              </w:rPr>
              <w:t>k</w:t>
            </w:r>
            <w:r w:rsidRPr="006B2B20">
              <w:rPr>
                <w:rFonts w:cstheme="minorHAnsi"/>
                <w:sz w:val="18"/>
                <w:szCs w:val="18"/>
              </w:rPr>
              <w:t xml:space="preserve"> manufacturing.  The NPV for Green Bric</w:t>
            </w:r>
            <w:r>
              <w:rPr>
                <w:rFonts w:cstheme="minorHAnsi"/>
                <w:sz w:val="18"/>
                <w:szCs w:val="18"/>
              </w:rPr>
              <w:t>k</w:t>
            </w:r>
            <w:r w:rsidRPr="006B2B20">
              <w:rPr>
                <w:rFonts w:cstheme="minorHAnsi"/>
                <w:sz w:val="18"/>
                <w:szCs w:val="18"/>
              </w:rPr>
              <w:t xml:space="preserve"> is Ta</w:t>
            </w:r>
            <w:r>
              <w:rPr>
                <w:rFonts w:cstheme="minorHAnsi"/>
                <w:sz w:val="18"/>
                <w:szCs w:val="18"/>
              </w:rPr>
              <w:t>k</w:t>
            </w:r>
            <w:r w:rsidRPr="006B2B20">
              <w:rPr>
                <w:rFonts w:cstheme="minorHAnsi"/>
                <w:sz w:val="18"/>
                <w:szCs w:val="18"/>
              </w:rPr>
              <w:t>a 87 million compared Ta</w:t>
            </w:r>
            <w:r>
              <w:rPr>
                <w:rFonts w:cstheme="minorHAnsi"/>
                <w:sz w:val="18"/>
                <w:szCs w:val="18"/>
              </w:rPr>
              <w:t>k</w:t>
            </w:r>
            <w:r w:rsidRPr="006B2B20">
              <w:rPr>
                <w:rFonts w:cstheme="minorHAnsi"/>
                <w:sz w:val="18"/>
                <w:szCs w:val="18"/>
              </w:rPr>
              <w:t>a 27 million for the traditional bric</w:t>
            </w:r>
            <w:r>
              <w:rPr>
                <w:rFonts w:cstheme="minorHAnsi"/>
                <w:sz w:val="18"/>
                <w:szCs w:val="18"/>
              </w:rPr>
              <w:t>k</w:t>
            </w:r>
            <w:r w:rsidRPr="006B2B20">
              <w:rPr>
                <w:rFonts w:cstheme="minorHAnsi"/>
                <w:sz w:val="18"/>
                <w:szCs w:val="18"/>
              </w:rPr>
              <w:t xml:space="preserve"> manufacturing activities.</w:t>
            </w:r>
          </w:p>
          <w:p w:rsidR="0061232B" w:rsidRPr="006B2B20" w:rsidRDefault="0061232B" w:rsidP="00E84BAD">
            <w:pPr>
              <w:spacing w:after="0" w:line="240" w:lineRule="auto"/>
              <w:rPr>
                <w:rFonts w:cstheme="minorHAnsi"/>
                <w:sz w:val="18"/>
                <w:szCs w:val="18"/>
              </w:rPr>
            </w:pPr>
          </w:p>
        </w:tc>
      </w:tr>
      <w:tr w:rsidR="0061232B" w:rsidRPr="006B2B20" w:rsidTr="00E84BAD">
        <w:trPr>
          <w:trHeight w:val="350"/>
        </w:trPr>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C6D9F1" w:themeFill="text2" w:themeFillTint="33"/>
          </w:tcPr>
          <w:p w:rsidR="0061232B" w:rsidRPr="006B2B20" w:rsidRDefault="0061232B" w:rsidP="00E84BAD">
            <w:pPr>
              <w:pStyle w:val="Default"/>
              <w:jc w:val="both"/>
              <w:rPr>
                <w:rFonts w:asciiTheme="minorHAnsi" w:hAnsiTheme="minorHAnsi" w:cstheme="minorHAnsi"/>
                <w:b/>
                <w:bCs/>
                <w:sz w:val="18"/>
                <w:szCs w:val="18"/>
              </w:rPr>
            </w:pPr>
            <w:r w:rsidRPr="006B2B20">
              <w:rPr>
                <w:rFonts w:asciiTheme="minorHAnsi" w:hAnsiTheme="minorHAnsi" w:cstheme="minorHAnsi"/>
                <w:b/>
                <w:bCs/>
                <w:sz w:val="18"/>
                <w:szCs w:val="18"/>
              </w:rPr>
              <w:t>Cross-cutting themes (gender and other related perspectives)</w:t>
            </w:r>
          </w:p>
        </w:tc>
      </w:tr>
      <w:tr w:rsidR="0061232B" w:rsidRPr="006B2B20" w:rsidTr="00E84BAD">
        <w:trPr>
          <w:trHeight w:val="575"/>
        </w:trPr>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FFFFFF" w:themeFill="background1"/>
          </w:tcPr>
          <w:p w:rsidR="0061232B" w:rsidRPr="006B2B20" w:rsidRDefault="0061232B" w:rsidP="00E84BAD">
            <w:pPr>
              <w:spacing w:after="0" w:line="240" w:lineRule="auto"/>
              <w:rPr>
                <w:rFonts w:cstheme="minorHAnsi"/>
                <w:sz w:val="18"/>
                <w:szCs w:val="18"/>
              </w:rPr>
            </w:pPr>
            <w:r w:rsidRPr="006B2B20">
              <w:rPr>
                <w:rFonts w:cstheme="minorHAnsi"/>
                <w:sz w:val="18"/>
                <w:szCs w:val="18"/>
              </w:rPr>
              <w:t>This project paid special attention to the gender dimension. The wor</w:t>
            </w:r>
            <w:r>
              <w:rPr>
                <w:rFonts w:cstheme="minorHAnsi"/>
                <w:sz w:val="18"/>
                <w:szCs w:val="18"/>
              </w:rPr>
              <w:t>k</w:t>
            </w:r>
            <w:r w:rsidRPr="006B2B20">
              <w:rPr>
                <w:rFonts w:cstheme="minorHAnsi"/>
                <w:sz w:val="18"/>
                <w:szCs w:val="18"/>
              </w:rPr>
              <w:t xml:space="preserve"> force at traditional </w:t>
            </w:r>
            <w:r>
              <w:rPr>
                <w:rFonts w:cstheme="minorHAnsi"/>
                <w:sz w:val="18"/>
                <w:szCs w:val="18"/>
              </w:rPr>
              <w:t>k</w:t>
            </w:r>
            <w:r w:rsidRPr="006B2B20">
              <w:rPr>
                <w:rFonts w:cstheme="minorHAnsi"/>
                <w:sz w:val="18"/>
                <w:szCs w:val="18"/>
              </w:rPr>
              <w:t>ilns is 15% women, at HH</w:t>
            </w:r>
            <w:r>
              <w:rPr>
                <w:rFonts w:cstheme="minorHAnsi"/>
                <w:sz w:val="18"/>
                <w:szCs w:val="18"/>
              </w:rPr>
              <w:t>K</w:t>
            </w:r>
            <w:r w:rsidRPr="006B2B20">
              <w:rPr>
                <w:rFonts w:cstheme="minorHAnsi"/>
                <w:sz w:val="18"/>
                <w:szCs w:val="18"/>
              </w:rPr>
              <w:t xml:space="preserve"> 23%. Separate sanitary facilities exist in the demonstration projects. But more importantly the project added awareness components in their wor</w:t>
            </w:r>
            <w:r>
              <w:rPr>
                <w:rFonts w:cstheme="minorHAnsi"/>
                <w:sz w:val="18"/>
                <w:szCs w:val="18"/>
              </w:rPr>
              <w:t>k</w:t>
            </w:r>
            <w:r w:rsidRPr="006B2B20">
              <w:rPr>
                <w:rFonts w:cstheme="minorHAnsi"/>
                <w:sz w:val="18"/>
                <w:szCs w:val="18"/>
              </w:rPr>
              <w:t xml:space="preserve"> with the bric</w:t>
            </w:r>
            <w:r>
              <w:rPr>
                <w:rFonts w:cstheme="minorHAnsi"/>
                <w:sz w:val="18"/>
                <w:szCs w:val="18"/>
              </w:rPr>
              <w:t>k k</w:t>
            </w:r>
            <w:r w:rsidRPr="006B2B20">
              <w:rPr>
                <w:rFonts w:cstheme="minorHAnsi"/>
                <w:sz w:val="18"/>
                <w:szCs w:val="18"/>
              </w:rPr>
              <w:t>iln owner and provided explicit and specific monitoring information on gender balance. As wor</w:t>
            </w:r>
            <w:r>
              <w:rPr>
                <w:rFonts w:cstheme="minorHAnsi"/>
                <w:sz w:val="18"/>
                <w:szCs w:val="18"/>
              </w:rPr>
              <w:t>k</w:t>
            </w:r>
            <w:r w:rsidRPr="006B2B20">
              <w:rPr>
                <w:rFonts w:cstheme="minorHAnsi"/>
                <w:sz w:val="18"/>
                <w:szCs w:val="18"/>
              </w:rPr>
              <w:t xml:space="preserve"> in HH</w:t>
            </w:r>
            <w:r>
              <w:rPr>
                <w:rFonts w:cstheme="minorHAnsi"/>
                <w:sz w:val="18"/>
                <w:szCs w:val="18"/>
              </w:rPr>
              <w:t>K</w:t>
            </w:r>
            <w:r w:rsidRPr="006B2B20">
              <w:rPr>
                <w:rFonts w:cstheme="minorHAnsi"/>
                <w:sz w:val="18"/>
                <w:szCs w:val="18"/>
              </w:rPr>
              <w:t xml:space="preserve"> is not seasonal, these </w:t>
            </w:r>
            <w:r>
              <w:rPr>
                <w:rFonts w:cstheme="minorHAnsi"/>
                <w:sz w:val="18"/>
                <w:szCs w:val="18"/>
              </w:rPr>
              <w:t>k</w:t>
            </w:r>
            <w:r w:rsidRPr="006B2B20">
              <w:rPr>
                <w:rFonts w:cstheme="minorHAnsi"/>
                <w:sz w:val="18"/>
                <w:szCs w:val="18"/>
              </w:rPr>
              <w:t>ilns do not employ migratory wor</w:t>
            </w:r>
            <w:r>
              <w:rPr>
                <w:rFonts w:cstheme="minorHAnsi"/>
                <w:sz w:val="18"/>
                <w:szCs w:val="18"/>
              </w:rPr>
              <w:t>k</w:t>
            </w:r>
            <w:r w:rsidRPr="006B2B20">
              <w:rPr>
                <w:rFonts w:cstheme="minorHAnsi"/>
                <w:sz w:val="18"/>
                <w:szCs w:val="18"/>
              </w:rPr>
              <w:t xml:space="preserve">ers but offer employment for the local population. </w:t>
            </w:r>
          </w:p>
          <w:p w:rsidR="0061232B" w:rsidRPr="006B2B20" w:rsidRDefault="0061232B" w:rsidP="00E84BAD">
            <w:pPr>
              <w:spacing w:after="0" w:line="240" w:lineRule="auto"/>
              <w:rPr>
                <w:rFonts w:cstheme="minorHAnsi"/>
                <w:sz w:val="18"/>
                <w:szCs w:val="18"/>
              </w:rPr>
            </w:pPr>
          </w:p>
        </w:tc>
      </w:tr>
      <w:tr w:rsidR="0061232B" w:rsidRPr="006B2B20" w:rsidTr="00E84BAD">
        <w:trPr>
          <w:trHeight w:val="305"/>
        </w:trPr>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C6D9F1" w:themeFill="text2" w:themeFillTint="33"/>
          </w:tcPr>
          <w:p w:rsidR="0061232B" w:rsidRPr="006B2B20" w:rsidRDefault="0061232B" w:rsidP="00E84BAD">
            <w:pPr>
              <w:pStyle w:val="Default"/>
              <w:jc w:val="both"/>
              <w:rPr>
                <w:rFonts w:asciiTheme="minorHAnsi" w:hAnsiTheme="minorHAnsi" w:cstheme="minorHAnsi"/>
                <w:b/>
                <w:bCs/>
                <w:sz w:val="18"/>
                <w:szCs w:val="18"/>
              </w:rPr>
            </w:pPr>
            <w:r w:rsidRPr="006B2B20">
              <w:rPr>
                <w:rFonts w:asciiTheme="minorHAnsi" w:hAnsiTheme="minorHAnsi" w:cstheme="minorHAnsi"/>
                <w:b/>
                <w:bCs/>
                <w:sz w:val="18"/>
                <w:szCs w:val="18"/>
              </w:rPr>
              <w:t>Sustainability and potential for replication</w:t>
            </w:r>
          </w:p>
        </w:tc>
      </w:tr>
      <w:tr w:rsidR="0061232B" w:rsidRPr="006B2B20" w:rsidTr="00E84BAD">
        <w:trPr>
          <w:trHeight w:val="692"/>
        </w:trPr>
        <w:tc>
          <w:tcPr>
            <w:tcW w:w="1686" w:type="dxa"/>
            <w:vMerge/>
            <w:shd w:val="clear" w:color="auto" w:fill="C6D9F1" w:themeFill="text2" w:themeFillTint="33"/>
          </w:tcPr>
          <w:p w:rsidR="0061232B" w:rsidRPr="006B2B20" w:rsidRDefault="0061232B" w:rsidP="00E84BAD">
            <w:pPr>
              <w:spacing w:after="0" w:line="240" w:lineRule="auto"/>
              <w:rPr>
                <w:rFonts w:cstheme="minorHAnsi"/>
                <w:b/>
                <w:sz w:val="18"/>
                <w:szCs w:val="18"/>
              </w:rPr>
            </w:pPr>
          </w:p>
        </w:tc>
        <w:tc>
          <w:tcPr>
            <w:tcW w:w="11490" w:type="dxa"/>
            <w:shd w:val="clear" w:color="auto" w:fill="FFFFFF" w:themeFill="background1"/>
          </w:tcPr>
          <w:p w:rsidR="0061232B" w:rsidRPr="006B2B20" w:rsidRDefault="0061232B" w:rsidP="00E84BAD">
            <w:pPr>
              <w:spacing w:after="0" w:line="240" w:lineRule="auto"/>
              <w:rPr>
                <w:rFonts w:cstheme="minorHAnsi"/>
                <w:sz w:val="18"/>
                <w:szCs w:val="18"/>
              </w:rPr>
            </w:pPr>
            <w:r w:rsidRPr="006B2B20">
              <w:rPr>
                <w:rFonts w:cstheme="minorHAnsi"/>
                <w:sz w:val="18"/>
                <w:szCs w:val="18"/>
              </w:rPr>
              <w:t>The sustainability of the project demonstration facilities is high – these are long-term investments. The4 demonstration projects have already led to significant replication.  Through triggering the national discussion, the project might lead to replication on even more environmental friendly technology.  On the other hand, these new technologies will reduce the labor input and thus potentially cause income losses to the migratory wor</w:t>
            </w:r>
            <w:r>
              <w:rPr>
                <w:rFonts w:cstheme="minorHAnsi"/>
                <w:sz w:val="18"/>
                <w:szCs w:val="18"/>
              </w:rPr>
              <w:t>k</w:t>
            </w:r>
            <w:r w:rsidRPr="006B2B20">
              <w:rPr>
                <w:rFonts w:cstheme="minorHAnsi"/>
                <w:sz w:val="18"/>
                <w:szCs w:val="18"/>
              </w:rPr>
              <w:t>ers.  In addition, most of the bric</w:t>
            </w:r>
            <w:r>
              <w:rPr>
                <w:rFonts w:cstheme="minorHAnsi"/>
                <w:sz w:val="18"/>
                <w:szCs w:val="18"/>
              </w:rPr>
              <w:t>kk</w:t>
            </w:r>
            <w:r w:rsidRPr="006B2B20">
              <w:rPr>
                <w:rFonts w:cstheme="minorHAnsi"/>
                <w:sz w:val="18"/>
                <w:szCs w:val="18"/>
              </w:rPr>
              <w:t xml:space="preserve">iln owners of the traditional </w:t>
            </w:r>
            <w:r>
              <w:rPr>
                <w:rFonts w:cstheme="minorHAnsi"/>
                <w:sz w:val="18"/>
                <w:szCs w:val="18"/>
              </w:rPr>
              <w:t>k</w:t>
            </w:r>
            <w:r w:rsidRPr="006B2B20">
              <w:rPr>
                <w:rFonts w:cstheme="minorHAnsi"/>
                <w:sz w:val="18"/>
                <w:szCs w:val="18"/>
              </w:rPr>
              <w:t xml:space="preserve">ilns will not have sufficient capital resources to invest in the new technologies which are much more expensive than the traditional </w:t>
            </w:r>
            <w:r>
              <w:rPr>
                <w:rFonts w:cstheme="minorHAnsi"/>
                <w:sz w:val="18"/>
                <w:szCs w:val="18"/>
              </w:rPr>
              <w:t>k</w:t>
            </w:r>
            <w:r w:rsidRPr="006B2B20">
              <w:rPr>
                <w:rFonts w:cstheme="minorHAnsi"/>
                <w:sz w:val="18"/>
                <w:szCs w:val="18"/>
              </w:rPr>
              <w:t xml:space="preserve">ilns. This will raise political resistance and ultimately put them out of business. </w:t>
            </w:r>
          </w:p>
          <w:p w:rsidR="0061232B" w:rsidRPr="006B2B20" w:rsidRDefault="0061232B" w:rsidP="00E84BAD">
            <w:pPr>
              <w:spacing w:after="0" w:line="240" w:lineRule="auto"/>
              <w:rPr>
                <w:rFonts w:cstheme="minorHAnsi"/>
                <w:sz w:val="18"/>
                <w:szCs w:val="18"/>
              </w:rPr>
            </w:pPr>
          </w:p>
        </w:tc>
      </w:tr>
    </w:tbl>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Pr="00156FA0" w:rsidRDefault="0061232B" w:rsidP="0061232B">
      <w:pPr>
        <w:spacing w:after="120"/>
        <w:jc w:val="center"/>
        <w:rPr>
          <w:rFonts w:cstheme="minorHAnsi"/>
          <w:b/>
        </w:rPr>
      </w:pPr>
      <w:r>
        <w:rPr>
          <w:rFonts w:cstheme="minorHAnsi"/>
          <w:b/>
        </w:rPr>
        <w:lastRenderedPageBreak/>
        <w:t>Annex XV</w:t>
      </w:r>
      <w:r w:rsidRPr="00156FA0">
        <w:rPr>
          <w:rFonts w:cstheme="minorHAnsi"/>
          <w:b/>
        </w:rPr>
        <w:t xml:space="preserve">: Selected Project Progress Report </w:t>
      </w:r>
      <w:r>
        <w:rPr>
          <w:rFonts w:cstheme="minorHAnsi"/>
          <w:b/>
        </w:rPr>
        <w:t>for Six Interventions up</w:t>
      </w:r>
      <w:r w:rsidRPr="00156FA0">
        <w:rPr>
          <w:rFonts w:cstheme="minorHAnsi"/>
          <w:b/>
        </w:rPr>
        <w:t xml:space="preserve">to December 2014 </w:t>
      </w:r>
    </w:p>
    <w:tbl>
      <w:tblPr>
        <w:tblStyle w:val="MediumShading1-Accent6"/>
        <w:tblW w:w="14310" w:type="dxa"/>
        <w:tblInd w:w="-432" w:type="dxa"/>
        <w:tblLook w:val="04A0" w:firstRow="1" w:lastRow="0" w:firstColumn="1" w:lastColumn="0" w:noHBand="0" w:noVBand="1"/>
      </w:tblPr>
      <w:tblGrid>
        <w:gridCol w:w="14310"/>
      </w:tblGrid>
      <w:tr w:rsidR="0061232B" w:rsidRPr="007C5F59" w:rsidTr="00E84B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rsidR="0061232B" w:rsidRPr="008C792D" w:rsidRDefault="0061232B" w:rsidP="0061232B">
            <w:pPr>
              <w:spacing w:after="0" w:line="240" w:lineRule="auto"/>
              <w:jc w:val="center"/>
              <w:rPr>
                <w:rFonts w:cstheme="minorHAnsi"/>
                <w:b w:val="0"/>
                <w:sz w:val="24"/>
                <w:szCs w:val="24"/>
              </w:rPr>
            </w:pPr>
            <w:r w:rsidRPr="008C792D">
              <w:rPr>
                <w:rFonts w:cstheme="minorHAnsi"/>
                <w:sz w:val="24"/>
                <w:szCs w:val="24"/>
              </w:rPr>
              <w:t>List of Selected Projects for Mid-Term Evaluation</w:t>
            </w:r>
          </w:p>
          <w:p w:rsidR="0061232B" w:rsidRPr="007C5F59" w:rsidRDefault="0061232B" w:rsidP="0061232B">
            <w:pPr>
              <w:spacing w:after="0" w:line="240" w:lineRule="auto"/>
              <w:jc w:val="center"/>
              <w:rPr>
                <w:rFonts w:cstheme="minorHAnsi"/>
                <w:b w:val="0"/>
                <w:sz w:val="18"/>
                <w:szCs w:val="18"/>
              </w:rPr>
            </w:pPr>
          </w:p>
        </w:tc>
      </w:tr>
      <w:tr w:rsidR="0061232B" w:rsidRPr="007C5F59" w:rsidTr="00E8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rsidR="0061232B" w:rsidRPr="007C5F59" w:rsidRDefault="0061232B" w:rsidP="0061232B">
            <w:pPr>
              <w:spacing w:after="0" w:line="240" w:lineRule="auto"/>
              <w:rPr>
                <w:rFonts w:cstheme="minorHAnsi"/>
                <w:b w:val="0"/>
                <w:sz w:val="18"/>
                <w:szCs w:val="18"/>
              </w:rPr>
            </w:pPr>
            <w:r w:rsidRPr="007C5F59">
              <w:rPr>
                <w:rFonts w:cstheme="minorHAnsi"/>
                <w:sz w:val="18"/>
                <w:szCs w:val="18"/>
              </w:rPr>
              <w:t>Country Program Outcome 3.1/UNDAF Outcome 5.1:</w:t>
            </w:r>
          </w:p>
          <w:p w:rsidR="0061232B" w:rsidRPr="007C5F59" w:rsidRDefault="0061232B" w:rsidP="0061232B">
            <w:pPr>
              <w:spacing w:after="0" w:line="240" w:lineRule="auto"/>
              <w:rPr>
                <w:rFonts w:cstheme="minorHAnsi"/>
                <w:b w:val="0"/>
                <w:i/>
                <w:sz w:val="18"/>
                <w:szCs w:val="18"/>
              </w:rPr>
            </w:pPr>
            <w:r w:rsidRPr="007C5F59">
              <w:rPr>
                <w:rFonts w:cstheme="minorHAnsi"/>
                <w:i/>
                <w:sz w:val="18"/>
                <w:szCs w:val="18"/>
              </w:rPr>
              <w:t>By 2016, populations vulnerable to climate change and natural disaster have become more resilient to adapt to ris</w:t>
            </w:r>
            <w:r>
              <w:rPr>
                <w:rFonts w:cstheme="minorHAnsi"/>
                <w:i/>
                <w:sz w:val="18"/>
                <w:szCs w:val="18"/>
              </w:rPr>
              <w:t>k</w:t>
            </w:r>
          </w:p>
          <w:p w:rsidR="0061232B" w:rsidRPr="007C5F59" w:rsidRDefault="0061232B" w:rsidP="0061232B">
            <w:pPr>
              <w:spacing w:after="0" w:line="240" w:lineRule="auto"/>
              <w:rPr>
                <w:rFonts w:cstheme="minorHAnsi"/>
                <w:b w:val="0"/>
                <w:i/>
                <w:sz w:val="18"/>
                <w:szCs w:val="18"/>
              </w:rPr>
            </w:pPr>
          </w:p>
        </w:tc>
      </w:tr>
      <w:tr w:rsidR="0061232B" w:rsidRPr="007C5F59" w:rsidTr="00E84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rsidR="0061232B" w:rsidRPr="007C5F59" w:rsidRDefault="0061232B" w:rsidP="0061232B">
            <w:pPr>
              <w:spacing w:after="0" w:line="240" w:lineRule="auto"/>
              <w:rPr>
                <w:rFonts w:cstheme="minorHAnsi"/>
                <w:b w:val="0"/>
                <w:sz w:val="18"/>
                <w:szCs w:val="18"/>
              </w:rPr>
            </w:pPr>
            <w:r w:rsidRPr="007C5F59">
              <w:rPr>
                <w:rFonts w:cstheme="minorHAnsi"/>
                <w:b w:val="0"/>
                <w:sz w:val="18"/>
                <w:szCs w:val="18"/>
              </w:rPr>
              <w:t>1. Comprehensive Disaster Management Programme (CDMP-II) (2010-2014)</w:t>
            </w:r>
          </w:p>
          <w:p w:rsidR="0061232B" w:rsidRPr="007C5F59" w:rsidRDefault="0061232B" w:rsidP="0061232B">
            <w:pPr>
              <w:spacing w:after="0" w:line="240" w:lineRule="auto"/>
              <w:rPr>
                <w:rFonts w:cstheme="minorHAnsi"/>
                <w:b w:val="0"/>
                <w:sz w:val="18"/>
                <w:szCs w:val="18"/>
              </w:rPr>
            </w:pPr>
            <w:r w:rsidRPr="007C5F59">
              <w:rPr>
                <w:rFonts w:cstheme="minorHAnsi"/>
                <w:b w:val="0"/>
                <w:sz w:val="18"/>
                <w:szCs w:val="18"/>
              </w:rPr>
              <w:t>2. Early Recovery Facility (ERF) (2011-2015)</w:t>
            </w:r>
          </w:p>
          <w:p w:rsidR="0061232B" w:rsidRPr="007C5F59" w:rsidRDefault="0061232B" w:rsidP="0061232B">
            <w:pPr>
              <w:spacing w:after="0" w:line="240" w:lineRule="auto"/>
              <w:rPr>
                <w:rFonts w:cstheme="minorHAnsi"/>
                <w:b w:val="0"/>
                <w:sz w:val="18"/>
                <w:szCs w:val="18"/>
              </w:rPr>
            </w:pPr>
            <w:r w:rsidRPr="007C5F59">
              <w:rPr>
                <w:rFonts w:cstheme="minorHAnsi"/>
                <w:b w:val="0"/>
                <w:sz w:val="18"/>
                <w:szCs w:val="18"/>
              </w:rPr>
              <w:t xml:space="preserve">3. Community Based Adaptation to Climate Change through Coastal Afforestation in </w:t>
            </w:r>
          </w:p>
          <w:p w:rsidR="0061232B" w:rsidRPr="007C5F59" w:rsidRDefault="0061232B" w:rsidP="0061232B">
            <w:pPr>
              <w:spacing w:after="0" w:line="240" w:lineRule="auto"/>
              <w:rPr>
                <w:rFonts w:cstheme="minorHAnsi"/>
                <w:b w:val="0"/>
                <w:sz w:val="18"/>
                <w:szCs w:val="18"/>
              </w:rPr>
            </w:pPr>
            <w:r w:rsidRPr="007C5F59">
              <w:rPr>
                <w:rFonts w:cstheme="minorHAnsi"/>
                <w:b w:val="0"/>
                <w:sz w:val="18"/>
                <w:szCs w:val="18"/>
              </w:rPr>
              <w:t xml:space="preserve">    Bangladesh (2006-2010) (E</w:t>
            </w:r>
            <w:r>
              <w:rPr>
                <w:rFonts w:cstheme="minorHAnsi"/>
                <w:b w:val="0"/>
                <w:sz w:val="18"/>
                <w:szCs w:val="18"/>
              </w:rPr>
              <w:t>K</w:t>
            </w:r>
            <w:r w:rsidRPr="007C5F59">
              <w:rPr>
                <w:rFonts w:cstheme="minorHAnsi"/>
                <w:b w:val="0"/>
                <w:sz w:val="18"/>
                <w:szCs w:val="18"/>
              </w:rPr>
              <w:t>N 2012-2015)</w:t>
            </w:r>
          </w:p>
          <w:p w:rsidR="0061232B" w:rsidRPr="007C5F59" w:rsidRDefault="0061232B" w:rsidP="0061232B">
            <w:pPr>
              <w:spacing w:after="0" w:line="240" w:lineRule="auto"/>
              <w:jc w:val="center"/>
              <w:rPr>
                <w:rFonts w:cstheme="minorHAnsi"/>
                <w:b w:val="0"/>
                <w:sz w:val="18"/>
                <w:szCs w:val="18"/>
              </w:rPr>
            </w:pPr>
          </w:p>
        </w:tc>
      </w:tr>
      <w:tr w:rsidR="0061232B" w:rsidRPr="007C5F59" w:rsidTr="00E8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rsidR="0061232B" w:rsidRPr="007C5F59" w:rsidRDefault="0061232B" w:rsidP="0061232B">
            <w:pPr>
              <w:spacing w:after="0" w:line="240" w:lineRule="auto"/>
              <w:rPr>
                <w:rFonts w:cstheme="minorHAnsi"/>
                <w:b w:val="0"/>
                <w:sz w:val="18"/>
                <w:szCs w:val="18"/>
              </w:rPr>
            </w:pPr>
            <w:r w:rsidRPr="007C5F59">
              <w:rPr>
                <w:rFonts w:cstheme="minorHAnsi"/>
                <w:sz w:val="18"/>
                <w:szCs w:val="18"/>
              </w:rPr>
              <w:t>Country Programme Outcome 3.2/UNDAF Outcome 5.2:</w:t>
            </w:r>
          </w:p>
          <w:p w:rsidR="0061232B" w:rsidRPr="007C5F59" w:rsidRDefault="0061232B" w:rsidP="0061232B">
            <w:pPr>
              <w:spacing w:after="0" w:line="240" w:lineRule="auto"/>
              <w:rPr>
                <w:rFonts w:cstheme="minorHAnsi"/>
                <w:b w:val="0"/>
                <w:i/>
                <w:sz w:val="18"/>
                <w:szCs w:val="18"/>
              </w:rPr>
            </w:pPr>
            <w:r w:rsidRPr="007C5F59">
              <w:rPr>
                <w:rFonts w:cstheme="minorHAnsi"/>
                <w:i/>
                <w:sz w:val="18"/>
                <w:szCs w:val="18"/>
              </w:rPr>
              <w:t>By 2016, vulnerable populations benefit from better natural resource management and access to low carbon energy</w:t>
            </w:r>
          </w:p>
          <w:p w:rsidR="0061232B" w:rsidRPr="007C5F59" w:rsidRDefault="0061232B" w:rsidP="0061232B">
            <w:pPr>
              <w:spacing w:after="0" w:line="240" w:lineRule="auto"/>
              <w:jc w:val="center"/>
              <w:rPr>
                <w:rFonts w:cstheme="minorHAnsi"/>
                <w:b w:val="0"/>
                <w:sz w:val="18"/>
                <w:szCs w:val="18"/>
              </w:rPr>
            </w:pPr>
          </w:p>
        </w:tc>
      </w:tr>
      <w:tr w:rsidR="0061232B" w:rsidRPr="007C5F59" w:rsidTr="00E84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tcPr>
          <w:p w:rsidR="0061232B" w:rsidRPr="007C5F59" w:rsidRDefault="0061232B" w:rsidP="0061232B">
            <w:pPr>
              <w:spacing w:after="0" w:line="240" w:lineRule="auto"/>
              <w:rPr>
                <w:rFonts w:cstheme="minorHAnsi"/>
                <w:b w:val="0"/>
                <w:sz w:val="18"/>
                <w:szCs w:val="18"/>
              </w:rPr>
            </w:pPr>
            <w:r w:rsidRPr="007C5F59">
              <w:rPr>
                <w:rFonts w:cstheme="minorHAnsi"/>
                <w:b w:val="0"/>
                <w:sz w:val="18"/>
                <w:szCs w:val="18"/>
              </w:rPr>
              <w:t>4. Barrier Removal for Energy Standards &amp; Labeling (BRESL) (2010-2014)</w:t>
            </w:r>
          </w:p>
          <w:p w:rsidR="0061232B" w:rsidRPr="007C5F59" w:rsidRDefault="0061232B" w:rsidP="0061232B">
            <w:pPr>
              <w:spacing w:after="0" w:line="240" w:lineRule="auto"/>
              <w:rPr>
                <w:rFonts w:cstheme="minorHAnsi"/>
                <w:b w:val="0"/>
                <w:sz w:val="18"/>
                <w:szCs w:val="18"/>
              </w:rPr>
            </w:pPr>
            <w:r w:rsidRPr="007C5F59">
              <w:rPr>
                <w:rFonts w:cstheme="minorHAnsi"/>
                <w:b w:val="0"/>
                <w:sz w:val="18"/>
                <w:szCs w:val="18"/>
              </w:rPr>
              <w:t xml:space="preserve">5. Improving </w:t>
            </w:r>
            <w:r>
              <w:rPr>
                <w:rFonts w:cstheme="minorHAnsi"/>
                <w:b w:val="0"/>
                <w:sz w:val="18"/>
                <w:szCs w:val="18"/>
              </w:rPr>
              <w:t>K</w:t>
            </w:r>
            <w:r w:rsidRPr="007C5F59">
              <w:rPr>
                <w:rFonts w:cstheme="minorHAnsi"/>
                <w:b w:val="0"/>
                <w:sz w:val="18"/>
                <w:szCs w:val="18"/>
              </w:rPr>
              <w:t>iln Efficiency in the Bric</w:t>
            </w:r>
            <w:r>
              <w:rPr>
                <w:rFonts w:cstheme="minorHAnsi"/>
                <w:b w:val="0"/>
                <w:sz w:val="18"/>
                <w:szCs w:val="18"/>
              </w:rPr>
              <w:t>k</w:t>
            </w:r>
            <w:r w:rsidRPr="007C5F59">
              <w:rPr>
                <w:rFonts w:cstheme="minorHAnsi"/>
                <w:b w:val="0"/>
                <w:sz w:val="18"/>
                <w:szCs w:val="18"/>
              </w:rPr>
              <w:t xml:space="preserve"> Ma</w:t>
            </w:r>
            <w:r>
              <w:rPr>
                <w:rFonts w:cstheme="minorHAnsi"/>
                <w:b w:val="0"/>
                <w:sz w:val="18"/>
                <w:szCs w:val="18"/>
              </w:rPr>
              <w:t>k</w:t>
            </w:r>
            <w:r w:rsidRPr="007C5F59">
              <w:rPr>
                <w:rFonts w:cstheme="minorHAnsi"/>
                <w:b w:val="0"/>
                <w:sz w:val="18"/>
                <w:szCs w:val="18"/>
              </w:rPr>
              <w:t>ing Industry (I</w:t>
            </w:r>
            <w:r>
              <w:rPr>
                <w:rFonts w:cstheme="minorHAnsi"/>
                <w:b w:val="0"/>
                <w:sz w:val="18"/>
                <w:szCs w:val="18"/>
              </w:rPr>
              <w:t>K</w:t>
            </w:r>
            <w:r w:rsidRPr="007C5F59">
              <w:rPr>
                <w:rFonts w:cstheme="minorHAnsi"/>
                <w:b w:val="0"/>
                <w:sz w:val="18"/>
                <w:szCs w:val="18"/>
              </w:rPr>
              <w:t>EMBI) (2009-2014)</w:t>
            </w:r>
          </w:p>
          <w:p w:rsidR="0061232B" w:rsidRPr="007C5F59" w:rsidRDefault="0061232B" w:rsidP="0061232B">
            <w:pPr>
              <w:spacing w:after="0" w:line="240" w:lineRule="auto"/>
              <w:rPr>
                <w:rFonts w:cstheme="minorHAnsi"/>
                <w:b w:val="0"/>
                <w:sz w:val="18"/>
                <w:szCs w:val="18"/>
              </w:rPr>
            </w:pPr>
            <w:r w:rsidRPr="007C5F59">
              <w:rPr>
                <w:rFonts w:cstheme="minorHAnsi"/>
                <w:b w:val="0"/>
                <w:sz w:val="18"/>
                <w:szCs w:val="18"/>
              </w:rPr>
              <w:t>6. Poverty Environment Climate Mainstreaming (PECM) (2009-2012)</w:t>
            </w:r>
          </w:p>
          <w:p w:rsidR="0061232B" w:rsidRPr="007C5F59" w:rsidRDefault="0061232B" w:rsidP="0061232B">
            <w:pPr>
              <w:spacing w:after="0" w:line="240" w:lineRule="auto"/>
              <w:jc w:val="center"/>
              <w:rPr>
                <w:rFonts w:cstheme="minorHAnsi"/>
                <w:b w:val="0"/>
                <w:sz w:val="18"/>
                <w:szCs w:val="18"/>
              </w:rPr>
            </w:pPr>
          </w:p>
        </w:tc>
      </w:tr>
    </w:tbl>
    <w:p w:rsidR="0061232B" w:rsidRPr="006844C8" w:rsidRDefault="0061232B" w:rsidP="0061232B">
      <w:pPr>
        <w:shd w:val="clear" w:color="auto" w:fill="92CDDC" w:themeFill="accent5" w:themeFillTint="99"/>
        <w:spacing w:after="0" w:line="240" w:lineRule="auto"/>
        <w:jc w:val="center"/>
        <w:rPr>
          <w:rFonts w:cstheme="minorHAnsi"/>
          <w:b/>
          <w:sz w:val="24"/>
          <w:szCs w:val="18"/>
        </w:rPr>
      </w:pPr>
      <w:bookmarkStart w:id="11" w:name="_Toc385513922"/>
      <w:bookmarkStart w:id="12" w:name="_Toc401235831"/>
      <w:r w:rsidRPr="006844C8">
        <w:rPr>
          <w:rFonts w:cstheme="minorHAnsi"/>
          <w:b/>
          <w:sz w:val="24"/>
          <w:szCs w:val="18"/>
        </w:rPr>
        <w:t>STATUS OF THE CDMP-II PROJECT OUTPUTS</w:t>
      </w:r>
      <w:bookmarkEnd w:id="11"/>
      <w:bookmarkEnd w:id="12"/>
    </w:p>
    <w:tbl>
      <w:tblPr>
        <w:tblW w:w="542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2597"/>
        <w:gridCol w:w="2508"/>
        <w:gridCol w:w="4602"/>
        <w:gridCol w:w="2251"/>
      </w:tblGrid>
      <w:tr w:rsidR="0061232B" w:rsidRPr="007C5F59" w:rsidTr="00E84BAD">
        <w:trPr>
          <w:trHeight w:val="85"/>
          <w:tblHeader/>
        </w:trPr>
        <w:tc>
          <w:tcPr>
            <w:tcW w:w="81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1232B" w:rsidRPr="008C792D" w:rsidRDefault="0061232B" w:rsidP="00E84BAD">
            <w:pPr>
              <w:spacing w:after="0" w:line="240" w:lineRule="auto"/>
              <w:rPr>
                <w:rFonts w:ascii="Cambria" w:hAnsi="Cambria"/>
                <w:i/>
                <w:sz w:val="20"/>
              </w:rPr>
            </w:pPr>
            <w:r w:rsidRPr="008C792D">
              <w:rPr>
                <w:rFonts w:ascii="Cambria" w:hAnsi="Cambria"/>
                <w:i/>
                <w:sz w:val="20"/>
                <w:u w:val="single"/>
              </w:rPr>
              <w:t>Program Title:</w:t>
            </w:r>
          </w:p>
          <w:p w:rsidR="0061232B" w:rsidRPr="008C792D" w:rsidRDefault="0061232B" w:rsidP="00E84BAD">
            <w:pPr>
              <w:autoSpaceDN w:val="0"/>
              <w:spacing w:after="0" w:line="240" w:lineRule="auto"/>
              <w:rPr>
                <w:rFonts w:cstheme="minorHAnsi"/>
                <w:b/>
                <w:i/>
                <w:sz w:val="18"/>
                <w:szCs w:val="18"/>
              </w:rPr>
            </w:pPr>
            <w:r w:rsidRPr="008C792D">
              <w:rPr>
                <w:rFonts w:cstheme="minorHAnsi"/>
                <w:b/>
                <w:i/>
                <w:sz w:val="18"/>
                <w:szCs w:val="18"/>
              </w:rPr>
              <w:t>Comprehensive Disaster Management Programme (CDMP-II) (2010-2014)</w:t>
            </w:r>
          </w:p>
        </w:tc>
        <w:tc>
          <w:tcPr>
            <w:tcW w:w="90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1232B" w:rsidRPr="007C5F59" w:rsidRDefault="0061232B" w:rsidP="00E84BAD">
            <w:pPr>
              <w:autoSpaceDN w:val="0"/>
              <w:spacing w:after="0" w:line="240" w:lineRule="auto"/>
              <w:rPr>
                <w:rFonts w:cstheme="minorHAnsi"/>
                <w:b/>
                <w:sz w:val="18"/>
                <w:szCs w:val="18"/>
              </w:rPr>
            </w:pPr>
            <w:r w:rsidRPr="007C5F59">
              <w:rPr>
                <w:rFonts w:cstheme="minorHAnsi"/>
                <w:b/>
                <w:sz w:val="18"/>
                <w:szCs w:val="18"/>
              </w:rPr>
              <w:t>Baseline End-2009</w:t>
            </w:r>
          </w:p>
        </w:tc>
        <w:tc>
          <w:tcPr>
            <w:tcW w:w="87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1232B" w:rsidRPr="007C5F59" w:rsidRDefault="0061232B" w:rsidP="00E84BAD">
            <w:pPr>
              <w:autoSpaceDN w:val="0"/>
              <w:spacing w:after="0" w:line="240" w:lineRule="auto"/>
              <w:rPr>
                <w:rFonts w:cstheme="minorHAnsi"/>
                <w:b/>
                <w:sz w:val="18"/>
                <w:szCs w:val="18"/>
              </w:rPr>
            </w:pPr>
            <w:r w:rsidRPr="007C5F59">
              <w:rPr>
                <w:rFonts w:cstheme="minorHAnsi"/>
                <w:b/>
                <w:sz w:val="18"/>
                <w:szCs w:val="18"/>
              </w:rPr>
              <w:t>2010-2015 Targets</w:t>
            </w:r>
          </w:p>
        </w:tc>
        <w:tc>
          <w:tcPr>
            <w:tcW w:w="160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1232B" w:rsidRPr="007C5F59" w:rsidRDefault="0061232B" w:rsidP="00E84BAD">
            <w:pPr>
              <w:autoSpaceDN w:val="0"/>
              <w:spacing w:after="0" w:line="240" w:lineRule="auto"/>
              <w:rPr>
                <w:rFonts w:cstheme="minorHAnsi"/>
                <w:b/>
                <w:sz w:val="18"/>
                <w:szCs w:val="18"/>
              </w:rPr>
            </w:pPr>
            <w:r w:rsidRPr="007C5F59">
              <w:rPr>
                <w:rFonts w:cstheme="minorHAnsi"/>
                <w:b/>
                <w:sz w:val="18"/>
                <w:szCs w:val="18"/>
              </w:rPr>
              <w:t>Progress in 2014</w:t>
            </w:r>
          </w:p>
        </w:tc>
        <w:tc>
          <w:tcPr>
            <w:tcW w:w="78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1232B" w:rsidRPr="007C5F59" w:rsidRDefault="0061232B" w:rsidP="00E84BAD">
            <w:pPr>
              <w:autoSpaceDN w:val="0"/>
              <w:spacing w:after="0" w:line="240" w:lineRule="auto"/>
              <w:rPr>
                <w:rFonts w:cstheme="minorHAnsi"/>
                <w:b/>
                <w:sz w:val="18"/>
                <w:szCs w:val="18"/>
              </w:rPr>
            </w:pPr>
            <w:r w:rsidRPr="007C5F59">
              <w:rPr>
                <w:rFonts w:cstheme="minorHAnsi"/>
                <w:b/>
                <w:sz w:val="18"/>
                <w:szCs w:val="18"/>
              </w:rPr>
              <w:t>Plan for 2015</w:t>
            </w:r>
          </w:p>
        </w:tc>
      </w:tr>
      <w:tr w:rsidR="0061232B" w:rsidRPr="007C5F59" w:rsidTr="00E84BAD">
        <w:trPr>
          <w:trHeight w:val="530"/>
        </w:trPr>
        <w:tc>
          <w:tcPr>
            <w:tcW w:w="5000"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232B" w:rsidRPr="007C5F59" w:rsidRDefault="0061232B" w:rsidP="00E84BAD">
            <w:pPr>
              <w:autoSpaceDN w:val="0"/>
              <w:spacing w:after="0" w:line="240" w:lineRule="auto"/>
              <w:ind w:hanging="18"/>
              <w:rPr>
                <w:rFonts w:cstheme="minorHAnsi"/>
                <w:b/>
                <w:sz w:val="18"/>
                <w:szCs w:val="18"/>
              </w:rPr>
            </w:pPr>
            <w:r w:rsidRPr="007C5F59">
              <w:rPr>
                <w:rFonts w:cstheme="minorHAnsi"/>
                <w:b/>
                <w:sz w:val="18"/>
                <w:szCs w:val="18"/>
              </w:rPr>
              <w:t>OUTCOME 1: The development of strong, well-managed and professional institutions in Bangladesh which are able to implement a comprehensive range of ris</w:t>
            </w:r>
            <w:r>
              <w:rPr>
                <w:rFonts w:cstheme="minorHAnsi"/>
                <w:b/>
                <w:sz w:val="18"/>
                <w:szCs w:val="18"/>
              </w:rPr>
              <w:t>k</w:t>
            </w:r>
            <w:r w:rsidRPr="007C5F59">
              <w:rPr>
                <w:rFonts w:cstheme="minorHAnsi"/>
                <w:b/>
                <w:sz w:val="18"/>
                <w:szCs w:val="18"/>
              </w:rPr>
              <w:t xml:space="preserve"> reduction programmes and interventions at national level, as well as contributing to regional actions and international learning and best practice.</w:t>
            </w:r>
          </w:p>
        </w:tc>
      </w:tr>
      <w:tr w:rsidR="0061232B" w:rsidRPr="007C5F59" w:rsidTr="00E84BAD">
        <w:trPr>
          <w:trHeight w:val="5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1232B" w:rsidRPr="007C5F59" w:rsidRDefault="0061232B" w:rsidP="00E84BAD">
            <w:pPr>
              <w:autoSpaceDN w:val="0"/>
              <w:spacing w:after="0" w:line="240" w:lineRule="auto"/>
              <w:ind w:hanging="18"/>
              <w:rPr>
                <w:rFonts w:cstheme="minorHAnsi"/>
                <w:b/>
                <w:sz w:val="18"/>
                <w:szCs w:val="18"/>
              </w:rPr>
            </w:pPr>
            <w:r w:rsidRPr="007C5F59">
              <w:rPr>
                <w:rFonts w:cstheme="minorHAnsi"/>
                <w:b/>
                <w:sz w:val="18"/>
                <w:szCs w:val="18"/>
              </w:rPr>
              <w:t xml:space="preserve">Output 1.1 </w:t>
            </w:r>
            <w:r w:rsidRPr="007C5F59">
              <w:rPr>
                <w:rFonts w:cstheme="minorHAnsi"/>
                <w:sz w:val="18"/>
                <w:szCs w:val="18"/>
              </w:rPr>
              <w:t>Approved and implemented policy and legislative framewor</w:t>
            </w:r>
            <w:r>
              <w:rPr>
                <w:rFonts w:cstheme="minorHAnsi"/>
                <w:sz w:val="18"/>
                <w:szCs w:val="18"/>
              </w:rPr>
              <w:t>k</w:t>
            </w:r>
            <w:r w:rsidRPr="007C5F59">
              <w:rPr>
                <w:rFonts w:cstheme="minorHAnsi"/>
                <w:sz w:val="18"/>
                <w:szCs w:val="18"/>
              </w:rPr>
              <w:t xml:space="preserve"> to guide disaster management reforms and programmes</w:t>
            </w:r>
          </w:p>
        </w:tc>
      </w:tr>
      <w:tr w:rsidR="0061232B" w:rsidRPr="007C5F59" w:rsidTr="00E84BAD">
        <w:trPr>
          <w:trHeight w:val="64"/>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left="-18"/>
              <w:rPr>
                <w:rFonts w:cstheme="minorHAnsi"/>
                <w:sz w:val="18"/>
                <w:szCs w:val="18"/>
              </w:rPr>
            </w:pPr>
            <w:r w:rsidRPr="007C5F59">
              <w:rPr>
                <w:rFonts w:cstheme="minorHAnsi"/>
                <w:sz w:val="18"/>
                <w:szCs w:val="18"/>
              </w:rPr>
              <w:t>1.1.1 Disaster Management Act is enacted and the derivative policies and regulations are adopted</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SOD revised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NDMP produced,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DM Act drafted</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7 rules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 SOD products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Final editing of English version of DM Act 2012 incorporating MoDMR feedbac</w:t>
            </w:r>
            <w:r>
              <w:rPr>
                <w:rFonts w:cstheme="minorHAnsi"/>
                <w:sz w:val="18"/>
                <w:szCs w:val="18"/>
              </w:rPr>
              <w:t>k</w:t>
            </w:r>
            <w:r w:rsidRPr="007C5F59">
              <w:rPr>
                <w:rFonts w:cstheme="minorHAnsi"/>
                <w:sz w:val="18"/>
                <w:szCs w:val="18"/>
              </w:rPr>
              <w:t xml:space="preserve"> is in progress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Seven Rules envisaged by the DM act 2012 have been drafted by CDMP has been accepted by MoDMR; Ministry forwarded four rules to the Ministry of Law for review.</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Published English version of DM Act</w:t>
            </w:r>
          </w:p>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 xml:space="preserve">Finalized 7 Draft DM Rules </w:t>
            </w:r>
          </w:p>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Published SOD Bangla version</w:t>
            </w:r>
          </w:p>
        </w:tc>
      </w:tr>
      <w:tr w:rsidR="0061232B" w:rsidRPr="007C5F59" w:rsidTr="00E84BAD">
        <w:trPr>
          <w:trHeight w:val="350"/>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left="-18"/>
              <w:rPr>
                <w:rFonts w:cstheme="minorHAnsi"/>
                <w:sz w:val="18"/>
                <w:szCs w:val="18"/>
              </w:rPr>
            </w:pPr>
            <w:r w:rsidRPr="007C5F59">
              <w:rPr>
                <w:rFonts w:cstheme="minorHAnsi"/>
                <w:sz w:val="18"/>
                <w:szCs w:val="18"/>
              </w:rPr>
              <w:t>1.1.2 Implementing / sectoral / thematic guidelines  as provided by the DM Act and SOD are formally endorsed by the IMDMCC</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General Guide to Practice Guide on DRR&amp;CCA mainstreaming in the planning and appraisal process</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hanging="90"/>
              <w:rPr>
                <w:rFonts w:cstheme="minorHAnsi"/>
                <w:sz w:val="18"/>
                <w:szCs w:val="18"/>
              </w:rPr>
            </w:pPr>
            <w:r w:rsidRPr="007C5F59">
              <w:rPr>
                <w:rFonts w:cstheme="minorHAnsi"/>
                <w:sz w:val="18"/>
                <w:szCs w:val="18"/>
              </w:rPr>
              <w:t>7 guidelines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Development of Emergency Response Management and Multi-Agency Disaster Incident Management Guidelines has been initiated</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 xml:space="preserve">Published English version of the Cyclone Shelter Guideline </w:t>
            </w:r>
          </w:p>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Published National Incident Management guideline</w:t>
            </w:r>
          </w:p>
        </w:tc>
      </w:tr>
      <w:tr w:rsidR="0061232B" w:rsidRPr="007C5F59" w:rsidTr="00E84BAD">
        <w:trPr>
          <w:trHeight w:val="350"/>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left="-18"/>
              <w:rPr>
                <w:rFonts w:cstheme="minorHAnsi"/>
                <w:sz w:val="18"/>
                <w:szCs w:val="18"/>
              </w:rPr>
            </w:pPr>
            <w:r w:rsidRPr="007C5F59">
              <w:rPr>
                <w:rFonts w:cstheme="minorHAnsi"/>
                <w:sz w:val="18"/>
                <w:szCs w:val="18"/>
              </w:rPr>
              <w:t xml:space="preserve">1.1.3   95% of development projects from 10 </w:t>
            </w:r>
            <w:r>
              <w:rPr>
                <w:rFonts w:cstheme="minorHAnsi"/>
                <w:sz w:val="18"/>
                <w:szCs w:val="18"/>
              </w:rPr>
              <w:t>k</w:t>
            </w:r>
            <w:r w:rsidRPr="007C5F59">
              <w:rPr>
                <w:rFonts w:cstheme="minorHAnsi"/>
                <w:sz w:val="18"/>
                <w:szCs w:val="18"/>
              </w:rPr>
              <w:t xml:space="preserve">ey </w:t>
            </w:r>
            <w:r w:rsidRPr="007C5F59">
              <w:rPr>
                <w:rFonts w:cstheme="minorHAnsi"/>
                <w:sz w:val="18"/>
                <w:szCs w:val="18"/>
              </w:rPr>
              <w:lastRenderedPageBreak/>
              <w:t>ministries meet the requirements of the ECNEC decision</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ECNEC Decision in 2007 on inclusion of ris</w:t>
            </w:r>
            <w:r>
              <w:rPr>
                <w:rFonts w:cstheme="minorHAnsi"/>
                <w:sz w:val="18"/>
                <w:szCs w:val="18"/>
              </w:rPr>
              <w:t>k</w:t>
            </w:r>
            <w:r w:rsidRPr="007C5F59">
              <w:rPr>
                <w:rFonts w:cstheme="minorHAnsi"/>
                <w:sz w:val="18"/>
                <w:szCs w:val="18"/>
              </w:rPr>
              <w:t xml:space="preserve"> assessment and </w:t>
            </w:r>
            <w:r w:rsidRPr="007C5F59">
              <w:rPr>
                <w:rFonts w:cstheme="minorHAnsi"/>
                <w:sz w:val="18"/>
                <w:szCs w:val="18"/>
              </w:rPr>
              <w:lastRenderedPageBreak/>
              <w:t>lessons learned in DPP and ECNEC meeting wor</w:t>
            </w:r>
            <w:r>
              <w:rPr>
                <w:rFonts w:cstheme="minorHAnsi"/>
                <w:sz w:val="18"/>
                <w:szCs w:val="18"/>
              </w:rPr>
              <w:t>k</w:t>
            </w:r>
            <w:r w:rsidRPr="007C5F59">
              <w:rPr>
                <w:rFonts w:cstheme="minorHAnsi"/>
                <w:sz w:val="18"/>
                <w:szCs w:val="18"/>
              </w:rPr>
              <w:t>ing paper</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Revised DPP template</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200 Govt. officials trained on </w:t>
            </w:r>
            <w:r w:rsidRPr="007C5F59">
              <w:rPr>
                <w:rFonts w:cstheme="minorHAnsi"/>
                <w:sz w:val="18"/>
                <w:szCs w:val="18"/>
              </w:rPr>
              <w:lastRenderedPageBreak/>
              <w:t>revised DPP (under Output 5.1)</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Reported in 5.1.1</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Output 1.2 MoDMR structure and s</w:t>
            </w:r>
            <w:r>
              <w:rPr>
                <w:rFonts w:cstheme="minorHAnsi"/>
                <w:sz w:val="18"/>
                <w:szCs w:val="18"/>
              </w:rPr>
              <w:t>k</w:t>
            </w:r>
            <w:r w:rsidRPr="007C5F59">
              <w:rPr>
                <w:rFonts w:cstheme="minorHAnsi"/>
                <w:sz w:val="18"/>
                <w:szCs w:val="18"/>
              </w:rPr>
              <w:t>ills improved to help the execution of revised Allocation of Business functions</w:t>
            </w:r>
          </w:p>
        </w:tc>
      </w:tr>
      <w:tr w:rsidR="0061232B" w:rsidRPr="007C5F59" w:rsidTr="00E84BAD">
        <w:trPr>
          <w:trHeight w:val="34"/>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hanging="18"/>
              <w:rPr>
                <w:rFonts w:cstheme="minorHAnsi"/>
                <w:sz w:val="18"/>
                <w:szCs w:val="18"/>
              </w:rPr>
            </w:pPr>
            <w:r w:rsidRPr="007C5F59">
              <w:rPr>
                <w:rFonts w:cstheme="minorHAnsi"/>
                <w:sz w:val="18"/>
                <w:szCs w:val="18"/>
              </w:rPr>
              <w:t>1.2.1.  MoDMR structural adjustment is implemented according to the AOB and DM Act</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Concept Note on MoDMR/MoDMR Organizational Reform</w:t>
            </w:r>
          </w:p>
        </w:tc>
        <w:tc>
          <w:tcPr>
            <w:tcW w:w="87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Rules for establishment of Department of Disaster Management, National DM Training and Research Institute; National DM Volunteer Corps drafted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Establishment of National DM Training and Research Institute</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Draft DM Rules have been finalized by MoDMR and vetting from the Ministry of Law has been completed.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Draft organogram, recruitment rules and the schedule of staffing of the DM Research and Training Institute has developed; review of the draft is on-going.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Draft “Volunteer Institution Framewor</w:t>
            </w:r>
            <w:r>
              <w:rPr>
                <w:rFonts w:cstheme="minorHAnsi"/>
                <w:sz w:val="18"/>
                <w:szCs w:val="18"/>
              </w:rPr>
              <w:t>k</w:t>
            </w:r>
            <w:r w:rsidRPr="007C5F59">
              <w:rPr>
                <w:rFonts w:cstheme="minorHAnsi"/>
                <w:sz w:val="18"/>
                <w:szCs w:val="18"/>
              </w:rPr>
              <w:t>” prepared and submitted by short-term consultant.</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Improved the draft on rules for Disaster Management Fund based on ministry feedbac</w:t>
            </w:r>
            <w:r>
              <w:rPr>
                <w:rFonts w:cstheme="minorHAnsi"/>
                <w:sz w:val="18"/>
                <w:szCs w:val="18"/>
              </w:rPr>
              <w:t>k</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Finalized rules for DM training and research institute</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Finalized Disaster Volunteer Organization Framewor</w:t>
            </w:r>
            <w:r>
              <w:rPr>
                <w:rFonts w:cstheme="minorHAnsi"/>
                <w:sz w:val="18"/>
                <w:szCs w:val="18"/>
              </w:rPr>
              <w:t>k</w:t>
            </w:r>
            <w:r w:rsidRPr="007C5F59">
              <w:rPr>
                <w:rFonts w:cstheme="minorHAnsi"/>
                <w:sz w:val="18"/>
                <w:szCs w:val="18"/>
              </w:rPr>
              <w:t xml:space="preserve"> and Guidelines</w:t>
            </w:r>
          </w:p>
        </w:tc>
      </w:tr>
      <w:tr w:rsidR="0061232B" w:rsidRPr="007C5F59" w:rsidTr="00E84BAD">
        <w:trPr>
          <w:trHeight w:val="34"/>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hanging="18"/>
              <w:rPr>
                <w:rFonts w:cstheme="minorHAnsi"/>
                <w:sz w:val="18"/>
                <w:szCs w:val="18"/>
              </w:rPr>
            </w:pPr>
            <w:r w:rsidRPr="007C5F59">
              <w:rPr>
                <w:rFonts w:cstheme="minorHAnsi"/>
                <w:sz w:val="18"/>
                <w:szCs w:val="18"/>
              </w:rPr>
              <w:t>1.2.2 Capacity development of MoDMR&amp; DDM professionals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Finalized the ToR for consultant on capacity needs assessment, forwarded to UNDP for online advertisement (UNDP Website)</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Finalized needs assessment report on Capacity development of MoDMR&amp; DDM professionals</w:t>
            </w:r>
          </w:p>
        </w:tc>
      </w:tr>
      <w:tr w:rsidR="0061232B" w:rsidRPr="007C5F59" w:rsidTr="00E84BAD">
        <w:trPr>
          <w:trHeight w:val="34"/>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hanging="18"/>
              <w:rPr>
                <w:rFonts w:cstheme="minorHAnsi"/>
                <w:sz w:val="18"/>
                <w:szCs w:val="18"/>
              </w:rPr>
            </w:pPr>
            <w:r w:rsidRPr="007C5F59">
              <w:rPr>
                <w:rFonts w:cstheme="minorHAnsi"/>
                <w:sz w:val="18"/>
                <w:szCs w:val="18"/>
              </w:rPr>
              <w:t>1.2.3. MoDMR Professional development programme based on AOB is implemented</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MoDMR revised AoB</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Draft MoDMR Professional Development Strategy</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60 MoDMR staff trained on DRR&amp;CCA</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 draft training module is shared with MoDMR</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Trained 30 professionals on on AOB and modern concepts of DM</w:t>
            </w:r>
          </w:p>
        </w:tc>
      </w:tr>
      <w:tr w:rsidR="0061232B" w:rsidRPr="007C5F59" w:rsidTr="00E84BAD">
        <w:trPr>
          <w:trHeight w:val="5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1.3 Strengthened collaborative partnerships, information management and liaison capability</w:t>
            </w:r>
          </w:p>
        </w:tc>
      </w:tr>
      <w:tr w:rsidR="0061232B" w:rsidRPr="007C5F59" w:rsidTr="00E84BAD">
        <w:trPr>
          <w:trHeight w:val="440"/>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hanging="18"/>
              <w:rPr>
                <w:rFonts w:cstheme="minorHAnsi"/>
                <w:sz w:val="18"/>
                <w:szCs w:val="18"/>
              </w:rPr>
            </w:pPr>
            <w:r w:rsidRPr="007C5F59">
              <w:rPr>
                <w:rFonts w:cstheme="minorHAnsi"/>
                <w:sz w:val="18"/>
                <w:szCs w:val="18"/>
              </w:rPr>
              <w:t>1.3.1 DER Secretariat &amp; DRR Platform Secretariat are fully operational elements of the MoDMR</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DER Secretariat with WFP/UNDP</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DER Secretariat established and operational with MoDMR</w:t>
            </w:r>
          </w:p>
          <w:p w:rsidR="0061232B" w:rsidRPr="007C5F59" w:rsidRDefault="0061232B" w:rsidP="00E84BAD">
            <w:pPr>
              <w:autoSpaceDN w:val="0"/>
              <w:spacing w:after="0" w:line="240" w:lineRule="auto"/>
              <w:rPr>
                <w:rFonts w:cstheme="minorHAnsi"/>
                <w:sz w:val="18"/>
                <w:szCs w:val="18"/>
              </w:rPr>
            </w:pP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Activity dropped, inter-ministerial coordination committee will lead the activity.</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440"/>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1.3.2 HFA monitoring, reporting and post-HFA system is operational</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Regular HFA reporting </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HFA monitoring reports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Inputs provided to MoDMR on Post 2015 (HFA) agenda for CBDRR and other priority area for building resilience community and nation to be presented at CBDM policy wor</w:t>
            </w:r>
            <w:r>
              <w:rPr>
                <w:rFonts w:cstheme="minorHAnsi"/>
                <w:sz w:val="18"/>
                <w:szCs w:val="18"/>
              </w:rPr>
              <w:t>k</w:t>
            </w:r>
            <w:r w:rsidRPr="007C5F59">
              <w:rPr>
                <w:rFonts w:cstheme="minorHAnsi"/>
                <w:sz w:val="18"/>
                <w:szCs w:val="18"/>
              </w:rPr>
              <w:t>shop in China.</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The draft report on contribution to HFA2 Asia Pacific from Bangladesh is prepared and sent to UNISDR by DDM, MoDMR.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Shared Bangladesh country position and the outcome of Prep Com 1 meeting (held in Geneva) with the interagency tas</w:t>
            </w:r>
            <w:r>
              <w:rPr>
                <w:rFonts w:cstheme="minorHAnsi"/>
                <w:sz w:val="18"/>
                <w:szCs w:val="18"/>
              </w:rPr>
              <w:t>k</w:t>
            </w:r>
            <w:r w:rsidRPr="007C5F59">
              <w:rPr>
                <w:rFonts w:cstheme="minorHAnsi"/>
                <w:sz w:val="18"/>
                <w:szCs w:val="18"/>
              </w:rPr>
              <w:t xml:space="preserve"> team of HFA2.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Draft HFA report (2013-2015) shared with MoDMR; being finalized for publication incorporating MoDMR inputs.</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Finalized the Post -2015 Framewor</w:t>
            </w:r>
            <w:r>
              <w:rPr>
                <w:rFonts w:cstheme="minorHAnsi"/>
                <w:sz w:val="18"/>
                <w:szCs w:val="18"/>
              </w:rPr>
              <w:t>k</w:t>
            </w:r>
            <w:r w:rsidRPr="007C5F59">
              <w:rPr>
                <w:rFonts w:cstheme="minorHAnsi"/>
                <w:sz w:val="18"/>
                <w:szCs w:val="18"/>
              </w:rPr>
              <w:t xml:space="preserve"> (HFA2) through consultation wor</w:t>
            </w:r>
            <w:r>
              <w:rPr>
                <w:rFonts w:cstheme="minorHAnsi"/>
                <w:sz w:val="18"/>
                <w:szCs w:val="18"/>
              </w:rPr>
              <w:t>k</w:t>
            </w:r>
            <w:r w:rsidRPr="007C5F59">
              <w:rPr>
                <w:rFonts w:cstheme="minorHAnsi"/>
                <w:sz w:val="18"/>
                <w:szCs w:val="18"/>
              </w:rPr>
              <w:t>shops for submission to UNISDR</w:t>
            </w:r>
          </w:p>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440"/>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lastRenderedPageBreak/>
              <w:t>1.3.3 Fully operational NGO Coordination mechanisms</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Regular NGO Coordination meetings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No. of coordinated programme intervention</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4W database</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Data collection format for 4W database developed and shared with partners/sta</w:t>
            </w:r>
            <w:r>
              <w:rPr>
                <w:rFonts w:cstheme="minorHAnsi"/>
                <w:sz w:val="18"/>
                <w:szCs w:val="18"/>
              </w:rPr>
              <w:t>k</w:t>
            </w:r>
            <w:r w:rsidRPr="007C5F59">
              <w:rPr>
                <w:rFonts w:cstheme="minorHAnsi"/>
                <w:sz w:val="18"/>
                <w:szCs w:val="18"/>
              </w:rPr>
              <w:t>eholders; Data generation process is in progress.</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5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1.4 Decentralised capacity building  and professional development structures established and providing quality support</w:t>
            </w:r>
          </w:p>
        </w:tc>
      </w:tr>
      <w:tr w:rsidR="0061232B" w:rsidRPr="007C5F59" w:rsidTr="00E84BAD">
        <w:trPr>
          <w:trHeight w:val="288"/>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hanging="18"/>
              <w:rPr>
                <w:rFonts w:cstheme="minorHAnsi"/>
                <w:sz w:val="18"/>
                <w:szCs w:val="18"/>
              </w:rPr>
            </w:pPr>
            <w:r w:rsidRPr="007C5F59">
              <w:rPr>
                <w:rFonts w:cstheme="minorHAnsi"/>
                <w:sz w:val="18"/>
                <w:szCs w:val="18"/>
              </w:rPr>
              <w:t>1.4.1 National DM Training and Education strategies developed under CDMP I fully implemented</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National DM Training and Education strategy documents developed and partially implemented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Established Centre for Disaster Management and Vulnerability Studies under Dept. of Sociology, DU</w:t>
            </w:r>
          </w:p>
        </w:tc>
        <w:tc>
          <w:tcPr>
            <w:tcW w:w="87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240 research grants for university scholars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160 post graduate studies sponsored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 updated training manuals</w:t>
            </w:r>
          </w:p>
          <w:p w:rsidR="0061232B" w:rsidRPr="007C5F59" w:rsidRDefault="0061232B" w:rsidP="00E84BAD">
            <w:pPr>
              <w:autoSpaceDN w:val="0"/>
              <w:spacing w:after="0" w:line="240" w:lineRule="auto"/>
              <w:ind w:hanging="90"/>
              <w:rPr>
                <w:rFonts w:cstheme="minorHAnsi"/>
                <w:sz w:val="18"/>
                <w:szCs w:val="18"/>
              </w:rPr>
            </w:pP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Provided partial grants support to 20 students of 1st batch undergraduate students of DM faculty of PSTU for research. 20 students submitted research papers and achieved graduation certificate</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Supported completion of DM Post Grad studies of at least 80 GoB officials</w:t>
            </w:r>
          </w:p>
        </w:tc>
      </w:tr>
      <w:tr w:rsidR="0061232B" w:rsidRPr="007C5F59" w:rsidTr="00E84BAD">
        <w:trPr>
          <w:trHeight w:val="288"/>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1.4.2 BDMERT is fully functional and providing demonstrated quality DRR &amp; CCA training and education services </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Established BD disaster management education, research and training (BDMERT) Networ</w:t>
            </w:r>
            <w:r>
              <w:rPr>
                <w:rFonts w:cstheme="minorHAnsi"/>
                <w:sz w:val="18"/>
                <w:szCs w:val="18"/>
              </w:rPr>
              <w:t>k</w:t>
            </w:r>
            <w:r w:rsidRPr="007C5F59">
              <w:rPr>
                <w:rFonts w:cstheme="minorHAnsi"/>
                <w:sz w:val="18"/>
                <w:szCs w:val="18"/>
              </w:rPr>
              <w:t xml:space="preserve"> with 21 public training and academic institutions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Trained 235 university teachers and public training institutes’ faculties on DRR&amp;CC as trainers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125 DRR&amp;CC diploma graduates and research grant recipients</w:t>
            </w:r>
          </w:p>
        </w:tc>
        <w:tc>
          <w:tcPr>
            <w:tcW w:w="87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Networ</w:t>
            </w:r>
            <w:r>
              <w:rPr>
                <w:rFonts w:cstheme="minorHAnsi"/>
                <w:sz w:val="18"/>
                <w:szCs w:val="18"/>
              </w:rPr>
              <w:t>k</w:t>
            </w:r>
            <w:r w:rsidRPr="007C5F59">
              <w:rPr>
                <w:rFonts w:cstheme="minorHAnsi"/>
                <w:sz w:val="18"/>
                <w:szCs w:val="18"/>
              </w:rPr>
              <w:t xml:space="preserve"> with 41 institutions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30 reference corners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700 titles of boo</w:t>
            </w:r>
            <w:r>
              <w:rPr>
                <w:rFonts w:cstheme="minorHAnsi"/>
                <w:sz w:val="18"/>
                <w:szCs w:val="18"/>
              </w:rPr>
              <w:t>k</w:t>
            </w:r>
            <w:r w:rsidRPr="007C5F59">
              <w:rPr>
                <w:rFonts w:cstheme="minorHAnsi"/>
                <w:sz w:val="18"/>
                <w:szCs w:val="18"/>
              </w:rPr>
              <w:t>s procured and distributed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28 institutions with revised curricula</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475 GoB officials trained on DRR&amp;CCA</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22 sponsored events</w:t>
            </w:r>
          </w:p>
          <w:p w:rsidR="0061232B" w:rsidRPr="007C5F59" w:rsidRDefault="0061232B" w:rsidP="00E84BAD">
            <w:pPr>
              <w:spacing w:after="0" w:line="240" w:lineRule="auto"/>
              <w:ind w:hanging="90"/>
              <w:rPr>
                <w:rFonts w:cstheme="minorHAnsi"/>
                <w:sz w:val="18"/>
                <w:szCs w:val="18"/>
              </w:rPr>
            </w:pPr>
          </w:p>
          <w:p w:rsidR="0061232B" w:rsidRPr="007C5F59" w:rsidRDefault="0061232B" w:rsidP="00E84BAD">
            <w:pPr>
              <w:autoSpaceDN w:val="0"/>
              <w:spacing w:after="0" w:line="240" w:lineRule="auto"/>
              <w:ind w:hanging="90"/>
              <w:rPr>
                <w:rFonts w:cstheme="minorHAnsi"/>
                <w:sz w:val="18"/>
                <w:szCs w:val="18"/>
              </w:rPr>
            </w:pP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GIS and RS lab  procurement completed in BRUR, 45 police officers  orientated on current development of Disaster Management institutional framewor</w:t>
            </w:r>
            <w:r>
              <w:rPr>
                <w:rFonts w:cstheme="minorHAnsi"/>
                <w:sz w:val="18"/>
                <w:szCs w:val="18"/>
              </w:rPr>
              <w:t>k</w:t>
            </w:r>
            <w:r w:rsidRPr="007C5F59">
              <w:rPr>
                <w:rFonts w:cstheme="minorHAnsi"/>
                <w:sz w:val="18"/>
                <w:szCs w:val="18"/>
              </w:rPr>
              <w:t xml:space="preserve"> and role of police in Disaster Management in a  wor</w:t>
            </w:r>
            <w:r>
              <w:rPr>
                <w:rFonts w:cstheme="minorHAnsi"/>
                <w:sz w:val="18"/>
                <w:szCs w:val="18"/>
              </w:rPr>
              <w:t>k</w:t>
            </w:r>
            <w:r w:rsidRPr="007C5F59">
              <w:rPr>
                <w:rFonts w:cstheme="minorHAnsi"/>
                <w:sz w:val="18"/>
                <w:szCs w:val="18"/>
              </w:rPr>
              <w:t>shop held on 22 April at the Police Staff College Bangladesh venue</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A seminar titled “Disaster Preparedness and Response System in Bangladesh” held in Defence Services Command and Staff College, Mirpur Cantonment where 214 Defence Personnel oriented on the course out of which 162 are Bangladeshi and 52 are overseas officers from 22 friendly countries.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 course titled “Disaster and Ris</w:t>
            </w:r>
            <w:r>
              <w:rPr>
                <w:rFonts w:cstheme="minorHAnsi"/>
                <w:sz w:val="18"/>
                <w:szCs w:val="18"/>
              </w:rPr>
              <w:t>k</w:t>
            </w:r>
            <w:r w:rsidRPr="007C5F59">
              <w:rPr>
                <w:rFonts w:cstheme="minorHAnsi"/>
                <w:sz w:val="18"/>
                <w:szCs w:val="18"/>
              </w:rPr>
              <w:t xml:space="preserve"> Governance” have been incorporated in the Public Administration Department under the University of Dha</w:t>
            </w:r>
            <w:r>
              <w:rPr>
                <w:rFonts w:cstheme="minorHAnsi"/>
                <w:sz w:val="18"/>
                <w:szCs w:val="18"/>
              </w:rPr>
              <w:t>k</w:t>
            </w:r>
            <w:r w:rsidRPr="007C5F59">
              <w:rPr>
                <w:rFonts w:cstheme="minorHAnsi"/>
                <w:sz w:val="18"/>
                <w:szCs w:val="18"/>
              </w:rPr>
              <w:t>a on September 15, 2014</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BDMERT Networ</w:t>
            </w:r>
            <w:r>
              <w:rPr>
                <w:rFonts w:cstheme="minorHAnsi"/>
                <w:sz w:val="18"/>
                <w:szCs w:val="18"/>
              </w:rPr>
              <w:t>k</w:t>
            </w:r>
            <w:r w:rsidRPr="007C5F59">
              <w:rPr>
                <w:rFonts w:cstheme="minorHAnsi"/>
                <w:sz w:val="18"/>
                <w:szCs w:val="18"/>
              </w:rPr>
              <w:t xml:space="preserve"> secretariat established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4 more universities/ academic institutions supported to establish DRR &amp; CCA programme –curriculum development.</w:t>
            </w:r>
          </w:p>
        </w:tc>
      </w:tr>
      <w:tr w:rsidR="0061232B" w:rsidRPr="007C5F59" w:rsidTr="00E84BAD">
        <w:trPr>
          <w:trHeight w:val="288"/>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1.4.3 National standards on  DRR &amp; CCA capacity building is adopted by the national tas</w:t>
            </w:r>
            <w:r>
              <w:rPr>
                <w:rFonts w:cstheme="minorHAnsi"/>
                <w:sz w:val="18"/>
                <w:szCs w:val="18"/>
              </w:rPr>
              <w:t>k</w:t>
            </w:r>
            <w:r w:rsidRPr="007C5F59">
              <w:rPr>
                <w:rFonts w:cstheme="minorHAnsi"/>
                <w:sz w:val="18"/>
                <w:szCs w:val="18"/>
              </w:rPr>
              <w:t xml:space="preserve"> force and BDMERT</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5-daylong professional DM training module and 14-wee</w:t>
            </w:r>
            <w:r>
              <w:rPr>
                <w:rFonts w:cstheme="minorHAnsi"/>
                <w:sz w:val="18"/>
                <w:szCs w:val="18"/>
              </w:rPr>
              <w:t>k</w:t>
            </w:r>
            <w:r w:rsidRPr="007C5F59">
              <w:rPr>
                <w:rFonts w:cstheme="minorHAnsi"/>
                <w:sz w:val="18"/>
                <w:szCs w:val="18"/>
              </w:rPr>
              <w:t>s diploma course curricula on DRR&amp;CC</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Trained around 800 BCS cadre officials and disaster professionals </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Revised DMC training manual</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5 standardized training modules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Training certification system</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Review of training module completed and submitted to DDM.</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288"/>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1.4.4 Internet-based training is implemented </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12 E-learning centres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1500 e-module graduates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A total of 11 E-learning Centre established.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Interactive e-learning facilities are also available online (</w:t>
            </w:r>
            <w:hyperlink r:id="rId20" w:history="1">
              <w:r w:rsidRPr="007C5F59">
                <w:rPr>
                  <w:rFonts w:cstheme="minorHAnsi"/>
                  <w:sz w:val="18"/>
                  <w:szCs w:val="18"/>
                </w:rPr>
                <w:t>http://elearning.cdmp.org.bd/</w:t>
              </w:r>
            </w:hyperlink>
            <w:r w:rsidRPr="007C5F59">
              <w:rPr>
                <w:rFonts w:cstheme="minorHAnsi"/>
                <w:sz w:val="18"/>
                <w:szCs w:val="18"/>
              </w:rPr>
              <w:t xml:space="preserve">). So far, 3258  online hits (913 unique entries) recorded in the e-learning site.222 </w:t>
            </w:r>
            <w:r w:rsidRPr="007C5F59">
              <w:rPr>
                <w:rFonts w:cstheme="minorHAnsi"/>
                <w:sz w:val="18"/>
                <w:szCs w:val="18"/>
              </w:rPr>
              <w:lastRenderedPageBreak/>
              <w:t>persons enrolled in the platform.</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IEC material developed; 5000 stic</w:t>
            </w:r>
            <w:r>
              <w:rPr>
                <w:rFonts w:cstheme="minorHAnsi"/>
                <w:sz w:val="18"/>
                <w:szCs w:val="18"/>
              </w:rPr>
              <w:t>k</w:t>
            </w:r>
            <w:r w:rsidRPr="007C5F59">
              <w:rPr>
                <w:rFonts w:cstheme="minorHAnsi"/>
                <w:sz w:val="18"/>
                <w:szCs w:val="18"/>
              </w:rPr>
              <w:t>er printed and disseminated. E-learning has been promoted through Prevention web and Relief web networ</w:t>
            </w:r>
            <w:r>
              <w:rPr>
                <w:rFonts w:cstheme="minorHAnsi"/>
                <w:sz w:val="18"/>
                <w:szCs w:val="18"/>
              </w:rPr>
              <w:t>k</w:t>
            </w:r>
            <w:r w:rsidRPr="007C5F59">
              <w:rPr>
                <w:rFonts w:cstheme="minorHAnsi"/>
                <w:sz w:val="18"/>
                <w:szCs w:val="18"/>
              </w:rPr>
              <w:t xml:space="preserve"> (online)</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lastRenderedPageBreak/>
              <w:t>Graduated at least 1000 participants of the E-learning courses</w:t>
            </w:r>
          </w:p>
        </w:tc>
      </w:tr>
      <w:tr w:rsidR="0061232B" w:rsidRPr="007C5F59" w:rsidTr="00E84BAD">
        <w:trPr>
          <w:trHeight w:val="5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lastRenderedPageBreak/>
              <w:t>Output 1.5 Sustained MoDMR and sectoral ministries capability to effectively contribute to international and regional initiatives</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hanging="18"/>
              <w:rPr>
                <w:rFonts w:cstheme="minorHAnsi"/>
                <w:sz w:val="18"/>
                <w:szCs w:val="18"/>
              </w:rPr>
            </w:pPr>
            <w:r w:rsidRPr="007C5F59">
              <w:rPr>
                <w:rFonts w:cstheme="minorHAnsi"/>
                <w:sz w:val="18"/>
                <w:szCs w:val="18"/>
              </w:rPr>
              <w:t>1.5.1 Bangladesh leadership and participation in regional and international forums on DRR &amp; CCA such as Global Platform, AMCDRR, etc.</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MoDMR participation in the international forums were regular</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BD attended all the COP/MOP/UNFCCC meetings</w:t>
            </w:r>
          </w:p>
        </w:tc>
        <w:tc>
          <w:tcPr>
            <w:tcW w:w="87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 overseas mission are sponsored</w:t>
            </w:r>
          </w:p>
          <w:p w:rsidR="0061232B" w:rsidRPr="007C5F59" w:rsidRDefault="0061232B" w:rsidP="00E84BAD">
            <w:pPr>
              <w:autoSpaceDN w:val="0"/>
              <w:spacing w:after="0" w:line="240" w:lineRule="auto"/>
              <w:ind w:hanging="90"/>
              <w:rPr>
                <w:rFonts w:cstheme="minorHAnsi"/>
                <w:sz w:val="18"/>
                <w:szCs w:val="18"/>
              </w:rPr>
            </w:pP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Pr>
                <w:rFonts w:cstheme="minorHAnsi"/>
                <w:sz w:val="18"/>
                <w:szCs w:val="18"/>
              </w:rPr>
              <w:t>K</w:t>
            </w:r>
            <w:r w:rsidRPr="007C5F59">
              <w:rPr>
                <w:rFonts w:cstheme="minorHAnsi"/>
                <w:sz w:val="18"/>
                <w:szCs w:val="18"/>
              </w:rPr>
              <w:t>nowledge materials displayed in the 8th CBA Conference in Nepal. Poster titled “Financing DRR” was displayed.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Two papers presented in national conference on CBA (19-20 April 2014);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Facilitating the coordination of Bangladesh participation in 6th AMCDRR; Bangladesh delegates organized 14 different events included side/pre-conference, plenary, bi-lateral dialogue and also too</w:t>
            </w:r>
            <w:r>
              <w:rPr>
                <w:rFonts w:cstheme="minorHAnsi"/>
                <w:sz w:val="18"/>
                <w:szCs w:val="18"/>
              </w:rPr>
              <w:t>k</w:t>
            </w:r>
            <w:r w:rsidRPr="007C5F59">
              <w:rPr>
                <w:rFonts w:cstheme="minorHAnsi"/>
                <w:sz w:val="18"/>
                <w:szCs w:val="18"/>
              </w:rPr>
              <w:t xml:space="preserve"> part in the session as panelist.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Facilitated MoDMR participation in WCDRR side event.</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Contributed in drafting of post-2015 DRR framewor</w:t>
            </w:r>
            <w:r>
              <w:rPr>
                <w:rFonts w:cstheme="minorHAnsi"/>
                <w:sz w:val="18"/>
                <w:szCs w:val="18"/>
              </w:rPr>
              <w:t>k</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IEC materials developed for showcasing  in WCDRR and AMCDRR</w:t>
            </w: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Output 1.6 ‘</w:t>
            </w:r>
            <w:r>
              <w:rPr>
                <w:rFonts w:cstheme="minorHAnsi"/>
                <w:sz w:val="18"/>
                <w:szCs w:val="18"/>
              </w:rPr>
              <w:t>K</w:t>
            </w:r>
            <w:r w:rsidRPr="007C5F59">
              <w:rPr>
                <w:rFonts w:cstheme="minorHAnsi"/>
                <w:sz w:val="18"/>
                <w:szCs w:val="18"/>
              </w:rPr>
              <w:t xml:space="preserve">nowledge Services Centre’ established and providing efficient quality </w:t>
            </w:r>
            <w:r>
              <w:rPr>
                <w:rFonts w:cstheme="minorHAnsi"/>
                <w:sz w:val="18"/>
                <w:szCs w:val="18"/>
              </w:rPr>
              <w:t>K</w:t>
            </w:r>
            <w:r w:rsidRPr="007C5F59">
              <w:rPr>
                <w:rFonts w:cstheme="minorHAnsi"/>
                <w:sz w:val="18"/>
                <w:szCs w:val="18"/>
              </w:rPr>
              <w:t>M service to disaster management</w:t>
            </w:r>
          </w:p>
        </w:tc>
      </w:tr>
      <w:tr w:rsidR="0061232B" w:rsidRPr="007C5F59" w:rsidTr="00E84BAD">
        <w:trPr>
          <w:trHeight w:val="38"/>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hanging="18"/>
              <w:rPr>
                <w:rFonts w:cstheme="minorHAnsi"/>
                <w:sz w:val="18"/>
                <w:szCs w:val="18"/>
              </w:rPr>
            </w:pPr>
            <w:r w:rsidRPr="007C5F59">
              <w:rPr>
                <w:rFonts w:cstheme="minorHAnsi"/>
                <w:sz w:val="18"/>
                <w:szCs w:val="18"/>
              </w:rPr>
              <w:t xml:space="preserve">1.6.1 National </w:t>
            </w:r>
            <w:r>
              <w:rPr>
                <w:rFonts w:cstheme="minorHAnsi"/>
                <w:sz w:val="18"/>
                <w:szCs w:val="18"/>
              </w:rPr>
              <w:t>k</w:t>
            </w:r>
            <w:r w:rsidRPr="007C5F59">
              <w:rPr>
                <w:rFonts w:cstheme="minorHAnsi"/>
                <w:sz w:val="18"/>
                <w:szCs w:val="18"/>
              </w:rPr>
              <w:t xml:space="preserve">nowledge management programme on DRR &amp; CCA in operation, covering actual and virtual community of practices, and internet based </w:t>
            </w:r>
            <w:r>
              <w:rPr>
                <w:rFonts w:cstheme="minorHAnsi"/>
                <w:sz w:val="18"/>
                <w:szCs w:val="18"/>
              </w:rPr>
              <w:t>k</w:t>
            </w:r>
            <w:r w:rsidRPr="007C5F59">
              <w:rPr>
                <w:rFonts w:cstheme="minorHAnsi"/>
                <w:sz w:val="18"/>
                <w:szCs w:val="18"/>
              </w:rPr>
              <w:t>nowledge portal</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Developed and installed the DMIN Portal within DMIC</w:t>
            </w:r>
          </w:p>
        </w:tc>
        <w:tc>
          <w:tcPr>
            <w:tcW w:w="87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spacing w:after="0" w:line="240" w:lineRule="auto"/>
              <w:ind w:hanging="18"/>
              <w:rPr>
                <w:rFonts w:cstheme="minorHAnsi"/>
                <w:sz w:val="18"/>
                <w:szCs w:val="18"/>
              </w:rPr>
            </w:pPr>
            <w:r w:rsidRPr="007C5F59">
              <w:rPr>
                <w:rFonts w:cstheme="minorHAnsi"/>
                <w:sz w:val="18"/>
                <w:szCs w:val="18"/>
              </w:rPr>
              <w:t xml:space="preserve">DM Library established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1000 </w:t>
            </w:r>
            <w:r>
              <w:rPr>
                <w:rFonts w:cstheme="minorHAnsi"/>
                <w:sz w:val="18"/>
                <w:szCs w:val="18"/>
              </w:rPr>
              <w:t>K</w:t>
            </w:r>
            <w:r w:rsidRPr="007C5F59">
              <w:rPr>
                <w:rFonts w:cstheme="minorHAnsi"/>
                <w:sz w:val="18"/>
                <w:szCs w:val="18"/>
              </w:rPr>
              <w:t>nowledge products uploaded</w:t>
            </w:r>
          </w:p>
          <w:p w:rsidR="0061232B" w:rsidRPr="007C5F59" w:rsidRDefault="0061232B" w:rsidP="00E84BAD">
            <w:pPr>
              <w:spacing w:after="0" w:line="240" w:lineRule="auto"/>
              <w:ind w:hanging="18"/>
              <w:rPr>
                <w:rFonts w:cstheme="minorHAnsi"/>
                <w:sz w:val="18"/>
                <w:szCs w:val="18"/>
              </w:rPr>
            </w:pPr>
          </w:p>
          <w:p w:rsidR="0061232B" w:rsidRPr="007C5F59" w:rsidRDefault="0061232B" w:rsidP="00E84BAD">
            <w:pPr>
              <w:spacing w:after="0" w:line="240" w:lineRule="auto"/>
              <w:ind w:hanging="18"/>
              <w:rPr>
                <w:rFonts w:cstheme="minorHAnsi"/>
                <w:sz w:val="18"/>
                <w:szCs w:val="18"/>
              </w:rPr>
            </w:pPr>
          </w:p>
          <w:p w:rsidR="0061232B" w:rsidRPr="007C5F59" w:rsidRDefault="0061232B" w:rsidP="00E84BAD">
            <w:pPr>
              <w:autoSpaceDN w:val="0"/>
              <w:spacing w:after="0" w:line="240" w:lineRule="auto"/>
              <w:rPr>
                <w:rFonts w:cstheme="minorHAnsi"/>
                <w:sz w:val="18"/>
                <w:szCs w:val="18"/>
              </w:rPr>
            </w:pP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The online DM Library (E-Library on DM &amp; CC) facility is improved through incorporation of D-space software and search engine; the E-Library officially launched by the Honorable Minister of MoDMR and it is now accessible for all (</w:t>
            </w:r>
            <w:hyperlink r:id="rId21" w:history="1">
              <w:r w:rsidRPr="007C5F59">
                <w:rPr>
                  <w:rFonts w:cstheme="minorHAnsi"/>
                  <w:sz w:val="18"/>
                  <w:szCs w:val="18"/>
                </w:rPr>
                <w:t>www.dmic.org.bd/e-library</w:t>
              </w:r>
            </w:hyperlink>
            <w:r w:rsidRPr="007C5F59">
              <w:rPr>
                <w:rFonts w:cstheme="minorHAnsi"/>
                <w:sz w:val="18"/>
                <w:szCs w:val="18"/>
              </w:rPr>
              <w:t xml:space="preserve">); currently there are 312 </w:t>
            </w:r>
            <w:r>
              <w:rPr>
                <w:rFonts w:cstheme="minorHAnsi"/>
                <w:sz w:val="18"/>
                <w:szCs w:val="18"/>
              </w:rPr>
              <w:t>k</w:t>
            </w:r>
            <w:r w:rsidRPr="007C5F59">
              <w:rPr>
                <w:rFonts w:cstheme="minorHAnsi"/>
                <w:sz w:val="18"/>
                <w:szCs w:val="18"/>
              </w:rPr>
              <w:t xml:space="preserve">nowledge materials available in the e-library.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7 persons from DDM &amp; CDMP have been trained on D-Space and Vu Find software installation, configuration and operation of DM library and data entry.</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E-library has been promoted through UN-SPIDER, Relief-Web, DeSHARY networ</w:t>
            </w:r>
            <w:r>
              <w:rPr>
                <w:rFonts w:cstheme="minorHAnsi"/>
                <w:sz w:val="18"/>
                <w:szCs w:val="18"/>
              </w:rPr>
              <w:t>k</w:t>
            </w:r>
            <w:r w:rsidRPr="007C5F59">
              <w:rPr>
                <w:rFonts w:cstheme="minorHAnsi"/>
                <w:sz w:val="18"/>
                <w:szCs w:val="18"/>
              </w:rPr>
              <w:t xml:space="preserve"> (online)</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 xml:space="preserve">500 </w:t>
            </w:r>
            <w:r>
              <w:rPr>
                <w:rFonts w:cstheme="minorHAnsi"/>
                <w:sz w:val="18"/>
                <w:szCs w:val="18"/>
              </w:rPr>
              <w:t>k</w:t>
            </w:r>
            <w:r w:rsidRPr="007C5F59">
              <w:rPr>
                <w:rFonts w:cstheme="minorHAnsi"/>
                <w:sz w:val="18"/>
                <w:szCs w:val="18"/>
              </w:rPr>
              <w:t>nowledge products uploaded in E-Library</w:t>
            </w:r>
          </w:p>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E-Library promoted through electronic and print media</w:t>
            </w:r>
          </w:p>
        </w:tc>
      </w:tr>
      <w:tr w:rsidR="0061232B" w:rsidRPr="007C5F59" w:rsidTr="00E84BAD">
        <w:trPr>
          <w:trHeight w:val="38"/>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hanging="18"/>
              <w:rPr>
                <w:rFonts w:cstheme="minorHAnsi"/>
                <w:sz w:val="18"/>
                <w:szCs w:val="18"/>
              </w:rPr>
            </w:pPr>
            <w:r w:rsidRPr="007C5F59">
              <w:rPr>
                <w:rFonts w:cstheme="minorHAnsi"/>
                <w:sz w:val="18"/>
                <w:szCs w:val="18"/>
              </w:rPr>
              <w:t>1.6.2 District resource centres established and operational</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64 district resource centres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Established 24 additional district resource centers in non-CDMP districts; provided physical resource (boo</w:t>
            </w:r>
            <w:r>
              <w:rPr>
                <w:rFonts w:cstheme="minorHAnsi"/>
                <w:sz w:val="18"/>
                <w:szCs w:val="18"/>
              </w:rPr>
              <w:t>k</w:t>
            </w:r>
            <w:r w:rsidRPr="007C5F59">
              <w:rPr>
                <w:rFonts w:cstheme="minorHAnsi"/>
                <w:sz w:val="18"/>
                <w:szCs w:val="18"/>
              </w:rPr>
              <w:t>-selves etc.); Establishment of 40 district resource centers in CDMP districts completed earlier.</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Proved 6 different </w:t>
            </w:r>
            <w:r>
              <w:rPr>
                <w:rFonts w:cstheme="minorHAnsi"/>
                <w:sz w:val="18"/>
                <w:szCs w:val="18"/>
              </w:rPr>
              <w:t>k</w:t>
            </w:r>
            <w:r w:rsidRPr="007C5F59">
              <w:rPr>
                <w:rFonts w:cstheme="minorHAnsi"/>
                <w:sz w:val="18"/>
                <w:szCs w:val="18"/>
              </w:rPr>
              <w:t>nowledge materials to the 64 district resource centre</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38"/>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1.6.3 National DRR &amp; CCA communication strategy including the involvement of media and community radio developed and implemented </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National DRR&amp; CCA communication strategy</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mass media dept. of  3 universities integrated DRR&amp;CCA modules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15 press clubs trained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10 multi-media campaigns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1200 radio sets procured and distributed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10 content modules of local community radio</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First draft of the National Communication Strategy on DRM reviewed by CDMP professionals and forwarded to PIB for fine-tuning. PIB is planning to organization a wider consultation meeting among the sta</w:t>
            </w:r>
            <w:r>
              <w:rPr>
                <w:rFonts w:cstheme="minorHAnsi"/>
                <w:sz w:val="18"/>
                <w:szCs w:val="18"/>
              </w:rPr>
              <w:t>k</w:t>
            </w:r>
            <w:r w:rsidRPr="007C5F59">
              <w:rPr>
                <w:rFonts w:cstheme="minorHAnsi"/>
                <w:sz w:val="18"/>
                <w:szCs w:val="18"/>
              </w:rPr>
              <w:t xml:space="preserve">eholders (including MoDMR, DDM and MoI).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Local level Journalists Training on DRR and CCA completed in 12 Districts (</w:t>
            </w:r>
            <w:r>
              <w:rPr>
                <w:rFonts w:cstheme="minorHAnsi"/>
                <w:sz w:val="18"/>
                <w:szCs w:val="18"/>
              </w:rPr>
              <w:t>K</w:t>
            </w:r>
            <w:r w:rsidRPr="007C5F59">
              <w:rPr>
                <w:rFonts w:cstheme="minorHAnsi"/>
                <w:sz w:val="18"/>
                <w:szCs w:val="18"/>
              </w:rPr>
              <w:t>urigram, Dha</w:t>
            </w:r>
            <w:r>
              <w:rPr>
                <w:rFonts w:cstheme="minorHAnsi"/>
                <w:sz w:val="18"/>
                <w:szCs w:val="18"/>
              </w:rPr>
              <w:t>k</w:t>
            </w:r>
            <w:r w:rsidRPr="007C5F59">
              <w:rPr>
                <w:rFonts w:cstheme="minorHAnsi"/>
                <w:sz w:val="18"/>
                <w:szCs w:val="18"/>
              </w:rPr>
              <w:t xml:space="preserve">a, Chittagong, Bagerhat, Jessore, </w:t>
            </w:r>
            <w:r>
              <w:rPr>
                <w:rFonts w:cstheme="minorHAnsi"/>
                <w:sz w:val="18"/>
                <w:szCs w:val="18"/>
              </w:rPr>
              <w:t>K</w:t>
            </w:r>
            <w:r w:rsidRPr="007C5F59">
              <w:rPr>
                <w:rFonts w:cstheme="minorHAnsi"/>
                <w:sz w:val="18"/>
                <w:szCs w:val="18"/>
              </w:rPr>
              <w:t>hulna, Sirajgonj, Rangpur,Sylhet, Cox’s Bazar,GaibandahSat</w:t>
            </w:r>
            <w:r>
              <w:rPr>
                <w:rFonts w:cstheme="minorHAnsi"/>
                <w:sz w:val="18"/>
                <w:szCs w:val="18"/>
              </w:rPr>
              <w:t>k</w:t>
            </w:r>
            <w:r w:rsidRPr="007C5F59">
              <w:rPr>
                <w:rFonts w:cstheme="minorHAnsi"/>
                <w:sz w:val="18"/>
                <w:szCs w:val="18"/>
              </w:rPr>
              <w:t>hira and Rajshahi)</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Training manual on DRR &amp; CCA and 10 hazard specific reference materials for journalist have been developed.</w:t>
            </w:r>
          </w:p>
          <w:p w:rsidR="0061232B" w:rsidRPr="007C5F59" w:rsidRDefault="0061232B" w:rsidP="001E161B">
            <w:pPr>
              <w:widowControl w:val="0"/>
              <w:numPr>
                <w:ilvl w:val="0"/>
                <w:numId w:val="48"/>
              </w:numPr>
              <w:spacing w:after="0" w:line="240" w:lineRule="auto"/>
              <w:ind w:left="0" w:hanging="90"/>
              <w:rPr>
                <w:rFonts w:cstheme="minorHAnsi"/>
                <w:sz w:val="18"/>
                <w:szCs w:val="18"/>
              </w:rPr>
            </w:pPr>
            <w:r w:rsidRPr="007C5F59">
              <w:rPr>
                <w:rFonts w:cstheme="minorHAnsi"/>
                <w:sz w:val="18"/>
                <w:szCs w:val="18"/>
              </w:rPr>
              <w:t>Development of DRR-CCA content for community radio programme is on-going, 14 Community Radios submitted the first rough cut productions (42 radio programs, 1 docudrama and 2 magazine programs from each station), rough cuts are in review phase.</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Organized Training of Trainers (TOT) on DRR and CCA based radio programming; a training primer has been developed to facilitate training for the community radio broadcaster;</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National Communication Strategy finalized</w:t>
            </w:r>
          </w:p>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 xml:space="preserve">Included DRR &amp; CCA in curricula of Mass Communication and </w:t>
            </w:r>
            <w:r w:rsidRPr="007C5F59">
              <w:rPr>
                <w:rFonts w:cstheme="minorHAnsi"/>
                <w:sz w:val="18"/>
                <w:szCs w:val="18"/>
              </w:rPr>
              <w:lastRenderedPageBreak/>
              <w:t>Journalism Departments in one university</w:t>
            </w:r>
          </w:p>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5 training  conducted for local press clubs</w:t>
            </w: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Output 1.7 Quality and Accountability Assurance and Outcome Monitoring</w:t>
            </w:r>
          </w:p>
        </w:tc>
      </w:tr>
      <w:tr w:rsidR="0061232B" w:rsidRPr="007C5F59" w:rsidTr="00E84BAD">
        <w:trPr>
          <w:trHeight w:val="38"/>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1.7.1 Assessment/ evaluation of CDMP interventions (Result survey, impact/rapid assessment, case studies); LDRRF independent process monitoring; Final evaluation of CDMP</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154" w:hanging="154"/>
              <w:rPr>
                <w:rFonts w:cstheme="minorHAnsi"/>
                <w:sz w:val="18"/>
                <w:szCs w:val="18"/>
              </w:rPr>
            </w:pPr>
            <w:r w:rsidRPr="007C5F59">
              <w:rPr>
                <w:rFonts w:cstheme="minorHAnsi"/>
                <w:sz w:val="18"/>
                <w:szCs w:val="18"/>
              </w:rPr>
              <w:t>M&amp;E system progressively geared towards more results monitoring</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LDRRF independent process monitoring (by third party-MIDAS) completed; Review of the final report completed; finalization of the report is in progress.</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6 small scale monitoring studies/surveys completed</w:t>
            </w: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1.8 A functioning national system of information collection / reporting from the local level (PIO / DRRO), for analysis, dissemination and decision ma</w:t>
            </w:r>
            <w:r>
              <w:rPr>
                <w:rFonts w:cstheme="minorHAnsi"/>
                <w:sz w:val="18"/>
                <w:szCs w:val="18"/>
              </w:rPr>
              <w:t>k</w:t>
            </w:r>
            <w:r w:rsidRPr="007C5F59">
              <w:rPr>
                <w:rFonts w:cstheme="minorHAnsi"/>
                <w:sz w:val="18"/>
                <w:szCs w:val="18"/>
              </w:rPr>
              <w:t>ing, has been established within MoDMR / DDM, to enable better coordination and use of resources for disaster management</w:t>
            </w:r>
          </w:p>
        </w:tc>
      </w:tr>
      <w:tr w:rsidR="0061232B" w:rsidRPr="007C5F59" w:rsidTr="00E84BAD">
        <w:trPr>
          <w:trHeight w:val="38"/>
        </w:trPr>
        <w:tc>
          <w:tcPr>
            <w:tcW w:w="81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spacing w:after="0" w:line="240" w:lineRule="auto"/>
              <w:rPr>
                <w:rFonts w:cstheme="minorHAnsi"/>
                <w:sz w:val="18"/>
                <w:szCs w:val="18"/>
              </w:rPr>
            </w:pPr>
            <w:r w:rsidRPr="007C5F59">
              <w:rPr>
                <w:rFonts w:cstheme="minorHAnsi"/>
                <w:sz w:val="18"/>
                <w:szCs w:val="18"/>
              </w:rPr>
              <w:t>1.8.1</w:t>
            </w:r>
            <w:r w:rsidRPr="007C5F59">
              <w:rPr>
                <w:rFonts w:cstheme="minorHAnsi"/>
                <w:sz w:val="18"/>
                <w:szCs w:val="18"/>
              </w:rPr>
              <w:tab/>
              <w:t>Develop disaster information management strategy</w:t>
            </w:r>
          </w:p>
          <w:p w:rsidR="0061232B" w:rsidRPr="007C5F59" w:rsidRDefault="0061232B" w:rsidP="00E84BAD">
            <w:pPr>
              <w:autoSpaceDN w:val="0"/>
              <w:spacing w:after="0" w:line="240" w:lineRule="auto"/>
              <w:rPr>
                <w:rFonts w:cstheme="minorHAnsi"/>
                <w:sz w:val="18"/>
                <w:szCs w:val="18"/>
              </w:rPr>
            </w:pP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154" w:hanging="154"/>
              <w:rPr>
                <w:rFonts w:cstheme="minorHAnsi"/>
                <w:sz w:val="18"/>
                <w:szCs w:val="18"/>
              </w:rPr>
            </w:pPr>
            <w:r w:rsidRPr="007C5F59">
              <w:rPr>
                <w:rFonts w:cstheme="minorHAnsi"/>
                <w:sz w:val="18"/>
                <w:szCs w:val="18"/>
              </w:rPr>
              <w:t>Disaster Information Management Strategy agreed and in place</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5C175E">
              <w:rPr>
                <w:rFonts w:cstheme="minorHAnsi"/>
                <w:sz w:val="18"/>
                <w:szCs w:val="18"/>
              </w:rPr>
              <w:t>Development of Disaster Information Management Strategy in progress by international consultant.</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Disaster information management Strategy finalized</w:t>
            </w:r>
          </w:p>
        </w:tc>
      </w:tr>
      <w:tr w:rsidR="0061232B" w:rsidRPr="007C5F59" w:rsidTr="00E84BAD">
        <w:trPr>
          <w:trHeight w:val="38"/>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1.8.2</w:t>
            </w:r>
            <w:r w:rsidRPr="007C5F59">
              <w:rPr>
                <w:rFonts w:cstheme="minorHAnsi"/>
                <w:sz w:val="18"/>
                <w:szCs w:val="18"/>
              </w:rPr>
              <w:tab/>
              <w:t>Develop an effective online reporting system to connect Dha</w:t>
            </w:r>
            <w:r>
              <w:rPr>
                <w:rFonts w:cstheme="minorHAnsi"/>
                <w:sz w:val="18"/>
                <w:szCs w:val="18"/>
              </w:rPr>
              <w:t>k</w:t>
            </w:r>
            <w:r w:rsidRPr="007C5F59">
              <w:rPr>
                <w:rFonts w:cstheme="minorHAnsi"/>
                <w:sz w:val="18"/>
                <w:szCs w:val="18"/>
              </w:rPr>
              <w:t>a (DDM) with the Upazila level (MIS)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154" w:hanging="154"/>
              <w:rPr>
                <w:rFonts w:cstheme="minorHAnsi"/>
                <w:sz w:val="18"/>
                <w:szCs w:val="18"/>
              </w:rPr>
            </w:pPr>
            <w:r w:rsidRPr="007C5F59">
              <w:rPr>
                <w:rFonts w:cstheme="minorHAnsi"/>
                <w:sz w:val="18"/>
                <w:szCs w:val="18"/>
              </w:rPr>
              <w:t>Online reporting system established</w:t>
            </w:r>
          </w:p>
          <w:p w:rsidR="0061232B" w:rsidRPr="007C5F59" w:rsidRDefault="0061232B" w:rsidP="001E161B">
            <w:pPr>
              <w:numPr>
                <w:ilvl w:val="0"/>
                <w:numId w:val="48"/>
              </w:numPr>
              <w:autoSpaceDN w:val="0"/>
              <w:spacing w:after="0" w:line="240" w:lineRule="auto"/>
              <w:ind w:left="154" w:hanging="154"/>
              <w:rPr>
                <w:rFonts w:cstheme="minorHAnsi"/>
                <w:sz w:val="18"/>
                <w:szCs w:val="18"/>
              </w:rPr>
            </w:pPr>
            <w:r w:rsidRPr="007C5F59">
              <w:rPr>
                <w:rFonts w:cstheme="minorHAnsi"/>
                <w:sz w:val="18"/>
                <w:szCs w:val="18"/>
              </w:rPr>
              <w:t>Situation reports circulated by MODMR (NDRCC)</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spacing w:after="0" w:line="240" w:lineRule="auto"/>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Online reporting system established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Situation reports circulated by MODMR (NDRCC)</w:t>
            </w:r>
          </w:p>
        </w:tc>
      </w:tr>
      <w:tr w:rsidR="0061232B" w:rsidRPr="007C5F59" w:rsidTr="00E84BAD">
        <w:trPr>
          <w:trHeight w:val="224"/>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1.8.3</w:t>
            </w:r>
            <w:r w:rsidRPr="007C5F59">
              <w:rPr>
                <w:rFonts w:cstheme="minorHAnsi"/>
                <w:sz w:val="18"/>
                <w:szCs w:val="18"/>
              </w:rPr>
              <w:tab/>
              <w:t xml:space="preserve">Strengthen analysis capacity and dissemination of disaster information (for MoDMR, </w:t>
            </w:r>
            <w:r w:rsidRPr="007C5F59">
              <w:rPr>
                <w:rFonts w:cstheme="minorHAnsi"/>
                <w:sz w:val="18"/>
                <w:szCs w:val="18"/>
              </w:rPr>
              <w:lastRenderedPageBreak/>
              <w:t>DDM, DM Committees)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154" w:hanging="154"/>
              <w:rPr>
                <w:rFonts w:cstheme="minorHAnsi"/>
                <w:sz w:val="18"/>
                <w:szCs w:val="18"/>
              </w:rPr>
            </w:pPr>
            <w:r w:rsidRPr="007C5F59">
              <w:rPr>
                <w:rFonts w:cstheme="minorHAnsi"/>
                <w:sz w:val="18"/>
                <w:szCs w:val="18"/>
              </w:rPr>
              <w:t>MoDMR-DDM officials/DM committees trained</w:t>
            </w:r>
          </w:p>
          <w:p w:rsidR="0061232B" w:rsidRPr="007C5F59" w:rsidRDefault="0061232B" w:rsidP="001E161B">
            <w:pPr>
              <w:numPr>
                <w:ilvl w:val="0"/>
                <w:numId w:val="48"/>
              </w:numPr>
              <w:autoSpaceDN w:val="0"/>
              <w:spacing w:after="0" w:line="240" w:lineRule="auto"/>
              <w:ind w:left="154" w:hanging="154"/>
              <w:rPr>
                <w:rFonts w:cstheme="minorHAnsi"/>
                <w:sz w:val="18"/>
                <w:szCs w:val="18"/>
              </w:rPr>
            </w:pPr>
            <w:r w:rsidRPr="007C5F59">
              <w:rPr>
                <w:rFonts w:cstheme="minorHAnsi"/>
                <w:sz w:val="18"/>
                <w:szCs w:val="18"/>
              </w:rPr>
              <w:t>Communication mechanism in place</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spacing w:after="0" w:line="240" w:lineRule="auto"/>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MoDMR-DDM officials/DM committees trained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Communication mechanism in place</w:t>
            </w:r>
          </w:p>
        </w:tc>
      </w:tr>
      <w:tr w:rsidR="0061232B" w:rsidRPr="007C5F59" w:rsidTr="00E84BAD">
        <w:trPr>
          <w:trHeight w:val="38"/>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lastRenderedPageBreak/>
              <w:t>1.8.4</w:t>
            </w:r>
            <w:r w:rsidRPr="007C5F59">
              <w:rPr>
                <w:rFonts w:cstheme="minorHAnsi"/>
                <w:sz w:val="18"/>
                <w:szCs w:val="18"/>
              </w:rPr>
              <w:tab/>
              <w:t>Strengthen coordination mechanisms between DDM &amp; DM Community</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154" w:hanging="154"/>
              <w:rPr>
                <w:rFonts w:cstheme="minorHAnsi"/>
                <w:sz w:val="18"/>
                <w:szCs w:val="18"/>
              </w:rPr>
            </w:pPr>
            <w:r w:rsidRPr="007C5F59">
              <w:rPr>
                <w:rFonts w:cstheme="minorHAnsi"/>
                <w:sz w:val="18"/>
                <w:szCs w:val="18"/>
              </w:rPr>
              <w:t>Digital communication &amp; practice networ</w:t>
            </w:r>
            <w:r>
              <w:rPr>
                <w:rFonts w:cstheme="minorHAnsi"/>
                <w:sz w:val="18"/>
                <w:szCs w:val="18"/>
              </w:rPr>
              <w:t>k</w:t>
            </w:r>
            <w:r w:rsidRPr="007C5F59">
              <w:rPr>
                <w:rFonts w:cstheme="minorHAnsi"/>
                <w:sz w:val="18"/>
                <w:szCs w:val="18"/>
              </w:rPr>
              <w:t xml:space="preserve"> for DM Community members</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spacing w:after="0" w:line="240" w:lineRule="auto"/>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Digital communication &amp; practice networ</w:t>
            </w:r>
            <w:r>
              <w:rPr>
                <w:rFonts w:cstheme="minorHAnsi"/>
                <w:sz w:val="18"/>
                <w:szCs w:val="18"/>
              </w:rPr>
              <w:t>k</w:t>
            </w:r>
            <w:r w:rsidRPr="007C5F59">
              <w:rPr>
                <w:rFonts w:cstheme="minorHAnsi"/>
                <w:sz w:val="18"/>
                <w:szCs w:val="18"/>
              </w:rPr>
              <w:t xml:space="preserve"> for DM Community members</w:t>
            </w:r>
          </w:p>
        </w:tc>
      </w:tr>
      <w:tr w:rsidR="0061232B" w:rsidRPr="007C5F59" w:rsidTr="00E84BAD">
        <w:trPr>
          <w:trHeight w:val="38"/>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1.8.5</w:t>
            </w:r>
            <w:r w:rsidRPr="007C5F59">
              <w:rPr>
                <w:rFonts w:cstheme="minorHAnsi"/>
                <w:sz w:val="18"/>
                <w:szCs w:val="18"/>
              </w:rPr>
              <w:tab/>
              <w:t xml:space="preserve">Prepare and print </w:t>
            </w:r>
            <w:r>
              <w:rPr>
                <w:rFonts w:cstheme="minorHAnsi"/>
                <w:sz w:val="18"/>
                <w:szCs w:val="18"/>
              </w:rPr>
              <w:t>k</w:t>
            </w:r>
            <w:r w:rsidRPr="007C5F59">
              <w:rPr>
                <w:rFonts w:cstheme="minorHAnsi"/>
                <w:sz w:val="18"/>
                <w:szCs w:val="18"/>
              </w:rPr>
              <w:t>nowledge management products and disseminate as stated in SOD and DM Act</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154" w:hanging="154"/>
              <w:rPr>
                <w:rFonts w:cstheme="minorHAnsi"/>
                <w:sz w:val="18"/>
                <w:szCs w:val="18"/>
              </w:rPr>
            </w:pPr>
            <w:r w:rsidRPr="007C5F59">
              <w:rPr>
                <w:rFonts w:cstheme="minorHAnsi"/>
                <w:sz w:val="18"/>
                <w:szCs w:val="18"/>
              </w:rPr>
              <w:t>Info-pac</w:t>
            </w:r>
            <w:r>
              <w:rPr>
                <w:rFonts w:cstheme="minorHAnsi"/>
                <w:sz w:val="18"/>
                <w:szCs w:val="18"/>
              </w:rPr>
              <w:t>k</w:t>
            </w:r>
            <w:r w:rsidRPr="007C5F59">
              <w:rPr>
                <w:rFonts w:cstheme="minorHAnsi"/>
                <w:sz w:val="18"/>
                <w:szCs w:val="18"/>
              </w:rPr>
              <w:t xml:space="preserve"> produced and communicated</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Drafted ToR for consultants to develop Info Pac</w:t>
            </w:r>
            <w:r>
              <w:rPr>
                <w:rFonts w:cstheme="minorHAnsi"/>
                <w:sz w:val="18"/>
                <w:szCs w:val="18"/>
              </w:rPr>
              <w:t>k</w:t>
            </w:r>
            <w:r w:rsidRPr="007C5F59">
              <w:rPr>
                <w:rFonts w:cstheme="minorHAnsi"/>
                <w:sz w:val="18"/>
                <w:szCs w:val="18"/>
              </w:rPr>
              <w:t xml:space="preserve"> on DRR &amp; CCA</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Distribution of 4500 </w:t>
            </w:r>
            <w:r>
              <w:rPr>
                <w:rFonts w:cstheme="minorHAnsi"/>
                <w:sz w:val="18"/>
                <w:szCs w:val="18"/>
              </w:rPr>
              <w:t>k</w:t>
            </w:r>
            <w:r w:rsidRPr="007C5F59">
              <w:rPr>
                <w:rFonts w:cstheme="minorHAnsi"/>
                <w:sz w:val="18"/>
                <w:szCs w:val="18"/>
              </w:rPr>
              <w:t>nowledge products completed among academic institutes, DM practitioners, relevant NGOs and district resource centers.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Draft Bangla version SOD printed </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Info-pac</w:t>
            </w:r>
            <w:r>
              <w:rPr>
                <w:rFonts w:cstheme="minorHAnsi"/>
                <w:sz w:val="18"/>
                <w:szCs w:val="18"/>
              </w:rPr>
              <w:t>k</w:t>
            </w:r>
            <w:r w:rsidRPr="007C5F59">
              <w:rPr>
                <w:rFonts w:cstheme="minorHAnsi"/>
                <w:sz w:val="18"/>
                <w:szCs w:val="18"/>
              </w:rPr>
              <w:t xml:space="preserve"> produced and communicated</w:t>
            </w: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spacing w:after="0" w:line="240" w:lineRule="auto"/>
              <w:rPr>
                <w:rFonts w:cstheme="minorHAnsi"/>
                <w:sz w:val="18"/>
                <w:szCs w:val="18"/>
              </w:rPr>
            </w:pPr>
            <w:r w:rsidRPr="007C5F59">
              <w:rPr>
                <w:rFonts w:cstheme="minorHAnsi"/>
                <w:sz w:val="18"/>
                <w:szCs w:val="18"/>
              </w:rPr>
              <w:t>2.1.1 300 unions incorporate DRR &amp; CCA into Union Development Planning</w:t>
            </w:r>
          </w:p>
          <w:p w:rsidR="0061232B" w:rsidRPr="007C5F59" w:rsidRDefault="0061232B" w:rsidP="00E84BAD">
            <w:pPr>
              <w:spacing w:after="0" w:line="240" w:lineRule="auto"/>
              <w:rPr>
                <w:rFonts w:cstheme="minorHAnsi"/>
                <w:sz w:val="18"/>
                <w:szCs w:val="18"/>
              </w:rPr>
            </w:pPr>
          </w:p>
          <w:p w:rsidR="0061232B" w:rsidRPr="007C5F59" w:rsidRDefault="0061232B" w:rsidP="00E84BAD">
            <w:pPr>
              <w:autoSpaceDN w:val="0"/>
              <w:spacing w:after="0" w:line="240" w:lineRule="auto"/>
              <w:rPr>
                <w:rFonts w:cstheme="minorHAnsi"/>
                <w:sz w:val="18"/>
                <w:szCs w:val="18"/>
              </w:rPr>
            </w:pP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300 Union Development Plans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Draft DRR/CCA screening tool developed to revise the “Union Development Planning (UDP) incorporating DM guideline” of the LGRD through incorporation of DRR&amp;CCA considerations, organized a wor</w:t>
            </w:r>
            <w:r>
              <w:rPr>
                <w:rFonts w:cstheme="minorHAnsi"/>
                <w:sz w:val="18"/>
                <w:szCs w:val="18"/>
              </w:rPr>
              <w:t>k</w:t>
            </w:r>
            <w:r w:rsidRPr="007C5F59">
              <w:rPr>
                <w:rFonts w:cstheme="minorHAnsi"/>
                <w:sz w:val="18"/>
                <w:szCs w:val="18"/>
              </w:rPr>
              <w:t>shop to share with LGD and other sta</w:t>
            </w:r>
            <w:r>
              <w:rPr>
                <w:rFonts w:cstheme="minorHAnsi"/>
                <w:sz w:val="18"/>
                <w:szCs w:val="18"/>
              </w:rPr>
              <w:t>k</w:t>
            </w:r>
            <w:r w:rsidRPr="007C5F59">
              <w:rPr>
                <w:rFonts w:cstheme="minorHAnsi"/>
                <w:sz w:val="18"/>
                <w:szCs w:val="18"/>
              </w:rPr>
              <w:t>eholders. The chec</w:t>
            </w:r>
            <w:r>
              <w:rPr>
                <w:rFonts w:cstheme="minorHAnsi"/>
                <w:sz w:val="18"/>
                <w:szCs w:val="18"/>
              </w:rPr>
              <w:t>k</w:t>
            </w:r>
            <w:r w:rsidRPr="007C5F59">
              <w:rPr>
                <w:rFonts w:cstheme="minorHAnsi"/>
                <w:sz w:val="18"/>
                <w:szCs w:val="18"/>
              </w:rPr>
              <w:t xml:space="preserve">list for incorporation of DRR&amp;CCA in the ADP was translated in to English and shared with UNDP.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One day orientation program for 100 UDMC on the chec</w:t>
            </w:r>
            <w:r>
              <w:rPr>
                <w:rFonts w:cstheme="minorHAnsi"/>
                <w:sz w:val="18"/>
                <w:szCs w:val="18"/>
              </w:rPr>
              <w:t>k</w:t>
            </w:r>
            <w:r w:rsidRPr="007C5F59">
              <w:rPr>
                <w:rFonts w:cstheme="minorHAnsi"/>
                <w:sz w:val="18"/>
                <w:szCs w:val="18"/>
              </w:rPr>
              <w:t>list was planned with outcome 1. Planning meeting held with NILG</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300 UDMCs oriented to incorporate DRR &amp; CCA into their development plan</w:t>
            </w: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2.1.3 DMC Manual of Operation is published and disseminated through DMC refresher training of 500 DMCs</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3-day IDM training module</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28,000 trained DMC members in 16 districts</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500 DMCs trained on DMC Operational Manual</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Completed distribution of 22,500 copies of published DMC Operational Manual.</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MoU and Financial Agreement signed with NILG to conduct DMCs trainings in 15 districts and 180 Unions.  NILG already organized six ToT for DDMC members in Patua</w:t>
            </w:r>
            <w:r>
              <w:rPr>
                <w:rFonts w:cstheme="minorHAnsi"/>
                <w:sz w:val="18"/>
                <w:szCs w:val="18"/>
              </w:rPr>
              <w:t>k</w:t>
            </w:r>
            <w:r w:rsidRPr="007C5F59">
              <w:rPr>
                <w:rFonts w:cstheme="minorHAnsi"/>
                <w:sz w:val="18"/>
                <w:szCs w:val="18"/>
              </w:rPr>
              <w:t>hali,  Jhalo</w:t>
            </w:r>
            <w:r>
              <w:rPr>
                <w:rFonts w:cstheme="minorHAnsi"/>
                <w:sz w:val="18"/>
                <w:szCs w:val="18"/>
              </w:rPr>
              <w:t>k</w:t>
            </w:r>
            <w:r w:rsidRPr="007C5F59">
              <w:rPr>
                <w:rFonts w:cstheme="minorHAnsi"/>
                <w:sz w:val="18"/>
                <w:szCs w:val="18"/>
              </w:rPr>
              <w:t>athi, Lalmonirhat, Gaibandha, Nilphamari and Pirojpur district, process of organizing Union level trainings initiated. .</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200 DMCs trained</w:t>
            </w:r>
          </w:p>
        </w:tc>
      </w:tr>
      <w:tr w:rsidR="0061232B" w:rsidRPr="007C5F59" w:rsidTr="00E84BAD">
        <w:trPr>
          <w:trHeight w:val="77"/>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2.2 Focused ris</w:t>
            </w:r>
            <w:r>
              <w:rPr>
                <w:rFonts w:cstheme="minorHAnsi"/>
                <w:sz w:val="18"/>
                <w:szCs w:val="18"/>
              </w:rPr>
              <w:t>k</w:t>
            </w:r>
            <w:r w:rsidRPr="007C5F59">
              <w:rPr>
                <w:rFonts w:cstheme="minorHAnsi"/>
                <w:sz w:val="18"/>
                <w:szCs w:val="18"/>
              </w:rPr>
              <w:t xml:space="preserve"> reduction and adaptation support provided to vulnerable communities through expansion and integration of CRA/RRAP within local level planning</w:t>
            </w:r>
          </w:p>
        </w:tc>
      </w:tr>
      <w:tr w:rsidR="0061232B" w:rsidRPr="007C5F59" w:rsidTr="00E84BAD">
        <w:trPr>
          <w:trHeight w:val="683"/>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left="-59"/>
              <w:rPr>
                <w:rFonts w:cstheme="minorHAnsi"/>
                <w:sz w:val="18"/>
                <w:szCs w:val="18"/>
              </w:rPr>
            </w:pPr>
            <w:r w:rsidRPr="007C5F59">
              <w:rPr>
                <w:rFonts w:cstheme="minorHAnsi"/>
                <w:sz w:val="18"/>
                <w:szCs w:val="18"/>
              </w:rPr>
              <w:t>2.2.1 Revised CRA Guidelines adopted by MoDMR</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CRA Guideline developed and adopted,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TOT on CRA guideline provided to all DRROs and PIOs</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Revised CRA Guideline</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Published 200 copies of English version of the CRA guidelineand uploaded in E-Library for wider Dissemination.</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34"/>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2.2.3 Small-scale structural wor</w:t>
            </w:r>
            <w:r>
              <w:rPr>
                <w:rFonts w:cstheme="minorHAnsi"/>
                <w:sz w:val="18"/>
                <w:szCs w:val="18"/>
              </w:rPr>
              <w:t>k</w:t>
            </w:r>
            <w:r w:rsidRPr="007C5F59">
              <w:rPr>
                <w:rFonts w:cstheme="minorHAnsi"/>
                <w:sz w:val="18"/>
                <w:szCs w:val="18"/>
              </w:rPr>
              <w:t xml:space="preserve">s identified by CRA/RRAP are financed through the LDRRF </w:t>
            </w:r>
            <w:r w:rsidRPr="007C5F59">
              <w:rPr>
                <w:rFonts w:cstheme="minorHAnsi"/>
                <w:sz w:val="18"/>
                <w:szCs w:val="18"/>
              </w:rPr>
              <w:lastRenderedPageBreak/>
              <w:t>mechanism</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 xml:space="preserve"> 800 small scale structural wor</w:t>
            </w:r>
            <w:r>
              <w:rPr>
                <w:rFonts w:cstheme="minorHAnsi"/>
                <w:sz w:val="18"/>
                <w:szCs w:val="18"/>
              </w:rPr>
              <w:t>k</w:t>
            </w:r>
            <w:r w:rsidRPr="007C5F59">
              <w:rPr>
                <w:rFonts w:cstheme="minorHAnsi"/>
                <w:sz w:val="18"/>
                <w:szCs w:val="18"/>
              </w:rPr>
              <w:t>s implemented under CDMP I</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spacing w:after="0" w:line="240" w:lineRule="auto"/>
              <w:ind w:left="-59"/>
              <w:rPr>
                <w:rFonts w:cstheme="minorHAnsi"/>
                <w:sz w:val="18"/>
                <w:szCs w:val="18"/>
              </w:rPr>
            </w:pPr>
            <w:r w:rsidRPr="007C5F59">
              <w:rPr>
                <w:rFonts w:cstheme="minorHAnsi"/>
                <w:sz w:val="18"/>
                <w:szCs w:val="18"/>
              </w:rPr>
              <w:t>3,000 small scale structural wor</w:t>
            </w:r>
            <w:r>
              <w:rPr>
                <w:rFonts w:cstheme="minorHAnsi"/>
                <w:sz w:val="18"/>
                <w:szCs w:val="18"/>
              </w:rPr>
              <w:t>k</w:t>
            </w:r>
            <w:r w:rsidRPr="007C5F59">
              <w:rPr>
                <w:rFonts w:cstheme="minorHAnsi"/>
                <w:sz w:val="18"/>
                <w:szCs w:val="18"/>
              </w:rPr>
              <w:t xml:space="preserve"> schemes (with budget from 2.5.3)</w:t>
            </w:r>
          </w:p>
          <w:p w:rsidR="0061232B" w:rsidRPr="007C5F59" w:rsidRDefault="0061232B" w:rsidP="00E84BAD">
            <w:pPr>
              <w:autoSpaceDN w:val="0"/>
              <w:spacing w:after="0" w:line="240" w:lineRule="auto"/>
              <w:ind w:left="-59"/>
              <w:rPr>
                <w:rFonts w:cstheme="minorHAnsi"/>
                <w:sz w:val="18"/>
                <w:szCs w:val="18"/>
              </w:rPr>
            </w:pPr>
            <w:r w:rsidRPr="007C5F59">
              <w:rPr>
                <w:rFonts w:cstheme="minorHAnsi"/>
                <w:sz w:val="18"/>
                <w:szCs w:val="18"/>
              </w:rPr>
              <w:t xml:space="preserve">20 comprehensive </w:t>
            </w:r>
            <w:r w:rsidRPr="007C5F59">
              <w:rPr>
                <w:rFonts w:cstheme="minorHAnsi"/>
                <w:sz w:val="18"/>
                <w:szCs w:val="18"/>
              </w:rPr>
              <w:lastRenderedPageBreak/>
              <w:t>interventions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Total number of rural schemes initiated in 2014 is 185. Since 2010, total of 1865 schemes have been implemented with 99226 interventions of which 1007 schemes completed up to 2014.</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200 new schemes implemented</w:t>
            </w:r>
          </w:p>
        </w:tc>
      </w:tr>
      <w:tr w:rsidR="0061232B" w:rsidRPr="007C5F59" w:rsidTr="00E84BAD">
        <w:trPr>
          <w:trHeight w:val="899"/>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lastRenderedPageBreak/>
              <w:t>2.3.1 Disaster ris</w:t>
            </w:r>
            <w:r>
              <w:rPr>
                <w:rFonts w:cstheme="minorHAnsi"/>
                <w:sz w:val="18"/>
                <w:szCs w:val="18"/>
              </w:rPr>
              <w:t>k</w:t>
            </w:r>
            <w:r w:rsidRPr="007C5F59">
              <w:rPr>
                <w:rFonts w:cstheme="minorHAnsi"/>
                <w:sz w:val="18"/>
                <w:szCs w:val="18"/>
              </w:rPr>
              <w:t xml:space="preserve"> reduction strategy for microfinance sector including the code of conduct developed and adopted by MRA and/or P</w:t>
            </w:r>
            <w:r>
              <w:rPr>
                <w:rFonts w:cstheme="minorHAnsi"/>
                <w:sz w:val="18"/>
                <w:szCs w:val="18"/>
              </w:rPr>
              <w:t>K</w:t>
            </w:r>
            <w:r w:rsidRPr="007C5F59">
              <w:rPr>
                <w:rFonts w:cstheme="minorHAnsi"/>
                <w:sz w:val="18"/>
                <w:szCs w:val="18"/>
              </w:rPr>
              <w:t>SF</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Micro-insurance study conducted and weather indexed insurance concept note developed in CDMP I</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DRR&amp;CCA inclusion strategy for MF sector</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Microfinance strategy on incorporation of DRR &amp; CCA has been completed; </w:t>
            </w:r>
          </w:p>
          <w:p w:rsidR="0061232B" w:rsidRPr="007C5F59" w:rsidRDefault="0061232B" w:rsidP="00E84BAD">
            <w:pPr>
              <w:autoSpaceDN w:val="0"/>
              <w:spacing w:after="0" w:line="240" w:lineRule="auto"/>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5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2.5: Facilitated the community level ris</w:t>
            </w:r>
            <w:r>
              <w:rPr>
                <w:rFonts w:cstheme="minorHAnsi"/>
                <w:sz w:val="18"/>
                <w:szCs w:val="18"/>
              </w:rPr>
              <w:t>k</w:t>
            </w:r>
            <w:r w:rsidRPr="007C5F59">
              <w:rPr>
                <w:rFonts w:cstheme="minorHAnsi"/>
                <w:sz w:val="18"/>
                <w:szCs w:val="18"/>
              </w:rPr>
              <w:t xml:space="preserve"> reduction through an established LDRRF Mechanism.</w:t>
            </w:r>
          </w:p>
        </w:tc>
      </w:tr>
      <w:tr w:rsidR="0061232B" w:rsidRPr="007C5F59" w:rsidTr="00E84BAD">
        <w:trPr>
          <w:trHeight w:val="70"/>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2.5.1 LDRRF is adopted by the GoB as one of disaster management financing schemes; Piloting DM Fund mechanism including capacity building of local institutions and community on DM fund implementation</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DM Fund Guideline</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Assessed training and communication needs to implement DM fund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Number of local institutions oriented on DM Fund management system</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By-law for Local Disaster Ris</w:t>
            </w:r>
            <w:r>
              <w:rPr>
                <w:rFonts w:cstheme="minorHAnsi"/>
                <w:sz w:val="18"/>
                <w:szCs w:val="18"/>
              </w:rPr>
              <w:t>k</w:t>
            </w:r>
            <w:r w:rsidRPr="007C5F59">
              <w:rPr>
                <w:rFonts w:cstheme="minorHAnsi"/>
                <w:sz w:val="18"/>
                <w:szCs w:val="18"/>
              </w:rPr>
              <w:t xml:space="preserve"> Reduction Fund is revised incorporating pre-disaster issues and the final draft has been reviewed by the law ministry (forwarded by MoDMR). The feedbac</w:t>
            </w:r>
            <w:r>
              <w:rPr>
                <w:rFonts w:cstheme="minorHAnsi"/>
                <w:sz w:val="18"/>
                <w:szCs w:val="18"/>
              </w:rPr>
              <w:t>k</w:t>
            </w:r>
            <w:r w:rsidRPr="007C5F59">
              <w:rPr>
                <w:rFonts w:cstheme="minorHAnsi"/>
                <w:sz w:val="18"/>
                <w:szCs w:val="18"/>
              </w:rPr>
              <w:t xml:space="preserve">s are being addressed.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Finalized ToR of consultant (company) for drafting the DM Fund management guidelines, train government officials and assist district authority to establish district DM Fund mechanisms; shared with DG, DDM. A joint field mission (DDM and CDMP) visited Bhola and Jessore; the ToR is shared with districts authorities (DC and other officials) to gather their feedbac</w:t>
            </w:r>
            <w:r>
              <w:rPr>
                <w:rFonts w:cstheme="minorHAnsi"/>
                <w:sz w:val="18"/>
                <w:szCs w:val="18"/>
              </w:rPr>
              <w:t>k</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Finalized the By-laws for Local Disaster Ris</w:t>
            </w:r>
            <w:r>
              <w:rPr>
                <w:rFonts w:cstheme="minorHAnsi"/>
                <w:sz w:val="18"/>
                <w:szCs w:val="18"/>
              </w:rPr>
              <w:t>k</w:t>
            </w:r>
            <w:r w:rsidRPr="007C5F59">
              <w:rPr>
                <w:rFonts w:cstheme="minorHAnsi"/>
                <w:sz w:val="18"/>
                <w:szCs w:val="18"/>
              </w:rPr>
              <w:t xml:space="preserve"> Reduction Fund and approved by MoDMR</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Training and communication needs of local level institutions on DM fund assessed</w:t>
            </w:r>
          </w:p>
        </w:tc>
      </w:tr>
      <w:tr w:rsidR="0061232B" w:rsidRPr="007C5F59" w:rsidTr="00E84BAD">
        <w:trPr>
          <w:trHeight w:val="70"/>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2.5.2 Disaster and climate resilient habitats/villages adopted by GoB as a model for comprehensive disaster management </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 resilient habitats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50 cluster village projects</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Progress reported under 2.2.3</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70"/>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2.5.3  Different models and modalities of disaster ris</w:t>
            </w:r>
            <w:r>
              <w:rPr>
                <w:rFonts w:cstheme="minorHAnsi"/>
                <w:sz w:val="18"/>
                <w:szCs w:val="18"/>
              </w:rPr>
              <w:t>k</w:t>
            </w:r>
            <w:r w:rsidRPr="007C5F59">
              <w:rPr>
                <w:rFonts w:cstheme="minorHAnsi"/>
                <w:sz w:val="18"/>
                <w:szCs w:val="18"/>
              </w:rPr>
              <w:t xml:space="preserve"> reduction partnership are implemented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500 unions implementing LDRRF schemes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3000 LDRRF schemes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 m beneficiaries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Progress reported under 2.2.3</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2.6. Produce and disseminate awareness and promotional materials to advocate the lessons learnt and best practices if rural ris</w:t>
            </w:r>
            <w:r>
              <w:rPr>
                <w:rFonts w:cstheme="minorHAnsi"/>
                <w:sz w:val="18"/>
                <w:szCs w:val="18"/>
              </w:rPr>
              <w:t>k</w:t>
            </w:r>
            <w:r w:rsidRPr="007C5F59">
              <w:rPr>
                <w:rFonts w:cstheme="minorHAnsi"/>
                <w:sz w:val="18"/>
                <w:szCs w:val="18"/>
              </w:rPr>
              <w:t xml:space="preserve"> reduction</w:t>
            </w:r>
          </w:p>
        </w:tc>
      </w:tr>
      <w:tr w:rsidR="0061232B" w:rsidRPr="007C5F59" w:rsidTr="00E84BAD">
        <w:trPr>
          <w:trHeight w:val="1097"/>
        </w:trPr>
        <w:tc>
          <w:tcPr>
            <w:tcW w:w="819" w:type="pct"/>
            <w:tcBorders>
              <w:top w:val="single" w:sz="4" w:space="0" w:color="auto"/>
              <w:left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2.6.1 At least 40 case studies produced and disseminated</w:t>
            </w:r>
          </w:p>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2.6.2 At least one lessons learnt event conducted annually</w:t>
            </w:r>
          </w:p>
        </w:tc>
        <w:tc>
          <w:tcPr>
            <w:tcW w:w="907" w:type="pct"/>
            <w:tcBorders>
              <w:top w:val="single" w:sz="4" w:space="0" w:color="auto"/>
              <w:left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Compendium of LDRRF good practices under CDMP I</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 video documentaries of CDMP I by CDMP</w:t>
            </w:r>
          </w:p>
        </w:tc>
        <w:tc>
          <w:tcPr>
            <w:tcW w:w="877" w:type="pct"/>
            <w:tcBorders>
              <w:top w:val="single" w:sz="4" w:space="0" w:color="auto"/>
              <w:left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40 case studies</w:t>
            </w:r>
          </w:p>
          <w:p w:rsidR="0061232B" w:rsidRPr="007C5F59" w:rsidRDefault="0061232B" w:rsidP="001E161B">
            <w:pPr>
              <w:widowControl w:val="0"/>
              <w:numPr>
                <w:ilvl w:val="0"/>
                <w:numId w:val="48"/>
              </w:numPr>
              <w:autoSpaceDN w:val="0"/>
              <w:spacing w:after="0" w:line="240" w:lineRule="auto"/>
              <w:ind w:left="0" w:hanging="90"/>
              <w:rPr>
                <w:rFonts w:cstheme="minorHAnsi"/>
                <w:sz w:val="18"/>
                <w:szCs w:val="18"/>
              </w:rPr>
            </w:pPr>
            <w:r w:rsidRPr="007C5F59">
              <w:rPr>
                <w:rFonts w:cstheme="minorHAnsi"/>
                <w:sz w:val="18"/>
                <w:szCs w:val="18"/>
              </w:rPr>
              <w:t>1 lessons learnt event per year</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Completed recruitment of a national consultant to document the process of the model case for replication and scaling up.</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20 case studies completed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1 lesson learned event organized </w:t>
            </w: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OUTCOME 3: Reduced ris</w:t>
            </w:r>
            <w:r>
              <w:rPr>
                <w:rFonts w:cstheme="minorHAnsi"/>
                <w:sz w:val="18"/>
                <w:szCs w:val="18"/>
              </w:rPr>
              <w:t>k</w:t>
            </w:r>
            <w:r w:rsidRPr="007C5F59">
              <w:rPr>
                <w:rFonts w:cstheme="minorHAnsi"/>
                <w:sz w:val="18"/>
                <w:szCs w:val="18"/>
              </w:rPr>
              <w:t xml:space="preserve"> to urban populations through structural and non-structural interventions, improved awareness of natural hazard events and the piloting of urban community ris</w:t>
            </w:r>
            <w:r>
              <w:rPr>
                <w:rFonts w:cstheme="minorHAnsi"/>
                <w:sz w:val="18"/>
                <w:szCs w:val="18"/>
              </w:rPr>
              <w:t>k</w:t>
            </w:r>
            <w:r w:rsidRPr="007C5F59">
              <w:rPr>
                <w:rFonts w:cstheme="minorHAnsi"/>
                <w:sz w:val="18"/>
                <w:szCs w:val="18"/>
              </w:rPr>
              <w:t xml:space="preserve"> reduction methodologies that target the extreme poor</w:t>
            </w: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3.1 Expansion of earthqua</w:t>
            </w:r>
            <w:r>
              <w:rPr>
                <w:rFonts w:cstheme="minorHAnsi"/>
                <w:sz w:val="18"/>
                <w:szCs w:val="18"/>
              </w:rPr>
              <w:t>k</w:t>
            </w:r>
            <w:r w:rsidRPr="007C5F59">
              <w:rPr>
                <w:rFonts w:cstheme="minorHAnsi"/>
                <w:sz w:val="18"/>
                <w:szCs w:val="18"/>
              </w:rPr>
              <w:t>e ris</w:t>
            </w:r>
            <w:r>
              <w:rPr>
                <w:rFonts w:cstheme="minorHAnsi"/>
                <w:sz w:val="18"/>
                <w:szCs w:val="18"/>
              </w:rPr>
              <w:t>k</w:t>
            </w:r>
            <w:r w:rsidRPr="007C5F59">
              <w:rPr>
                <w:rFonts w:cstheme="minorHAnsi"/>
                <w:sz w:val="18"/>
                <w:szCs w:val="18"/>
              </w:rPr>
              <w:t xml:space="preserve"> assessment and contingency planning and improved response in five new districts</w:t>
            </w: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lastRenderedPageBreak/>
              <w:t>3.1.1 City and land use plans in six municipalities are revised based on findings of earthqua</w:t>
            </w:r>
            <w:r>
              <w:rPr>
                <w:rFonts w:cstheme="minorHAnsi"/>
                <w:sz w:val="18"/>
                <w:szCs w:val="18"/>
              </w:rPr>
              <w:t>k</w:t>
            </w:r>
            <w:r w:rsidRPr="007C5F59">
              <w:rPr>
                <w:rFonts w:cstheme="minorHAnsi"/>
                <w:sz w:val="18"/>
                <w:szCs w:val="18"/>
              </w:rPr>
              <w:t>e assessments</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Standard Methodology on earthqua</w:t>
            </w:r>
            <w:r>
              <w:rPr>
                <w:rFonts w:cstheme="minorHAnsi"/>
                <w:sz w:val="18"/>
                <w:szCs w:val="18"/>
              </w:rPr>
              <w:t>k</w:t>
            </w:r>
            <w:r w:rsidRPr="007C5F59">
              <w:rPr>
                <w:rFonts w:cstheme="minorHAnsi"/>
                <w:sz w:val="18"/>
                <w:szCs w:val="18"/>
              </w:rPr>
              <w:t>e ris</w:t>
            </w:r>
            <w:r>
              <w:rPr>
                <w:rFonts w:cstheme="minorHAnsi"/>
                <w:sz w:val="18"/>
                <w:szCs w:val="18"/>
              </w:rPr>
              <w:t>k</w:t>
            </w:r>
            <w:r w:rsidRPr="007C5F59">
              <w:rPr>
                <w:rFonts w:cstheme="minorHAnsi"/>
                <w:sz w:val="18"/>
                <w:szCs w:val="18"/>
              </w:rPr>
              <w:t xml:space="preserve"> assessment developed and applied for DCC, CCC and SCC</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Ris</w:t>
            </w:r>
            <w:r>
              <w:rPr>
                <w:rFonts w:cstheme="minorHAnsi"/>
                <w:sz w:val="18"/>
                <w:szCs w:val="18"/>
              </w:rPr>
              <w:t>k</w:t>
            </w:r>
            <w:r w:rsidRPr="007C5F59">
              <w:rPr>
                <w:rFonts w:cstheme="minorHAnsi"/>
                <w:sz w:val="18"/>
                <w:szCs w:val="18"/>
              </w:rPr>
              <w:t xml:space="preserve"> Assessment reports, maps, and contingency plans for DCC, CCC and SCC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Equipped GSB, BUET, DU with required earthqua</w:t>
            </w:r>
            <w:r>
              <w:rPr>
                <w:rFonts w:cstheme="minorHAnsi"/>
                <w:sz w:val="18"/>
                <w:szCs w:val="18"/>
              </w:rPr>
              <w:t>k</w:t>
            </w:r>
            <w:r w:rsidRPr="007C5F59">
              <w:rPr>
                <w:rFonts w:cstheme="minorHAnsi"/>
                <w:sz w:val="18"/>
                <w:szCs w:val="18"/>
              </w:rPr>
              <w:t>e ris</w:t>
            </w:r>
            <w:r>
              <w:rPr>
                <w:rFonts w:cstheme="minorHAnsi"/>
                <w:sz w:val="18"/>
                <w:szCs w:val="18"/>
              </w:rPr>
              <w:t>k</w:t>
            </w:r>
            <w:r w:rsidRPr="007C5F59">
              <w:rPr>
                <w:rFonts w:cstheme="minorHAnsi"/>
                <w:sz w:val="18"/>
                <w:szCs w:val="18"/>
              </w:rPr>
              <w:t xml:space="preserve"> assessment instruments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Hands on training provided to professionals of GSB, BUET and DU </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 city plans containing earthqua</w:t>
            </w:r>
            <w:r>
              <w:rPr>
                <w:rFonts w:cstheme="minorHAnsi"/>
                <w:sz w:val="18"/>
                <w:szCs w:val="18"/>
              </w:rPr>
              <w:t>k</w:t>
            </w:r>
            <w:r w:rsidRPr="007C5F59">
              <w:rPr>
                <w:rFonts w:cstheme="minorHAnsi"/>
                <w:sz w:val="18"/>
                <w:szCs w:val="18"/>
              </w:rPr>
              <w:t>e ris</w:t>
            </w:r>
            <w:r>
              <w:rPr>
                <w:rFonts w:cstheme="minorHAnsi"/>
                <w:sz w:val="18"/>
                <w:szCs w:val="18"/>
              </w:rPr>
              <w:t>k</w:t>
            </w:r>
            <w:r w:rsidRPr="007C5F59">
              <w:rPr>
                <w:rFonts w:cstheme="minorHAnsi"/>
                <w:sz w:val="18"/>
                <w:szCs w:val="18"/>
              </w:rPr>
              <w:t xml:space="preserve"> considerations</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6 active fault maps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Databases  for 2 cities on detailed building infrastructure</w:t>
            </w:r>
          </w:p>
          <w:p w:rsidR="0061232B" w:rsidRPr="007C5F59" w:rsidRDefault="0061232B" w:rsidP="00E84BAD">
            <w:pPr>
              <w:spacing w:after="0" w:line="240" w:lineRule="auto"/>
              <w:rPr>
                <w:rFonts w:cstheme="minorHAnsi"/>
                <w:sz w:val="18"/>
                <w:szCs w:val="18"/>
              </w:rPr>
            </w:pPr>
            <w:r w:rsidRPr="007C5F59">
              <w:rPr>
                <w:rFonts w:cstheme="minorHAnsi"/>
                <w:sz w:val="18"/>
                <w:szCs w:val="18"/>
              </w:rPr>
              <w:t>2 ris</w:t>
            </w:r>
            <w:r>
              <w:rPr>
                <w:rFonts w:cstheme="minorHAnsi"/>
                <w:sz w:val="18"/>
                <w:szCs w:val="18"/>
              </w:rPr>
              <w:t>k</w:t>
            </w:r>
            <w:r w:rsidRPr="007C5F59">
              <w:rPr>
                <w:rFonts w:cstheme="minorHAnsi"/>
                <w:sz w:val="18"/>
                <w:szCs w:val="18"/>
              </w:rPr>
              <w:t xml:space="preserve"> integrated city development plans</w:t>
            </w:r>
          </w:p>
          <w:p w:rsidR="0061232B" w:rsidRPr="007C5F59" w:rsidRDefault="0061232B" w:rsidP="00E84BAD">
            <w:pPr>
              <w:spacing w:after="0" w:line="240" w:lineRule="auto"/>
              <w:rPr>
                <w:rFonts w:cstheme="minorHAnsi"/>
                <w:sz w:val="18"/>
                <w:szCs w:val="18"/>
              </w:rPr>
            </w:pPr>
            <w:r w:rsidRPr="007C5F59">
              <w:rPr>
                <w:rFonts w:cstheme="minorHAnsi"/>
                <w:sz w:val="18"/>
                <w:szCs w:val="18"/>
              </w:rPr>
              <w:t>32 trained UDD professionals on GIS</w:t>
            </w:r>
          </w:p>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Earthqua</w:t>
            </w:r>
            <w:r>
              <w:rPr>
                <w:rFonts w:cstheme="minorHAnsi"/>
                <w:sz w:val="18"/>
                <w:szCs w:val="18"/>
              </w:rPr>
              <w:t>k</w:t>
            </w:r>
            <w:r w:rsidRPr="007C5F59">
              <w:rPr>
                <w:rFonts w:cstheme="minorHAnsi"/>
                <w:sz w:val="18"/>
                <w:szCs w:val="18"/>
              </w:rPr>
              <w:t>e ris</w:t>
            </w:r>
            <w:r>
              <w:rPr>
                <w:rFonts w:cstheme="minorHAnsi"/>
                <w:sz w:val="18"/>
                <w:szCs w:val="18"/>
              </w:rPr>
              <w:t>k</w:t>
            </w:r>
            <w:r w:rsidRPr="007C5F59">
              <w:rPr>
                <w:rFonts w:cstheme="minorHAnsi"/>
                <w:sz w:val="18"/>
                <w:szCs w:val="18"/>
              </w:rPr>
              <w:t xml:space="preserve"> atlas for Dha</w:t>
            </w:r>
            <w:r>
              <w:rPr>
                <w:rFonts w:cstheme="minorHAnsi"/>
                <w:sz w:val="18"/>
                <w:szCs w:val="18"/>
              </w:rPr>
              <w:t>k</w:t>
            </w:r>
            <w:r w:rsidRPr="007C5F59">
              <w:rPr>
                <w:rFonts w:cstheme="minorHAnsi"/>
                <w:sz w:val="18"/>
                <w:szCs w:val="18"/>
              </w:rPr>
              <w:t>a and Chittagong</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Final product ( a catalogue) have been prepared for 6 cities (Dinajpur, Bogra, Rajshahi, Mymenshing, Tangail and Rangpur) with the findings from the seismic assessment study</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Additional field survey for seismic vulnerability mapping is completed in 2 cities (geological maps for extended city area in in Rangpur and database preparation in Chittagong); Final report submitted, incorporating comments of TAG and CDMP reviewers.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Completed attribute data collection for unions (rural), 3D image digitization and town model preparation.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Hydro-geological and geophysical engineering survey completed and survey report submitted to CDMP</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Population study, socio economic study, survey of development activities, traffic study, hazard study also completed.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UDD received the Asian Townscape Award 2014 (awarded by UNHABITAT) for developing the Land use plan for Mymensingh</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Stratetegic land use plan for Mymensingh Town Developed</w:t>
            </w: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3.1.2 Retrofitting capacity of PWD strengthened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Three model seismic retrofitting assessments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PWD Retrofitting cell</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30 PWD professionals trained on seismic retrofitting</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Retrofitting assessment has been completed for 3 </w:t>
            </w:r>
            <w:r>
              <w:rPr>
                <w:rFonts w:cstheme="minorHAnsi"/>
                <w:sz w:val="18"/>
                <w:szCs w:val="18"/>
              </w:rPr>
              <w:t>k</w:t>
            </w:r>
            <w:r w:rsidRPr="007C5F59">
              <w:rPr>
                <w:rFonts w:cstheme="minorHAnsi"/>
                <w:sz w:val="18"/>
                <w:szCs w:val="18"/>
              </w:rPr>
              <w:t>ey buildings (Building No. 1 &amp; 4 of Bangladesh Secretariat and Dha</w:t>
            </w:r>
            <w:r>
              <w:rPr>
                <w:rFonts w:cstheme="minorHAnsi"/>
                <w:sz w:val="18"/>
                <w:szCs w:val="18"/>
              </w:rPr>
              <w:t>k</w:t>
            </w:r>
            <w:r w:rsidRPr="007C5F59">
              <w:rPr>
                <w:rFonts w:cstheme="minorHAnsi"/>
                <w:sz w:val="18"/>
                <w:szCs w:val="18"/>
              </w:rPr>
              <w:t>a Medical College Hospital); the completion report submitted to CDMP.</w:t>
            </w:r>
          </w:p>
          <w:p w:rsidR="0061232B" w:rsidRPr="007C5F59" w:rsidRDefault="0061232B" w:rsidP="001E161B">
            <w:pPr>
              <w:widowControl w:val="0"/>
              <w:numPr>
                <w:ilvl w:val="0"/>
                <w:numId w:val="48"/>
              </w:numPr>
              <w:spacing w:after="0" w:line="240" w:lineRule="auto"/>
              <w:ind w:left="0" w:hanging="90"/>
              <w:rPr>
                <w:rFonts w:cstheme="minorHAnsi"/>
                <w:sz w:val="18"/>
                <w:szCs w:val="18"/>
              </w:rPr>
            </w:pPr>
            <w:r w:rsidRPr="007C5F59">
              <w:rPr>
                <w:rFonts w:cstheme="minorHAnsi"/>
                <w:sz w:val="18"/>
                <w:szCs w:val="18"/>
              </w:rPr>
              <w:t>Procurement and handover of equipment’s for PWD Retrofitting Cell (laptops, tech publications/ boo</w:t>
            </w:r>
            <w:r>
              <w:rPr>
                <w:rFonts w:cstheme="minorHAnsi"/>
                <w:sz w:val="18"/>
                <w:szCs w:val="18"/>
              </w:rPr>
              <w:t>k</w:t>
            </w:r>
            <w:r w:rsidRPr="007C5F59">
              <w:rPr>
                <w:rFonts w:cstheme="minorHAnsi"/>
                <w:sz w:val="18"/>
                <w:szCs w:val="18"/>
              </w:rPr>
              <w:t>s, software) is completed</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PWD Retrofitting Cell Established &amp; operationalized</w:t>
            </w: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3.1.3 Contingency plans developed and simulation exercises conducted in the six municipalities</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National and agency level contingency plans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Trained 95 officials from fast responding institutions on incident command system</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Earthqua</w:t>
            </w:r>
            <w:r>
              <w:rPr>
                <w:rFonts w:cstheme="minorHAnsi"/>
                <w:sz w:val="18"/>
                <w:szCs w:val="18"/>
              </w:rPr>
              <w:t>k</w:t>
            </w:r>
            <w:r w:rsidRPr="007C5F59">
              <w:rPr>
                <w:rFonts w:cstheme="minorHAnsi"/>
                <w:sz w:val="18"/>
                <w:szCs w:val="18"/>
              </w:rPr>
              <w:t>e contingency plans for 6 cities/towns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50 earthqua</w:t>
            </w:r>
            <w:r>
              <w:rPr>
                <w:rFonts w:cstheme="minorHAnsi"/>
                <w:sz w:val="18"/>
                <w:szCs w:val="18"/>
              </w:rPr>
              <w:t>k</w:t>
            </w:r>
            <w:r w:rsidRPr="007C5F59">
              <w:rPr>
                <w:rFonts w:cstheme="minorHAnsi"/>
                <w:sz w:val="18"/>
                <w:szCs w:val="18"/>
              </w:rPr>
              <w:t xml:space="preserve">e response drills/simulations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50 ward contingency plan</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Validation wor</w:t>
            </w:r>
            <w:r>
              <w:rPr>
                <w:rFonts w:cstheme="minorHAnsi"/>
                <w:sz w:val="18"/>
                <w:szCs w:val="18"/>
              </w:rPr>
              <w:t>k</w:t>
            </w:r>
            <w:r w:rsidRPr="007C5F59">
              <w:rPr>
                <w:rFonts w:cstheme="minorHAnsi"/>
                <w:sz w:val="18"/>
                <w:szCs w:val="18"/>
              </w:rPr>
              <w:t>shop on Earthqua</w:t>
            </w:r>
            <w:r>
              <w:rPr>
                <w:rFonts w:cstheme="minorHAnsi"/>
                <w:sz w:val="18"/>
                <w:szCs w:val="18"/>
              </w:rPr>
              <w:t>k</w:t>
            </w:r>
            <w:r w:rsidRPr="007C5F59">
              <w:rPr>
                <w:rFonts w:cstheme="minorHAnsi"/>
                <w:sz w:val="18"/>
                <w:szCs w:val="18"/>
              </w:rPr>
              <w:t>e contingency plan in Dha</w:t>
            </w:r>
            <w:r>
              <w:rPr>
                <w:rFonts w:cstheme="minorHAnsi"/>
                <w:sz w:val="18"/>
                <w:szCs w:val="18"/>
              </w:rPr>
              <w:t>k</w:t>
            </w:r>
            <w:r w:rsidRPr="007C5F59">
              <w:rPr>
                <w:rFonts w:cstheme="minorHAnsi"/>
                <w:sz w:val="18"/>
                <w:szCs w:val="18"/>
              </w:rPr>
              <w:t xml:space="preserve">a City Corporation (North), Chittagong and Sylhet completed. Ward level contingency plan (for 10 wards) of Sylhet City Corporation inaugurated by the city Mayor.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 city level contingency plan completed by ADPC; the report is being finalized incorporating CDMP feedbac</w:t>
            </w:r>
            <w:r>
              <w:rPr>
                <w:rFonts w:cstheme="minorHAnsi"/>
                <w:sz w:val="18"/>
                <w:szCs w:val="18"/>
              </w:rPr>
              <w:t>k</w:t>
            </w:r>
            <w:r w:rsidRPr="007C5F59">
              <w:rPr>
                <w:rFonts w:cstheme="minorHAnsi"/>
                <w:sz w:val="18"/>
                <w:szCs w:val="18"/>
              </w:rPr>
              <w:t xml:space="preserve"> Preparation of Bangla version of the contingency plans initiated.</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3.1.4 Land elevation assessment conducted and ris</w:t>
            </w:r>
            <w:r>
              <w:rPr>
                <w:rFonts w:cstheme="minorHAnsi"/>
                <w:sz w:val="18"/>
                <w:szCs w:val="18"/>
              </w:rPr>
              <w:t>k</w:t>
            </w:r>
            <w:r w:rsidRPr="007C5F59">
              <w:rPr>
                <w:rFonts w:cstheme="minorHAnsi"/>
                <w:sz w:val="18"/>
                <w:szCs w:val="18"/>
              </w:rPr>
              <w:t xml:space="preserve"> reduction action plan developed for one city</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Landslide hazard assessment conducted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Landslide management strategy developed</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The activity dropped as ADPC prepared a strategy when they prepared the landslide inventory.</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Landslide management strategy Developed</w:t>
            </w: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lastRenderedPageBreak/>
              <w:t>3.1.6 Urban disaster response capacities are strengthened by FSCD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widowControl w:val="0"/>
              <w:numPr>
                <w:ilvl w:val="0"/>
                <w:numId w:val="48"/>
              </w:numPr>
              <w:autoSpaceDN w:val="0"/>
              <w:spacing w:after="0" w:line="240" w:lineRule="auto"/>
              <w:ind w:left="0" w:hanging="90"/>
              <w:rPr>
                <w:rFonts w:cstheme="minorHAnsi"/>
                <w:sz w:val="18"/>
                <w:szCs w:val="18"/>
              </w:rPr>
            </w:pPr>
            <w:r w:rsidRPr="007C5F59">
              <w:rPr>
                <w:rFonts w:cstheme="minorHAnsi"/>
                <w:sz w:val="18"/>
                <w:szCs w:val="18"/>
              </w:rPr>
              <w:t>25 model fire stations established.</w:t>
            </w:r>
          </w:p>
          <w:p w:rsidR="0061232B" w:rsidRPr="007C5F59" w:rsidRDefault="0061232B" w:rsidP="001E161B">
            <w:pPr>
              <w:widowControl w:val="0"/>
              <w:numPr>
                <w:ilvl w:val="0"/>
                <w:numId w:val="48"/>
              </w:numPr>
              <w:autoSpaceDN w:val="0"/>
              <w:spacing w:after="0" w:line="240" w:lineRule="auto"/>
              <w:ind w:left="0" w:hanging="90"/>
              <w:rPr>
                <w:rFonts w:cstheme="minorHAnsi"/>
                <w:sz w:val="18"/>
                <w:szCs w:val="18"/>
              </w:rPr>
            </w:pPr>
            <w:r w:rsidRPr="007C5F59">
              <w:rPr>
                <w:rFonts w:cstheme="minorHAnsi"/>
                <w:sz w:val="18"/>
                <w:szCs w:val="18"/>
              </w:rPr>
              <w:t>Bangladesh FSCD Institute is established.</w:t>
            </w:r>
          </w:p>
          <w:p w:rsidR="0061232B" w:rsidRPr="007C5F59" w:rsidRDefault="0061232B" w:rsidP="001E161B">
            <w:pPr>
              <w:widowControl w:val="0"/>
              <w:numPr>
                <w:ilvl w:val="0"/>
                <w:numId w:val="48"/>
              </w:numPr>
              <w:autoSpaceDN w:val="0"/>
              <w:spacing w:after="0" w:line="240" w:lineRule="auto"/>
              <w:ind w:left="0" w:hanging="90"/>
              <w:rPr>
                <w:rFonts w:cstheme="minorHAnsi"/>
                <w:sz w:val="18"/>
                <w:szCs w:val="18"/>
              </w:rPr>
            </w:pPr>
            <w:r w:rsidRPr="007C5F59">
              <w:rPr>
                <w:rFonts w:cstheme="minorHAnsi"/>
                <w:sz w:val="18"/>
                <w:szCs w:val="18"/>
              </w:rPr>
              <w:t>8 specialized rescue teams operational.</w:t>
            </w:r>
          </w:p>
          <w:p w:rsidR="0061232B" w:rsidRPr="007C5F59" w:rsidRDefault="0061232B" w:rsidP="001E161B">
            <w:pPr>
              <w:widowControl w:val="0"/>
              <w:numPr>
                <w:ilvl w:val="0"/>
                <w:numId w:val="48"/>
              </w:numPr>
              <w:autoSpaceDN w:val="0"/>
              <w:spacing w:after="0" w:line="240" w:lineRule="auto"/>
              <w:ind w:left="0" w:hanging="90"/>
              <w:rPr>
                <w:rFonts w:cstheme="minorHAnsi"/>
                <w:sz w:val="18"/>
                <w:szCs w:val="18"/>
              </w:rPr>
            </w:pPr>
            <w:r w:rsidRPr="007C5F59">
              <w:rPr>
                <w:rFonts w:cstheme="minorHAnsi"/>
                <w:sz w:val="18"/>
                <w:szCs w:val="18"/>
              </w:rPr>
              <w:t>Equipment for 5000 volunteers at 25 stations.</w:t>
            </w:r>
          </w:p>
          <w:p w:rsidR="0061232B" w:rsidRPr="007C5F59" w:rsidRDefault="0061232B" w:rsidP="001E161B">
            <w:pPr>
              <w:widowControl w:val="0"/>
              <w:numPr>
                <w:ilvl w:val="0"/>
                <w:numId w:val="48"/>
              </w:numPr>
              <w:autoSpaceDN w:val="0"/>
              <w:spacing w:after="0" w:line="240" w:lineRule="auto"/>
              <w:ind w:left="0" w:hanging="90"/>
              <w:rPr>
                <w:rFonts w:cstheme="minorHAnsi"/>
                <w:sz w:val="18"/>
                <w:szCs w:val="18"/>
              </w:rPr>
            </w:pPr>
            <w:r w:rsidRPr="007C5F59">
              <w:rPr>
                <w:rFonts w:cstheme="minorHAnsi"/>
                <w:sz w:val="18"/>
                <w:szCs w:val="18"/>
              </w:rPr>
              <w:t>200 FCSC fire inspectors trained.</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Rescue items for establishing 10 model fire stations already procured and handed over to FSCD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Tender for construction of model station in 10 different locationhas been re-advertise; first tender was cancelled after reviewing the tender evaluation report by CDMP, the tender was cancelled. FSCD now retendered the advertisement.</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 xml:space="preserve">10 model fire stations constructed and equipped </w:t>
            </w:r>
          </w:p>
        </w:tc>
      </w:tr>
      <w:tr w:rsidR="0061232B" w:rsidRPr="007C5F59" w:rsidTr="00E84BAD">
        <w:trPr>
          <w:trHeight w:val="77"/>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3.2 Support to city corporations and municipalities to increase awareness &amp; response for urban hazard ris</w:t>
            </w:r>
            <w:r>
              <w:rPr>
                <w:rFonts w:cstheme="minorHAnsi"/>
                <w:sz w:val="18"/>
                <w:szCs w:val="18"/>
              </w:rPr>
              <w:t>k</w:t>
            </w:r>
            <w:r w:rsidRPr="007C5F59">
              <w:rPr>
                <w:rFonts w:cstheme="minorHAnsi"/>
                <w:sz w:val="18"/>
                <w:szCs w:val="18"/>
              </w:rPr>
              <w:t xml:space="preserve"> across a range of </w:t>
            </w:r>
            <w:r>
              <w:rPr>
                <w:rFonts w:cstheme="minorHAnsi"/>
                <w:sz w:val="18"/>
                <w:szCs w:val="18"/>
              </w:rPr>
              <w:t>k</w:t>
            </w:r>
            <w:r w:rsidRPr="007C5F59">
              <w:rPr>
                <w:rFonts w:cstheme="minorHAnsi"/>
                <w:sz w:val="18"/>
                <w:szCs w:val="18"/>
              </w:rPr>
              <w:t>ey target audiences in selected cities</w:t>
            </w: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3.2.1 100 municipalities implement the Safer City Campaign </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100 municipalities oriented about LG SAT</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100 municipalities implementing Safer City Campaign</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5C175E">
              <w:rPr>
                <w:rFonts w:cstheme="minorHAnsi"/>
                <w:sz w:val="18"/>
                <w:szCs w:val="18"/>
              </w:rPr>
              <w:t>135 Mayors  have been oriented on LG SAT (During 2014)</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3.2.4 Construction professionals trained and certified by GoB</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200 trained mason and bar binders and the training module</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2420 construction professionals trained &amp; provided training certificate by GoB</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The project period expired (completed training of 1940 professional out of targeted 2420)</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3.2.5 Religious leaders have been trained</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3-day TOT to the 25 religious leaders (imams) on structural and non-structural earthqua</w:t>
            </w:r>
            <w:r>
              <w:rPr>
                <w:rFonts w:cstheme="minorHAnsi"/>
                <w:sz w:val="18"/>
                <w:szCs w:val="18"/>
              </w:rPr>
              <w:t>k</w:t>
            </w:r>
            <w:r w:rsidRPr="007C5F59">
              <w:rPr>
                <w:rFonts w:cstheme="minorHAnsi"/>
                <w:sz w:val="18"/>
                <w:szCs w:val="18"/>
              </w:rPr>
              <w:t>e vulnerability and evacuation and the training module</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500 Imams trained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MoU signed with MoRA; training manual developed by Imam Training academy</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ToT completed with technical support from CDMP</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650 religious leaders Trained</w:t>
            </w:r>
          </w:p>
        </w:tc>
      </w:tr>
      <w:tr w:rsidR="0061232B" w:rsidRPr="007C5F59" w:rsidTr="00E84BAD">
        <w:trPr>
          <w:trHeight w:val="77"/>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3.3  Community-based CRA/RRAP and mitigation wor</w:t>
            </w:r>
            <w:r>
              <w:rPr>
                <w:rFonts w:cstheme="minorHAnsi"/>
                <w:sz w:val="18"/>
                <w:szCs w:val="18"/>
              </w:rPr>
              <w:t>k</w:t>
            </w:r>
            <w:r w:rsidRPr="007C5F59">
              <w:rPr>
                <w:rFonts w:cstheme="minorHAnsi"/>
                <w:sz w:val="18"/>
                <w:szCs w:val="18"/>
              </w:rPr>
              <w:t>s piloted in 45 densely populated wards</w:t>
            </w:r>
          </w:p>
        </w:tc>
      </w:tr>
      <w:tr w:rsidR="0061232B" w:rsidRPr="007C5F59" w:rsidTr="00E84BAD">
        <w:trPr>
          <w:trHeight w:val="21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3.3.1 Urban CRA guidelines developed and published</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No standard CRA methodology for urban context</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Urban CRA guideline</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Urban CRA guideline finalized and published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Translating of the same guideline in Bangla is in progress</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300 copies of UCRA guideline in Bangla Printed  </w:t>
            </w:r>
          </w:p>
        </w:tc>
      </w:tr>
      <w:tr w:rsidR="0061232B" w:rsidRPr="007C5F59" w:rsidTr="00E84BAD">
        <w:trPr>
          <w:trHeight w:val="278"/>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3.3.2 Ward level CRAs conducted and RRAPs produced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45 ward CRA and RRAP</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 ward level CRA conducted in ward-33, 34 &amp; 35 of Dha</w:t>
            </w:r>
            <w:r>
              <w:rPr>
                <w:rFonts w:cstheme="minorHAnsi"/>
                <w:sz w:val="18"/>
                <w:szCs w:val="18"/>
              </w:rPr>
              <w:t>k</w:t>
            </w:r>
            <w:r w:rsidRPr="007C5F59">
              <w:rPr>
                <w:rFonts w:cstheme="minorHAnsi"/>
                <w:sz w:val="18"/>
                <w:szCs w:val="18"/>
              </w:rPr>
              <w:t>a City Corporation in collaboration with ActionAid, validation wor</w:t>
            </w:r>
            <w:r>
              <w:rPr>
                <w:rFonts w:cstheme="minorHAnsi"/>
                <w:sz w:val="18"/>
                <w:szCs w:val="18"/>
              </w:rPr>
              <w:t>k</w:t>
            </w:r>
            <w:r w:rsidRPr="007C5F59">
              <w:rPr>
                <w:rFonts w:cstheme="minorHAnsi"/>
                <w:sz w:val="18"/>
                <w:szCs w:val="18"/>
              </w:rPr>
              <w:t xml:space="preserve">shop completed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Plan to conduct 22 more UCRA in 11 municipalities/City Corporations dropped.</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22 Urban CRA and RRAPs produced</w:t>
            </w:r>
          </w:p>
        </w:tc>
      </w:tr>
      <w:tr w:rsidR="0061232B" w:rsidRPr="007C5F59" w:rsidTr="00E84BAD">
        <w:trPr>
          <w:trHeight w:val="278"/>
        </w:trPr>
        <w:tc>
          <w:tcPr>
            <w:tcW w:w="81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spacing w:after="0" w:line="240" w:lineRule="auto"/>
              <w:rPr>
                <w:rFonts w:cstheme="minorHAnsi"/>
                <w:sz w:val="18"/>
                <w:szCs w:val="18"/>
              </w:rPr>
            </w:pPr>
            <w:r w:rsidRPr="007C5F59">
              <w:rPr>
                <w:rFonts w:cstheme="minorHAnsi"/>
                <w:sz w:val="18"/>
                <w:szCs w:val="18"/>
              </w:rPr>
              <w:t>3.3.3 At least 30 ward level projects implemented  through LDRRF</w:t>
            </w:r>
          </w:p>
          <w:p w:rsidR="0061232B" w:rsidRPr="007C5F59" w:rsidRDefault="0061232B" w:rsidP="00E84BAD">
            <w:pPr>
              <w:autoSpaceDN w:val="0"/>
              <w:spacing w:after="0" w:line="240" w:lineRule="auto"/>
              <w:rPr>
                <w:rFonts w:cstheme="minorHAnsi"/>
                <w:sz w:val="18"/>
                <w:szCs w:val="18"/>
              </w:rPr>
            </w:pP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Small scale piloting of different INGOs</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45 ward level LDRRF projects in five cities/ municipalities</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Construction of 100 unit house has been completed under the 1st phase of DRH project at Gopalganj Municipality in association with UPPR and Gopalganj Municipality;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Gopalgonj Municipality completed construction of 19 more houses under 2nd phase;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New contract signed with Motlob Municipality to implement small scaled DRR project in 5 wards.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Construction of RCC drain in Mymensingh&amp;Chalna municipality completed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Completed facility improved for community people beside temple on the top of Zadipahar, Cox’sbazar.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Re-excavation of U-drains in Sylhet City Corporation is in progress (79%)</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Construction of RCC Drain in Swandip Municipality is in progress  40%</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Canal Re-excavation and wal</w:t>
            </w:r>
            <w:r>
              <w:rPr>
                <w:rFonts w:cstheme="minorHAnsi"/>
                <w:sz w:val="18"/>
                <w:szCs w:val="18"/>
              </w:rPr>
              <w:t>k</w:t>
            </w:r>
            <w:r w:rsidRPr="007C5F59">
              <w:rPr>
                <w:rFonts w:cstheme="minorHAnsi"/>
                <w:sz w:val="18"/>
                <w:szCs w:val="18"/>
              </w:rPr>
              <w:t>way construction  under  AlamdangaPouroshava is in progress 75%</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20 ward level LDRRF projects completed</w:t>
            </w:r>
          </w:p>
        </w:tc>
      </w:tr>
      <w:tr w:rsidR="0061232B" w:rsidRPr="007C5F59" w:rsidTr="00E84BAD">
        <w:trPr>
          <w:trHeight w:val="77"/>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Output 3.4  Ward level contingency planning institutionalised in Dha</w:t>
            </w:r>
            <w:r>
              <w:rPr>
                <w:rFonts w:cstheme="minorHAnsi"/>
                <w:sz w:val="18"/>
                <w:szCs w:val="18"/>
              </w:rPr>
              <w:t>k</w:t>
            </w:r>
            <w:r w:rsidRPr="007C5F59">
              <w:rPr>
                <w:rFonts w:cstheme="minorHAnsi"/>
                <w:sz w:val="18"/>
                <w:szCs w:val="18"/>
              </w:rPr>
              <w:t>a, Sylhet and Chittagong</w:t>
            </w:r>
          </w:p>
        </w:tc>
      </w:tr>
      <w:tr w:rsidR="0061232B" w:rsidRPr="007C5F59" w:rsidTr="00E84BAD">
        <w:trPr>
          <w:trHeight w:val="103"/>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3.4.2 Ward simulations conducted with FSCD engaging urban volunteers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50 ward drills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Initiated discussion with strategic partner to conduct urban ris</w:t>
            </w:r>
            <w:r>
              <w:rPr>
                <w:rFonts w:cstheme="minorHAnsi"/>
                <w:sz w:val="18"/>
                <w:szCs w:val="18"/>
              </w:rPr>
              <w:t>k</w:t>
            </w:r>
            <w:r w:rsidRPr="007C5F59">
              <w:rPr>
                <w:rFonts w:cstheme="minorHAnsi"/>
                <w:sz w:val="18"/>
                <w:szCs w:val="18"/>
              </w:rPr>
              <w:t xml:space="preserve"> reduction campaigns (earthqua</w:t>
            </w:r>
            <w:r>
              <w:rPr>
                <w:rFonts w:cstheme="minorHAnsi"/>
                <w:sz w:val="18"/>
                <w:szCs w:val="18"/>
              </w:rPr>
              <w:t>k</w:t>
            </w:r>
            <w:r w:rsidRPr="007C5F59">
              <w:rPr>
                <w:rFonts w:cstheme="minorHAnsi"/>
                <w:sz w:val="18"/>
                <w:szCs w:val="18"/>
              </w:rPr>
              <w:t>e simulation drills, dramas etc.).</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 Urban ris</w:t>
            </w:r>
            <w:r>
              <w:rPr>
                <w:rFonts w:cstheme="minorHAnsi"/>
                <w:sz w:val="18"/>
                <w:szCs w:val="18"/>
              </w:rPr>
              <w:t>k</w:t>
            </w:r>
            <w:r w:rsidRPr="007C5F59">
              <w:rPr>
                <w:rFonts w:cstheme="minorHAnsi"/>
                <w:sz w:val="18"/>
                <w:szCs w:val="18"/>
              </w:rPr>
              <w:t xml:space="preserve"> reduction campaigns conducted</w:t>
            </w:r>
          </w:p>
        </w:tc>
      </w:tr>
      <w:tr w:rsidR="0061232B" w:rsidRPr="007C5F59" w:rsidTr="00E84BAD">
        <w:trPr>
          <w:trHeight w:val="683"/>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3.4.3 Registered volunteers of 45 targeted wards trained on contingency planning </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50 wards with contingency plan training for volunteers</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500 urban volunteer trained on ward contingency plan</w:t>
            </w:r>
          </w:p>
        </w:tc>
      </w:tr>
      <w:tr w:rsidR="0061232B" w:rsidRPr="007C5F59" w:rsidTr="00E84BAD">
        <w:trPr>
          <w:trHeight w:val="77"/>
        </w:trPr>
        <w:tc>
          <w:tcPr>
            <w:tcW w:w="5000"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OUTCOME 4: Improved overall effectiveness and timeliness of disaster preparedness and response in Bangladesh by strengthening early warning systems, national management capacity and coordination facilities at all levels.</w:t>
            </w: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4.1 Improved and more effective early warning, response and relief management in 40 high-ris</w:t>
            </w:r>
            <w:r>
              <w:rPr>
                <w:rFonts w:cstheme="minorHAnsi"/>
                <w:sz w:val="18"/>
                <w:szCs w:val="18"/>
              </w:rPr>
              <w:t>k</w:t>
            </w:r>
            <w:r w:rsidRPr="007C5F59">
              <w:rPr>
                <w:rFonts w:cstheme="minorHAnsi"/>
                <w:sz w:val="18"/>
                <w:szCs w:val="18"/>
              </w:rPr>
              <w:t xml:space="preserve"> districts</w:t>
            </w: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4.1.1 PM Disaster Management Cell strengthened</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Legal provision under revised SOD</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PM DM Cell connected with NDRCC, BMD, FFWC, district and Upazila  DMICs through internet and audio-visuals</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Procurement of equipment (Monitor, Digital sender, Projector) completed, installed at AFD, 20 handWo</w:t>
            </w:r>
            <w:r>
              <w:rPr>
                <w:rFonts w:cstheme="minorHAnsi"/>
                <w:sz w:val="18"/>
                <w:szCs w:val="18"/>
              </w:rPr>
              <w:t>k</w:t>
            </w:r>
            <w:r w:rsidRPr="007C5F59">
              <w:rPr>
                <w:rFonts w:cstheme="minorHAnsi"/>
                <w:sz w:val="18"/>
                <w:szCs w:val="18"/>
              </w:rPr>
              <w:t>i will be delivered on January. Waiting for the permission from BTRC.</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PM DM Cell connected with NDRCC, BMD, FFWC, district and upazila DMICs through internet and audio-visuals </w:t>
            </w: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4.1.3 National DM Volunteer Institute in place; and development of option papers</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Trained 38,000 CPP and 1000 urban volunteers</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National volunteer organisation framewor</w:t>
            </w:r>
            <w:r>
              <w:rPr>
                <w:rFonts w:cstheme="minorHAnsi"/>
                <w:sz w:val="18"/>
                <w:szCs w:val="18"/>
              </w:rPr>
              <w:t>k</w:t>
            </w:r>
            <w:r w:rsidRPr="007C5F59">
              <w:rPr>
                <w:rFonts w:cstheme="minorHAnsi"/>
                <w:sz w:val="18"/>
                <w:szCs w:val="18"/>
              </w:rPr>
              <w:t xml:space="preserve"> developed and endorsed by MoDMR</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Reported in 1.2.1</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Disaster Volunteer Organization Framewor</w:t>
            </w:r>
            <w:r>
              <w:rPr>
                <w:rFonts w:cstheme="minorHAnsi"/>
                <w:sz w:val="18"/>
                <w:szCs w:val="18"/>
              </w:rPr>
              <w:t>k</w:t>
            </w:r>
            <w:r w:rsidRPr="007C5F59">
              <w:rPr>
                <w:rFonts w:cstheme="minorHAnsi"/>
                <w:sz w:val="18"/>
                <w:szCs w:val="18"/>
              </w:rPr>
              <w:t xml:space="preserve"> and Guidelines Developed</w:t>
            </w: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4.1.4 Coordination national hubs are established and/or strengthened </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EOC at DMRD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Established DMIC at national, 64 district and 235 Upazila DRRO and PIO offices</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EOC at DMIC under DDM is fully operational</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NDRCC under MoDMR is fully operational</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Renovationof central DMIC server room completed.</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4.1.5 Remote sensing and space technology application </w:t>
            </w:r>
            <w:r w:rsidRPr="007C5F59">
              <w:rPr>
                <w:rFonts w:cstheme="minorHAnsi"/>
                <w:sz w:val="18"/>
                <w:szCs w:val="18"/>
              </w:rPr>
              <w:lastRenderedPageBreak/>
              <w:t>are integrated into the mechanisms of early warning system</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SOP for receiving remote sensing data flow in place</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3 GIS and remote sensing training courses organized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1350 union level GIS maps developed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485 Upazilas having D Form baseline and vulnerability database</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 xml:space="preserve">Second draft of the SOPs submitted by the consultant, Reviewed by CDMP &amp; DDM personnel and provided </w:t>
            </w:r>
            <w:r w:rsidRPr="007C5F59">
              <w:rPr>
                <w:rFonts w:cstheme="minorHAnsi"/>
                <w:sz w:val="18"/>
                <w:szCs w:val="18"/>
              </w:rPr>
              <w:lastRenderedPageBreak/>
              <w:t>feedbac</w:t>
            </w:r>
            <w:r>
              <w:rPr>
                <w:rFonts w:cstheme="minorHAnsi"/>
                <w:sz w:val="18"/>
                <w:szCs w:val="18"/>
              </w:rPr>
              <w:t>k</w:t>
            </w:r>
            <w:r w:rsidRPr="007C5F59">
              <w:rPr>
                <w:rFonts w:cstheme="minorHAnsi"/>
                <w:sz w:val="18"/>
                <w:szCs w:val="18"/>
              </w:rPr>
              <w:t xml:space="preserve"> to consultant.</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Completed publication of 1134 Union maps,distribution to Union is under process.</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 xml:space="preserve">SOP for receiving remote sensing data flow </w:t>
            </w:r>
            <w:r w:rsidRPr="007C5F59">
              <w:rPr>
                <w:rFonts w:cstheme="minorHAnsi"/>
                <w:sz w:val="18"/>
                <w:szCs w:val="18"/>
              </w:rPr>
              <w:lastRenderedPageBreak/>
              <w:t>developed</w:t>
            </w:r>
          </w:p>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lastRenderedPageBreak/>
              <w:t>4.1.6 DM Plan/ contingency plans for 40 targeted districts and their corresponding Upazilas and unions developed and implemented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40 districts with operational DM plan/ contingency plans developed and adopted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Upazilas with DM plan/ contingency plans developed and  adopted</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Final DM Plan of 10 Districts and 48 Upazilasdelivered to the respective district/upazila authority.</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Most the DM Plans uploaded in the District/Upazila web-portal. Partner NGOs are coordinating with the respective district/upazila authority to upload the remaining DM plans.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DM Plans (Bangla &amp; English version) are uploaded in E-library.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 lesson learned wor</w:t>
            </w:r>
            <w:r>
              <w:rPr>
                <w:rFonts w:cstheme="minorHAnsi"/>
                <w:sz w:val="18"/>
                <w:szCs w:val="18"/>
              </w:rPr>
              <w:t>k</w:t>
            </w:r>
            <w:r w:rsidRPr="007C5F59">
              <w:rPr>
                <w:rFonts w:cstheme="minorHAnsi"/>
                <w:sz w:val="18"/>
                <w:szCs w:val="18"/>
              </w:rPr>
              <w:t>shop on DM Plan with partner organizations held on 10 December, 2014; the sta</w:t>
            </w:r>
            <w:r>
              <w:rPr>
                <w:rFonts w:cstheme="minorHAnsi"/>
                <w:sz w:val="18"/>
                <w:szCs w:val="18"/>
              </w:rPr>
              <w:t>k</w:t>
            </w:r>
            <w:r w:rsidRPr="007C5F59">
              <w:rPr>
                <w:rFonts w:cstheme="minorHAnsi"/>
                <w:sz w:val="18"/>
                <w:szCs w:val="18"/>
              </w:rPr>
              <w:t>eholders submitted their written feedbac</w:t>
            </w:r>
            <w:r>
              <w:rPr>
                <w:rFonts w:cstheme="minorHAnsi"/>
                <w:sz w:val="18"/>
                <w:szCs w:val="18"/>
              </w:rPr>
              <w:t>k</w:t>
            </w:r>
            <w:r w:rsidRPr="007C5F59">
              <w:rPr>
                <w:rFonts w:cstheme="minorHAnsi"/>
                <w:sz w:val="18"/>
                <w:szCs w:val="18"/>
              </w:rPr>
              <w:t xml:space="preserve"> and suggestion which will be used to conduct any future DM plans.</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Another 30 districts DM Plan (CDMP pilot districts) developed   </w:t>
            </w: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4.1.8 Response preparedness specialised training conducted in the targeted 40 districts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50 training wor</w:t>
            </w:r>
            <w:r>
              <w:rPr>
                <w:rFonts w:cstheme="minorHAnsi"/>
                <w:sz w:val="18"/>
                <w:szCs w:val="18"/>
              </w:rPr>
              <w:t>k</w:t>
            </w:r>
            <w:r w:rsidRPr="007C5F59">
              <w:rPr>
                <w:rFonts w:cstheme="minorHAnsi"/>
                <w:sz w:val="18"/>
                <w:szCs w:val="18"/>
              </w:rPr>
              <w:t>shops on disaster response preparedness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 airports with contingency plan to respond to emergency</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 airport contingency plan developed</w:t>
            </w: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4.1.9 Schools are safe from disaster vulnerability </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70,000 primary and secondary schools, and madrasas, organizing earthqua</w:t>
            </w:r>
            <w:r>
              <w:rPr>
                <w:rFonts w:cstheme="minorHAnsi"/>
                <w:sz w:val="18"/>
                <w:szCs w:val="18"/>
              </w:rPr>
              <w:t>k</w:t>
            </w:r>
            <w:r w:rsidRPr="007C5F59">
              <w:rPr>
                <w:rFonts w:cstheme="minorHAnsi"/>
                <w:sz w:val="18"/>
                <w:szCs w:val="18"/>
              </w:rPr>
              <w:t xml:space="preserve">e safety drills per year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1500 school teachers, master trainers, Upazila Education Officers and Upazila Instructors trained on earthqua</w:t>
            </w:r>
            <w:r>
              <w:rPr>
                <w:rFonts w:cstheme="minorHAnsi"/>
                <w:sz w:val="18"/>
                <w:szCs w:val="18"/>
              </w:rPr>
              <w:t>k</w:t>
            </w:r>
            <w:r w:rsidRPr="007C5F59">
              <w:rPr>
                <w:rFonts w:cstheme="minorHAnsi"/>
                <w:sz w:val="18"/>
                <w:szCs w:val="18"/>
              </w:rPr>
              <w:t>e safety drill</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30  master trainers on school drills developed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IDMVS-Dha</w:t>
            </w:r>
            <w:r>
              <w:rPr>
                <w:rFonts w:cstheme="minorHAnsi"/>
                <w:sz w:val="18"/>
                <w:szCs w:val="18"/>
              </w:rPr>
              <w:t>k</w:t>
            </w:r>
            <w:r w:rsidRPr="007C5F59">
              <w:rPr>
                <w:rFonts w:cstheme="minorHAnsi"/>
                <w:sz w:val="18"/>
                <w:szCs w:val="18"/>
              </w:rPr>
              <w:t>a University has been contracted for conducting the training programme</w:t>
            </w:r>
          </w:p>
          <w:p w:rsidR="0061232B" w:rsidRPr="007C5F59" w:rsidDel="00BC636F"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The training mannual (5 days/3 days/1 day training) on Disaster Management for Master Trainer/School Teaches/Education Officers finalized incorporating feedbac</w:t>
            </w:r>
            <w:r>
              <w:rPr>
                <w:rFonts w:cstheme="minorHAnsi"/>
                <w:sz w:val="18"/>
                <w:szCs w:val="18"/>
              </w:rPr>
              <w:t>k</w:t>
            </w:r>
            <w:r w:rsidRPr="007C5F59">
              <w:rPr>
                <w:rFonts w:cstheme="minorHAnsi"/>
                <w:sz w:val="18"/>
                <w:szCs w:val="18"/>
              </w:rPr>
              <w:t xml:space="preserve"> from the dissemination wor</w:t>
            </w:r>
            <w:r>
              <w:rPr>
                <w:rFonts w:cstheme="minorHAnsi"/>
                <w:sz w:val="18"/>
                <w:szCs w:val="18"/>
              </w:rPr>
              <w:t>k</w:t>
            </w:r>
            <w:r w:rsidRPr="007C5F59">
              <w:rPr>
                <w:rFonts w:cstheme="minorHAnsi"/>
                <w:sz w:val="18"/>
                <w:szCs w:val="18"/>
              </w:rPr>
              <w:t>shop (held on 30 Nov, 2014), feedbac</w:t>
            </w:r>
            <w:r>
              <w:rPr>
                <w:rFonts w:cstheme="minorHAnsi"/>
                <w:sz w:val="18"/>
                <w:szCs w:val="18"/>
              </w:rPr>
              <w:t>k</w:t>
            </w:r>
            <w:r w:rsidRPr="007C5F59">
              <w:rPr>
                <w:rFonts w:cstheme="minorHAnsi"/>
                <w:sz w:val="18"/>
                <w:szCs w:val="18"/>
              </w:rPr>
              <w:t xml:space="preserve"> from CDMP, which earlier reviewed by the TAG members; the mannual is ready for printing.</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Development of video content on for of the training of the school earthqua</w:t>
            </w:r>
            <w:r>
              <w:rPr>
                <w:rFonts w:cstheme="minorHAnsi"/>
                <w:sz w:val="18"/>
                <w:szCs w:val="18"/>
              </w:rPr>
              <w:t>k</w:t>
            </w:r>
            <w:r w:rsidRPr="007C5F59">
              <w:rPr>
                <w:rFonts w:cstheme="minorHAnsi"/>
                <w:sz w:val="18"/>
                <w:szCs w:val="18"/>
              </w:rPr>
              <w:t>e training in progress, received video content for the students, video for ToT in developing stage.</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Distributed School EQ equipment to 1000 schools &amp;Madrasha of Chittagong, Sylhet, Mymensingh&amp;Rangpur.</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300 Master trainers for training of school teachers and educations officers on earthqua</w:t>
            </w:r>
            <w:r>
              <w:rPr>
                <w:rFonts w:cstheme="minorHAnsi"/>
                <w:sz w:val="18"/>
                <w:szCs w:val="18"/>
              </w:rPr>
              <w:t>k</w:t>
            </w:r>
            <w:r w:rsidRPr="007C5F59">
              <w:rPr>
                <w:rFonts w:cstheme="minorHAnsi"/>
                <w:sz w:val="18"/>
                <w:szCs w:val="18"/>
              </w:rPr>
              <w:t>e drill.</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1500 school teachers and educations officers trained on earthqua</w:t>
            </w:r>
            <w:r>
              <w:rPr>
                <w:rFonts w:cstheme="minorHAnsi"/>
                <w:sz w:val="18"/>
                <w:szCs w:val="18"/>
              </w:rPr>
              <w:t>k</w:t>
            </w:r>
            <w:r w:rsidRPr="007C5F59">
              <w:rPr>
                <w:rFonts w:cstheme="minorHAnsi"/>
                <w:sz w:val="18"/>
                <w:szCs w:val="18"/>
              </w:rPr>
              <w:t>e drill</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Earthqua</w:t>
            </w:r>
            <w:r>
              <w:rPr>
                <w:rFonts w:cstheme="minorHAnsi"/>
                <w:sz w:val="18"/>
                <w:szCs w:val="18"/>
              </w:rPr>
              <w:t>k</w:t>
            </w:r>
            <w:r w:rsidRPr="007C5F59">
              <w:rPr>
                <w:rFonts w:cstheme="minorHAnsi"/>
                <w:sz w:val="18"/>
                <w:szCs w:val="18"/>
              </w:rPr>
              <w:t>e drill. Organized in 2000 schools at divisional level.</w:t>
            </w:r>
          </w:p>
        </w:tc>
      </w:tr>
      <w:tr w:rsidR="0061232B" w:rsidRPr="007C5F59" w:rsidTr="00E84BAD">
        <w:trPr>
          <w:trHeight w:val="77"/>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4.2 Effectiveness of community warning systems in high ris</w:t>
            </w:r>
            <w:r>
              <w:rPr>
                <w:rFonts w:cstheme="minorHAnsi"/>
                <w:sz w:val="18"/>
                <w:szCs w:val="18"/>
              </w:rPr>
              <w:t>k</w:t>
            </w:r>
            <w:r w:rsidRPr="007C5F59">
              <w:rPr>
                <w:rFonts w:cstheme="minorHAnsi"/>
                <w:sz w:val="18"/>
                <w:szCs w:val="18"/>
              </w:rPr>
              <w:t xml:space="preserve"> flood and cyclone districts improved and expanded.</w:t>
            </w: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lastRenderedPageBreak/>
              <w:t xml:space="preserve">4.2.2 </w:t>
            </w:r>
            <w:r w:rsidRPr="007C5F59">
              <w:rPr>
                <w:rFonts w:cstheme="minorHAnsi"/>
                <w:iCs/>
                <w:sz w:val="18"/>
                <w:szCs w:val="18"/>
              </w:rPr>
              <w:t>Community flood early warning system established in six districts</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Storm surge and inundation maps for coastal districts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3777 Formal and informal Cyclone shelters  database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Economic ris</w:t>
            </w:r>
            <w:r>
              <w:rPr>
                <w:rFonts w:cstheme="minorHAnsi"/>
                <w:sz w:val="18"/>
                <w:szCs w:val="18"/>
              </w:rPr>
              <w:t>k</w:t>
            </w:r>
            <w:r w:rsidRPr="007C5F59">
              <w:rPr>
                <w:rFonts w:cstheme="minorHAnsi"/>
                <w:sz w:val="18"/>
                <w:szCs w:val="18"/>
              </w:rPr>
              <w:t xml:space="preserve"> appraisal study report of the coastal industries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Experience of different early warning and community alerting system piloting under CDMP I</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hanging="90"/>
              <w:rPr>
                <w:rFonts w:cstheme="minorHAnsi"/>
                <w:sz w:val="18"/>
                <w:szCs w:val="18"/>
              </w:rPr>
            </w:pPr>
            <w:r w:rsidRPr="007C5F59">
              <w:rPr>
                <w:rFonts w:cstheme="minorHAnsi"/>
                <w:sz w:val="18"/>
                <w:szCs w:val="18"/>
              </w:rPr>
              <w:t>2 million people covered by flood early warning systems</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MOU signed with Ansar and VDP for development and implementation of flood preparedness programme (FPP), official lunching of FPP organized. 30 Master trainers identified. Basic training of 4 batches has been completed (120 personnel). 2 local level wor</w:t>
            </w:r>
            <w:r>
              <w:rPr>
                <w:rFonts w:cstheme="minorHAnsi"/>
                <w:sz w:val="18"/>
                <w:szCs w:val="18"/>
              </w:rPr>
              <w:t>k</w:t>
            </w:r>
            <w:r w:rsidRPr="007C5F59">
              <w:rPr>
                <w:rFonts w:cstheme="minorHAnsi"/>
                <w:sz w:val="18"/>
                <w:szCs w:val="18"/>
              </w:rPr>
              <w:t>shops completed in Sirajganj and Gaibandha districts.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4 modules developed (Module on Basic training, ToT, Volunteer training, Special training)</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Completed printing of IEC materials development (Flip chart, Handboo</w:t>
            </w:r>
            <w:r>
              <w:rPr>
                <w:rFonts w:cstheme="minorHAnsi"/>
                <w:sz w:val="18"/>
                <w:szCs w:val="18"/>
              </w:rPr>
              <w:t>k</w:t>
            </w:r>
            <w:r w:rsidRPr="007C5F59">
              <w:rPr>
                <w:rFonts w:cstheme="minorHAnsi"/>
                <w:sz w:val="18"/>
                <w:szCs w:val="18"/>
              </w:rPr>
              <w:t xml:space="preserve"> for Volunteer, Poster, Audio script, Flag).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Completed basic training for 466 participants (260 in Sirajgonj&amp; 206 in Gaibandha) in 16 batches.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Orientation meeting for 94 UDMC (45 in Gaibandha and 49 in Sirajgonj District) completed.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Completed Special training for Union leaders, Ansar, UISC of 470 Participants  (225 in Gaibandha&amp; 245 in Shirajgonj)</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pStyle w:val="ListParagraph"/>
              <w:numPr>
                <w:ilvl w:val="0"/>
                <w:numId w:val="48"/>
              </w:numPr>
              <w:spacing w:after="0" w:line="240" w:lineRule="auto"/>
              <w:ind w:left="0" w:hanging="90"/>
              <w:contextualSpacing w:val="0"/>
              <w:rPr>
                <w:rFonts w:asciiTheme="minorHAnsi" w:hAnsiTheme="minorHAnsi" w:cstheme="minorHAnsi"/>
                <w:sz w:val="18"/>
                <w:szCs w:val="18"/>
              </w:rPr>
            </w:pPr>
            <w:r w:rsidRPr="007C5F59">
              <w:rPr>
                <w:rFonts w:asciiTheme="minorHAnsi" w:hAnsiTheme="minorHAnsi" w:cstheme="minorHAnsi"/>
                <w:sz w:val="18"/>
                <w:szCs w:val="18"/>
              </w:rPr>
              <w:t>12000 Ansar and VDP members trained on flood early warning</w:t>
            </w: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4.2.3 </w:t>
            </w:r>
            <w:r w:rsidRPr="007C5F59">
              <w:rPr>
                <w:rFonts w:cstheme="minorHAnsi"/>
                <w:iCs/>
                <w:sz w:val="18"/>
                <w:szCs w:val="18"/>
              </w:rPr>
              <w:t xml:space="preserve">Public awareness programme to complement the early warning system conducted in the flood districts </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 awareness tools on flood preparedness  developed and disseminated through mass media</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Developed and dissemination of awareness tools on flood preparedness has been merged with activity 4.2.2.</w:t>
            </w:r>
          </w:p>
          <w:p w:rsidR="0061232B" w:rsidRPr="007C5F59" w:rsidRDefault="0061232B" w:rsidP="001E161B">
            <w:pPr>
              <w:widowControl w:val="0"/>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Supported organizing NDPD: Organized round table discussion on the role of media in disaster management; published and distributed poster on fire safety through FSCD and UPPR in the high vulnerable areas; </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4.2.4 </w:t>
            </w:r>
            <w:r w:rsidRPr="007C5F59">
              <w:rPr>
                <w:rFonts w:cstheme="minorHAnsi"/>
                <w:iCs/>
                <w:sz w:val="18"/>
                <w:szCs w:val="18"/>
              </w:rPr>
              <w:t>Further strengthened and operational CPP – expanded to cover 100% coastal districts, 6500 new volunteers recruited, refresher training organized, equipment supplied, regular drills held</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38,000 trained and equipped CPP volunteers</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6,540 new CPP volunteers recruited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13,000 CPP volunteers trained, including refresher training</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13,000 CPP volunteers equipped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15 moc</w:t>
            </w:r>
            <w:r>
              <w:rPr>
                <w:rFonts w:cstheme="minorHAnsi"/>
                <w:sz w:val="18"/>
                <w:szCs w:val="18"/>
              </w:rPr>
              <w:t>k</w:t>
            </w:r>
            <w:r w:rsidRPr="007C5F59">
              <w:rPr>
                <w:rFonts w:cstheme="minorHAnsi"/>
                <w:sz w:val="18"/>
                <w:szCs w:val="18"/>
              </w:rPr>
              <w:t xml:space="preserve"> drills / demonstrations arranged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Training manual prepared for TOT of 30 CPP Officials; ToT for 24 officers have completed.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2670 CPP volunteers trained (4 days training) in 17 centers of Bash</w:t>
            </w:r>
            <w:r>
              <w:rPr>
                <w:rFonts w:cstheme="minorHAnsi"/>
                <w:sz w:val="18"/>
                <w:szCs w:val="18"/>
              </w:rPr>
              <w:t>k</w:t>
            </w:r>
            <w:r w:rsidRPr="007C5F59">
              <w:rPr>
                <w:rFonts w:cstheme="minorHAnsi"/>
                <w:sz w:val="18"/>
                <w:szCs w:val="18"/>
              </w:rPr>
              <w:t>haliUpazila, 24 centers of RamgatiUpazila and 18 centers of HatiyaUpazila (Each centers trained 45 CPP volunteers).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Organized 4 wor</w:t>
            </w:r>
            <w:r>
              <w:rPr>
                <w:rFonts w:cstheme="minorHAnsi"/>
                <w:sz w:val="18"/>
                <w:szCs w:val="18"/>
              </w:rPr>
              <w:t>k</w:t>
            </w:r>
            <w:r w:rsidRPr="007C5F59">
              <w:rPr>
                <w:rFonts w:cstheme="minorHAnsi"/>
                <w:sz w:val="18"/>
                <w:szCs w:val="18"/>
              </w:rPr>
              <w:t xml:space="preserve">shops in Baharchara, </w:t>
            </w:r>
            <w:r>
              <w:rPr>
                <w:rFonts w:cstheme="minorHAnsi"/>
                <w:sz w:val="18"/>
                <w:szCs w:val="18"/>
              </w:rPr>
              <w:t>K</w:t>
            </w:r>
            <w:r w:rsidRPr="007C5F59">
              <w:rPr>
                <w:rFonts w:cstheme="minorHAnsi"/>
                <w:sz w:val="18"/>
                <w:szCs w:val="18"/>
              </w:rPr>
              <w:t>atharia, Saral&amp;Shil</w:t>
            </w:r>
            <w:r>
              <w:rPr>
                <w:rFonts w:cstheme="minorHAnsi"/>
                <w:sz w:val="18"/>
                <w:szCs w:val="18"/>
              </w:rPr>
              <w:t>k</w:t>
            </w:r>
            <w:r w:rsidRPr="007C5F59">
              <w:rPr>
                <w:rFonts w:cstheme="minorHAnsi"/>
                <w:sz w:val="18"/>
                <w:szCs w:val="18"/>
              </w:rPr>
              <w:t>up Union of Bash</w:t>
            </w:r>
            <w:r>
              <w:rPr>
                <w:rFonts w:cstheme="minorHAnsi"/>
                <w:sz w:val="18"/>
                <w:szCs w:val="18"/>
              </w:rPr>
              <w:t>k</w:t>
            </w:r>
            <w:r w:rsidRPr="007C5F59">
              <w:rPr>
                <w:rFonts w:cstheme="minorHAnsi"/>
                <w:sz w:val="18"/>
                <w:szCs w:val="18"/>
              </w:rPr>
              <w:t>haliUpazila with participation of UDMC and CPP leaders.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Training completed for 15 VHF operators.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Completed installation of 21 Antenna mast  in </w:t>
            </w:r>
            <w:r>
              <w:rPr>
                <w:rFonts w:cstheme="minorHAnsi"/>
                <w:sz w:val="18"/>
                <w:szCs w:val="18"/>
              </w:rPr>
              <w:t>K</w:t>
            </w:r>
            <w:r w:rsidRPr="007C5F59">
              <w:rPr>
                <w:rFonts w:cstheme="minorHAnsi"/>
                <w:sz w:val="18"/>
                <w:szCs w:val="18"/>
              </w:rPr>
              <w:t>hulna</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897 signal mast installations completed  in 5 upazilas (Assasuni&amp;Shyamnagar-Sat</w:t>
            </w:r>
            <w:r>
              <w:rPr>
                <w:rFonts w:cstheme="minorHAnsi"/>
                <w:sz w:val="18"/>
                <w:szCs w:val="18"/>
              </w:rPr>
              <w:t>k</w:t>
            </w:r>
            <w:r w:rsidRPr="007C5F59">
              <w:rPr>
                <w:rFonts w:cstheme="minorHAnsi"/>
                <w:sz w:val="18"/>
                <w:szCs w:val="18"/>
              </w:rPr>
              <w:t>hira, Dacope&amp;</w:t>
            </w:r>
            <w:r>
              <w:rPr>
                <w:rFonts w:cstheme="minorHAnsi"/>
                <w:sz w:val="18"/>
                <w:szCs w:val="18"/>
              </w:rPr>
              <w:t>K</w:t>
            </w:r>
            <w:r w:rsidRPr="007C5F59">
              <w:rPr>
                <w:rFonts w:cstheme="minorHAnsi"/>
                <w:sz w:val="18"/>
                <w:szCs w:val="18"/>
              </w:rPr>
              <w:t>oyra-</w:t>
            </w:r>
            <w:r>
              <w:rPr>
                <w:rFonts w:cstheme="minorHAnsi"/>
                <w:sz w:val="18"/>
                <w:szCs w:val="18"/>
              </w:rPr>
              <w:t>K</w:t>
            </w:r>
            <w:r w:rsidRPr="007C5F59">
              <w:rPr>
                <w:rFonts w:cstheme="minorHAnsi"/>
                <w:sz w:val="18"/>
                <w:szCs w:val="18"/>
              </w:rPr>
              <w:t>hulna, Mongla-Bagerhat)</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Procurement of equipment completed, which include 21 VHF and 6 HF Radio sets had completed and delivered to </w:t>
            </w:r>
            <w:r w:rsidRPr="007C5F59">
              <w:rPr>
                <w:rFonts w:cstheme="minorHAnsi"/>
                <w:sz w:val="18"/>
                <w:szCs w:val="18"/>
              </w:rPr>
              <w:lastRenderedPageBreak/>
              <w:t>CPP personnel.</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5000 newly recruited CPP volunteers trained in targeted six upazilas</w:t>
            </w:r>
          </w:p>
        </w:tc>
      </w:tr>
      <w:tr w:rsidR="0061232B" w:rsidRPr="007C5F59" w:rsidTr="00E84BAD">
        <w:trPr>
          <w:trHeight w:val="7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lastRenderedPageBreak/>
              <w:t>4.2.5 Improved household emergency response preparedness of at least 1 million vulnerable families in 40 targeted districts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 m families covered by emergency preparedness support including IEC materials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4 pilot programmes on community and household preparedness</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Procurement of emergency preparedness equipment completed.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Emergency preparedness equipment distributed to Gosairhatupazila of Shariatpur district, Borhan Uddin upazila of Bhola district, Galachipa&amp;Dashminaupazila to Patua</w:t>
            </w:r>
            <w:r>
              <w:rPr>
                <w:rFonts w:cstheme="minorHAnsi"/>
                <w:sz w:val="18"/>
                <w:szCs w:val="18"/>
              </w:rPr>
              <w:t>k</w:t>
            </w:r>
            <w:r w:rsidRPr="007C5F59">
              <w:rPr>
                <w:rFonts w:cstheme="minorHAnsi"/>
                <w:sz w:val="18"/>
                <w:szCs w:val="18"/>
              </w:rPr>
              <w:t xml:space="preserve">hali district, Muladiupazila of Barisal district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6,000 Life Buoys delivered to Cox’sBazar&amp;Patu</w:t>
            </w:r>
            <w:r>
              <w:rPr>
                <w:rFonts w:cstheme="minorHAnsi"/>
                <w:sz w:val="18"/>
                <w:szCs w:val="18"/>
              </w:rPr>
              <w:t>k</w:t>
            </w:r>
            <w:r w:rsidRPr="007C5F59">
              <w:rPr>
                <w:rFonts w:cstheme="minorHAnsi"/>
                <w:sz w:val="18"/>
                <w:szCs w:val="18"/>
              </w:rPr>
              <w:t>hali DRRO office.</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77"/>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4.3 DMIC/DMIN fully operational and providing 24/7 information management and alerting capability.</w:t>
            </w:r>
          </w:p>
        </w:tc>
      </w:tr>
      <w:tr w:rsidR="0061232B" w:rsidRPr="007C5F59" w:rsidTr="00E84BAD">
        <w:trPr>
          <w:trHeight w:val="710"/>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left="-59"/>
              <w:rPr>
                <w:rFonts w:cstheme="minorHAnsi"/>
                <w:iCs/>
                <w:sz w:val="18"/>
                <w:szCs w:val="18"/>
              </w:rPr>
            </w:pPr>
            <w:r w:rsidRPr="007C5F59">
              <w:rPr>
                <w:rFonts w:cstheme="minorHAnsi"/>
                <w:sz w:val="18"/>
                <w:szCs w:val="18"/>
              </w:rPr>
              <w:t xml:space="preserve">4.3.1 </w:t>
            </w:r>
            <w:r w:rsidRPr="007C5F59">
              <w:rPr>
                <w:rFonts w:cstheme="minorHAnsi"/>
                <w:iCs/>
                <w:sz w:val="18"/>
                <w:szCs w:val="18"/>
              </w:rPr>
              <w:t>485Upazilas connected to the DMIC/N portal</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DMIC/ICT Strategy</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Functional national DMIC connected with 64 districts and 235 high ris</w:t>
            </w:r>
            <w:r>
              <w:rPr>
                <w:rFonts w:cstheme="minorHAnsi"/>
                <w:sz w:val="18"/>
                <w:szCs w:val="18"/>
              </w:rPr>
              <w:t>k</w:t>
            </w:r>
            <w:r w:rsidRPr="007C5F59">
              <w:rPr>
                <w:rFonts w:cstheme="minorHAnsi"/>
                <w:sz w:val="18"/>
                <w:szCs w:val="18"/>
              </w:rPr>
              <w:t>Upazilas</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hanging="90"/>
              <w:rPr>
                <w:rFonts w:cstheme="minorHAnsi"/>
                <w:sz w:val="18"/>
                <w:szCs w:val="18"/>
              </w:rPr>
            </w:pPr>
            <w:r w:rsidRPr="007C5F59">
              <w:rPr>
                <w:rFonts w:cstheme="minorHAnsi"/>
                <w:sz w:val="18"/>
                <w:szCs w:val="18"/>
              </w:rPr>
              <w:t>485 Upazilas connected with central DMIC/N</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Polycom Audio Conference system installed in the conference room of 26 DC offices.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Distribution of 75 Fax machines is under process.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 Procurement of Laptop, Des</w:t>
            </w:r>
            <w:r>
              <w:rPr>
                <w:rFonts w:cstheme="minorHAnsi"/>
                <w:sz w:val="18"/>
                <w:szCs w:val="18"/>
              </w:rPr>
              <w:t>k</w:t>
            </w:r>
            <w:r w:rsidRPr="007C5F59">
              <w:rPr>
                <w:rFonts w:cstheme="minorHAnsi"/>
                <w:sz w:val="18"/>
                <w:szCs w:val="18"/>
              </w:rPr>
              <w:t>top, wifi , Printer, Scanner for  MoDMR Completed</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DMIC upgraded</w:t>
            </w:r>
          </w:p>
        </w:tc>
      </w:tr>
      <w:tr w:rsidR="0061232B" w:rsidRPr="007C5F59" w:rsidTr="00E84BAD">
        <w:trPr>
          <w:trHeight w:val="188"/>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4.3.2 </w:t>
            </w:r>
            <w:r w:rsidRPr="007C5F59">
              <w:rPr>
                <w:rFonts w:cstheme="minorHAnsi"/>
                <w:iCs/>
                <w:sz w:val="18"/>
                <w:szCs w:val="18"/>
              </w:rPr>
              <w:t>DRRO and PIO office staff received basic ICT/ DMIC induction training</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Trained DRROs and PIOs on the use of ICT</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500 DRRO and PIO office staff trained on basic ICT/ DMIC induction training</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22 nosDRRo and PIOs received ICT training</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Evaluation of EoI completed for development of DMIN software.</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Evaluation for DMIN hardware completed.</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96"/>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4.3.4 </w:t>
            </w:r>
            <w:r w:rsidRPr="007C5F59">
              <w:rPr>
                <w:rFonts w:cstheme="minorHAnsi"/>
                <w:iCs/>
                <w:sz w:val="18"/>
                <w:szCs w:val="18"/>
              </w:rPr>
              <w:t>Disaster management information/resource centres are established to receive and circulate the product of DMIC to the sta</w:t>
            </w:r>
            <w:r>
              <w:rPr>
                <w:rFonts w:cstheme="minorHAnsi"/>
                <w:iCs/>
                <w:sz w:val="18"/>
                <w:szCs w:val="18"/>
              </w:rPr>
              <w:t>k</w:t>
            </w:r>
            <w:r w:rsidRPr="007C5F59">
              <w:rPr>
                <w:rFonts w:cstheme="minorHAnsi"/>
                <w:iCs/>
                <w:sz w:val="18"/>
                <w:szCs w:val="18"/>
              </w:rPr>
              <w:t>eholders and the community</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Lin</w:t>
            </w:r>
            <w:r>
              <w:rPr>
                <w:rFonts w:cstheme="minorHAnsi"/>
                <w:sz w:val="18"/>
                <w:szCs w:val="18"/>
              </w:rPr>
              <w:t>k</w:t>
            </w:r>
            <w:r w:rsidRPr="007C5F59">
              <w:rPr>
                <w:rFonts w:cstheme="minorHAnsi"/>
                <w:sz w:val="18"/>
                <w:szCs w:val="18"/>
              </w:rPr>
              <w:t xml:space="preserve"> of district DM Resource centre with DMIC national portal in 64 districts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Reported in 1.6.2</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710"/>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4.3.6 </w:t>
            </w:r>
            <w:r w:rsidRPr="007C5F59">
              <w:rPr>
                <w:rFonts w:cstheme="minorHAnsi"/>
                <w:iCs/>
                <w:sz w:val="18"/>
                <w:szCs w:val="18"/>
              </w:rPr>
              <w:t>Six  networ</w:t>
            </w:r>
            <w:r>
              <w:rPr>
                <w:rFonts w:cstheme="minorHAnsi"/>
                <w:iCs/>
                <w:sz w:val="18"/>
                <w:szCs w:val="18"/>
              </w:rPr>
              <w:t>k</w:t>
            </w:r>
            <w:r w:rsidRPr="007C5F59">
              <w:rPr>
                <w:rFonts w:cstheme="minorHAnsi"/>
                <w:iCs/>
                <w:sz w:val="18"/>
                <w:szCs w:val="18"/>
              </w:rPr>
              <w:t xml:space="preserve"> operators engaged in IVR and/or cell broadcasting and/or SMS for disaster early warning</w:t>
            </w:r>
            <w:r w:rsidRPr="007C5F59">
              <w:rPr>
                <w:rFonts w:cstheme="minorHAnsi"/>
                <w:sz w:val="18"/>
                <w:szCs w:val="18"/>
              </w:rPr>
              <w:t>; Popularizing mobile-based early warning dissemination</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Draft early warning cell broad casting policy</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Pilot experience of the early warning cell broadcasting in  flood and cyclone area</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 networ</w:t>
            </w:r>
            <w:r>
              <w:rPr>
                <w:rFonts w:cstheme="minorHAnsi"/>
                <w:sz w:val="18"/>
                <w:szCs w:val="18"/>
              </w:rPr>
              <w:t>k</w:t>
            </w:r>
            <w:r w:rsidRPr="007C5F59">
              <w:rPr>
                <w:rFonts w:cstheme="minorHAnsi"/>
                <w:sz w:val="18"/>
                <w:szCs w:val="18"/>
              </w:rPr>
              <w:t xml:space="preserve"> operators with a dedicated telephone number using IVR with updated disaster ris</w:t>
            </w:r>
            <w:r>
              <w:rPr>
                <w:rFonts w:cstheme="minorHAnsi"/>
                <w:sz w:val="18"/>
                <w:szCs w:val="18"/>
              </w:rPr>
              <w:t>k</w:t>
            </w:r>
            <w:r w:rsidRPr="007C5F59">
              <w:rPr>
                <w:rFonts w:cstheme="minorHAnsi"/>
                <w:sz w:val="18"/>
                <w:szCs w:val="18"/>
              </w:rPr>
              <w:t xml:space="preserve"> information</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60 million people covered by early warning (IVR/SMS/ cell broadcasting) through networ</w:t>
            </w:r>
            <w:r>
              <w:rPr>
                <w:rFonts w:cstheme="minorHAnsi"/>
                <w:sz w:val="18"/>
                <w:szCs w:val="18"/>
              </w:rPr>
              <w:t>k</w:t>
            </w:r>
            <w:r w:rsidRPr="007C5F59">
              <w:rPr>
                <w:rFonts w:cstheme="minorHAnsi"/>
                <w:sz w:val="18"/>
                <w:szCs w:val="18"/>
              </w:rPr>
              <w:t xml:space="preserve"> operators</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IVR is functional with 6 mobile operators; newspaper advertisement published to popularize the IVR. Radio and TV advertisement is under development.</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Functionality &amp; Updating assessment of IVR is on-going; held meeting with third party consultant (Field buzz) to assess the problem related to IVR functionality.</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IVR promoted through electronic and print media</w:t>
            </w:r>
          </w:p>
        </w:tc>
      </w:tr>
      <w:tr w:rsidR="0061232B" w:rsidRPr="007C5F59" w:rsidTr="00E84BAD">
        <w:trPr>
          <w:trHeight w:val="77"/>
        </w:trPr>
        <w:tc>
          <w:tcPr>
            <w:tcW w:w="5000"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OUTCOME 5:  Improved disaster-proofing of development programming, and enhanced technical capacity to incentivize positive long-term changes in planning and investment decisions, in targeted ministries.</w:t>
            </w: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5.1   Facilitating Mainstreaming DRR and CCA across sectors / MSU</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left="-59"/>
              <w:rPr>
                <w:rFonts w:cstheme="minorHAnsi"/>
                <w:sz w:val="18"/>
                <w:szCs w:val="18"/>
              </w:rPr>
            </w:pPr>
            <w:r w:rsidRPr="007C5F59">
              <w:rPr>
                <w:rFonts w:cstheme="minorHAnsi"/>
                <w:sz w:val="18"/>
                <w:szCs w:val="18"/>
              </w:rPr>
              <w:lastRenderedPageBreak/>
              <w:t>5.1.1 DRR and CCA considerations institutionalized - DPP format revised, DRR and CCA mainstreaming and institutionalizing guideline developed</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ECNEC Decision for inclusion of ris</w:t>
            </w:r>
            <w:r>
              <w:rPr>
                <w:rFonts w:cstheme="minorHAnsi"/>
                <w:sz w:val="18"/>
                <w:szCs w:val="18"/>
              </w:rPr>
              <w:t>k</w:t>
            </w:r>
            <w:r w:rsidRPr="007C5F59">
              <w:rPr>
                <w:rFonts w:cstheme="minorHAnsi"/>
                <w:sz w:val="18"/>
                <w:szCs w:val="18"/>
              </w:rPr>
              <w:t xml:space="preserve"> assessment and lessons learned in the DPP format</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General Guide to Practice on DRR&amp;CCA mainstreaming in the planning process</w:t>
            </w:r>
          </w:p>
        </w:tc>
        <w:tc>
          <w:tcPr>
            <w:tcW w:w="87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widowControl w:val="0"/>
              <w:numPr>
                <w:ilvl w:val="0"/>
                <w:numId w:val="48"/>
              </w:numPr>
              <w:tabs>
                <w:tab w:val="left" w:pos="-21"/>
              </w:tabs>
              <w:autoSpaceDN w:val="0"/>
              <w:spacing w:after="0" w:line="240" w:lineRule="auto"/>
              <w:ind w:left="0" w:hanging="90"/>
              <w:rPr>
                <w:rFonts w:cstheme="minorHAnsi"/>
                <w:sz w:val="18"/>
                <w:szCs w:val="18"/>
              </w:rPr>
            </w:pPr>
            <w:r w:rsidRPr="007C5F59">
              <w:rPr>
                <w:rFonts w:cstheme="minorHAnsi"/>
                <w:sz w:val="18"/>
                <w:szCs w:val="18"/>
              </w:rPr>
              <w:t xml:space="preserve">25 CDMP focal points with ministries and departments </w:t>
            </w:r>
          </w:p>
          <w:p w:rsidR="0061232B" w:rsidRPr="007C5F59" w:rsidRDefault="0061232B" w:rsidP="001E161B">
            <w:pPr>
              <w:widowControl w:val="0"/>
              <w:numPr>
                <w:ilvl w:val="0"/>
                <w:numId w:val="48"/>
              </w:numPr>
              <w:tabs>
                <w:tab w:val="left" w:pos="-21"/>
              </w:tabs>
              <w:autoSpaceDN w:val="0"/>
              <w:spacing w:after="0" w:line="240" w:lineRule="auto"/>
              <w:ind w:left="0" w:hanging="90"/>
              <w:rPr>
                <w:rFonts w:cstheme="minorHAnsi"/>
                <w:sz w:val="18"/>
                <w:szCs w:val="18"/>
              </w:rPr>
            </w:pPr>
            <w:r w:rsidRPr="007C5F59">
              <w:rPr>
                <w:rFonts w:cstheme="minorHAnsi"/>
                <w:sz w:val="18"/>
                <w:szCs w:val="18"/>
              </w:rPr>
              <w:t>13 TAG with ministries and departments</w:t>
            </w:r>
          </w:p>
          <w:p w:rsidR="0061232B" w:rsidRPr="007C5F59" w:rsidRDefault="0061232B" w:rsidP="001E161B">
            <w:pPr>
              <w:widowControl w:val="0"/>
              <w:numPr>
                <w:ilvl w:val="0"/>
                <w:numId w:val="48"/>
              </w:numPr>
              <w:tabs>
                <w:tab w:val="left" w:pos="-21"/>
              </w:tabs>
              <w:autoSpaceDN w:val="0"/>
              <w:spacing w:after="0" w:line="240" w:lineRule="auto"/>
              <w:ind w:left="0" w:hanging="90"/>
              <w:rPr>
                <w:rFonts w:cstheme="minorHAnsi"/>
                <w:sz w:val="18"/>
                <w:szCs w:val="18"/>
              </w:rPr>
            </w:pPr>
            <w:r w:rsidRPr="007C5F59">
              <w:rPr>
                <w:rFonts w:cstheme="minorHAnsi"/>
                <w:sz w:val="18"/>
                <w:szCs w:val="18"/>
              </w:rPr>
              <w:t>Revised DPP format in place</w:t>
            </w:r>
          </w:p>
          <w:p w:rsidR="0061232B" w:rsidRPr="007C5F59" w:rsidRDefault="0061232B" w:rsidP="001E161B">
            <w:pPr>
              <w:widowControl w:val="0"/>
              <w:numPr>
                <w:ilvl w:val="0"/>
                <w:numId w:val="48"/>
              </w:numPr>
              <w:tabs>
                <w:tab w:val="left" w:pos="-21"/>
              </w:tabs>
              <w:autoSpaceDN w:val="0"/>
              <w:spacing w:after="0" w:line="240" w:lineRule="auto"/>
              <w:ind w:left="0" w:hanging="90"/>
              <w:rPr>
                <w:rFonts w:cstheme="minorHAnsi"/>
                <w:sz w:val="18"/>
                <w:szCs w:val="18"/>
              </w:rPr>
            </w:pPr>
            <w:r w:rsidRPr="007C5F59">
              <w:rPr>
                <w:rFonts w:cstheme="minorHAnsi"/>
                <w:sz w:val="18"/>
                <w:szCs w:val="18"/>
              </w:rPr>
              <w:t>DRR &amp; CCA mainstreaming guideline in place</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Organized one coordination meeting with the partner  department / ministries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Focal Points are playing active role for implementation of the PIP </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1052"/>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left="-59"/>
              <w:rPr>
                <w:rFonts w:cstheme="minorHAnsi"/>
                <w:sz w:val="18"/>
                <w:szCs w:val="18"/>
              </w:rPr>
            </w:pPr>
            <w:r w:rsidRPr="007C5F59">
              <w:rPr>
                <w:rFonts w:cstheme="minorHAnsi"/>
                <w:sz w:val="18"/>
                <w:szCs w:val="18"/>
              </w:rPr>
              <w:t>5.1.2 Sector specific DRR and CCA mainstreaming guidelines developed, DRR and CCA Focal Points established in all development ministries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widowControl w:val="0"/>
              <w:numPr>
                <w:ilvl w:val="0"/>
                <w:numId w:val="48"/>
              </w:numPr>
              <w:tabs>
                <w:tab w:val="left" w:pos="-21"/>
              </w:tabs>
              <w:autoSpaceDN w:val="0"/>
              <w:spacing w:after="0" w:line="240" w:lineRule="auto"/>
              <w:ind w:left="0" w:hanging="90"/>
              <w:rPr>
                <w:rFonts w:cstheme="minorHAnsi"/>
                <w:sz w:val="18"/>
                <w:szCs w:val="18"/>
              </w:rPr>
            </w:pPr>
            <w:r w:rsidRPr="007C5F59">
              <w:rPr>
                <w:rFonts w:cstheme="minorHAnsi"/>
                <w:sz w:val="18"/>
                <w:szCs w:val="18"/>
              </w:rPr>
              <w:t>General guidelines on DRR &amp; CCA mainstreaming</w:t>
            </w:r>
          </w:p>
          <w:p w:rsidR="0061232B" w:rsidRPr="007C5F59" w:rsidRDefault="0061232B" w:rsidP="001E161B">
            <w:pPr>
              <w:widowControl w:val="0"/>
              <w:numPr>
                <w:ilvl w:val="0"/>
                <w:numId w:val="48"/>
              </w:numPr>
              <w:tabs>
                <w:tab w:val="left" w:pos="-21"/>
              </w:tabs>
              <w:autoSpaceDN w:val="0"/>
              <w:spacing w:after="0" w:line="240" w:lineRule="auto"/>
              <w:ind w:left="0" w:hanging="90"/>
              <w:rPr>
                <w:rFonts w:cstheme="minorHAnsi"/>
                <w:sz w:val="18"/>
                <w:szCs w:val="18"/>
              </w:rPr>
            </w:pPr>
            <w:r w:rsidRPr="007C5F59">
              <w:rPr>
                <w:rFonts w:cstheme="minorHAnsi"/>
                <w:sz w:val="18"/>
                <w:szCs w:val="18"/>
              </w:rPr>
              <w:t>200 users trained</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4 policies of DAE, DLS, DOF reviewed.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Mainstreaming Guidelines for DAE, DLS, DoF prepared; 3 Consultations with DAE, DOF and DLS held to review the Draft Guidelines</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Mainstreaming  guidelines for DAE, DLS, DOF developed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600 staff trained on Mainstreaming  guidelines </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left="-59"/>
              <w:rPr>
                <w:rFonts w:cstheme="minorHAnsi"/>
                <w:sz w:val="18"/>
                <w:szCs w:val="18"/>
              </w:rPr>
            </w:pPr>
            <w:r w:rsidRPr="007C5F59">
              <w:rPr>
                <w:rFonts w:cstheme="minorHAnsi"/>
                <w:sz w:val="18"/>
                <w:szCs w:val="18"/>
              </w:rPr>
              <w:t>5.1.3 Training for 200 planning cadre officials on DPP format</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widowControl w:val="0"/>
              <w:numPr>
                <w:ilvl w:val="0"/>
                <w:numId w:val="48"/>
              </w:numPr>
              <w:tabs>
                <w:tab w:val="left" w:pos="-21"/>
              </w:tabs>
              <w:autoSpaceDN w:val="0"/>
              <w:spacing w:after="0" w:line="240" w:lineRule="auto"/>
              <w:ind w:left="0" w:hanging="90"/>
              <w:rPr>
                <w:rFonts w:cstheme="minorHAnsi"/>
                <w:sz w:val="18"/>
                <w:szCs w:val="18"/>
              </w:rPr>
            </w:pPr>
            <w:r w:rsidRPr="007C5F59">
              <w:rPr>
                <w:rFonts w:cstheme="minorHAnsi"/>
                <w:sz w:val="18"/>
                <w:szCs w:val="18"/>
              </w:rPr>
              <w:t>200 Planning Cell officials trained</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CDMP II and GED signed MOU to conduct training for 200 planning cadre officials on DPP format;</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Training module developed and training provided to  (125 participants)</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80 Professionals trained on DPP format</w:t>
            </w: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5.2  Disaster Management issues are incorporated in the boo</w:t>
            </w:r>
            <w:r>
              <w:rPr>
                <w:rFonts w:cstheme="minorHAnsi"/>
                <w:sz w:val="18"/>
                <w:szCs w:val="18"/>
              </w:rPr>
              <w:t>k</w:t>
            </w:r>
            <w:r w:rsidRPr="007C5F59">
              <w:rPr>
                <w:rFonts w:cstheme="minorHAnsi"/>
                <w:sz w:val="18"/>
                <w:szCs w:val="18"/>
              </w:rPr>
              <w:t>s of primary to higher secondary levels / NCTB</w:t>
            </w:r>
          </w:p>
        </w:tc>
      </w:tr>
      <w:tr w:rsidR="0061232B" w:rsidRPr="007C5F59" w:rsidTr="00E84BAD">
        <w:trPr>
          <w:trHeight w:val="85"/>
        </w:trPr>
        <w:tc>
          <w:tcPr>
            <w:tcW w:w="81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5.2.1 Contents of textboo</w:t>
            </w:r>
            <w:r>
              <w:rPr>
                <w:rFonts w:cstheme="minorHAnsi"/>
                <w:sz w:val="18"/>
                <w:szCs w:val="18"/>
              </w:rPr>
              <w:t>k</w:t>
            </w:r>
            <w:r w:rsidRPr="007C5F59">
              <w:rPr>
                <w:rFonts w:cstheme="minorHAnsi"/>
                <w:sz w:val="18"/>
                <w:szCs w:val="18"/>
              </w:rPr>
              <w:t xml:space="preserve"> chapters for different classes developed, incorporating DRR &amp; CCA</w:t>
            </w:r>
          </w:p>
        </w:tc>
        <w:tc>
          <w:tcPr>
            <w:tcW w:w="90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Education sector inventory</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National DM Education strategy document developed under CDMP I</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Reconnaissance study and materials for inclusion of DM section in the text boo</w:t>
            </w:r>
            <w:r>
              <w:rPr>
                <w:rFonts w:cstheme="minorHAnsi"/>
                <w:sz w:val="18"/>
                <w:szCs w:val="18"/>
              </w:rPr>
              <w:t>k</w:t>
            </w:r>
            <w:r w:rsidRPr="007C5F59">
              <w:rPr>
                <w:rFonts w:cstheme="minorHAnsi"/>
                <w:sz w:val="18"/>
                <w:szCs w:val="18"/>
              </w:rPr>
              <w:t>s of grade VI-IX</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Wor</w:t>
            </w:r>
            <w:r>
              <w:rPr>
                <w:rFonts w:cstheme="minorHAnsi"/>
                <w:sz w:val="18"/>
                <w:szCs w:val="18"/>
              </w:rPr>
              <w:t>k</w:t>
            </w:r>
            <w:r w:rsidRPr="007C5F59">
              <w:rPr>
                <w:rFonts w:cstheme="minorHAnsi"/>
                <w:sz w:val="18"/>
                <w:szCs w:val="18"/>
              </w:rPr>
              <w:t xml:space="preserve">ing and learning experience with NCTB and NAEM under CDMP I on the same </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Revised 39 text boo</w:t>
            </w:r>
            <w:r>
              <w:rPr>
                <w:rFonts w:cstheme="minorHAnsi"/>
                <w:sz w:val="18"/>
                <w:szCs w:val="18"/>
              </w:rPr>
              <w:t>k</w:t>
            </w:r>
            <w:r w:rsidRPr="007C5F59">
              <w:rPr>
                <w:rFonts w:cstheme="minorHAnsi"/>
                <w:sz w:val="18"/>
                <w:szCs w:val="18"/>
              </w:rPr>
              <w:t>s of class II to XII incorporating DM&amp;CC materials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Incorporation of DRR &amp; CCA issues in 4 subjects (Agricultural Studies, Geography, Biology first paper &amp; Islamic Studies 2nd paper) of higher secondary textboo</w:t>
            </w:r>
            <w:r>
              <w:rPr>
                <w:rFonts w:cstheme="minorHAnsi"/>
                <w:sz w:val="18"/>
                <w:szCs w:val="18"/>
              </w:rPr>
              <w:t>k</w:t>
            </w:r>
            <w:r w:rsidRPr="007C5F59">
              <w:rPr>
                <w:rFonts w:cstheme="minorHAnsi"/>
                <w:sz w:val="18"/>
                <w:szCs w:val="18"/>
              </w:rPr>
              <w:t>s has been completed; publication of the boo</w:t>
            </w:r>
            <w:r>
              <w:rPr>
                <w:rFonts w:cstheme="minorHAnsi"/>
                <w:sz w:val="18"/>
                <w:szCs w:val="18"/>
              </w:rPr>
              <w:t>k</w:t>
            </w:r>
            <w:r w:rsidRPr="007C5F59">
              <w:rPr>
                <w:rFonts w:cstheme="minorHAnsi"/>
                <w:sz w:val="18"/>
                <w:szCs w:val="18"/>
              </w:rPr>
              <w:t>s completed.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Conducted a study tour in Philippine for sharing </w:t>
            </w:r>
            <w:r>
              <w:rPr>
                <w:rFonts w:cstheme="minorHAnsi"/>
                <w:sz w:val="18"/>
                <w:szCs w:val="18"/>
              </w:rPr>
              <w:t>k</w:t>
            </w:r>
            <w:r w:rsidRPr="007C5F59">
              <w:rPr>
                <w:rFonts w:cstheme="minorHAnsi"/>
                <w:sz w:val="18"/>
                <w:szCs w:val="18"/>
              </w:rPr>
              <w:t>nowledge on incorporation of DRR issues in textboo</w:t>
            </w:r>
            <w:r>
              <w:rPr>
                <w:rFonts w:cstheme="minorHAnsi"/>
                <w:sz w:val="18"/>
                <w:szCs w:val="18"/>
              </w:rPr>
              <w:t>k</w:t>
            </w:r>
            <w:r w:rsidRPr="007C5F59">
              <w:rPr>
                <w:rFonts w:cstheme="minorHAnsi"/>
                <w:sz w:val="18"/>
                <w:szCs w:val="18"/>
              </w:rPr>
              <w:t>; review of secondary materials collected during the study tour to incorporate in the supplementary learning materials in progress.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Organized 4 Divisional wor</w:t>
            </w:r>
            <w:r>
              <w:rPr>
                <w:rFonts w:cstheme="minorHAnsi"/>
                <w:sz w:val="18"/>
                <w:szCs w:val="18"/>
              </w:rPr>
              <w:t>k</w:t>
            </w:r>
            <w:r w:rsidRPr="007C5F59">
              <w:rPr>
                <w:rFonts w:cstheme="minorHAnsi"/>
                <w:sz w:val="18"/>
                <w:szCs w:val="18"/>
              </w:rPr>
              <w:t>shop on awareness raising for incorporation of DRR and CCA in curriculum and role of Teachers and education department</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81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b/>
                <w:sz w:val="18"/>
                <w:szCs w:val="18"/>
              </w:rPr>
            </w:pPr>
            <w:r w:rsidRPr="007C5F59">
              <w:rPr>
                <w:rFonts w:cstheme="minorHAnsi"/>
                <w:sz w:val="18"/>
                <w:szCs w:val="18"/>
              </w:rPr>
              <w:t>5.2.2 Ten story boo</w:t>
            </w:r>
            <w:r>
              <w:rPr>
                <w:rFonts w:cstheme="minorHAnsi"/>
                <w:sz w:val="18"/>
                <w:szCs w:val="18"/>
              </w:rPr>
              <w:t>k</w:t>
            </w:r>
            <w:r w:rsidRPr="007C5F59">
              <w:rPr>
                <w:rFonts w:cstheme="minorHAnsi"/>
                <w:sz w:val="18"/>
                <w:szCs w:val="18"/>
              </w:rPr>
              <w:t>s, five rhymes, three novels prepared</w:t>
            </w:r>
          </w:p>
        </w:tc>
        <w:tc>
          <w:tcPr>
            <w:tcW w:w="90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Reconnaissance study and materials for inclusion of DM section in the text boo</w:t>
            </w:r>
            <w:r>
              <w:rPr>
                <w:rFonts w:cstheme="minorHAnsi"/>
                <w:sz w:val="18"/>
                <w:szCs w:val="18"/>
              </w:rPr>
              <w:t>k</w:t>
            </w:r>
            <w:r w:rsidRPr="007C5F59">
              <w:rPr>
                <w:rFonts w:cstheme="minorHAnsi"/>
                <w:sz w:val="18"/>
                <w:szCs w:val="18"/>
              </w:rPr>
              <w:t>s of grade VI-IX</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10/5/3 and types of supplementary reading materials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Preparation of supplementary learning materials in progress, manuscripts of 27 boo</w:t>
            </w:r>
            <w:r>
              <w:rPr>
                <w:rFonts w:cstheme="minorHAnsi"/>
                <w:sz w:val="18"/>
                <w:szCs w:val="18"/>
              </w:rPr>
              <w:t>k</w:t>
            </w:r>
            <w:r w:rsidRPr="007C5F59">
              <w:rPr>
                <w:rFonts w:cstheme="minorHAnsi"/>
                <w:sz w:val="18"/>
                <w:szCs w:val="18"/>
              </w:rPr>
              <w:t>s from 27 writers received by NCTB and being reviewed by editing panel, so far 15 boo</w:t>
            </w:r>
            <w:r>
              <w:rPr>
                <w:rFonts w:cstheme="minorHAnsi"/>
                <w:sz w:val="18"/>
                <w:szCs w:val="18"/>
              </w:rPr>
              <w:t>k</w:t>
            </w:r>
            <w:r w:rsidRPr="007C5F59">
              <w:rPr>
                <w:rFonts w:cstheme="minorHAnsi"/>
                <w:sz w:val="18"/>
                <w:szCs w:val="18"/>
              </w:rPr>
              <w:t>s have been updated. Draft submitted to CDMP for review</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18 Supplementary Learning Material published</w:t>
            </w:r>
          </w:p>
        </w:tc>
      </w:tr>
      <w:tr w:rsidR="0061232B" w:rsidRPr="007C5F59" w:rsidTr="00E84BAD">
        <w:trPr>
          <w:trHeight w:val="85"/>
        </w:trPr>
        <w:tc>
          <w:tcPr>
            <w:tcW w:w="81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5.2.3 Facilitators’ guideboo</w:t>
            </w:r>
            <w:r>
              <w:rPr>
                <w:rFonts w:cstheme="minorHAnsi"/>
                <w:sz w:val="18"/>
                <w:szCs w:val="18"/>
              </w:rPr>
              <w:t>k</w:t>
            </w:r>
            <w:r w:rsidRPr="007C5F59">
              <w:rPr>
                <w:rFonts w:cstheme="minorHAnsi"/>
                <w:sz w:val="18"/>
                <w:szCs w:val="18"/>
              </w:rPr>
              <w:t xml:space="preserve"> and participants’ handboo</w:t>
            </w:r>
            <w:r>
              <w:rPr>
                <w:rFonts w:cstheme="minorHAnsi"/>
                <w:sz w:val="18"/>
                <w:szCs w:val="18"/>
              </w:rPr>
              <w:t>k</w:t>
            </w:r>
            <w:r w:rsidRPr="007C5F59">
              <w:rPr>
                <w:rFonts w:cstheme="minorHAnsi"/>
                <w:sz w:val="18"/>
                <w:szCs w:val="18"/>
              </w:rPr>
              <w:t xml:space="preserve"> developed</w:t>
            </w:r>
          </w:p>
        </w:tc>
        <w:tc>
          <w:tcPr>
            <w:tcW w:w="90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Facilitators’ guideboo</w:t>
            </w:r>
            <w:r>
              <w:rPr>
                <w:rFonts w:cstheme="minorHAnsi"/>
                <w:sz w:val="18"/>
                <w:szCs w:val="18"/>
              </w:rPr>
              <w:t>k</w:t>
            </w:r>
            <w:r w:rsidRPr="007C5F59">
              <w:rPr>
                <w:rFonts w:cstheme="minorHAnsi"/>
                <w:sz w:val="18"/>
                <w:szCs w:val="18"/>
              </w:rPr>
              <w:t xml:space="preserve"> and participants’ handboo</w:t>
            </w:r>
            <w:r>
              <w:rPr>
                <w:rFonts w:cstheme="minorHAnsi"/>
                <w:sz w:val="18"/>
                <w:szCs w:val="18"/>
              </w:rPr>
              <w:t>k</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Activity has been dropped (conducted by Directorate of Secondary and Higher Education -DSHE)</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81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lastRenderedPageBreak/>
              <w:t>5.2.4 300 trainers/MoE officials/PTI/HSTI/SMC/BMTTI of 70 schools in seven divisions trained</w:t>
            </w:r>
          </w:p>
        </w:tc>
        <w:tc>
          <w:tcPr>
            <w:tcW w:w="90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300 teachers and Govt. officials trained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Activity has been dropped (conducted by Directorate of Secondary and Higher Education -DSHE)</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81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5.2.5 Guideboo</w:t>
            </w:r>
            <w:r>
              <w:rPr>
                <w:rFonts w:cstheme="minorHAnsi"/>
                <w:sz w:val="18"/>
                <w:szCs w:val="18"/>
              </w:rPr>
              <w:t>k</w:t>
            </w:r>
            <w:r w:rsidRPr="007C5F59">
              <w:rPr>
                <w:rFonts w:cstheme="minorHAnsi"/>
                <w:sz w:val="18"/>
                <w:szCs w:val="18"/>
              </w:rPr>
              <w:t xml:space="preserve"> for safer institute and a facilitators’ guideboo</w:t>
            </w:r>
            <w:r>
              <w:rPr>
                <w:rFonts w:cstheme="minorHAnsi"/>
                <w:sz w:val="18"/>
                <w:szCs w:val="18"/>
              </w:rPr>
              <w:t>k</w:t>
            </w:r>
            <w:r w:rsidRPr="007C5F59">
              <w:rPr>
                <w:rFonts w:cstheme="minorHAnsi"/>
                <w:sz w:val="18"/>
                <w:szCs w:val="18"/>
              </w:rPr>
              <w:t xml:space="preserve"> developed</w:t>
            </w:r>
          </w:p>
        </w:tc>
        <w:tc>
          <w:tcPr>
            <w:tcW w:w="90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Safe school construction guideboo</w:t>
            </w:r>
            <w:r>
              <w:rPr>
                <w:rFonts w:cstheme="minorHAnsi"/>
                <w:sz w:val="18"/>
                <w:szCs w:val="18"/>
              </w:rPr>
              <w:t>k</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Activity has been dropped (conducted by Directorate of Secondary and Higher Education -DSHE)</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81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5.2.6 Engineers/officials of EED and MoE trained</w:t>
            </w:r>
          </w:p>
        </w:tc>
        <w:tc>
          <w:tcPr>
            <w:tcW w:w="90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50 engineers/ guideboo</w:t>
            </w:r>
            <w:r>
              <w:rPr>
                <w:rFonts w:cstheme="minorHAnsi"/>
                <w:sz w:val="18"/>
                <w:szCs w:val="18"/>
              </w:rPr>
              <w:t>k</w:t>
            </w:r>
            <w:r w:rsidRPr="007C5F59">
              <w:rPr>
                <w:rFonts w:cstheme="minorHAnsi"/>
                <w:sz w:val="18"/>
                <w:szCs w:val="18"/>
              </w:rPr>
              <w:t xml:space="preserve"> users trained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Activity has been dropped (conducted by Directorate of Secondary and Higher Education -DSHE)</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5.3  Strengthened BMD’s Early Warning Capacity / BMD</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spacing w:after="0" w:line="240" w:lineRule="auto"/>
              <w:rPr>
                <w:rFonts w:cstheme="minorHAnsi"/>
                <w:sz w:val="18"/>
                <w:szCs w:val="18"/>
              </w:rPr>
            </w:pPr>
            <w:r w:rsidRPr="007C5F59">
              <w:rPr>
                <w:rFonts w:cstheme="minorHAnsi"/>
                <w:sz w:val="18"/>
                <w:szCs w:val="18"/>
              </w:rPr>
              <w:t>5.3.1 BMD s</w:t>
            </w:r>
            <w:r>
              <w:rPr>
                <w:rFonts w:cstheme="minorHAnsi"/>
                <w:sz w:val="18"/>
                <w:szCs w:val="18"/>
              </w:rPr>
              <w:t>k</w:t>
            </w:r>
            <w:r w:rsidRPr="007C5F59">
              <w:rPr>
                <w:rFonts w:cstheme="minorHAnsi"/>
                <w:sz w:val="18"/>
                <w:szCs w:val="18"/>
              </w:rPr>
              <w:t xml:space="preserve">ill score increased from 0.4 to 0.5; hazard specific baseline developed; increased lead time of early warning forecast models are time and location specific </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Upgraded BMD’s field observatories and established data management software in CDMP I</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Cleaned last 30 years weather and temperature data</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Weather forecast model downscaled to upazila level</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Baseline cleaned climate database established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Initiated process for procurement of equipment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Floated tender for installation of Computational hardware</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High Performance Computer (HPC)/software Procured and installed</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b/>
                <w:sz w:val="18"/>
                <w:szCs w:val="18"/>
              </w:rPr>
            </w:pPr>
            <w:r w:rsidRPr="007C5F59">
              <w:rPr>
                <w:rFonts w:cstheme="minorHAnsi"/>
                <w:sz w:val="18"/>
                <w:szCs w:val="18"/>
              </w:rPr>
              <w:t>5.3.2 Increased number of communication ways (TV, radio, mobile phone, community radio, print and electronic media); meteorology officers trained to present forecasts in a user friendly way</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 communication ways used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Data updating continue</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Internet System established in different divisions and outer    stations of the BMD; connection established with Storm Warning Centre (SWC) and is functional.</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b/>
                <w:sz w:val="18"/>
                <w:szCs w:val="18"/>
              </w:rPr>
            </w:pPr>
            <w:r w:rsidRPr="007C5F59">
              <w:rPr>
                <w:rFonts w:cstheme="minorHAnsi"/>
                <w:sz w:val="18"/>
                <w:szCs w:val="18"/>
              </w:rPr>
              <w:t>5.3.3 Accessible database for archiving and sharing established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Online database</w:t>
            </w:r>
          </w:p>
          <w:p w:rsidR="0061232B" w:rsidRPr="007C5F59" w:rsidRDefault="0061232B" w:rsidP="00E84BAD">
            <w:pPr>
              <w:autoSpaceDN w:val="0"/>
              <w:spacing w:after="0" w:line="240" w:lineRule="auto"/>
              <w:rPr>
                <w:rFonts w:cstheme="minorHAnsi"/>
                <w:sz w:val="18"/>
                <w:szCs w:val="18"/>
              </w:rPr>
            </w:pP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widowControl w:val="0"/>
              <w:numPr>
                <w:ilvl w:val="0"/>
                <w:numId w:val="48"/>
              </w:numPr>
              <w:autoSpaceDN w:val="0"/>
              <w:spacing w:after="0" w:line="240" w:lineRule="auto"/>
              <w:ind w:left="0" w:hanging="90"/>
              <w:rPr>
                <w:rFonts w:cstheme="minorHAnsi"/>
                <w:sz w:val="18"/>
                <w:szCs w:val="18"/>
              </w:rPr>
            </w:pPr>
            <w:r w:rsidRPr="007C5F59">
              <w:rPr>
                <w:rFonts w:cstheme="minorHAnsi"/>
                <w:sz w:val="18"/>
                <w:szCs w:val="18"/>
              </w:rPr>
              <w:t>Data updating continue</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Weather data archiving by CDMS in server of SWC; maintenance wor</w:t>
            </w:r>
            <w:r>
              <w:rPr>
                <w:rFonts w:cstheme="minorHAnsi"/>
                <w:sz w:val="18"/>
                <w:szCs w:val="18"/>
              </w:rPr>
              <w:t>k</w:t>
            </w:r>
            <w:r w:rsidRPr="007C5F59">
              <w:rPr>
                <w:rFonts w:cstheme="minorHAnsi"/>
                <w:sz w:val="18"/>
                <w:szCs w:val="18"/>
              </w:rPr>
              <w:t xml:space="preserve"> is on-going</w:t>
            </w:r>
          </w:p>
          <w:p w:rsidR="0061232B" w:rsidRPr="007C5F59" w:rsidRDefault="0061232B" w:rsidP="001E161B">
            <w:pPr>
              <w:widowControl w:val="0"/>
              <w:numPr>
                <w:ilvl w:val="0"/>
                <w:numId w:val="48"/>
              </w:numPr>
              <w:autoSpaceDN w:val="0"/>
              <w:spacing w:after="0" w:line="240" w:lineRule="auto"/>
              <w:ind w:left="0" w:hanging="90"/>
              <w:rPr>
                <w:rFonts w:cstheme="minorHAnsi"/>
                <w:sz w:val="18"/>
                <w:szCs w:val="18"/>
              </w:rPr>
            </w:pPr>
            <w:r w:rsidRPr="007C5F59">
              <w:rPr>
                <w:rFonts w:cstheme="minorHAnsi"/>
                <w:sz w:val="18"/>
                <w:szCs w:val="18"/>
              </w:rPr>
              <w:t>Weather information data being uploaded regularly.</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5.3.4 Training and awareness raising wor</w:t>
            </w:r>
            <w:r>
              <w:rPr>
                <w:rFonts w:cstheme="minorHAnsi"/>
                <w:sz w:val="18"/>
                <w:szCs w:val="18"/>
              </w:rPr>
              <w:t>k</w:t>
            </w:r>
            <w:r w:rsidRPr="007C5F59">
              <w:rPr>
                <w:rFonts w:cstheme="minorHAnsi"/>
                <w:sz w:val="18"/>
                <w:szCs w:val="18"/>
              </w:rPr>
              <w:t>shops conducted</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BMD’s trained professionals </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10 awareness /orientation events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460 BMD officials trained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131  metrological personnel received s</w:t>
            </w:r>
            <w:r>
              <w:rPr>
                <w:rFonts w:cstheme="minorHAnsi"/>
                <w:sz w:val="18"/>
                <w:szCs w:val="18"/>
              </w:rPr>
              <w:t>k</w:t>
            </w:r>
            <w:r w:rsidRPr="007C5F59">
              <w:rPr>
                <w:rFonts w:cstheme="minorHAnsi"/>
                <w:sz w:val="18"/>
                <w:szCs w:val="18"/>
              </w:rPr>
              <w:t xml:space="preserve">ill development training </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4 staff trained on use of High Performance Computer (HPC)</w:t>
            </w: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Output 5.4 Strengthened FFWC Early Warning Capacity / FFWC.</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left="-59"/>
              <w:rPr>
                <w:rFonts w:cstheme="minorHAnsi"/>
                <w:sz w:val="18"/>
                <w:szCs w:val="18"/>
              </w:rPr>
            </w:pPr>
            <w:r w:rsidRPr="007C5F59">
              <w:rPr>
                <w:rFonts w:cstheme="minorHAnsi"/>
                <w:sz w:val="18"/>
                <w:szCs w:val="18"/>
              </w:rPr>
              <w:t xml:space="preserve">5.4.1 Extended lead time to flood forecast up to 5 days and communicated through flood bulletin, fax, website, </w:t>
            </w:r>
            <w:r w:rsidRPr="007C5F59">
              <w:rPr>
                <w:rFonts w:cstheme="minorHAnsi"/>
                <w:sz w:val="18"/>
                <w:szCs w:val="18"/>
              </w:rPr>
              <w:lastRenderedPageBreak/>
              <w:t>email &amp; WAPDA building</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Improved base under CIFAP project to increase early warning lead lime</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Improved prediction model</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Data updating continue</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Newly developed 5-day lead-time deterministic flood forecast model is being updated (calibration and validation); draft Final Report for the extended lead time </w:t>
            </w:r>
            <w:r w:rsidRPr="007C5F59">
              <w:rPr>
                <w:rFonts w:cstheme="minorHAnsi"/>
                <w:sz w:val="18"/>
                <w:szCs w:val="18"/>
              </w:rPr>
              <w:lastRenderedPageBreak/>
              <w:t>forecast submitted by the consultant (IWM).</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 xml:space="preserve">Improved flood lead-time (3-days to 5-days) precision assessed. </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b/>
                <w:sz w:val="18"/>
                <w:szCs w:val="18"/>
              </w:rPr>
            </w:pPr>
            <w:r w:rsidRPr="007C5F59">
              <w:rPr>
                <w:rFonts w:cstheme="minorHAnsi"/>
                <w:sz w:val="18"/>
                <w:szCs w:val="18"/>
              </w:rPr>
              <w:lastRenderedPageBreak/>
              <w:t>5.4.2 Established flash flood forecast in daily FFWC activity</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Daily flash flood forecasts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Experimental Flash Flood Forecast has been generated and disseminated to selected users li</w:t>
            </w:r>
            <w:r>
              <w:rPr>
                <w:rFonts w:cstheme="minorHAnsi"/>
                <w:sz w:val="18"/>
                <w:szCs w:val="18"/>
              </w:rPr>
              <w:t>k</w:t>
            </w:r>
            <w:r w:rsidRPr="007C5F59">
              <w:rPr>
                <w:rFonts w:cstheme="minorHAnsi"/>
                <w:sz w:val="18"/>
                <w:szCs w:val="18"/>
              </w:rPr>
              <w:t>e BWDB offices, DDMC (Sylhet &amp;Sunamgonj), DMIC-CDMP, NGOs and development partners from last wee</w:t>
            </w:r>
            <w:r>
              <w:rPr>
                <w:rFonts w:cstheme="minorHAnsi"/>
                <w:sz w:val="18"/>
                <w:szCs w:val="18"/>
              </w:rPr>
              <w:t>k</w:t>
            </w:r>
            <w:r w:rsidRPr="007C5F59">
              <w:rPr>
                <w:rFonts w:cstheme="minorHAnsi"/>
                <w:sz w:val="18"/>
                <w:szCs w:val="18"/>
              </w:rPr>
              <w:t xml:space="preserve"> of March-2014.                                          </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b/>
                <w:sz w:val="18"/>
                <w:szCs w:val="18"/>
              </w:rPr>
            </w:pPr>
            <w:r w:rsidRPr="007C5F59">
              <w:rPr>
                <w:rFonts w:cstheme="minorHAnsi"/>
                <w:sz w:val="18"/>
                <w:szCs w:val="18"/>
              </w:rPr>
              <w:t>5.4.3 Specified flood warning location updated on FFWC website</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Updated website</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Regular data uploading continue</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Development and troubleshooting of FFWC website is in progress.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LAN coverage completed with new instruments, equipment and cable connection. Now routine maintenance is in progress.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Wi Fi coverage has also been increased</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b/>
                <w:sz w:val="18"/>
                <w:szCs w:val="18"/>
              </w:rPr>
            </w:pPr>
            <w:r w:rsidRPr="007C5F59">
              <w:rPr>
                <w:rFonts w:cstheme="minorHAnsi"/>
                <w:sz w:val="18"/>
                <w:szCs w:val="18"/>
              </w:rPr>
              <w:t>5.4.4 Increased number of user friendly communication ways for flood forecasts (TV, radio, mobile phone, community radio, print and electronic media)</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 communication ways used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5.4.5 Professionals trained to enhance institutional &amp; professional capacity</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200 professionals trained on the precision of early warning prediction of flood</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bCs/>
                <w:sz w:val="18"/>
                <w:szCs w:val="18"/>
              </w:rPr>
              <w:t xml:space="preserve">Total 115 </w:t>
            </w:r>
            <w:r w:rsidRPr="007C5F59">
              <w:rPr>
                <w:rFonts w:cstheme="minorHAnsi"/>
                <w:sz w:val="18"/>
                <w:szCs w:val="18"/>
              </w:rPr>
              <w:t>FFWC</w:t>
            </w:r>
            <w:r w:rsidRPr="007C5F59">
              <w:rPr>
                <w:rFonts w:cstheme="minorHAnsi"/>
                <w:bCs/>
                <w:sz w:val="18"/>
                <w:szCs w:val="18"/>
              </w:rPr>
              <w:t xml:space="preserve"> professionals trained</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Output 5.5a   Strengthened DAE capacity for adaptation of livelihoods to climate change </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left="-59"/>
              <w:rPr>
                <w:rFonts w:cstheme="minorHAnsi"/>
                <w:sz w:val="18"/>
                <w:szCs w:val="18"/>
              </w:rPr>
            </w:pPr>
            <w:r w:rsidRPr="007C5F59">
              <w:rPr>
                <w:rFonts w:cstheme="minorHAnsi"/>
                <w:sz w:val="18"/>
                <w:szCs w:val="18"/>
              </w:rPr>
              <w:t>5.5.1 Technical wor</w:t>
            </w:r>
            <w:r>
              <w:rPr>
                <w:rFonts w:cstheme="minorHAnsi"/>
                <w:sz w:val="18"/>
                <w:szCs w:val="18"/>
              </w:rPr>
              <w:t>k</w:t>
            </w:r>
            <w:r w:rsidRPr="007C5F59">
              <w:rPr>
                <w:rFonts w:cstheme="minorHAnsi"/>
                <w:sz w:val="18"/>
                <w:szCs w:val="18"/>
              </w:rPr>
              <w:t xml:space="preserve">ing groups formed and functioning (26 at district/regional level, 52 at Upazila level); </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Established institutional framewor</w:t>
            </w:r>
            <w:r>
              <w:rPr>
                <w:rFonts w:cstheme="minorHAnsi"/>
                <w:sz w:val="18"/>
                <w:szCs w:val="18"/>
              </w:rPr>
              <w:t>k</w:t>
            </w:r>
            <w:r w:rsidRPr="007C5F59">
              <w:rPr>
                <w:rFonts w:cstheme="minorHAnsi"/>
                <w:sz w:val="18"/>
                <w:szCs w:val="18"/>
              </w:rPr>
              <w:t xml:space="preserve"> for local level adaptation to climate change agricultural options</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79 wor</w:t>
            </w:r>
            <w:r>
              <w:rPr>
                <w:rFonts w:cstheme="minorHAnsi"/>
                <w:sz w:val="18"/>
                <w:szCs w:val="18"/>
              </w:rPr>
              <w:t>k</w:t>
            </w:r>
            <w:r w:rsidRPr="007C5F59">
              <w:rPr>
                <w:rFonts w:cstheme="minorHAnsi"/>
                <w:sz w:val="18"/>
                <w:szCs w:val="18"/>
              </w:rPr>
              <w:t>ing groups formed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150 meetings held per year</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Organized TAG meeting</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b/>
                <w:sz w:val="18"/>
                <w:szCs w:val="18"/>
              </w:rPr>
            </w:pPr>
            <w:r w:rsidRPr="007C5F59">
              <w:rPr>
                <w:rFonts w:cstheme="minorHAnsi"/>
                <w:sz w:val="18"/>
                <w:szCs w:val="18"/>
              </w:rPr>
              <w:t>5.5.2 Action plan on DRR/CCA finalized; DM cell established at DAE; DAE officials trained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Action plan in place</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460 DAE officials trained</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Training organized on “DRR and CCA in Agriculture” for 120 DAE Officers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Training on “DRR-CCA and CFS Operation” for 43 Agricultural Extension Officers’ (AEO)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Study tour for 13 officials of DAE to Sri Lan</w:t>
            </w:r>
            <w:r>
              <w:rPr>
                <w:rFonts w:cstheme="minorHAnsi"/>
                <w:sz w:val="18"/>
                <w:szCs w:val="18"/>
              </w:rPr>
              <w:t>k</w:t>
            </w:r>
            <w:r w:rsidRPr="007C5F59">
              <w:rPr>
                <w:rFonts w:cstheme="minorHAnsi"/>
                <w:sz w:val="18"/>
                <w:szCs w:val="18"/>
              </w:rPr>
              <w:t>a to learn about early warning systems.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Based on the learning’s and findings, developed two projects on CCA technologies in agriculture sector.</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Published one Climate Field School (CFS) Training Module.</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 draft “Disaster and Climate Ris</w:t>
            </w:r>
            <w:r>
              <w:rPr>
                <w:rFonts w:cstheme="minorHAnsi"/>
                <w:sz w:val="18"/>
                <w:szCs w:val="18"/>
              </w:rPr>
              <w:t>k</w:t>
            </w:r>
            <w:r w:rsidRPr="007C5F59">
              <w:rPr>
                <w:rFonts w:cstheme="minorHAnsi"/>
                <w:sz w:val="18"/>
                <w:szCs w:val="18"/>
              </w:rPr>
              <w:t xml:space="preserve"> Management in Agriculture” Plan of Action of DAE, Ministry of Agriculture is </w:t>
            </w:r>
            <w:r w:rsidRPr="007C5F59">
              <w:rPr>
                <w:rFonts w:cstheme="minorHAnsi"/>
                <w:sz w:val="18"/>
                <w:szCs w:val="18"/>
              </w:rPr>
              <w:lastRenderedPageBreak/>
              <w:t>developed.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Disaster and Climate Ris</w:t>
            </w:r>
            <w:r>
              <w:rPr>
                <w:rFonts w:cstheme="minorHAnsi"/>
                <w:sz w:val="18"/>
                <w:szCs w:val="18"/>
              </w:rPr>
              <w:t>k</w:t>
            </w:r>
            <w:r w:rsidRPr="007C5F59">
              <w:rPr>
                <w:rFonts w:cstheme="minorHAnsi"/>
                <w:sz w:val="18"/>
                <w:szCs w:val="18"/>
              </w:rPr>
              <w:t xml:space="preserve"> Management in Agriculture Guideline (Bangla version) Developed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 Video documentaries developed on Climate Field School, Integrated Homestead Farming, Dry Seed bed technology, floating garden, DCRMA Project activities and Mini pond technology.</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left="-59"/>
              <w:rPr>
                <w:rFonts w:cstheme="minorHAnsi"/>
                <w:sz w:val="18"/>
                <w:szCs w:val="18"/>
              </w:rPr>
            </w:pPr>
            <w:r w:rsidRPr="007C5F59">
              <w:rPr>
                <w:rFonts w:cstheme="minorHAnsi"/>
                <w:sz w:val="18"/>
                <w:szCs w:val="18"/>
              </w:rPr>
              <w:lastRenderedPageBreak/>
              <w:t>5.5.3 DAE-HQ control room strengthened; 26 ris</w:t>
            </w:r>
            <w:r>
              <w:rPr>
                <w:rFonts w:cstheme="minorHAnsi"/>
                <w:sz w:val="18"/>
                <w:szCs w:val="18"/>
              </w:rPr>
              <w:t>k</w:t>
            </w:r>
            <w:r w:rsidRPr="007C5F59">
              <w:rPr>
                <w:rFonts w:cstheme="minorHAnsi"/>
                <w:sz w:val="18"/>
                <w:szCs w:val="18"/>
              </w:rPr>
              <w:t xml:space="preserve"> prone district DAE offices equipped with ICT networ</w:t>
            </w:r>
            <w:r>
              <w:rPr>
                <w:rFonts w:cstheme="minorHAnsi"/>
                <w:sz w:val="18"/>
                <w:szCs w:val="18"/>
              </w:rPr>
              <w:t>k</w:t>
            </w:r>
            <w:r w:rsidRPr="007C5F59">
              <w:rPr>
                <w:rFonts w:cstheme="minorHAnsi"/>
                <w:sz w:val="18"/>
                <w:szCs w:val="18"/>
              </w:rPr>
              <w:t>; DAE officials and SAAOs trained on ICT; CERDI and ATI staff trained</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Trained professionals</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27 offices equipped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60 DAE Officials and SAAOs are trained on ICT</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80 CERDI and ATI staff trained</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Provided ICT equipment’s (Laptop-52, scanner-52, printer-52 and internet modem-52) to the 52 upazilas; 21 photocopiers and 5 multimedia projectors to the 26 project districts.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Conducted three batches training on “Information, Communication, Technology (ICT) and its application in Disaster and Climate Ris</w:t>
            </w:r>
            <w:r>
              <w:rPr>
                <w:rFonts w:cstheme="minorHAnsi"/>
                <w:sz w:val="18"/>
                <w:szCs w:val="18"/>
              </w:rPr>
              <w:t>k</w:t>
            </w:r>
            <w:r w:rsidRPr="007C5F59">
              <w:rPr>
                <w:rFonts w:cstheme="minorHAnsi"/>
                <w:sz w:val="18"/>
                <w:szCs w:val="18"/>
              </w:rPr>
              <w:t xml:space="preserve"> Management in Agriculture Sector” for 46 Agricultural Extension Officers’ (AEO).</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Functional networ</w:t>
            </w:r>
            <w:r>
              <w:rPr>
                <w:rFonts w:cstheme="minorHAnsi"/>
                <w:sz w:val="18"/>
                <w:szCs w:val="18"/>
              </w:rPr>
              <w:t>k</w:t>
            </w:r>
            <w:r w:rsidRPr="007C5F59">
              <w:rPr>
                <w:rFonts w:cstheme="minorHAnsi"/>
                <w:sz w:val="18"/>
                <w:szCs w:val="18"/>
              </w:rPr>
              <w:t xml:space="preserve"> of DAE head quarter control room with the district and upazila level DAE Offices under DCRMA project established.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 total of 510,625 visitors visited website of DCRMA Project for collecting/ review CCA and DRR related information on Agriculture.</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5.5.4 Existing</w:t>
            </w:r>
            <w:r w:rsidRPr="007C5F59">
              <w:rPr>
                <w:rFonts w:cstheme="minorHAnsi"/>
                <w:sz w:val="18"/>
                <w:szCs w:val="18"/>
                <w:lang w:bidi="bn-IN"/>
              </w:rPr>
              <w:t xml:space="preserve"> Farmers Field Schools</w:t>
            </w:r>
            <w:r w:rsidRPr="007C5F59">
              <w:rPr>
                <w:rFonts w:cstheme="minorHAnsi"/>
                <w:sz w:val="18"/>
                <w:szCs w:val="18"/>
              </w:rPr>
              <w:t xml:space="preserve"> (FFS) strengthened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156 FFS by type of input/support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20  adaptation options adopted</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 total of 26 batches training on different technologies Minipond and vegetable cultivation (5) and Dry seedbed preparation for raising Boro seedling” (21) were conducted for 1040 farmers.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 total of 50 farmers in 5 batches received training on mushroom production.</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Organized 4 batches of training for 150 farmers (CFS and community) on Vermi-compost and suitable vegetable cultivation (2 batches) and Mini pond and vegetable cultivation on emban</w:t>
            </w:r>
            <w:r>
              <w:rPr>
                <w:rFonts w:cstheme="minorHAnsi"/>
                <w:sz w:val="18"/>
                <w:szCs w:val="18"/>
              </w:rPr>
              <w:t>k</w:t>
            </w:r>
            <w:r w:rsidRPr="007C5F59">
              <w:rPr>
                <w:rFonts w:cstheme="minorHAnsi"/>
                <w:sz w:val="18"/>
                <w:szCs w:val="18"/>
              </w:rPr>
              <w:t>ment (one batch).</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 total of 1716 (11 sessions/CFS) Climate Field School sessions were conducted in 156 Climate Field School.</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 total of 156 Climate Field School Field Day were organized in 156 Climate Field School.</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Organized 11 exchange visits on Climate Field School where 99 farmers, 33 SAAO’s and 11 monitoring officers visited Climate Field School activities.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Organized 22 awareness and advocacy meetings on CCA and DRR; and 2520 CFS farmers, community farmers and local elite persons, local leader actively participated.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 total of 560 agri-machineries li</w:t>
            </w:r>
            <w:r>
              <w:rPr>
                <w:rFonts w:cstheme="minorHAnsi"/>
                <w:sz w:val="18"/>
                <w:szCs w:val="18"/>
              </w:rPr>
              <w:t>k</w:t>
            </w:r>
            <w:r w:rsidRPr="007C5F59">
              <w:rPr>
                <w:rFonts w:cstheme="minorHAnsi"/>
                <w:sz w:val="18"/>
                <w:szCs w:val="18"/>
              </w:rPr>
              <w:t>e paddy/wheat reaper-26, Low lift pump-66, rice weeder-156, foot pump-156, Guti Urea Applicator-156 distributed tamong CFS members.</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Climate Field Schools established as local level registered organization</w:t>
            </w:r>
          </w:p>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lastRenderedPageBreak/>
              <w:t>5.5.5 Introduction of small-scale weather monitoring equipment at CFS/FFS clubs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156 CFS/FFS clubs with weather monitoring equipment</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Provided 364 small weather monitoring equipment li</w:t>
            </w:r>
            <w:r>
              <w:rPr>
                <w:rFonts w:cstheme="minorHAnsi"/>
                <w:sz w:val="18"/>
                <w:szCs w:val="18"/>
              </w:rPr>
              <w:t>k</w:t>
            </w:r>
            <w:r w:rsidRPr="007C5F59">
              <w:rPr>
                <w:rFonts w:cstheme="minorHAnsi"/>
                <w:sz w:val="18"/>
                <w:szCs w:val="18"/>
              </w:rPr>
              <w:t>e Rain gauge-208 (156 CFS and 52 upazila) and humidity + temperature meter-156 to CFS and Upazila DAE Offices.</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5.5.6 Five national level wor</w:t>
            </w:r>
            <w:r>
              <w:rPr>
                <w:rFonts w:cstheme="minorHAnsi"/>
                <w:sz w:val="18"/>
                <w:szCs w:val="18"/>
              </w:rPr>
              <w:t>k</w:t>
            </w:r>
            <w:r w:rsidRPr="007C5F59">
              <w:rPr>
                <w:rFonts w:cstheme="minorHAnsi"/>
                <w:sz w:val="18"/>
                <w:szCs w:val="18"/>
              </w:rPr>
              <w:t>shops conducted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 national level wor</w:t>
            </w:r>
            <w:r>
              <w:rPr>
                <w:rFonts w:cstheme="minorHAnsi"/>
                <w:sz w:val="18"/>
                <w:szCs w:val="18"/>
              </w:rPr>
              <w:t>k</w:t>
            </w:r>
            <w:r w:rsidRPr="007C5F59">
              <w:rPr>
                <w:rFonts w:cstheme="minorHAnsi"/>
                <w:sz w:val="18"/>
                <w:szCs w:val="18"/>
              </w:rPr>
              <w:t>shops</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548"/>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5.5.7 Best practices on DRR options published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 types of materials published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ind w:left="69"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5.5.8 An active platform for DAE practitioners established and functionalized  </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Platform in place</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Dropped</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5.5.9 List of identified ris</w:t>
            </w:r>
            <w:r>
              <w:rPr>
                <w:rFonts w:cstheme="minorHAnsi"/>
                <w:sz w:val="18"/>
                <w:szCs w:val="18"/>
              </w:rPr>
              <w:t>k</w:t>
            </w:r>
            <w:r w:rsidRPr="007C5F59">
              <w:rPr>
                <w:rFonts w:cstheme="minorHAnsi"/>
                <w:sz w:val="18"/>
                <w:szCs w:val="18"/>
              </w:rPr>
              <w:t xml:space="preserve"> specific options for crops, integrated farming, livestoc</w:t>
            </w:r>
            <w:r>
              <w:rPr>
                <w:rFonts w:cstheme="minorHAnsi"/>
                <w:sz w:val="18"/>
                <w:szCs w:val="18"/>
              </w:rPr>
              <w:t>k</w:t>
            </w:r>
            <w:r w:rsidRPr="007C5F59">
              <w:rPr>
                <w:rFonts w:cstheme="minorHAnsi"/>
                <w:sz w:val="18"/>
                <w:szCs w:val="18"/>
              </w:rPr>
              <w:t>, fisheries and forestry sectors developed</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Agricultural climate change adaptation menu for different hazard zones</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50 ris</w:t>
            </w:r>
            <w:r>
              <w:rPr>
                <w:rFonts w:cstheme="minorHAnsi"/>
                <w:sz w:val="18"/>
                <w:szCs w:val="18"/>
              </w:rPr>
              <w:t>k</w:t>
            </w:r>
            <w:r w:rsidRPr="007C5F59">
              <w:rPr>
                <w:rFonts w:cstheme="minorHAnsi"/>
                <w:sz w:val="18"/>
                <w:szCs w:val="18"/>
              </w:rPr>
              <w:t xml:space="preserve"> specific options identified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10 Resilient Agricultural Model village (jointly by DAE, DLS and DoF) established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500 demonstrations were implemented by 100 farmers of 10 Resilient Agricultural Model Village (RAMV) in Rabi/2013-14 and </w:t>
            </w:r>
            <w:r>
              <w:rPr>
                <w:rFonts w:cstheme="minorHAnsi"/>
                <w:sz w:val="18"/>
                <w:szCs w:val="18"/>
              </w:rPr>
              <w:t>K</w:t>
            </w:r>
            <w:r w:rsidRPr="007C5F59">
              <w:rPr>
                <w:rFonts w:cstheme="minorHAnsi"/>
                <w:sz w:val="18"/>
                <w:szCs w:val="18"/>
              </w:rPr>
              <w:t>harif-I/2014 by DAE.</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100 duc</w:t>
            </w:r>
            <w:r>
              <w:rPr>
                <w:rFonts w:cstheme="minorHAnsi"/>
                <w:sz w:val="18"/>
                <w:szCs w:val="18"/>
              </w:rPr>
              <w:t>k</w:t>
            </w:r>
            <w:r w:rsidRPr="007C5F59">
              <w:rPr>
                <w:rFonts w:cstheme="minorHAnsi"/>
                <w:sz w:val="18"/>
                <w:szCs w:val="18"/>
              </w:rPr>
              <w:t xml:space="preserve"> distributed by DLS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400 farmers training in model village by DLS</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highlight w:val="yellow"/>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5.5.10 Ris</w:t>
            </w:r>
            <w:r>
              <w:rPr>
                <w:rFonts w:cstheme="minorHAnsi"/>
                <w:sz w:val="18"/>
                <w:szCs w:val="18"/>
              </w:rPr>
              <w:t>k</w:t>
            </w:r>
            <w:r w:rsidRPr="007C5F59">
              <w:rPr>
                <w:rFonts w:cstheme="minorHAnsi"/>
                <w:sz w:val="18"/>
                <w:szCs w:val="18"/>
              </w:rPr>
              <w:t xml:space="preserve"> specific options tested in farmers’ fields, covering 200 unions of 52 Upazilas in 26 districts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50 ris</w:t>
            </w:r>
            <w:r>
              <w:rPr>
                <w:rFonts w:cstheme="minorHAnsi"/>
                <w:sz w:val="18"/>
                <w:szCs w:val="18"/>
              </w:rPr>
              <w:t>k</w:t>
            </w:r>
            <w:r w:rsidRPr="007C5F59">
              <w:rPr>
                <w:rFonts w:cstheme="minorHAnsi"/>
                <w:sz w:val="18"/>
                <w:szCs w:val="18"/>
              </w:rPr>
              <w:t xml:space="preserve"> specific options tested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200 unions with options tested</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A total of 1063 demonstrations of different adaptation technologies were implemented by 1357 CFS and community farmers in </w:t>
            </w:r>
            <w:r>
              <w:rPr>
                <w:rFonts w:cstheme="minorHAnsi"/>
                <w:sz w:val="18"/>
                <w:szCs w:val="18"/>
              </w:rPr>
              <w:t>K</w:t>
            </w:r>
            <w:r w:rsidRPr="007C5F59">
              <w:rPr>
                <w:rFonts w:cstheme="minorHAnsi"/>
                <w:sz w:val="18"/>
                <w:szCs w:val="18"/>
              </w:rPr>
              <w:t xml:space="preserve">harif-I/2014 and </w:t>
            </w:r>
            <w:r>
              <w:rPr>
                <w:rFonts w:cstheme="minorHAnsi"/>
                <w:sz w:val="18"/>
                <w:szCs w:val="18"/>
              </w:rPr>
              <w:t>K</w:t>
            </w:r>
            <w:r w:rsidRPr="007C5F59">
              <w:rPr>
                <w:rFonts w:cstheme="minorHAnsi"/>
                <w:sz w:val="18"/>
                <w:szCs w:val="18"/>
              </w:rPr>
              <w:t xml:space="preserve">harif-II/2014 Cropping season. </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5.5.11 LACC options replicated in 52 FFS, being demonstrated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20 options tested per year</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Demonstrations established in all 52 upazilas under the 26 districts for </w:t>
            </w:r>
            <w:r>
              <w:rPr>
                <w:rFonts w:cstheme="minorHAnsi"/>
                <w:sz w:val="18"/>
                <w:szCs w:val="18"/>
              </w:rPr>
              <w:t>K</w:t>
            </w:r>
            <w:r w:rsidRPr="007C5F59">
              <w:rPr>
                <w:rFonts w:cstheme="minorHAnsi"/>
                <w:sz w:val="18"/>
                <w:szCs w:val="18"/>
              </w:rPr>
              <w:t xml:space="preserve">harif-I and </w:t>
            </w:r>
            <w:r>
              <w:rPr>
                <w:rFonts w:cstheme="minorHAnsi"/>
                <w:sz w:val="18"/>
                <w:szCs w:val="18"/>
              </w:rPr>
              <w:t>K</w:t>
            </w:r>
            <w:r w:rsidRPr="007C5F59">
              <w:rPr>
                <w:rFonts w:cstheme="minorHAnsi"/>
                <w:sz w:val="18"/>
                <w:szCs w:val="18"/>
              </w:rPr>
              <w:t xml:space="preserve">hariuf-II season (2014).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 total of 160 demonstrations on FYM, Mung bean, seed storage, turmeric cultivation, vegetables cultivation using sex pheromone were implemented by 250 farmers.</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5.5.12 Farmers’ plot demonstrations with options implemented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5200 demonstration plots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5.5b   Strengthened DoF DRR &amp; CCA capacity</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left="-59"/>
              <w:rPr>
                <w:rFonts w:cstheme="minorHAnsi"/>
                <w:sz w:val="18"/>
                <w:szCs w:val="18"/>
              </w:rPr>
            </w:pPr>
            <w:r w:rsidRPr="007C5F59">
              <w:rPr>
                <w:rFonts w:cstheme="minorHAnsi"/>
                <w:bCs/>
                <w:sz w:val="18"/>
                <w:szCs w:val="18"/>
              </w:rPr>
              <w:lastRenderedPageBreak/>
              <w:t xml:space="preserve">5.5.13 </w:t>
            </w:r>
            <w:r w:rsidRPr="007C5F59">
              <w:rPr>
                <w:rFonts w:cstheme="minorHAnsi"/>
                <w:sz w:val="18"/>
                <w:szCs w:val="18"/>
              </w:rPr>
              <w:t>Action Plan and a boo</w:t>
            </w:r>
            <w:r>
              <w:rPr>
                <w:rFonts w:cstheme="minorHAnsi"/>
                <w:sz w:val="18"/>
                <w:szCs w:val="18"/>
              </w:rPr>
              <w:t>k</w:t>
            </w:r>
            <w:r w:rsidRPr="007C5F59">
              <w:rPr>
                <w:rFonts w:cstheme="minorHAnsi"/>
                <w:sz w:val="18"/>
                <w:szCs w:val="18"/>
              </w:rPr>
              <w:t xml:space="preserve"> on disaster and climate ris</w:t>
            </w:r>
            <w:r>
              <w:rPr>
                <w:rFonts w:cstheme="minorHAnsi"/>
                <w:sz w:val="18"/>
                <w:szCs w:val="18"/>
              </w:rPr>
              <w:t>k</w:t>
            </w:r>
            <w:r w:rsidRPr="007C5F59">
              <w:rPr>
                <w:rFonts w:cstheme="minorHAnsi"/>
                <w:sz w:val="18"/>
                <w:szCs w:val="18"/>
              </w:rPr>
              <w:t xml:space="preserve"> management developed, policy incorporating DRR/CCA developed,  plan of action disseminated to all offices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Climate Change Ris</w:t>
            </w:r>
            <w:r>
              <w:rPr>
                <w:rFonts w:cstheme="minorHAnsi"/>
                <w:sz w:val="18"/>
                <w:szCs w:val="18"/>
              </w:rPr>
              <w:t>k</w:t>
            </w:r>
            <w:r w:rsidRPr="007C5F59">
              <w:rPr>
                <w:rFonts w:cstheme="minorHAnsi"/>
                <w:sz w:val="18"/>
                <w:szCs w:val="18"/>
              </w:rPr>
              <w:t xml:space="preserve"> Reduction Action Plan</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Development of DRR &amp; CCA Action Plan completed</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5.5.14 Training module published and participants trained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Published training module</w:t>
            </w:r>
          </w:p>
          <w:p w:rsidR="0061232B" w:rsidRPr="007C5F59" w:rsidRDefault="0061232B" w:rsidP="001E161B">
            <w:pPr>
              <w:numPr>
                <w:ilvl w:val="0"/>
                <w:numId w:val="48"/>
              </w:numPr>
              <w:tabs>
                <w:tab w:val="left" w:pos="526"/>
              </w:tabs>
              <w:autoSpaceDN w:val="0"/>
              <w:spacing w:after="0" w:line="240" w:lineRule="auto"/>
              <w:ind w:left="0" w:hanging="90"/>
              <w:rPr>
                <w:rFonts w:cstheme="minorHAnsi"/>
                <w:sz w:val="18"/>
                <w:szCs w:val="18"/>
              </w:rPr>
            </w:pPr>
            <w:r w:rsidRPr="007C5F59">
              <w:rPr>
                <w:rFonts w:cstheme="minorHAnsi"/>
                <w:sz w:val="18"/>
                <w:szCs w:val="18"/>
              </w:rPr>
              <w:t>250 staff trained</w:t>
            </w:r>
          </w:p>
          <w:p w:rsidR="0061232B" w:rsidRPr="007C5F59" w:rsidRDefault="0061232B" w:rsidP="001E161B">
            <w:pPr>
              <w:numPr>
                <w:ilvl w:val="0"/>
                <w:numId w:val="48"/>
              </w:numPr>
              <w:tabs>
                <w:tab w:val="left" w:pos="526"/>
              </w:tabs>
              <w:autoSpaceDN w:val="0"/>
              <w:spacing w:after="0" w:line="240" w:lineRule="auto"/>
              <w:ind w:left="0" w:hanging="90"/>
              <w:rPr>
                <w:rFonts w:cstheme="minorHAnsi"/>
                <w:sz w:val="18"/>
                <w:szCs w:val="18"/>
              </w:rPr>
            </w:pPr>
            <w:r w:rsidRPr="007C5F59">
              <w:rPr>
                <w:rFonts w:cstheme="minorHAnsi"/>
                <w:sz w:val="18"/>
                <w:szCs w:val="18"/>
              </w:rPr>
              <w:t>2500 farmers trained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Training module for training of DoF officers has been completed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Completed training of 209 DoF officer</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650 farmers received training on short term safe aquaculture</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5.5.15 Ris</w:t>
            </w:r>
            <w:r>
              <w:rPr>
                <w:rFonts w:cstheme="minorHAnsi"/>
                <w:sz w:val="18"/>
                <w:szCs w:val="18"/>
              </w:rPr>
              <w:t>k</w:t>
            </w:r>
            <w:r w:rsidRPr="007C5F59">
              <w:rPr>
                <w:rFonts w:cstheme="minorHAnsi"/>
                <w:sz w:val="18"/>
                <w:szCs w:val="18"/>
              </w:rPr>
              <w:t xml:space="preserve"> assessment and impact assessment report published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Published assessment report</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Development of Impact Assessment of Climate Change on Fisheries completed; reviewed by experts through a validation wor</w:t>
            </w:r>
            <w:r>
              <w:rPr>
                <w:rFonts w:cstheme="minorHAnsi"/>
                <w:sz w:val="18"/>
                <w:szCs w:val="18"/>
              </w:rPr>
              <w:t>k</w:t>
            </w:r>
            <w:r w:rsidRPr="007C5F59">
              <w:rPr>
                <w:rFonts w:cstheme="minorHAnsi"/>
                <w:sz w:val="18"/>
                <w:szCs w:val="18"/>
              </w:rPr>
              <w:t>shop; initiated process for publication.</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5.5.16 DRR &amp; CCA mainstreaming guideline published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DRR &amp; CCA mainstreaming Guideline </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Development of climate change mainstreaming guideline completed </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5.5.17 Plan on climate change compatible fisheries developed</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Demonstrated experiences through other projects</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Plan on climate change compatible fisheries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Activity has been dropped</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5.5.18 Climate change networ</w:t>
            </w:r>
            <w:r>
              <w:rPr>
                <w:rFonts w:cstheme="minorHAnsi"/>
                <w:sz w:val="18"/>
                <w:szCs w:val="18"/>
              </w:rPr>
              <w:t>k</w:t>
            </w:r>
            <w:r w:rsidRPr="007C5F59">
              <w:rPr>
                <w:rFonts w:cstheme="minorHAnsi"/>
                <w:sz w:val="18"/>
                <w:szCs w:val="18"/>
              </w:rPr>
              <w:t xml:space="preserve"> established and </w:t>
            </w:r>
            <w:r>
              <w:rPr>
                <w:rFonts w:cstheme="minorHAnsi"/>
                <w:sz w:val="18"/>
                <w:szCs w:val="18"/>
              </w:rPr>
              <w:t>k</w:t>
            </w:r>
            <w:r w:rsidRPr="007C5F59">
              <w:rPr>
                <w:rFonts w:cstheme="minorHAnsi"/>
                <w:sz w:val="18"/>
                <w:szCs w:val="18"/>
              </w:rPr>
              <w:t>nowledge shared among the sta</w:t>
            </w:r>
            <w:r>
              <w:rPr>
                <w:rFonts w:cstheme="minorHAnsi"/>
                <w:sz w:val="18"/>
                <w:szCs w:val="18"/>
              </w:rPr>
              <w:t>k</w:t>
            </w:r>
            <w:r w:rsidRPr="007C5F59">
              <w:rPr>
                <w:rFonts w:cstheme="minorHAnsi"/>
                <w:sz w:val="18"/>
                <w:szCs w:val="18"/>
              </w:rPr>
              <w:t>eholders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NS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Development of Climate Cell framewor</w:t>
            </w:r>
            <w:r>
              <w:rPr>
                <w:rFonts w:cstheme="minorHAnsi"/>
                <w:sz w:val="18"/>
                <w:szCs w:val="18"/>
              </w:rPr>
              <w:t>k</w:t>
            </w:r>
            <w:r w:rsidRPr="007C5F59">
              <w:rPr>
                <w:rFonts w:cstheme="minorHAnsi"/>
                <w:sz w:val="18"/>
                <w:szCs w:val="18"/>
              </w:rPr>
              <w:t xml:space="preserve"> and modalities in progress; waiting for ministry (MoFL) approval  for set up CC cell</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5.5.19 Climate change model villages established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10 model villages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As reported in 5.5.9</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Performance of 10 Model village assessed</w:t>
            </w: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5.5c   Strengthened DLS DRR &amp; CCA capacity</w:t>
            </w:r>
          </w:p>
        </w:tc>
      </w:tr>
      <w:tr w:rsidR="0061232B" w:rsidRPr="007C5F59" w:rsidTr="00E84BAD">
        <w:trPr>
          <w:trHeight w:val="64"/>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left="-59"/>
              <w:rPr>
                <w:rFonts w:cstheme="minorHAnsi"/>
                <w:sz w:val="18"/>
                <w:szCs w:val="18"/>
              </w:rPr>
            </w:pPr>
            <w:r w:rsidRPr="007C5F59">
              <w:rPr>
                <w:rFonts w:cstheme="minorHAnsi"/>
                <w:sz w:val="18"/>
                <w:szCs w:val="18"/>
              </w:rPr>
              <w:t>5.5.20 Action plan on DRR/CCA prepared, TWG functional, DM unit established</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Demonstrated experiences through other projects</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Action plan in place</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DM cell in place</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Final Draft of Plan of Action on Disaster and Climate Ris</w:t>
            </w:r>
            <w:r>
              <w:rPr>
                <w:rFonts w:cstheme="minorHAnsi"/>
                <w:sz w:val="18"/>
                <w:szCs w:val="18"/>
              </w:rPr>
              <w:t>k</w:t>
            </w:r>
            <w:r w:rsidRPr="007C5F59">
              <w:rPr>
                <w:rFonts w:cstheme="minorHAnsi"/>
                <w:sz w:val="18"/>
                <w:szCs w:val="18"/>
              </w:rPr>
              <w:t xml:space="preserve"> Management for DLS Prepared and is being reviewed by the experts </w:t>
            </w:r>
            <w:r w:rsidRPr="00324263">
              <w:rPr>
                <w:rFonts w:cstheme="minorHAnsi"/>
                <w:sz w:val="18"/>
                <w:szCs w:val="18"/>
              </w:rPr>
              <w:t>(and ministry has been approved)</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64"/>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5.5.21 ICT networ</w:t>
            </w:r>
            <w:r>
              <w:rPr>
                <w:rFonts w:cstheme="minorHAnsi"/>
                <w:sz w:val="18"/>
                <w:szCs w:val="18"/>
              </w:rPr>
              <w:t>k</w:t>
            </w:r>
            <w:r w:rsidRPr="007C5F59">
              <w:rPr>
                <w:rFonts w:cstheme="minorHAnsi"/>
                <w:sz w:val="18"/>
                <w:szCs w:val="18"/>
              </w:rPr>
              <w:t xml:space="preserve"> established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ICT networ</w:t>
            </w:r>
            <w:r>
              <w:rPr>
                <w:rFonts w:cstheme="minorHAnsi"/>
                <w:sz w:val="18"/>
                <w:szCs w:val="18"/>
              </w:rPr>
              <w:t>k</w:t>
            </w:r>
            <w:r w:rsidRPr="007C5F59">
              <w:rPr>
                <w:rFonts w:cstheme="minorHAnsi"/>
                <w:sz w:val="18"/>
                <w:szCs w:val="18"/>
              </w:rPr>
              <w:t xml:space="preserve"> in place</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ICT room operational</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5.5.22 Officials trained on bio-security management</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600 officials trained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100 officials trained on bio-security management</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647"/>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lastRenderedPageBreak/>
              <w:t>5.5.23 Technology identified and transferred to farmers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50 farmer awareness building campaigns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One boo</w:t>
            </w:r>
            <w:r>
              <w:rPr>
                <w:rFonts w:cstheme="minorHAnsi"/>
                <w:sz w:val="18"/>
                <w:szCs w:val="18"/>
              </w:rPr>
              <w:t>k</w:t>
            </w:r>
            <w:r w:rsidRPr="007C5F59">
              <w:rPr>
                <w:rFonts w:cstheme="minorHAnsi"/>
                <w:sz w:val="18"/>
                <w:szCs w:val="18"/>
              </w:rPr>
              <w:t>let published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200 DLS wor</w:t>
            </w:r>
            <w:r>
              <w:rPr>
                <w:rFonts w:cstheme="minorHAnsi"/>
                <w:sz w:val="18"/>
                <w:szCs w:val="18"/>
              </w:rPr>
              <w:t>k</w:t>
            </w:r>
            <w:r w:rsidRPr="007C5F59">
              <w:rPr>
                <w:rFonts w:cstheme="minorHAnsi"/>
                <w:sz w:val="18"/>
                <w:szCs w:val="18"/>
              </w:rPr>
              <w:t>ers and volunteers trained on poultry &amp; livestoc</w:t>
            </w:r>
            <w:r>
              <w:rPr>
                <w:rFonts w:cstheme="minorHAnsi"/>
                <w:sz w:val="18"/>
                <w:szCs w:val="18"/>
              </w:rPr>
              <w:t>k</w:t>
            </w:r>
            <w:r w:rsidRPr="007C5F59">
              <w:rPr>
                <w:rFonts w:cstheme="minorHAnsi"/>
                <w:sz w:val="18"/>
                <w:szCs w:val="18"/>
              </w:rPr>
              <w:t xml:space="preserve"> treatment</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13 upazila selected from nine district for demonstration and Farmers meeting</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Training for local vaccinator planned and 60 Trainees  identified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20  Local Veterinary Assistant received training</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150 farmers received training on disaster and climate change through demonstration in Nalitabari,</w:t>
            </w:r>
            <w:r>
              <w:rPr>
                <w:rFonts w:cstheme="minorHAnsi"/>
                <w:sz w:val="18"/>
                <w:szCs w:val="18"/>
              </w:rPr>
              <w:t>K</w:t>
            </w:r>
            <w:r w:rsidRPr="007C5F59">
              <w:rPr>
                <w:rFonts w:cstheme="minorHAnsi"/>
                <w:sz w:val="18"/>
                <w:szCs w:val="18"/>
              </w:rPr>
              <w:t xml:space="preserve">azipur and </w:t>
            </w:r>
            <w:r>
              <w:rPr>
                <w:rFonts w:cstheme="minorHAnsi"/>
                <w:sz w:val="18"/>
                <w:szCs w:val="18"/>
              </w:rPr>
              <w:t>K</w:t>
            </w:r>
            <w:r w:rsidRPr="007C5F59">
              <w:rPr>
                <w:rFonts w:cstheme="minorHAnsi"/>
                <w:sz w:val="18"/>
                <w:szCs w:val="18"/>
              </w:rPr>
              <w:t>amar</w:t>
            </w:r>
            <w:r>
              <w:rPr>
                <w:rFonts w:cstheme="minorHAnsi"/>
                <w:sz w:val="18"/>
                <w:szCs w:val="18"/>
              </w:rPr>
              <w:t>k</w:t>
            </w:r>
            <w:r w:rsidRPr="007C5F59">
              <w:rPr>
                <w:rFonts w:cstheme="minorHAnsi"/>
                <w:sz w:val="18"/>
                <w:szCs w:val="18"/>
              </w:rPr>
              <w:t>handupazila</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5.5.24 LACC options demonstrated to 500 farmers; three disaster proof villages developed ris</w:t>
            </w:r>
            <w:r>
              <w:rPr>
                <w:rFonts w:cstheme="minorHAnsi"/>
                <w:sz w:val="18"/>
                <w:szCs w:val="18"/>
              </w:rPr>
              <w:t>k</w:t>
            </w:r>
            <w:r w:rsidRPr="007C5F59">
              <w:rPr>
                <w:rFonts w:cstheme="minorHAnsi"/>
                <w:sz w:val="18"/>
                <w:szCs w:val="18"/>
              </w:rPr>
              <w:t xml:space="preserve"> resilient livestoc</w:t>
            </w:r>
            <w:r>
              <w:rPr>
                <w:rFonts w:cstheme="minorHAnsi"/>
                <w:sz w:val="18"/>
                <w:szCs w:val="18"/>
              </w:rPr>
              <w:t>k</w:t>
            </w:r>
            <w:r w:rsidRPr="007C5F59">
              <w:rPr>
                <w:rFonts w:cstheme="minorHAnsi"/>
                <w:sz w:val="18"/>
                <w:szCs w:val="18"/>
              </w:rPr>
              <w:t xml:space="preserve"> enterprises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500 farmers oriented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 villages with ris</w:t>
            </w:r>
            <w:r>
              <w:rPr>
                <w:rFonts w:cstheme="minorHAnsi"/>
                <w:sz w:val="18"/>
                <w:szCs w:val="18"/>
              </w:rPr>
              <w:t>k</w:t>
            </w:r>
            <w:r w:rsidRPr="007C5F59">
              <w:rPr>
                <w:rFonts w:cstheme="minorHAnsi"/>
                <w:sz w:val="18"/>
                <w:szCs w:val="18"/>
              </w:rPr>
              <w:t xml:space="preserve"> resilient livestoc</w:t>
            </w:r>
            <w:r>
              <w:rPr>
                <w:rFonts w:cstheme="minorHAnsi"/>
                <w:sz w:val="18"/>
                <w:szCs w:val="18"/>
              </w:rPr>
              <w:t>k</w:t>
            </w:r>
            <w:r w:rsidRPr="007C5F59">
              <w:rPr>
                <w:rFonts w:cstheme="minorHAnsi"/>
                <w:sz w:val="18"/>
                <w:szCs w:val="18"/>
              </w:rPr>
              <w:t xml:space="preserve"> enterprises</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Total 20 grass plot has been nursing to high yielding grass production.</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5.6    Mainstreaming climate ris</w:t>
            </w:r>
            <w:r>
              <w:rPr>
                <w:rFonts w:cstheme="minorHAnsi"/>
                <w:sz w:val="18"/>
                <w:szCs w:val="18"/>
              </w:rPr>
              <w:t>k</w:t>
            </w:r>
            <w:r w:rsidRPr="007C5F59">
              <w:rPr>
                <w:rFonts w:cstheme="minorHAnsi"/>
                <w:sz w:val="18"/>
                <w:szCs w:val="18"/>
              </w:rPr>
              <w:t xml:space="preserve"> management with technical support to MoEF/DOE</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5.6.1 Technical input provided to GoB delegations at international CC related forums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 technical papers developed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Participation report of the “Conference of Parties (COP 19), Warsaw, Poland, 11-22 November, 2013” has been prepared</w:t>
            </w:r>
          </w:p>
          <w:p w:rsidR="0061232B" w:rsidRPr="007C5F59" w:rsidRDefault="0061232B" w:rsidP="001E161B">
            <w:pPr>
              <w:pStyle w:val="ListParagraph"/>
              <w:numPr>
                <w:ilvl w:val="0"/>
                <w:numId w:val="48"/>
              </w:numPr>
              <w:autoSpaceDN w:val="0"/>
              <w:spacing w:after="0" w:line="240" w:lineRule="auto"/>
              <w:ind w:left="0" w:hanging="90"/>
              <w:contextualSpacing w:val="0"/>
              <w:rPr>
                <w:rFonts w:asciiTheme="minorHAnsi" w:hAnsiTheme="minorHAnsi" w:cstheme="minorHAnsi"/>
                <w:sz w:val="18"/>
                <w:szCs w:val="18"/>
              </w:rPr>
            </w:pPr>
            <w:r w:rsidRPr="007C5F59">
              <w:rPr>
                <w:rFonts w:asciiTheme="minorHAnsi" w:hAnsiTheme="minorHAnsi" w:cstheme="minorHAnsi"/>
                <w:sz w:val="18"/>
                <w:szCs w:val="18"/>
              </w:rPr>
              <w:t xml:space="preserve">Bangladesh Position Paper for COP 20 prepared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Published the boo</w:t>
            </w:r>
            <w:r>
              <w:rPr>
                <w:rFonts w:cstheme="minorHAnsi"/>
                <w:sz w:val="18"/>
                <w:szCs w:val="18"/>
              </w:rPr>
              <w:t>k</w:t>
            </w:r>
            <w:r w:rsidRPr="007C5F59">
              <w:rPr>
                <w:rFonts w:cstheme="minorHAnsi"/>
                <w:sz w:val="18"/>
                <w:szCs w:val="18"/>
              </w:rPr>
              <w:t xml:space="preserve"> on “United Nations Framewor</w:t>
            </w:r>
            <w:r>
              <w:rPr>
                <w:rFonts w:cstheme="minorHAnsi"/>
                <w:sz w:val="18"/>
                <w:szCs w:val="18"/>
              </w:rPr>
              <w:t>k</w:t>
            </w:r>
            <w:r w:rsidRPr="007C5F59">
              <w:rPr>
                <w:rFonts w:cstheme="minorHAnsi"/>
                <w:sz w:val="18"/>
                <w:szCs w:val="18"/>
              </w:rPr>
              <w:t xml:space="preserve"> Convention on Climate Change (UNFCCC): A compilation of Major Documents and Decisions” and show-cased in COP 20, Lima, Peru</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Director General of the Department of Environment visited the First United Nations Environment Assembly, 23-27 June, Nairobi, </w:t>
            </w:r>
            <w:r>
              <w:rPr>
                <w:rFonts w:cstheme="minorHAnsi"/>
                <w:sz w:val="18"/>
                <w:szCs w:val="18"/>
              </w:rPr>
              <w:t>K</w:t>
            </w:r>
            <w:r w:rsidRPr="007C5F59">
              <w:rPr>
                <w:rFonts w:cstheme="minorHAnsi"/>
                <w:sz w:val="18"/>
                <w:szCs w:val="18"/>
              </w:rPr>
              <w:t>enya, technical support was provided from the CCC</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5.6.2 Sectoral DRR/CCA project proposals developed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4 sectoral DRR/ CCA project proposals developed</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DRR &amp; CCA Mainstreaming Guideline developed</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5.6.3 Database updated and shared</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Established climate change databases </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Online Database in place</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Online Climate Change Database is finalized and  functioning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w:t>
            </w:r>
            <w:hyperlink r:id="rId22" w:history="1">
              <w:r w:rsidRPr="007C5F59">
                <w:rPr>
                  <w:rFonts w:cstheme="minorHAnsi"/>
                  <w:sz w:val="18"/>
                  <w:szCs w:val="18"/>
                </w:rPr>
                <w:t>http://180.211.164.220/ccdb/Home.aspx</w:t>
              </w:r>
            </w:hyperlink>
            <w:r w:rsidRPr="007C5F59">
              <w:rPr>
                <w:rFonts w:cstheme="minorHAnsi"/>
                <w:sz w:val="18"/>
                <w:szCs w:val="18"/>
              </w:rPr>
              <w:t>)</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A three days Training on Web-enabled Climate Change Database (CCD) of DoE officials (Climate Change and IT Section) was held on 21-23 April 2014 at CEGIS for proper maintenance of the database by DoE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Consultation Wor</w:t>
            </w:r>
            <w:r>
              <w:rPr>
                <w:rFonts w:cstheme="minorHAnsi"/>
                <w:sz w:val="18"/>
                <w:szCs w:val="18"/>
              </w:rPr>
              <w:t>k</w:t>
            </w:r>
            <w:r w:rsidRPr="007C5F59">
              <w:rPr>
                <w:rFonts w:cstheme="minorHAnsi"/>
                <w:sz w:val="18"/>
                <w:szCs w:val="18"/>
              </w:rPr>
              <w:t xml:space="preserve">shop on “Continuous Update and Sustainability of the Web-enabled Climate Change </w:t>
            </w:r>
            <w:r w:rsidRPr="007C5F59">
              <w:rPr>
                <w:rFonts w:cstheme="minorHAnsi"/>
                <w:sz w:val="18"/>
                <w:szCs w:val="18"/>
              </w:rPr>
              <w:lastRenderedPageBreak/>
              <w:t>Database (CCD)” was organized by DoE on 03 Nov. 2014.</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CCC website has been updated with recent climate change negotiation information</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Three (CC and Livestoc</w:t>
            </w:r>
            <w:r>
              <w:rPr>
                <w:rFonts w:cstheme="minorHAnsi"/>
                <w:sz w:val="18"/>
                <w:szCs w:val="18"/>
              </w:rPr>
              <w:t>k</w:t>
            </w:r>
            <w:r w:rsidRPr="007C5F59">
              <w:rPr>
                <w:rFonts w:cstheme="minorHAnsi"/>
                <w:sz w:val="18"/>
                <w:szCs w:val="18"/>
              </w:rPr>
              <w:t>; CC and Fisheries; and CC and Public Health) out of 6 sectoral boo</w:t>
            </w:r>
            <w:r>
              <w:rPr>
                <w:rFonts w:cstheme="minorHAnsi"/>
                <w:sz w:val="18"/>
                <w:szCs w:val="18"/>
              </w:rPr>
              <w:t>k</w:t>
            </w:r>
            <w:r w:rsidRPr="007C5F59">
              <w:rPr>
                <w:rFonts w:cstheme="minorHAnsi"/>
                <w:sz w:val="18"/>
                <w:szCs w:val="18"/>
              </w:rPr>
              <w:t>lets of CC</w:t>
            </w:r>
            <w:r>
              <w:rPr>
                <w:rFonts w:cstheme="minorHAnsi"/>
                <w:sz w:val="18"/>
                <w:szCs w:val="18"/>
              </w:rPr>
              <w:t>K</w:t>
            </w:r>
            <w:r w:rsidRPr="007C5F59">
              <w:rPr>
                <w:rFonts w:cstheme="minorHAnsi"/>
                <w:sz w:val="18"/>
                <w:szCs w:val="18"/>
              </w:rPr>
              <w:t>N on climate change issues has been finalized and printed, three more boo</w:t>
            </w:r>
            <w:r>
              <w:rPr>
                <w:rFonts w:cstheme="minorHAnsi"/>
                <w:sz w:val="18"/>
                <w:szCs w:val="18"/>
              </w:rPr>
              <w:t>k</w:t>
            </w:r>
            <w:r w:rsidRPr="007C5F59">
              <w:rPr>
                <w:rFonts w:cstheme="minorHAnsi"/>
                <w:sz w:val="18"/>
                <w:szCs w:val="18"/>
              </w:rPr>
              <w:t>lets (CC and Water; CC and Infrastructure; and CC and Biodiversity) are being prepared for review wor</w:t>
            </w:r>
            <w:r>
              <w:rPr>
                <w:rFonts w:cstheme="minorHAnsi"/>
                <w:sz w:val="18"/>
                <w:szCs w:val="18"/>
              </w:rPr>
              <w:t>k</w:t>
            </w:r>
            <w:r w:rsidRPr="007C5F59">
              <w:rPr>
                <w:rFonts w:cstheme="minorHAnsi"/>
                <w:sz w:val="18"/>
                <w:szCs w:val="18"/>
              </w:rPr>
              <w:t>shop and finalization</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Preparation of four boo</w:t>
            </w:r>
            <w:r>
              <w:rPr>
                <w:rFonts w:cstheme="minorHAnsi"/>
                <w:sz w:val="18"/>
                <w:szCs w:val="18"/>
              </w:rPr>
              <w:t>k</w:t>
            </w:r>
            <w:r w:rsidRPr="007C5F59">
              <w:rPr>
                <w:rFonts w:cstheme="minorHAnsi"/>
                <w:sz w:val="18"/>
                <w:szCs w:val="18"/>
              </w:rPr>
              <w:t>s on CC issues (International Climate Change Conferences: History, Development of the Convention and Major Decisions (2014); A Guide to Climate Finance (2014); Climate Change and Bangladesh: Annotated Bibliography (2014); and Bangladesh Achievements in Climate Change Adaptation and Mitigation (2014), are under process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More than 60 climate change related boo</w:t>
            </w:r>
            <w:r>
              <w:rPr>
                <w:rFonts w:cstheme="minorHAnsi"/>
                <w:sz w:val="18"/>
                <w:szCs w:val="18"/>
              </w:rPr>
              <w:t>k</w:t>
            </w:r>
            <w:r w:rsidRPr="007C5F59">
              <w:rPr>
                <w:rFonts w:cstheme="minorHAnsi"/>
                <w:sz w:val="18"/>
                <w:szCs w:val="18"/>
              </w:rPr>
              <w:t xml:space="preserve">s have been purchased for enriching Climate Change Cell Library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Updated Factsheets of Climate Change Cell (20 factsheets) are in the process of editing and printing</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lastRenderedPageBreak/>
              <w:t xml:space="preserve">5.6.4 Organisations serviced with relevant </w:t>
            </w:r>
            <w:r>
              <w:rPr>
                <w:rFonts w:cstheme="minorHAnsi"/>
                <w:sz w:val="18"/>
                <w:szCs w:val="18"/>
              </w:rPr>
              <w:t>k</w:t>
            </w:r>
            <w:r w:rsidRPr="007C5F59">
              <w:rPr>
                <w:rFonts w:cstheme="minorHAnsi"/>
                <w:sz w:val="18"/>
                <w:szCs w:val="18"/>
              </w:rPr>
              <w:t>nowledge</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Established climate change cell, library and climate change </w:t>
            </w:r>
            <w:r>
              <w:rPr>
                <w:rFonts w:cstheme="minorHAnsi"/>
                <w:sz w:val="18"/>
                <w:szCs w:val="18"/>
              </w:rPr>
              <w:t>k</w:t>
            </w:r>
            <w:r w:rsidRPr="007C5F59">
              <w:rPr>
                <w:rFonts w:cstheme="minorHAnsi"/>
                <w:sz w:val="18"/>
                <w:szCs w:val="18"/>
              </w:rPr>
              <w:t>nowledge networ</w:t>
            </w:r>
            <w:r>
              <w:rPr>
                <w:rFonts w:cstheme="minorHAnsi"/>
                <w:sz w:val="18"/>
                <w:szCs w:val="18"/>
              </w:rPr>
              <w:t>k</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Climate change </w:t>
            </w:r>
            <w:r>
              <w:rPr>
                <w:rFonts w:cstheme="minorHAnsi"/>
                <w:sz w:val="18"/>
                <w:szCs w:val="18"/>
              </w:rPr>
              <w:t>k</w:t>
            </w:r>
            <w:r w:rsidRPr="007C5F59">
              <w:rPr>
                <w:rFonts w:cstheme="minorHAnsi"/>
                <w:sz w:val="18"/>
                <w:szCs w:val="18"/>
              </w:rPr>
              <w:t xml:space="preserve">nowledge products and advocacy materials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Institutionalized climate change modelling and national modelling capacity built</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tabs>
                <w:tab w:val="left" w:pos="166"/>
                <w:tab w:val="left" w:pos="256"/>
              </w:tabs>
              <w:autoSpaceDN w:val="0"/>
              <w:spacing w:after="0" w:line="240" w:lineRule="auto"/>
              <w:ind w:left="0" w:hanging="90"/>
              <w:rPr>
                <w:rFonts w:cstheme="minorHAnsi"/>
                <w:sz w:val="18"/>
                <w:szCs w:val="18"/>
              </w:rPr>
            </w:pPr>
            <w:r w:rsidRPr="007C5F59">
              <w:rPr>
                <w:rFonts w:cstheme="minorHAnsi"/>
                <w:sz w:val="18"/>
                <w:szCs w:val="18"/>
              </w:rPr>
              <w:t xml:space="preserve">meetings of climate change </w:t>
            </w:r>
            <w:r>
              <w:rPr>
                <w:rFonts w:cstheme="minorHAnsi"/>
                <w:sz w:val="18"/>
                <w:szCs w:val="18"/>
              </w:rPr>
              <w:t>k</w:t>
            </w:r>
            <w:r w:rsidRPr="007C5F59">
              <w:rPr>
                <w:rFonts w:cstheme="minorHAnsi"/>
                <w:sz w:val="18"/>
                <w:szCs w:val="18"/>
              </w:rPr>
              <w:t>nowledge networ</w:t>
            </w:r>
            <w:r>
              <w:rPr>
                <w:rFonts w:cstheme="minorHAnsi"/>
                <w:sz w:val="18"/>
                <w:szCs w:val="18"/>
              </w:rPr>
              <w:t>k</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  types of boo</w:t>
            </w:r>
            <w:r>
              <w:rPr>
                <w:rFonts w:cstheme="minorHAnsi"/>
                <w:sz w:val="18"/>
                <w:szCs w:val="18"/>
              </w:rPr>
              <w:t>k</w:t>
            </w:r>
            <w:r w:rsidRPr="007C5F59">
              <w:rPr>
                <w:rFonts w:cstheme="minorHAnsi"/>
                <w:sz w:val="18"/>
                <w:szCs w:val="18"/>
              </w:rPr>
              <w:t>lets published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  studies on climate change impact conducted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Final Draft of the fisheries and livestoc</w:t>
            </w:r>
            <w:r>
              <w:rPr>
                <w:rFonts w:cstheme="minorHAnsi"/>
                <w:sz w:val="18"/>
                <w:szCs w:val="18"/>
              </w:rPr>
              <w:t>k</w:t>
            </w:r>
            <w:r w:rsidRPr="007C5F59">
              <w:rPr>
                <w:rFonts w:cstheme="minorHAnsi"/>
                <w:sz w:val="18"/>
                <w:szCs w:val="18"/>
              </w:rPr>
              <w:t xml:space="preserve"> sector climate proofing guide has been sent to the core group members for final review</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Preparation of a Mainstream Guide to Integrate DRR and CCA in the activities of the Department of Environment- is under process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Field testing of the revised final draft of the training manual “Coastal Zone Vulnerabilities to Climate Change and Adaptation Best Practices (Local Government Officials and NGO Wor</w:t>
            </w:r>
            <w:r>
              <w:rPr>
                <w:rFonts w:cstheme="minorHAnsi"/>
                <w:sz w:val="18"/>
                <w:szCs w:val="18"/>
              </w:rPr>
              <w:t>k</w:t>
            </w:r>
            <w:r w:rsidRPr="007C5F59">
              <w:rPr>
                <w:rFonts w:cstheme="minorHAnsi"/>
                <w:sz w:val="18"/>
                <w:szCs w:val="18"/>
              </w:rPr>
              <w:t>ers)” held at RPATC, Chittagong during 7-8 September, 2014</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 comprehensive Training Manual on Climate Change Impacts in Bangladesh, Vulnerabilities and Adaptation Best Practices (For the Water Logged &amp; Saline, Drought, Flood and Flash Flood Prone Areas’ Local Government Officials and NGO Wor</w:t>
            </w:r>
            <w:r>
              <w:rPr>
                <w:rFonts w:cstheme="minorHAnsi"/>
                <w:sz w:val="18"/>
                <w:szCs w:val="18"/>
              </w:rPr>
              <w:t>k</w:t>
            </w:r>
            <w:r w:rsidRPr="007C5F59">
              <w:rPr>
                <w:rFonts w:cstheme="minorHAnsi"/>
                <w:sz w:val="18"/>
                <w:szCs w:val="18"/>
              </w:rPr>
              <w:t>ers)”- under preparation by the consulting firm</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Revised Draft Final Report of the Sea Level Rise Trend </w:t>
            </w:r>
            <w:r w:rsidRPr="007C5F59">
              <w:rPr>
                <w:rFonts w:cstheme="minorHAnsi"/>
                <w:sz w:val="18"/>
                <w:szCs w:val="18"/>
              </w:rPr>
              <w:lastRenderedPageBreak/>
              <w:t>Analysis Study reviewed by the core group members and the feedbac</w:t>
            </w:r>
            <w:r>
              <w:rPr>
                <w:rFonts w:cstheme="minorHAnsi"/>
                <w:sz w:val="18"/>
                <w:szCs w:val="18"/>
              </w:rPr>
              <w:t>k</w:t>
            </w:r>
            <w:r w:rsidRPr="007C5F59">
              <w:rPr>
                <w:rFonts w:cstheme="minorHAnsi"/>
                <w:sz w:val="18"/>
                <w:szCs w:val="18"/>
              </w:rPr>
              <w:t xml:space="preserve"> addressed by the research organization. Revised copies of the report have been sent to expert group members for final comments.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Preparation of two documentaries entitled a) Trac</w:t>
            </w:r>
            <w:r>
              <w:rPr>
                <w:rFonts w:cstheme="minorHAnsi"/>
                <w:sz w:val="18"/>
                <w:szCs w:val="18"/>
              </w:rPr>
              <w:t>k</w:t>
            </w:r>
            <w:r w:rsidRPr="007C5F59">
              <w:rPr>
                <w:rFonts w:cstheme="minorHAnsi"/>
                <w:sz w:val="18"/>
                <w:szCs w:val="18"/>
              </w:rPr>
              <w:t>ing Climate-induced Displaced People and Visualizing their ultimate Lives and Livelihoods- Published and b) Climate Change Lecture for the Students of Class V-XII- under preparation</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 revised ToR for “SLR and CC Impacts on Agricultural Sectors in the Coastal Zone of Bangladesh” has been prepared</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4 Training module for Local Government  officials on CCA developed</w:t>
            </w: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Output 5.7    Ensuring Mainstreaming DRR in the Health Sector</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5.7.1 Health related total/comprehensive post-earthqua</w:t>
            </w:r>
            <w:r>
              <w:rPr>
                <w:rFonts w:cstheme="minorHAnsi"/>
                <w:sz w:val="18"/>
                <w:szCs w:val="18"/>
              </w:rPr>
              <w:t>k</w:t>
            </w:r>
            <w:r w:rsidRPr="007C5F59">
              <w:rPr>
                <w:rFonts w:cstheme="minorHAnsi"/>
                <w:sz w:val="18"/>
                <w:szCs w:val="18"/>
              </w:rPr>
              <w:t>e action plan for cities developed</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Health Sector Plan of Action with provision for health emergency preparedness component</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Action plan in place</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Post-earthqua</w:t>
            </w:r>
            <w:r>
              <w:rPr>
                <w:rFonts w:cstheme="minorHAnsi"/>
                <w:sz w:val="18"/>
                <w:szCs w:val="18"/>
              </w:rPr>
              <w:t>k</w:t>
            </w:r>
            <w:r w:rsidRPr="007C5F59">
              <w:rPr>
                <w:rFonts w:cstheme="minorHAnsi"/>
                <w:sz w:val="18"/>
                <w:szCs w:val="18"/>
              </w:rPr>
              <w:t>e action plan  published</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5.7.2 </w:t>
            </w:r>
            <w:r w:rsidRPr="007C5F59">
              <w:rPr>
                <w:rFonts w:cstheme="minorHAnsi"/>
                <w:sz w:val="18"/>
                <w:szCs w:val="18"/>
                <w:lang w:val="en-AU"/>
              </w:rPr>
              <w:t>Non-structural vulnerability assessment &amp; guideline for hospitals developed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Vulnerability assessment &amp; guideline in place</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Non-structural vulnerability assessment Guideline  published</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5.7.3 National Health Crisis Management Centre and Archive Centre established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National Health Crisis Management Centre and Archive Centre in place</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Nationalized Health Crisis Management Center is formally opened and functional.</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Nationalized Health Crisis Management Center modernized with updated software</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5.7.4 Three ma</w:t>
            </w:r>
            <w:r>
              <w:rPr>
                <w:rFonts w:cstheme="minorHAnsi"/>
                <w:sz w:val="18"/>
                <w:szCs w:val="18"/>
              </w:rPr>
              <w:t>k</w:t>
            </w:r>
            <w:r w:rsidRPr="007C5F59">
              <w:rPr>
                <w:rFonts w:cstheme="minorHAnsi"/>
                <w:sz w:val="18"/>
                <w:szCs w:val="18"/>
              </w:rPr>
              <w:t>eshift hospitals in Dha</w:t>
            </w:r>
            <w:r>
              <w:rPr>
                <w:rFonts w:cstheme="minorHAnsi"/>
                <w:sz w:val="18"/>
                <w:szCs w:val="18"/>
              </w:rPr>
              <w:t>k</w:t>
            </w:r>
            <w:r w:rsidRPr="007C5F59">
              <w:rPr>
                <w:rFonts w:cstheme="minorHAnsi"/>
                <w:sz w:val="18"/>
                <w:szCs w:val="18"/>
              </w:rPr>
              <w:t>a, Chittagong and Sylhet established and provided with logistic support</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 ma</w:t>
            </w:r>
            <w:r>
              <w:rPr>
                <w:rFonts w:cstheme="minorHAnsi"/>
                <w:sz w:val="18"/>
                <w:szCs w:val="18"/>
              </w:rPr>
              <w:t>k</w:t>
            </w:r>
            <w:r w:rsidRPr="007C5F59">
              <w:rPr>
                <w:rFonts w:cstheme="minorHAnsi"/>
                <w:sz w:val="18"/>
                <w:szCs w:val="18"/>
              </w:rPr>
              <w:t>eshift hospitals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Activity has been dropped</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5.7.5 Emergency preparedness and response (EPR) capacity piloted  in three disaster prone Upazila health facilities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 Upazila health facilities with EPR piloted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5.7.6 Logistics improved with 50,000 blood bags and transfusion sets, 10,000 </w:t>
            </w:r>
            <w:r w:rsidRPr="007C5F59">
              <w:rPr>
                <w:rFonts w:cstheme="minorHAnsi"/>
                <w:sz w:val="18"/>
                <w:szCs w:val="18"/>
              </w:rPr>
              <w:lastRenderedPageBreak/>
              <w:t>units of infusion fluid, 500 portable stretchers and 500 bags for dead bodies and various surgical materials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50,000 blood bags, 10,000 units of infusion fluid, 500 stretchers, 500 body bags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Output 5.8    Enhanced s</w:t>
            </w:r>
            <w:r>
              <w:rPr>
                <w:rFonts w:cstheme="minorHAnsi"/>
                <w:sz w:val="18"/>
                <w:szCs w:val="18"/>
              </w:rPr>
              <w:t>k</w:t>
            </w:r>
            <w:r w:rsidRPr="007C5F59">
              <w:rPr>
                <w:rFonts w:cstheme="minorHAnsi"/>
                <w:sz w:val="18"/>
                <w:szCs w:val="18"/>
              </w:rPr>
              <w:t>ills and technical capability BFS and CD / FSCD</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left="-59"/>
              <w:rPr>
                <w:rFonts w:cstheme="minorHAnsi"/>
                <w:sz w:val="18"/>
                <w:szCs w:val="18"/>
              </w:rPr>
            </w:pPr>
            <w:r w:rsidRPr="007C5F59">
              <w:rPr>
                <w:rFonts w:cstheme="minorHAnsi"/>
                <w:sz w:val="18"/>
                <w:szCs w:val="18"/>
              </w:rPr>
              <w:t>5.8.1 30,000 urban volunteers trained for participation in search and rescue</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1000 trained urban volunteers for DCC, SCC, CCC</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30,000 urban volunteers trained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3208 new volunteer trained; Total number of volunteer stands at 26465</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1700 Volunteers trained</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5.8.2 Volunteer database in place</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Urban volunteer database maintained by FSCD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Activity ongoing</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Database updated</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5.8.3 Light search and rescue equipment procured and installed</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Substantive Search and rescue firefighting equipment from DMB and CDMP </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30 types of equipment procured</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5.8.4 FSCD professionals along with other relevant sta</w:t>
            </w:r>
            <w:r>
              <w:rPr>
                <w:rFonts w:cstheme="minorHAnsi"/>
                <w:sz w:val="18"/>
                <w:szCs w:val="18"/>
              </w:rPr>
              <w:t>k</w:t>
            </w:r>
            <w:r w:rsidRPr="007C5F59">
              <w:rPr>
                <w:rFonts w:cstheme="minorHAnsi"/>
                <w:sz w:val="18"/>
                <w:szCs w:val="18"/>
              </w:rPr>
              <w:t>eholders trained for search and rescue operations; coordination mechanism established</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28 trained faculty members on fire safety and evacuation</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 TOT to 48 FSCD officials on fire safety and evacuation</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300 FSCD professionals trained</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 Jamboree held</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5.8.5 Communities, decision ma</w:t>
            </w:r>
            <w:r>
              <w:rPr>
                <w:rFonts w:cstheme="minorHAnsi"/>
                <w:sz w:val="18"/>
                <w:szCs w:val="18"/>
              </w:rPr>
              <w:t>k</w:t>
            </w:r>
            <w:r w:rsidRPr="007C5F59">
              <w:rPr>
                <w:rFonts w:cstheme="minorHAnsi"/>
                <w:sz w:val="18"/>
                <w:szCs w:val="18"/>
              </w:rPr>
              <w:t>ers and local elite groups sensitized on urban disasters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10,000 persons trained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131 urban communities covered by awareness programmes/events</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Dropped</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Project Completion Report finalized</w:t>
            </w: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5.9    Enhanced s</w:t>
            </w:r>
            <w:r>
              <w:rPr>
                <w:rFonts w:cstheme="minorHAnsi"/>
                <w:sz w:val="18"/>
                <w:szCs w:val="18"/>
              </w:rPr>
              <w:t>k</w:t>
            </w:r>
            <w:r w:rsidRPr="007C5F59">
              <w:rPr>
                <w:rFonts w:cstheme="minorHAnsi"/>
                <w:sz w:val="18"/>
                <w:szCs w:val="18"/>
              </w:rPr>
              <w:t>ills and technical capability of GSB</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left="-59"/>
              <w:rPr>
                <w:rFonts w:cstheme="minorHAnsi"/>
                <w:sz w:val="18"/>
                <w:szCs w:val="18"/>
              </w:rPr>
            </w:pPr>
            <w:r w:rsidRPr="007C5F59">
              <w:rPr>
                <w:rFonts w:cstheme="minorHAnsi"/>
                <w:sz w:val="18"/>
                <w:szCs w:val="18"/>
              </w:rPr>
              <w:t>5.9.1 GSB technical staff trained on installed equipment; GSB staff trained on hazard and vulnerability assessment and modelling</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Improved earthqua</w:t>
            </w:r>
            <w:r>
              <w:rPr>
                <w:rFonts w:cstheme="minorHAnsi"/>
                <w:sz w:val="18"/>
                <w:szCs w:val="18"/>
              </w:rPr>
              <w:t>k</w:t>
            </w:r>
            <w:r w:rsidRPr="007C5F59">
              <w:rPr>
                <w:rFonts w:cstheme="minorHAnsi"/>
                <w:sz w:val="18"/>
                <w:szCs w:val="18"/>
              </w:rPr>
              <w:t>e ris</w:t>
            </w:r>
            <w:r>
              <w:rPr>
                <w:rFonts w:cstheme="minorHAnsi"/>
                <w:sz w:val="18"/>
                <w:szCs w:val="18"/>
              </w:rPr>
              <w:t>k</w:t>
            </w:r>
            <w:r w:rsidRPr="007C5F59">
              <w:rPr>
                <w:rFonts w:cstheme="minorHAnsi"/>
                <w:sz w:val="18"/>
                <w:szCs w:val="18"/>
              </w:rPr>
              <w:t xml:space="preserve"> assessment capacity through technical  engagement under CDMP I</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48 GSB officials trained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10 personnel from GSB participated in a 5 days long in country training on “Active Faults Identification in Bangladesh”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10 personnel from GSB completed month long field training on “Active Faults Identification in Bangladesh”.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12 personnel from GSB (10) and related organization (2) received 3 days training on Active Fault Mapping.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7 personnel of GSB have got training on Disaster Management in Philippine on 17-24 February 2014.</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5.9.2 Equipment to develop hazard related mapsprocured</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Earthqua</w:t>
            </w:r>
            <w:r>
              <w:rPr>
                <w:rFonts w:cstheme="minorHAnsi"/>
                <w:sz w:val="18"/>
                <w:szCs w:val="18"/>
              </w:rPr>
              <w:t>k</w:t>
            </w:r>
            <w:r w:rsidRPr="007C5F59">
              <w:rPr>
                <w:rFonts w:cstheme="minorHAnsi"/>
                <w:sz w:val="18"/>
                <w:szCs w:val="18"/>
              </w:rPr>
              <w:t>e ris</w:t>
            </w:r>
            <w:r>
              <w:rPr>
                <w:rFonts w:cstheme="minorHAnsi"/>
                <w:sz w:val="18"/>
                <w:szCs w:val="18"/>
              </w:rPr>
              <w:t>k</w:t>
            </w:r>
            <w:r w:rsidRPr="007C5F59">
              <w:rPr>
                <w:rFonts w:cstheme="minorHAnsi"/>
                <w:sz w:val="18"/>
                <w:szCs w:val="18"/>
              </w:rPr>
              <w:t xml:space="preserve"> assessment equipment support, training (on PS Logging, HAZUS, Active Fault </w:t>
            </w:r>
            <w:r w:rsidRPr="007C5F59">
              <w:rPr>
                <w:rFonts w:cstheme="minorHAnsi"/>
                <w:sz w:val="18"/>
                <w:szCs w:val="18"/>
              </w:rPr>
              <w:lastRenderedPageBreak/>
              <w:t>Modelling, Seismic Microzonation mapping, Dynamic Measurement of Buildings), engagement in map production</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Installed 20 accelerometers at different locations and managed by GSB </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lastRenderedPageBreak/>
              <w:t>10 equipments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Procured software for geophysical data processing and interpretation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Installation of 10 accelerometer completed</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lastRenderedPageBreak/>
              <w:t>5.9.3 Geological maps produced for 8 cities and disseminated to relevant GoB offices</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Equipped with required earthqua</w:t>
            </w:r>
            <w:r>
              <w:rPr>
                <w:rFonts w:cstheme="minorHAnsi"/>
                <w:sz w:val="18"/>
                <w:szCs w:val="18"/>
              </w:rPr>
              <w:t>k</w:t>
            </w:r>
            <w:r w:rsidRPr="007C5F59">
              <w:rPr>
                <w:rFonts w:cstheme="minorHAnsi"/>
                <w:sz w:val="18"/>
                <w:szCs w:val="18"/>
              </w:rPr>
              <w:t>e ris</w:t>
            </w:r>
            <w:r>
              <w:rPr>
                <w:rFonts w:cstheme="minorHAnsi"/>
                <w:sz w:val="18"/>
                <w:szCs w:val="18"/>
              </w:rPr>
              <w:t>k</w:t>
            </w:r>
            <w:r w:rsidRPr="007C5F59">
              <w:rPr>
                <w:rFonts w:cstheme="minorHAnsi"/>
                <w:sz w:val="18"/>
                <w:szCs w:val="18"/>
              </w:rPr>
              <w:t xml:space="preserve"> assessment instruments</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24 types of maps generated by GSB</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Data base/GIS based 24 maps on geology, geomorphology and engineering geology of 8 cities are completed and  submitted to the editing committee of GSB for approval</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5.10  Ensuring Mainstreaming DRR in the DPHE</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5.10.1 DRR &amp; CCA mainstreaming guideline for DPHE developed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Guideline in place</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widowControl w:val="0"/>
              <w:numPr>
                <w:ilvl w:val="0"/>
                <w:numId w:val="48"/>
              </w:numPr>
              <w:autoSpaceDN w:val="0"/>
              <w:spacing w:after="0" w:line="240" w:lineRule="auto"/>
              <w:ind w:left="0" w:hanging="90"/>
              <w:rPr>
                <w:rFonts w:cstheme="minorHAnsi"/>
                <w:sz w:val="18"/>
                <w:szCs w:val="18"/>
              </w:rPr>
            </w:pPr>
            <w:r w:rsidRPr="007C5F59">
              <w:rPr>
                <w:rFonts w:cstheme="minorHAnsi"/>
                <w:sz w:val="18"/>
                <w:szCs w:val="18"/>
              </w:rPr>
              <w:t>Developed TOR to outsource the development of DRR &amp; CCA mainstreaming guide line for DPHE</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DRR CCA Mainstreaming Guideline developed</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5.10.2 84 deep tube-wells and 40 rainwater harvesters and 2 underground reservoirs  installed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124 water options installed</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5.10.3 Sub-Assistant Engineers trained on DRR &amp; CCA</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100 engineers trained</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Training report on capacity building finalized</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5.10.4 Study on community-based drin</w:t>
            </w:r>
            <w:r>
              <w:rPr>
                <w:rFonts w:cstheme="minorHAnsi"/>
                <w:sz w:val="18"/>
                <w:szCs w:val="18"/>
              </w:rPr>
              <w:t>k</w:t>
            </w:r>
            <w:r w:rsidRPr="007C5F59">
              <w:rPr>
                <w:rFonts w:cstheme="minorHAnsi"/>
                <w:sz w:val="18"/>
                <w:szCs w:val="18"/>
              </w:rPr>
              <w:t xml:space="preserve">ing water supply in the face of climate change conducted </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Study </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Dropoed, CDMP (under M&amp;E initiative) will conduct the study.</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5.10.5 Low-cost surface water purification systems (protected pond with PSF facility) piloted</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Engagement of local DPHE officials in LDRRF implementation  monitoring and input support</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Pilot project implemented</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pStyle w:val="Header"/>
              <w:spacing w:after="0"/>
              <w:rPr>
                <w:rFonts w:asciiTheme="minorHAnsi" w:hAnsiTheme="minorHAnsi" w:cstheme="minorHAnsi"/>
                <w:bCs/>
                <w:sz w:val="18"/>
                <w:szCs w:val="18"/>
              </w:rPr>
            </w:pP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5.10.6 Lessons learnt wor</w:t>
            </w:r>
            <w:r>
              <w:rPr>
                <w:rFonts w:cstheme="minorHAnsi"/>
                <w:sz w:val="18"/>
                <w:szCs w:val="18"/>
              </w:rPr>
              <w:t>k</w:t>
            </w:r>
            <w:r w:rsidRPr="007C5F59">
              <w:rPr>
                <w:rFonts w:cstheme="minorHAnsi"/>
                <w:sz w:val="18"/>
                <w:szCs w:val="18"/>
              </w:rPr>
              <w:t xml:space="preserve">shop conducted at national level </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40 participants in wor</w:t>
            </w:r>
            <w:r>
              <w:rPr>
                <w:rFonts w:cstheme="minorHAnsi"/>
                <w:sz w:val="18"/>
                <w:szCs w:val="18"/>
              </w:rPr>
              <w:t>k</w:t>
            </w:r>
            <w:r w:rsidRPr="007C5F59">
              <w:rPr>
                <w:rFonts w:cstheme="minorHAnsi"/>
                <w:sz w:val="18"/>
                <w:szCs w:val="18"/>
              </w:rPr>
              <w:t>shop conducted</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National Wor</w:t>
            </w:r>
            <w:r>
              <w:rPr>
                <w:rFonts w:cstheme="minorHAnsi"/>
                <w:sz w:val="18"/>
                <w:szCs w:val="18"/>
              </w:rPr>
              <w:t>k</w:t>
            </w:r>
            <w:r w:rsidRPr="007C5F59">
              <w:rPr>
                <w:rFonts w:cstheme="minorHAnsi"/>
                <w:sz w:val="18"/>
                <w:szCs w:val="18"/>
              </w:rPr>
              <w:t>shop Report and project completion report finalized</w:t>
            </w: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5.11  Mainstreaming DRR in the Land use planning / MoL</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textAlignment w:val="baseline"/>
              <w:rPr>
                <w:rFonts w:cstheme="minorHAnsi"/>
                <w:sz w:val="18"/>
                <w:szCs w:val="18"/>
              </w:rPr>
            </w:pPr>
            <w:r w:rsidRPr="007C5F59">
              <w:rPr>
                <w:rFonts w:cstheme="minorHAnsi"/>
                <w:sz w:val="18"/>
                <w:szCs w:val="18"/>
              </w:rPr>
              <w:t xml:space="preserve">5.11.1 </w:t>
            </w:r>
            <w:r w:rsidRPr="007C5F59">
              <w:rPr>
                <w:rFonts w:eastAsia="Arial Unicode MS" w:cstheme="minorHAnsi"/>
                <w:sz w:val="18"/>
                <w:szCs w:val="18"/>
              </w:rPr>
              <w:t xml:space="preserve">Land Use Policy updated, incorporating DRR </w:t>
            </w:r>
            <w:r w:rsidRPr="007C5F59">
              <w:rPr>
                <w:rFonts w:eastAsia="Arial Unicode MS" w:cstheme="minorHAnsi"/>
                <w:sz w:val="18"/>
                <w:szCs w:val="18"/>
              </w:rPr>
              <w:lastRenderedPageBreak/>
              <w:t>&amp; CCA issues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Updated Land Use Policy in place</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lastRenderedPageBreak/>
              <w:t xml:space="preserve">5.11.2 </w:t>
            </w:r>
            <w:r w:rsidRPr="007C5F59">
              <w:rPr>
                <w:rFonts w:eastAsia="Arial Unicode MS" w:cstheme="minorHAnsi"/>
                <w:sz w:val="18"/>
                <w:szCs w:val="18"/>
              </w:rPr>
              <w:t>Improved MoL awareness on revised land use policy and land zoning at national and local level</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100  MoL officials trained on revised land use policy</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5.11.3 </w:t>
            </w:r>
            <w:r w:rsidRPr="007C5F59">
              <w:rPr>
                <w:rFonts w:eastAsia="Arial Unicode MS" w:cstheme="minorHAnsi"/>
                <w:sz w:val="18"/>
                <w:szCs w:val="18"/>
              </w:rPr>
              <w:t>Improved awareness about land zoning system and land zoning law amongst 10 pilot upazila and union level Land Ministry officers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10  sensitization wor</w:t>
            </w:r>
            <w:r>
              <w:rPr>
                <w:rFonts w:cstheme="minorHAnsi"/>
                <w:sz w:val="18"/>
                <w:szCs w:val="18"/>
              </w:rPr>
              <w:t>k</w:t>
            </w:r>
            <w:r w:rsidRPr="007C5F59">
              <w:rPr>
                <w:rFonts w:cstheme="minorHAnsi"/>
                <w:sz w:val="18"/>
                <w:szCs w:val="18"/>
              </w:rPr>
              <w:t>shops</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Completed validation in 4 districts (La</w:t>
            </w:r>
            <w:r>
              <w:rPr>
                <w:rFonts w:cstheme="minorHAnsi"/>
                <w:sz w:val="18"/>
                <w:szCs w:val="18"/>
              </w:rPr>
              <w:t>k</w:t>
            </w:r>
            <w:r w:rsidRPr="007C5F59">
              <w:rPr>
                <w:rFonts w:cstheme="minorHAnsi"/>
                <w:sz w:val="18"/>
                <w:szCs w:val="18"/>
              </w:rPr>
              <w:t>smipur, Cox’s Bazar, Chittagong and Gopalgonj)</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5.12  Mainstreaming DRR  in women and children affairs development initiatives</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5.12.1 DRR &amp; CCA Action Plan of Department of Women’s Affairs (DWA) developed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DWA Action Plan in place</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Completed and published the Bangla version of the ris</w:t>
            </w:r>
            <w:r>
              <w:rPr>
                <w:rFonts w:cstheme="minorHAnsi"/>
                <w:sz w:val="18"/>
                <w:szCs w:val="18"/>
              </w:rPr>
              <w:t>k</w:t>
            </w:r>
            <w:r w:rsidRPr="007C5F59">
              <w:rPr>
                <w:rFonts w:cstheme="minorHAnsi"/>
                <w:sz w:val="18"/>
                <w:szCs w:val="18"/>
              </w:rPr>
              <w:t xml:space="preserve"> reduction action plan</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5.12.2 Contingency plan for DWA developed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Contingency plan in place</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Earthqua</w:t>
            </w:r>
            <w:r>
              <w:rPr>
                <w:rFonts w:cstheme="minorHAnsi"/>
                <w:sz w:val="18"/>
                <w:szCs w:val="18"/>
              </w:rPr>
              <w:t>k</w:t>
            </w:r>
            <w:r w:rsidRPr="007C5F59">
              <w:rPr>
                <w:rFonts w:cstheme="minorHAnsi"/>
                <w:sz w:val="18"/>
                <w:szCs w:val="18"/>
              </w:rPr>
              <w:t xml:space="preserve">e Contingency Plan developed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Sharing wor</w:t>
            </w:r>
            <w:r>
              <w:rPr>
                <w:rFonts w:cstheme="minorHAnsi"/>
                <w:sz w:val="18"/>
                <w:szCs w:val="18"/>
              </w:rPr>
              <w:t>k</w:t>
            </w:r>
            <w:r w:rsidRPr="007C5F59">
              <w:rPr>
                <w:rFonts w:cstheme="minorHAnsi"/>
                <w:sz w:val="18"/>
                <w:szCs w:val="18"/>
              </w:rPr>
              <w:t>shop conducted</w:t>
            </w:r>
          </w:p>
        </w:tc>
        <w:tc>
          <w:tcPr>
            <w:tcW w:w="788"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5.12.3 Two priority options of the DWA Action Plan piloted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 options piloted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Selected 6 upazilas under two districts for implementation of priority options of DWA Disaster Ris</w:t>
            </w:r>
            <w:r>
              <w:rPr>
                <w:rFonts w:cstheme="minorHAnsi"/>
                <w:sz w:val="18"/>
                <w:szCs w:val="18"/>
              </w:rPr>
              <w:t>k</w:t>
            </w:r>
            <w:r w:rsidRPr="007C5F59">
              <w:rPr>
                <w:rFonts w:cstheme="minorHAnsi"/>
                <w:sz w:val="18"/>
                <w:szCs w:val="18"/>
              </w:rPr>
              <w:t xml:space="preserve"> Reduction Action Plan</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5.12.4 DWA officials trained on DRR &amp; CCA</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250 DWA officials trained</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25 DWA officers received ToT; Plan prepared for field level training</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200 officials trained</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5.12.5 DRR &amp; CCA issues incorporated in DWA programmes and plans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NS</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Draft Disaster Ris</w:t>
            </w:r>
            <w:r>
              <w:rPr>
                <w:rFonts w:cstheme="minorHAnsi"/>
                <w:sz w:val="18"/>
                <w:szCs w:val="18"/>
              </w:rPr>
              <w:t>k</w:t>
            </w:r>
            <w:r w:rsidRPr="007C5F59">
              <w:rPr>
                <w:rFonts w:cstheme="minorHAnsi"/>
                <w:sz w:val="18"/>
                <w:szCs w:val="18"/>
              </w:rPr>
              <w:t xml:space="preserve"> Reduction Tool-</w:t>
            </w:r>
            <w:r>
              <w:rPr>
                <w:rFonts w:cstheme="minorHAnsi"/>
                <w:sz w:val="18"/>
                <w:szCs w:val="18"/>
              </w:rPr>
              <w:t>K</w:t>
            </w:r>
            <w:r w:rsidRPr="007C5F59">
              <w:rPr>
                <w:rFonts w:cstheme="minorHAnsi"/>
                <w:sz w:val="18"/>
                <w:szCs w:val="18"/>
              </w:rPr>
              <w:t>it  developed and reviewed by CDMP</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Drafted IEC materials</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Tool </w:t>
            </w:r>
            <w:r>
              <w:rPr>
                <w:rFonts w:cstheme="minorHAnsi"/>
                <w:sz w:val="18"/>
                <w:szCs w:val="18"/>
              </w:rPr>
              <w:t>k</w:t>
            </w:r>
            <w:r w:rsidRPr="007C5F59">
              <w:rPr>
                <w:rFonts w:cstheme="minorHAnsi"/>
                <w:sz w:val="18"/>
                <w:szCs w:val="18"/>
              </w:rPr>
              <w:t>it printed</w:t>
            </w: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5.13 MoDMR&amp; DDM have initiated development of robust capacity to actively influence and support DRR mainstreaming across GoB</w:t>
            </w:r>
          </w:p>
        </w:tc>
      </w:tr>
      <w:tr w:rsidR="0061232B" w:rsidRPr="007C5F59" w:rsidTr="00E84BAD">
        <w:trPr>
          <w:trHeight w:val="764"/>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5.13.1</w:t>
            </w:r>
            <w:r w:rsidRPr="007C5F59">
              <w:rPr>
                <w:rFonts w:cstheme="minorHAnsi"/>
                <w:sz w:val="18"/>
                <w:szCs w:val="18"/>
              </w:rPr>
              <w:tab/>
              <w:t xml:space="preserve">Support MoDMR in establishing the DRR Cell and development of an advocacy strategy to support inclusion of DRR - CCA into sectoral policies and plans </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spacing w:after="0" w:line="240" w:lineRule="auto"/>
              <w:rPr>
                <w:rFonts w:cstheme="minorHAnsi"/>
                <w:sz w:val="18"/>
                <w:szCs w:val="18"/>
              </w:rPr>
            </w:pPr>
            <w:r w:rsidRPr="007C5F59">
              <w:rPr>
                <w:rFonts w:cstheme="minorHAnsi"/>
                <w:sz w:val="18"/>
                <w:szCs w:val="18"/>
              </w:rPr>
              <w:t>DRR Policy and Practice Centre established</w:t>
            </w:r>
          </w:p>
          <w:p w:rsidR="0061232B" w:rsidRPr="007C5F59" w:rsidRDefault="0061232B" w:rsidP="00E84BAD">
            <w:pPr>
              <w:spacing w:after="0" w:line="240" w:lineRule="auto"/>
              <w:rPr>
                <w:rFonts w:cstheme="minorHAnsi"/>
                <w:sz w:val="18"/>
                <w:szCs w:val="18"/>
              </w:rPr>
            </w:pPr>
            <w:r w:rsidRPr="007C5F59">
              <w:rPr>
                <w:rFonts w:cstheme="minorHAnsi"/>
                <w:sz w:val="18"/>
                <w:szCs w:val="18"/>
              </w:rPr>
              <w:t>Advocacy Strategy paper approved by MoDMR and in practice</w:t>
            </w:r>
          </w:p>
          <w:p w:rsidR="0061232B" w:rsidRPr="007C5F59" w:rsidRDefault="0061232B" w:rsidP="00E84BAD">
            <w:pPr>
              <w:autoSpaceDN w:val="0"/>
              <w:spacing w:after="0" w:line="240" w:lineRule="auto"/>
              <w:rPr>
                <w:rFonts w:cstheme="minorHAnsi"/>
                <w:sz w:val="18"/>
                <w:szCs w:val="18"/>
              </w:rPr>
            </w:pP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Concept paper developed and draft shared</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DRR Policy and Practice Centre established</w:t>
            </w:r>
          </w:p>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Advocacy Strategy paper approved by MoDMR and in practice</w:t>
            </w:r>
          </w:p>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5.13.2Provide support to the partners ministries for mainstreaming DRR-CCA in sectoral policy and planning</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13 ministries adopting DRR - CCA mainstreaming</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spacing w:after="0" w:line="240" w:lineRule="auto"/>
              <w:ind w:left="0" w:hanging="90"/>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4 Policies reviewed to incorporate DRR CCA</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Revised Rules and responsibilities (for SOD) of </w:t>
            </w:r>
            <w:r w:rsidRPr="007C5F59">
              <w:rPr>
                <w:rFonts w:cstheme="minorHAnsi"/>
                <w:sz w:val="18"/>
                <w:szCs w:val="18"/>
              </w:rPr>
              <w:lastRenderedPageBreak/>
              <w:t>different ministries for disaster management</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lastRenderedPageBreak/>
              <w:t>5.13.3.     Support MoDMR to review NPDM 2010-15 and Draft NPDM 2016-20; support MoDMR promote resilience in 7th FYP</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spacing w:after="0" w:line="240" w:lineRule="auto"/>
              <w:rPr>
                <w:rFonts w:cstheme="minorHAnsi"/>
                <w:sz w:val="18"/>
                <w:szCs w:val="18"/>
              </w:rPr>
            </w:pPr>
            <w:r w:rsidRPr="007C5F59">
              <w:rPr>
                <w:rFonts w:cstheme="minorHAnsi"/>
                <w:sz w:val="18"/>
                <w:szCs w:val="18"/>
              </w:rPr>
              <w:t>New NPDM 2016-20 in place;</w:t>
            </w:r>
          </w:p>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DRR &amp; CCA issues incorporated in 7th FYP</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 xml:space="preserve">Identification of consultants is under process for the MTR and drafting the NPDM for 2016-20 </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NPDM 2016-20 drafted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DRR &amp; CCA issues incorporated in 7th FYP</w:t>
            </w: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OUTCOME 6: Community-level adaptation to disaster ris</w:t>
            </w:r>
            <w:r>
              <w:rPr>
                <w:rFonts w:cstheme="minorHAnsi"/>
                <w:sz w:val="18"/>
                <w:szCs w:val="18"/>
              </w:rPr>
              <w:t>k</w:t>
            </w:r>
            <w:r w:rsidRPr="007C5F59">
              <w:rPr>
                <w:rFonts w:cstheme="minorHAnsi"/>
                <w:sz w:val="18"/>
                <w:szCs w:val="18"/>
              </w:rPr>
              <w:t>s from a changing climate is effectively managed.</w:t>
            </w: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Output 6.1 Gaps bridged in community, institutions and climate science for improved and effective climate responsive CRA and RRAP initiatives.</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E84BAD">
            <w:pPr>
              <w:autoSpaceDN w:val="0"/>
              <w:spacing w:after="0" w:line="240" w:lineRule="auto"/>
              <w:ind w:left="-59"/>
              <w:rPr>
                <w:rFonts w:cstheme="minorHAnsi"/>
                <w:sz w:val="18"/>
                <w:szCs w:val="18"/>
              </w:rPr>
            </w:pPr>
            <w:r w:rsidRPr="007C5F59">
              <w:rPr>
                <w:rFonts w:cstheme="minorHAnsi"/>
                <w:sz w:val="18"/>
                <w:szCs w:val="18"/>
              </w:rPr>
              <w:t>6.1.1 Disaster management officials and partners trained on CCA</w:t>
            </w:r>
          </w:p>
        </w:tc>
        <w:tc>
          <w:tcPr>
            <w:tcW w:w="90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Climate change </w:t>
            </w:r>
            <w:r>
              <w:rPr>
                <w:rFonts w:cstheme="minorHAnsi"/>
                <w:sz w:val="18"/>
                <w:szCs w:val="18"/>
              </w:rPr>
              <w:t>k</w:t>
            </w:r>
            <w:r w:rsidRPr="007C5F59">
              <w:rPr>
                <w:rFonts w:cstheme="minorHAnsi"/>
                <w:sz w:val="18"/>
                <w:szCs w:val="18"/>
              </w:rPr>
              <w:t>nowledge and information needs identified  in CDMP I</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 priority adaptation research conducted under CDMP I</w:t>
            </w:r>
          </w:p>
        </w:tc>
        <w:tc>
          <w:tcPr>
            <w:tcW w:w="877"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tabs>
                <w:tab w:val="left" w:pos="164"/>
              </w:tabs>
              <w:autoSpaceDN w:val="0"/>
              <w:spacing w:after="0" w:line="240" w:lineRule="auto"/>
              <w:ind w:left="0" w:hanging="90"/>
              <w:rPr>
                <w:rFonts w:cstheme="minorHAnsi"/>
                <w:sz w:val="18"/>
                <w:szCs w:val="18"/>
              </w:rPr>
            </w:pPr>
            <w:r w:rsidRPr="007C5F59">
              <w:rPr>
                <w:rFonts w:cstheme="minorHAnsi"/>
                <w:sz w:val="18"/>
                <w:szCs w:val="18"/>
              </w:rPr>
              <w:t>200 officials and partners trained on CCA</w:t>
            </w:r>
          </w:p>
        </w:tc>
        <w:tc>
          <w:tcPr>
            <w:tcW w:w="1609" w:type="pct"/>
            <w:tcBorders>
              <w:top w:val="single" w:sz="4" w:space="0" w:color="auto"/>
              <w:left w:val="single" w:sz="4" w:space="0" w:color="auto"/>
              <w:bottom w:val="single" w:sz="4" w:space="0" w:color="auto"/>
              <w:right w:val="single" w:sz="4" w:space="0" w:color="auto"/>
            </w:tcBorders>
            <w:hideMark/>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Completed two batches of  training (52 participant’s); total 4 batches of  training, 138 participants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CCA Training Manual  (Climate Change Adaptation : A Trainer’s Handboo</w:t>
            </w:r>
            <w:r>
              <w:rPr>
                <w:rFonts w:cstheme="minorHAnsi"/>
                <w:sz w:val="18"/>
                <w:szCs w:val="18"/>
              </w:rPr>
              <w:t>k</w:t>
            </w:r>
            <w:r w:rsidRPr="007C5F59">
              <w:rPr>
                <w:rFonts w:cstheme="minorHAnsi"/>
                <w:sz w:val="18"/>
                <w:szCs w:val="18"/>
              </w:rPr>
              <w:t>) printed</w:t>
            </w:r>
          </w:p>
          <w:p w:rsidR="0061232B" w:rsidRPr="007C5F59" w:rsidRDefault="0061232B" w:rsidP="00E84BAD">
            <w:pPr>
              <w:autoSpaceDN w:val="0"/>
              <w:spacing w:after="0" w:line="240" w:lineRule="auto"/>
              <w:rPr>
                <w:rFonts w:cstheme="minorHAnsi"/>
                <w:sz w:val="18"/>
                <w:szCs w:val="18"/>
              </w:rPr>
            </w:pP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80 officials and partners trained on CCA</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6.1.3 Ris</w:t>
            </w:r>
            <w:r>
              <w:rPr>
                <w:rFonts w:cstheme="minorHAnsi"/>
                <w:sz w:val="18"/>
                <w:szCs w:val="18"/>
              </w:rPr>
              <w:t>k</w:t>
            </w:r>
            <w:r w:rsidRPr="007C5F59">
              <w:rPr>
                <w:rFonts w:cstheme="minorHAnsi"/>
                <w:sz w:val="18"/>
                <w:szCs w:val="18"/>
              </w:rPr>
              <w:t xml:space="preserve"> reduction projects incorporate CCA considerations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Climate Lens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1700 union factsheets</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Based on the increased requirement of information and data in the planning process and due to the limitation of earlier developed Climate Lens, the climate lens has been transformed and concept of Climate Ris</w:t>
            </w:r>
            <w:r>
              <w:rPr>
                <w:rFonts w:cstheme="minorHAnsi"/>
                <w:sz w:val="18"/>
                <w:szCs w:val="18"/>
              </w:rPr>
              <w:t>k</w:t>
            </w:r>
            <w:r w:rsidRPr="007C5F59">
              <w:rPr>
                <w:rFonts w:cstheme="minorHAnsi"/>
                <w:sz w:val="18"/>
                <w:szCs w:val="18"/>
              </w:rPr>
              <w:t xml:space="preserve"> Atlas has been adopted.</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Union Fact Sheets have been completed; delivered to respective unions, upazilas and is available online</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6.1.4 Climate change community adaptation strategies implemented in the targeted districts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5 Community projects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1 project each in 40 districts</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 total of 20 climate change adaptation schemes have been approved by CDMP technical committee. The schemes will be implemented through respective UzDMCs. Around 1600 people of 6 districts (Patua</w:t>
            </w:r>
            <w:r>
              <w:rPr>
                <w:rFonts w:cstheme="minorHAnsi"/>
                <w:sz w:val="18"/>
                <w:szCs w:val="18"/>
              </w:rPr>
              <w:t>k</w:t>
            </w:r>
            <w:r w:rsidRPr="007C5F59">
              <w:rPr>
                <w:rFonts w:cstheme="minorHAnsi"/>
                <w:sz w:val="18"/>
                <w:szCs w:val="18"/>
              </w:rPr>
              <w:t xml:space="preserve">hali, Barguna, Pirojpur, </w:t>
            </w:r>
            <w:r>
              <w:rPr>
                <w:rFonts w:cstheme="minorHAnsi"/>
                <w:sz w:val="18"/>
                <w:szCs w:val="18"/>
              </w:rPr>
              <w:t>K</w:t>
            </w:r>
            <w:r w:rsidRPr="007C5F59">
              <w:rPr>
                <w:rFonts w:cstheme="minorHAnsi"/>
                <w:sz w:val="18"/>
                <w:szCs w:val="18"/>
              </w:rPr>
              <w:t>hulna, Bagerhat and Gopalganj) will be benefited from the schemes.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MoU and Financial Contract signed and 1st instalment disbursed to implement Non-farm livelihood project with MothbariaUzDMC for implementation of a Scheme at Majher Char of MothbariaUpazila, PirojpurSadarUzDMC to implement two scheme at Das Para and Ni</w:t>
            </w:r>
            <w:r>
              <w:rPr>
                <w:rFonts w:cstheme="minorHAnsi"/>
                <w:sz w:val="18"/>
                <w:szCs w:val="18"/>
              </w:rPr>
              <w:t>k</w:t>
            </w:r>
            <w:r w:rsidRPr="007C5F59">
              <w:rPr>
                <w:rFonts w:cstheme="minorHAnsi"/>
                <w:sz w:val="18"/>
                <w:szCs w:val="18"/>
              </w:rPr>
              <w:t>ari Para of 1 No Si</w:t>
            </w:r>
            <w:r>
              <w:rPr>
                <w:rFonts w:cstheme="minorHAnsi"/>
                <w:sz w:val="18"/>
                <w:szCs w:val="18"/>
              </w:rPr>
              <w:t>k</w:t>
            </w:r>
            <w:r w:rsidRPr="007C5F59">
              <w:rPr>
                <w:rFonts w:cstheme="minorHAnsi"/>
                <w:sz w:val="18"/>
                <w:szCs w:val="18"/>
              </w:rPr>
              <w:t>derMalli</w:t>
            </w:r>
            <w:r>
              <w:rPr>
                <w:rFonts w:cstheme="minorHAnsi"/>
                <w:sz w:val="18"/>
                <w:szCs w:val="18"/>
              </w:rPr>
              <w:t>k</w:t>
            </w:r>
            <w:r w:rsidRPr="007C5F59">
              <w:rPr>
                <w:rFonts w:cstheme="minorHAnsi"/>
                <w:sz w:val="18"/>
                <w:szCs w:val="18"/>
              </w:rPr>
              <w:t xml:space="preserve"> Union of PirojpurSadarUpazila. MoU&amp; Contract signed with </w:t>
            </w:r>
            <w:r>
              <w:rPr>
                <w:rFonts w:cstheme="minorHAnsi"/>
                <w:sz w:val="18"/>
                <w:szCs w:val="18"/>
              </w:rPr>
              <w:t>K</w:t>
            </w:r>
            <w:r w:rsidRPr="007C5F59">
              <w:rPr>
                <w:rFonts w:cstheme="minorHAnsi"/>
                <w:sz w:val="18"/>
                <w:szCs w:val="18"/>
              </w:rPr>
              <w:t>alaparaUz of Patua</w:t>
            </w:r>
            <w:r>
              <w:rPr>
                <w:rFonts w:cstheme="minorHAnsi"/>
                <w:sz w:val="18"/>
                <w:szCs w:val="18"/>
              </w:rPr>
              <w:t>k</w:t>
            </w:r>
            <w:r w:rsidRPr="007C5F59">
              <w:rPr>
                <w:rFonts w:cstheme="minorHAnsi"/>
                <w:sz w:val="18"/>
                <w:szCs w:val="18"/>
              </w:rPr>
              <w:t>hali district and TaltoliUz of Barguna district.</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Implemented 15 non-farm  adaptation schemes</w:t>
            </w: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Output 6.2 Contingency planning for vulnerable populations living in very high-ris</w:t>
            </w:r>
            <w:r>
              <w:rPr>
                <w:rFonts w:cstheme="minorHAnsi"/>
                <w:sz w:val="18"/>
                <w:szCs w:val="18"/>
              </w:rPr>
              <w:t>k</w:t>
            </w:r>
            <w:r w:rsidRPr="007C5F59">
              <w:rPr>
                <w:rFonts w:cstheme="minorHAnsi"/>
                <w:sz w:val="18"/>
                <w:szCs w:val="18"/>
              </w:rPr>
              <w:t xml:space="preserve"> areas.</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ind w:left="-59"/>
              <w:rPr>
                <w:rFonts w:cstheme="minorHAnsi"/>
                <w:sz w:val="18"/>
                <w:szCs w:val="18"/>
              </w:rPr>
            </w:pPr>
            <w:r w:rsidRPr="007C5F59">
              <w:rPr>
                <w:rFonts w:cstheme="minorHAnsi"/>
                <w:sz w:val="18"/>
                <w:szCs w:val="18"/>
              </w:rPr>
              <w:t xml:space="preserve">6.2.1 </w:t>
            </w:r>
            <w:r w:rsidRPr="007C5F59">
              <w:rPr>
                <w:rFonts w:eastAsia="Calibri" w:cstheme="minorHAnsi"/>
                <w:sz w:val="18"/>
                <w:szCs w:val="18"/>
              </w:rPr>
              <w:t xml:space="preserve">Policy briefs on disaster and climate induced internal </w:t>
            </w:r>
            <w:r w:rsidRPr="007C5F59">
              <w:rPr>
                <w:rFonts w:eastAsia="Calibri" w:cstheme="minorHAnsi"/>
                <w:sz w:val="18"/>
                <w:szCs w:val="18"/>
              </w:rPr>
              <w:lastRenderedPageBreak/>
              <w:t>displacement are deliberated among decision ma</w:t>
            </w:r>
            <w:r>
              <w:rPr>
                <w:rFonts w:eastAsia="Calibri" w:cstheme="minorHAnsi"/>
                <w:sz w:val="18"/>
                <w:szCs w:val="18"/>
              </w:rPr>
              <w:t>k</w:t>
            </w:r>
            <w:r w:rsidRPr="007C5F59">
              <w:rPr>
                <w:rFonts w:eastAsia="Calibri" w:cstheme="minorHAnsi"/>
                <w:sz w:val="18"/>
                <w:szCs w:val="18"/>
              </w:rPr>
              <w:t>ers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 policy briefs</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Published report on Trend and Impact Analysis of Internal Displacement due to Disasters and Climate Change’.</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Policy brief on internal displacement prepared.</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lastRenderedPageBreak/>
              <w:t xml:space="preserve">6.2.3 </w:t>
            </w:r>
            <w:r w:rsidRPr="007C5F59">
              <w:rPr>
                <w:rFonts w:eastAsia="Calibri" w:cstheme="minorHAnsi"/>
                <w:sz w:val="18"/>
                <w:szCs w:val="18"/>
              </w:rPr>
              <w:t>National strategy on the management of disaster and climate-induced internal displacement</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National strategy on climate displacement</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Contingency Plan</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Hiring of short term consultant is in progress for development of a national strategy on the management of disaster and climate induced internal displacement. Candidate is already identified; formal contract to be awarded by UNDP.</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 xml:space="preserve">Completed 5 pilot projects considering internal displacement </w:t>
            </w:r>
          </w:p>
        </w:tc>
      </w:tr>
      <w:tr w:rsidR="0061232B" w:rsidRPr="007C5F59" w:rsidTr="00E84BAD">
        <w:trPr>
          <w:trHeight w:val="85"/>
        </w:trPr>
        <w:tc>
          <w:tcPr>
            <w:tcW w:w="5000"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Output 6.3 Disaster ris</w:t>
            </w:r>
            <w:r>
              <w:rPr>
                <w:rFonts w:cstheme="minorHAnsi"/>
                <w:sz w:val="18"/>
                <w:szCs w:val="18"/>
              </w:rPr>
              <w:t>k</w:t>
            </w:r>
            <w:r w:rsidRPr="007C5F59">
              <w:rPr>
                <w:rFonts w:cstheme="minorHAnsi"/>
                <w:sz w:val="18"/>
                <w:szCs w:val="18"/>
              </w:rPr>
              <w:t xml:space="preserve"> reduction with tools, techniques and methods developed on adaptation to climate change to enhance community resilience and policy advocacy</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ind w:left="-59"/>
              <w:rPr>
                <w:rFonts w:cstheme="minorHAnsi"/>
                <w:sz w:val="18"/>
                <w:szCs w:val="18"/>
              </w:rPr>
            </w:pPr>
            <w:r w:rsidRPr="007C5F59">
              <w:rPr>
                <w:rFonts w:cstheme="minorHAnsi"/>
                <w:sz w:val="18"/>
                <w:szCs w:val="18"/>
              </w:rPr>
              <w:t>6.3.1 Climate change parameters and trends associated with disaster hazards are established and disseminated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Climate change </w:t>
            </w:r>
            <w:r>
              <w:rPr>
                <w:rFonts w:cstheme="minorHAnsi"/>
                <w:sz w:val="18"/>
                <w:szCs w:val="18"/>
              </w:rPr>
              <w:t>k</w:t>
            </w:r>
            <w:r w:rsidRPr="007C5F59">
              <w:rPr>
                <w:rFonts w:cstheme="minorHAnsi"/>
                <w:sz w:val="18"/>
                <w:szCs w:val="18"/>
              </w:rPr>
              <w:t>nowledge and information needs identified under CDMP I</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 priority adaptation research conducted under CDMP I</w:t>
            </w:r>
          </w:p>
        </w:tc>
        <w:tc>
          <w:tcPr>
            <w:tcW w:w="87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 thematic studies on climate change parameters</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Field activity of the ‘Action Research on the Adaptation Test of Improved Fodder Varieties in the Coastal Area of Bangladesh’ is on-going.  In order to capture authentic result, the contract has been extended up to June 2015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 Note to file has been submitted for NPD’s signature to cancel the contracts for two separate studies with CEGIS and Eusuf&amp; Associate as Inception wor</w:t>
            </w:r>
            <w:r>
              <w:rPr>
                <w:rFonts w:cstheme="minorHAnsi"/>
                <w:sz w:val="18"/>
                <w:szCs w:val="18"/>
              </w:rPr>
              <w:t>k</w:t>
            </w:r>
            <w:r w:rsidRPr="007C5F59">
              <w:rPr>
                <w:rFonts w:cstheme="minorHAnsi"/>
                <w:sz w:val="18"/>
                <w:szCs w:val="18"/>
              </w:rPr>
              <w:t xml:space="preserve">shop and review meeting have not found the proposed methodology up to the expectation of CDMP.  </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1 thematic studies completed and published</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6.3.2 </w:t>
            </w:r>
            <w:r w:rsidRPr="007C5F59">
              <w:rPr>
                <w:rFonts w:eastAsia="Calibri" w:cstheme="minorHAnsi"/>
                <w:sz w:val="18"/>
                <w:szCs w:val="18"/>
              </w:rPr>
              <w:t>Adaptive tools, techniques and methods are developed to enhance community resilience (</w:t>
            </w:r>
            <w:r w:rsidRPr="007C5F59">
              <w:rPr>
                <w:rFonts w:cstheme="minorHAnsi"/>
                <w:sz w:val="18"/>
                <w:szCs w:val="18"/>
              </w:rPr>
              <w:t>Ris</w:t>
            </w:r>
            <w:r>
              <w:rPr>
                <w:rFonts w:cstheme="minorHAnsi"/>
                <w:sz w:val="18"/>
                <w:szCs w:val="18"/>
              </w:rPr>
              <w:t>k</w:t>
            </w:r>
            <w:r w:rsidRPr="007C5F59">
              <w:rPr>
                <w:rFonts w:cstheme="minorHAnsi"/>
                <w:sz w:val="18"/>
                <w:szCs w:val="18"/>
              </w:rPr>
              <w:t xml:space="preserve"> Atlas, Adaptation tool</w:t>
            </w:r>
            <w:r>
              <w:rPr>
                <w:rFonts w:cstheme="minorHAnsi"/>
                <w:sz w:val="18"/>
                <w:szCs w:val="18"/>
              </w:rPr>
              <w:t>k</w:t>
            </w:r>
            <w:r w:rsidRPr="007C5F59">
              <w:rPr>
                <w:rFonts w:cstheme="minorHAnsi"/>
                <w:sz w:val="18"/>
                <w:szCs w:val="18"/>
              </w:rPr>
              <w:t>it) and translate both in Bangla</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Adaptation approaches and tools for local level planning and implementation</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Upazila Ris</w:t>
            </w:r>
            <w:r>
              <w:rPr>
                <w:rFonts w:cstheme="minorHAnsi"/>
                <w:sz w:val="18"/>
                <w:szCs w:val="18"/>
              </w:rPr>
              <w:t>k</w:t>
            </w:r>
            <w:r w:rsidRPr="007C5F59">
              <w:rPr>
                <w:rFonts w:cstheme="minorHAnsi"/>
                <w:sz w:val="18"/>
                <w:szCs w:val="18"/>
              </w:rPr>
              <w:t xml:space="preserve"> Atlas has been printed and planned for dissemination.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Adaptation Tool</w:t>
            </w:r>
            <w:r>
              <w:rPr>
                <w:rFonts w:cstheme="minorHAnsi"/>
                <w:sz w:val="18"/>
                <w:szCs w:val="18"/>
              </w:rPr>
              <w:t>k</w:t>
            </w:r>
            <w:r w:rsidRPr="007C5F59">
              <w:rPr>
                <w:rFonts w:cstheme="minorHAnsi"/>
                <w:sz w:val="18"/>
                <w:szCs w:val="18"/>
              </w:rPr>
              <w:t>it has been printed and delivered to CDMP II sta</w:t>
            </w:r>
            <w:r>
              <w:rPr>
                <w:rFonts w:cstheme="minorHAnsi"/>
                <w:sz w:val="18"/>
                <w:szCs w:val="18"/>
              </w:rPr>
              <w:t>k</w:t>
            </w:r>
            <w:r w:rsidRPr="007C5F59">
              <w:rPr>
                <w:rFonts w:cstheme="minorHAnsi"/>
                <w:sz w:val="18"/>
                <w:szCs w:val="18"/>
              </w:rPr>
              <w:t>eholders and partners</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Multi-hazard ris</w:t>
            </w:r>
            <w:r>
              <w:rPr>
                <w:rFonts w:cstheme="minorHAnsi"/>
                <w:sz w:val="18"/>
                <w:szCs w:val="18"/>
              </w:rPr>
              <w:t>k</w:t>
            </w:r>
            <w:r w:rsidRPr="007C5F59">
              <w:rPr>
                <w:rFonts w:cstheme="minorHAnsi"/>
                <w:sz w:val="18"/>
                <w:szCs w:val="18"/>
              </w:rPr>
              <w:t xml:space="preserve"> Atlas developed for 28 upazilas</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 xml:space="preserve">6.3.3 </w:t>
            </w:r>
            <w:r w:rsidRPr="007C5F59">
              <w:rPr>
                <w:rFonts w:eastAsia="Calibri" w:cstheme="minorHAnsi"/>
                <w:sz w:val="18"/>
                <w:szCs w:val="18"/>
              </w:rPr>
              <w:t xml:space="preserve">Policy briefs are published to advocate the incorporation of disaster and climate change adaptation strategies </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 policy briefs</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Prepared and published 3 policy briefs (based on 3 completed studies).</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Development of policy brief on internal displacement study initiated. </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spacing w:after="0" w:line="240" w:lineRule="auto"/>
              <w:ind w:left="0" w:hanging="90"/>
              <w:rPr>
                <w:rFonts w:cstheme="minorHAnsi"/>
                <w:sz w:val="18"/>
                <w:szCs w:val="18"/>
              </w:rPr>
            </w:pP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spacing w:after="0" w:line="240" w:lineRule="auto"/>
              <w:rPr>
                <w:rFonts w:eastAsia="Calibri" w:cstheme="minorHAnsi"/>
                <w:sz w:val="18"/>
                <w:szCs w:val="18"/>
              </w:rPr>
            </w:pPr>
            <w:r w:rsidRPr="007C5F59">
              <w:rPr>
                <w:rFonts w:cstheme="minorHAnsi"/>
                <w:sz w:val="18"/>
                <w:szCs w:val="18"/>
              </w:rPr>
              <w:t xml:space="preserve">6.3.4 </w:t>
            </w:r>
            <w:r w:rsidRPr="007C5F59">
              <w:rPr>
                <w:rFonts w:eastAsia="Calibri" w:cstheme="minorHAnsi"/>
                <w:sz w:val="18"/>
                <w:szCs w:val="18"/>
              </w:rPr>
              <w:t>National capacities to formulate, manage and advocate/ negotiate climate change adaptation is further strengthened and institutionalized</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National forum on the convergence of CCA, DRR and sustainable development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Guidelines on the convergence of CCA, DRR and sustainable development </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 xml:space="preserve">Brainstorming session was organized on 12 November 2014 to explore and gather ideas from the professionals as how to develop the CCA-DRR Convergence Guideline. </w:t>
            </w:r>
          </w:p>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Note to file (NTF) has been prepared and submitted for approval for hiring the consultant to prepare CCA-DRR Convergence Guideline.</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spacing w:after="0" w:line="240" w:lineRule="auto"/>
              <w:ind w:left="0" w:hanging="90"/>
              <w:rPr>
                <w:rFonts w:cstheme="minorHAnsi"/>
                <w:sz w:val="18"/>
                <w:szCs w:val="18"/>
              </w:rPr>
            </w:pPr>
            <w:r w:rsidRPr="007C5F59">
              <w:rPr>
                <w:rFonts w:cstheme="minorHAnsi"/>
                <w:sz w:val="18"/>
                <w:szCs w:val="18"/>
              </w:rPr>
              <w:t>Guidelines on the convergence of CCA, DRR and sustainable development.</w:t>
            </w:r>
          </w:p>
        </w:tc>
      </w:tr>
      <w:tr w:rsidR="0061232B" w:rsidRPr="007C5F59" w:rsidTr="00E84BAD">
        <w:trPr>
          <w:trHeight w:val="85"/>
        </w:trPr>
        <w:tc>
          <w:tcPr>
            <w:tcW w:w="81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6.3.5 National development processes incorporate disaster and climate change considerations</w:t>
            </w:r>
          </w:p>
        </w:tc>
        <w:tc>
          <w:tcPr>
            <w:tcW w:w="907"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p>
        </w:tc>
        <w:tc>
          <w:tcPr>
            <w:tcW w:w="877" w:type="pct"/>
            <w:tcBorders>
              <w:top w:val="single" w:sz="4" w:space="0" w:color="auto"/>
              <w:left w:val="single" w:sz="4" w:space="0" w:color="auto"/>
              <w:bottom w:val="single" w:sz="4" w:space="0" w:color="auto"/>
              <w:right w:val="single" w:sz="4" w:space="0" w:color="auto"/>
            </w:tcBorders>
          </w:tcPr>
          <w:p w:rsidR="0061232B" w:rsidRPr="007C5F59" w:rsidRDefault="0061232B" w:rsidP="001E161B">
            <w:pPr>
              <w:numPr>
                <w:ilvl w:val="0"/>
                <w:numId w:val="48"/>
              </w:numPr>
              <w:autoSpaceDN w:val="0"/>
              <w:spacing w:after="0" w:line="240" w:lineRule="auto"/>
              <w:ind w:left="0" w:hanging="90"/>
              <w:rPr>
                <w:rFonts w:cstheme="minorHAnsi"/>
                <w:sz w:val="18"/>
                <w:szCs w:val="18"/>
              </w:rPr>
            </w:pPr>
            <w:r w:rsidRPr="007C5F59">
              <w:rPr>
                <w:rFonts w:cstheme="minorHAnsi"/>
                <w:sz w:val="18"/>
                <w:szCs w:val="18"/>
              </w:rPr>
              <w:t>6th Five Year Plan with DRR&amp;CCA</w:t>
            </w:r>
          </w:p>
        </w:tc>
        <w:tc>
          <w:tcPr>
            <w:tcW w:w="1609"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w:t>
            </w:r>
          </w:p>
        </w:tc>
        <w:tc>
          <w:tcPr>
            <w:tcW w:w="788" w:type="pct"/>
            <w:tcBorders>
              <w:top w:val="single" w:sz="4" w:space="0" w:color="auto"/>
              <w:left w:val="single" w:sz="4" w:space="0" w:color="auto"/>
              <w:bottom w:val="single" w:sz="4" w:space="0" w:color="auto"/>
              <w:right w:val="single" w:sz="4" w:space="0" w:color="auto"/>
            </w:tcBorders>
          </w:tcPr>
          <w:p w:rsidR="0061232B" w:rsidRPr="007C5F59" w:rsidRDefault="0061232B" w:rsidP="00E84BAD">
            <w:pPr>
              <w:autoSpaceDN w:val="0"/>
              <w:spacing w:after="0" w:line="240" w:lineRule="auto"/>
              <w:rPr>
                <w:rFonts w:cstheme="minorHAnsi"/>
                <w:sz w:val="18"/>
                <w:szCs w:val="18"/>
              </w:rPr>
            </w:pPr>
            <w:r w:rsidRPr="007C5F59">
              <w:rPr>
                <w:rFonts w:cstheme="minorHAnsi"/>
                <w:sz w:val="18"/>
                <w:szCs w:val="18"/>
              </w:rPr>
              <w:t>Climate change considerations incorporated in the 7th Five Year Plan</w:t>
            </w:r>
          </w:p>
        </w:tc>
      </w:tr>
    </w:tbl>
    <w:p w:rsidR="0061232B" w:rsidRPr="006844C8" w:rsidRDefault="0061232B" w:rsidP="0061232B">
      <w:pPr>
        <w:shd w:val="clear" w:color="auto" w:fill="92CDDC" w:themeFill="accent5" w:themeFillTint="99"/>
        <w:spacing w:after="0" w:line="240" w:lineRule="auto"/>
        <w:jc w:val="center"/>
        <w:rPr>
          <w:rFonts w:cstheme="minorHAnsi"/>
          <w:b/>
          <w:sz w:val="24"/>
          <w:szCs w:val="18"/>
        </w:rPr>
      </w:pPr>
      <w:r w:rsidRPr="007C5F59">
        <w:rPr>
          <w:rFonts w:cstheme="minorHAnsi"/>
          <w:b/>
          <w:sz w:val="24"/>
          <w:szCs w:val="18"/>
        </w:rPr>
        <w:lastRenderedPageBreak/>
        <w:t xml:space="preserve">STATUS OF THE ERF PROJECT OUTPUTS </w:t>
      </w:r>
    </w:p>
    <w:tbl>
      <w:tblPr>
        <w:tblW w:w="5430" w:type="pct"/>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2567"/>
        <w:gridCol w:w="1837"/>
        <w:gridCol w:w="1760"/>
        <w:gridCol w:w="2006"/>
        <w:gridCol w:w="1508"/>
        <w:gridCol w:w="1168"/>
        <w:gridCol w:w="1477"/>
      </w:tblGrid>
      <w:tr w:rsidR="0061232B" w:rsidRPr="007C5F59" w:rsidTr="00E84BAD">
        <w:trPr>
          <w:tblHeader/>
        </w:trPr>
        <w:tc>
          <w:tcPr>
            <w:tcW w:w="694" w:type="pct"/>
            <w:shd w:val="clear" w:color="auto" w:fill="B8CCE4" w:themeFill="accent1" w:themeFillTint="66"/>
          </w:tcPr>
          <w:p w:rsidR="0061232B" w:rsidRPr="007C5F59" w:rsidRDefault="0061232B" w:rsidP="00E84BAD">
            <w:pPr>
              <w:spacing w:after="0" w:line="240" w:lineRule="auto"/>
              <w:rPr>
                <w:rFonts w:cstheme="minorHAnsi"/>
                <w:b/>
                <w:sz w:val="18"/>
                <w:szCs w:val="18"/>
              </w:rPr>
            </w:pPr>
            <w:r w:rsidRPr="007C5F59">
              <w:rPr>
                <w:rFonts w:cstheme="minorHAnsi"/>
                <w:b/>
                <w:bCs/>
                <w:sz w:val="18"/>
                <w:szCs w:val="18"/>
              </w:rPr>
              <w:t>Outcome/Output</w:t>
            </w:r>
          </w:p>
        </w:tc>
        <w:tc>
          <w:tcPr>
            <w:tcW w:w="897" w:type="pct"/>
            <w:shd w:val="clear" w:color="auto" w:fill="B8CCE4" w:themeFill="accent1" w:themeFillTint="66"/>
          </w:tcPr>
          <w:p w:rsidR="0061232B" w:rsidRPr="007C5F59" w:rsidRDefault="0061232B" w:rsidP="00E84BAD">
            <w:pPr>
              <w:spacing w:after="0" w:line="240" w:lineRule="auto"/>
              <w:rPr>
                <w:rFonts w:cstheme="minorHAnsi"/>
                <w:b/>
                <w:sz w:val="18"/>
                <w:szCs w:val="18"/>
              </w:rPr>
            </w:pPr>
            <w:r w:rsidRPr="007C5F59">
              <w:rPr>
                <w:rFonts w:cstheme="minorHAnsi"/>
                <w:b/>
                <w:bCs/>
                <w:iCs/>
                <w:sz w:val="18"/>
                <w:szCs w:val="18"/>
              </w:rPr>
              <w:t>Target</w:t>
            </w:r>
          </w:p>
        </w:tc>
        <w:tc>
          <w:tcPr>
            <w:tcW w:w="2484" w:type="pct"/>
            <w:gridSpan w:val="4"/>
            <w:shd w:val="clear" w:color="auto" w:fill="B8CCE4" w:themeFill="accent1" w:themeFillTint="66"/>
          </w:tcPr>
          <w:p w:rsidR="0061232B" w:rsidRPr="007C5F59" w:rsidRDefault="0061232B" w:rsidP="00E84BAD">
            <w:pPr>
              <w:spacing w:after="0" w:line="240" w:lineRule="auto"/>
              <w:rPr>
                <w:rFonts w:cstheme="minorHAnsi"/>
                <w:b/>
                <w:sz w:val="18"/>
                <w:szCs w:val="18"/>
              </w:rPr>
            </w:pPr>
            <w:r w:rsidRPr="007C5F59">
              <w:rPr>
                <w:rFonts w:cstheme="minorHAnsi"/>
                <w:b/>
                <w:bCs/>
                <w:sz w:val="18"/>
                <w:szCs w:val="18"/>
              </w:rPr>
              <w:t>Achievement and the 2015 Planned Outputs</w:t>
            </w:r>
          </w:p>
        </w:tc>
        <w:tc>
          <w:tcPr>
            <w:tcW w:w="408" w:type="pct"/>
            <w:shd w:val="clear" w:color="auto" w:fill="B8CCE4" w:themeFill="accent1" w:themeFillTint="66"/>
          </w:tcPr>
          <w:p w:rsidR="0061232B" w:rsidRPr="007C5F59" w:rsidRDefault="0061232B" w:rsidP="00E84BAD">
            <w:pPr>
              <w:spacing w:after="0" w:line="240" w:lineRule="auto"/>
              <w:rPr>
                <w:rFonts w:cstheme="minorHAnsi"/>
                <w:b/>
                <w:sz w:val="18"/>
                <w:szCs w:val="18"/>
              </w:rPr>
            </w:pPr>
            <w:r w:rsidRPr="007C5F59">
              <w:rPr>
                <w:rFonts w:cstheme="minorHAnsi"/>
                <w:b/>
                <w:sz w:val="18"/>
                <w:szCs w:val="18"/>
              </w:rPr>
              <w:t>Estimated Final Outputs</w:t>
            </w:r>
          </w:p>
        </w:tc>
        <w:tc>
          <w:tcPr>
            <w:tcW w:w="517" w:type="pct"/>
            <w:shd w:val="clear" w:color="auto" w:fill="B8CCE4" w:themeFill="accent1" w:themeFillTint="66"/>
          </w:tcPr>
          <w:p w:rsidR="0061232B" w:rsidRPr="007C5F59" w:rsidRDefault="0061232B" w:rsidP="00E84BAD">
            <w:pPr>
              <w:spacing w:after="0" w:line="240" w:lineRule="auto"/>
              <w:rPr>
                <w:rFonts w:cstheme="minorHAnsi"/>
                <w:b/>
                <w:sz w:val="18"/>
                <w:szCs w:val="18"/>
              </w:rPr>
            </w:pPr>
            <w:r w:rsidRPr="007C5F59">
              <w:rPr>
                <w:rFonts w:cstheme="minorHAnsi"/>
                <w:b/>
                <w:sz w:val="18"/>
                <w:szCs w:val="18"/>
              </w:rPr>
              <w:t>Remar</w:t>
            </w:r>
            <w:r>
              <w:rPr>
                <w:rFonts w:cstheme="minorHAnsi"/>
                <w:b/>
                <w:sz w:val="18"/>
                <w:szCs w:val="18"/>
              </w:rPr>
              <w:t>k</w:t>
            </w:r>
            <w:r w:rsidRPr="007C5F59">
              <w:rPr>
                <w:rFonts w:cstheme="minorHAnsi"/>
                <w:b/>
                <w:sz w:val="18"/>
                <w:szCs w:val="18"/>
              </w:rPr>
              <w:t>s/ Gaps</w:t>
            </w:r>
          </w:p>
        </w:tc>
      </w:tr>
      <w:tr w:rsidR="0061232B" w:rsidRPr="007C5F59" w:rsidTr="00E84BAD">
        <w:trPr>
          <w:trHeight w:val="710"/>
          <w:tblHeader/>
        </w:trPr>
        <w:tc>
          <w:tcPr>
            <w:tcW w:w="694" w:type="pct"/>
            <w:shd w:val="clear" w:color="auto" w:fill="FDE9D9" w:themeFill="accent6" w:themeFillTint="33"/>
          </w:tcPr>
          <w:p w:rsidR="0061232B" w:rsidRPr="007C5F59" w:rsidRDefault="0061232B" w:rsidP="00E84BAD">
            <w:pPr>
              <w:spacing w:after="0" w:line="240" w:lineRule="auto"/>
              <w:rPr>
                <w:rFonts w:cstheme="minorHAnsi"/>
                <w:i/>
                <w:sz w:val="18"/>
                <w:szCs w:val="18"/>
              </w:rPr>
            </w:pPr>
            <w:r w:rsidRPr="007C5F59">
              <w:rPr>
                <w:rFonts w:cstheme="minorHAnsi"/>
                <w:sz w:val="18"/>
                <w:szCs w:val="18"/>
                <w:u w:val="single"/>
              </w:rPr>
              <w:t>Program Title:</w:t>
            </w:r>
          </w:p>
          <w:p w:rsidR="0061232B" w:rsidRPr="007C5F59" w:rsidRDefault="0061232B" w:rsidP="00E84BAD">
            <w:pPr>
              <w:spacing w:after="0" w:line="240" w:lineRule="auto"/>
              <w:rPr>
                <w:rFonts w:cstheme="minorHAnsi"/>
                <w:b/>
                <w:i/>
                <w:sz w:val="18"/>
                <w:szCs w:val="18"/>
              </w:rPr>
            </w:pPr>
            <w:r w:rsidRPr="007C5F59">
              <w:rPr>
                <w:rFonts w:cstheme="minorHAnsi"/>
                <w:b/>
                <w:i/>
                <w:sz w:val="18"/>
                <w:szCs w:val="18"/>
              </w:rPr>
              <w:t>Early Recovery</w:t>
            </w:r>
          </w:p>
          <w:p w:rsidR="0061232B" w:rsidRPr="007C5F59" w:rsidRDefault="0061232B" w:rsidP="00E84BAD">
            <w:pPr>
              <w:spacing w:after="0" w:line="240" w:lineRule="auto"/>
              <w:rPr>
                <w:rFonts w:cstheme="minorHAnsi"/>
                <w:sz w:val="18"/>
                <w:szCs w:val="18"/>
              </w:rPr>
            </w:pPr>
            <w:r w:rsidRPr="007C5F59">
              <w:rPr>
                <w:rFonts w:cstheme="minorHAnsi"/>
                <w:b/>
                <w:i/>
                <w:sz w:val="18"/>
                <w:szCs w:val="18"/>
              </w:rPr>
              <w:t xml:space="preserve">Facility </w:t>
            </w:r>
            <w:r w:rsidRPr="007C5F59">
              <w:rPr>
                <w:rFonts w:cstheme="minorHAnsi"/>
                <w:b/>
                <w:sz w:val="18"/>
                <w:szCs w:val="18"/>
              </w:rPr>
              <w:t>(2011-2015)</w:t>
            </w:r>
          </w:p>
        </w:tc>
        <w:tc>
          <w:tcPr>
            <w:tcW w:w="897" w:type="pct"/>
            <w:shd w:val="clear" w:color="auto" w:fill="FDE9D9" w:themeFill="accent6" w:themeFillTint="33"/>
          </w:tcPr>
          <w:p w:rsidR="0061232B" w:rsidRPr="007C5F59" w:rsidRDefault="0061232B" w:rsidP="00E84BAD">
            <w:pPr>
              <w:spacing w:after="0" w:line="240" w:lineRule="auto"/>
              <w:rPr>
                <w:rFonts w:cstheme="minorHAnsi"/>
                <w:sz w:val="18"/>
                <w:szCs w:val="18"/>
              </w:rPr>
            </w:pPr>
          </w:p>
        </w:tc>
        <w:tc>
          <w:tcPr>
            <w:tcW w:w="642" w:type="pct"/>
            <w:shd w:val="clear" w:color="auto" w:fill="FDE9D9" w:themeFill="accent6" w:themeFillTint="33"/>
          </w:tcPr>
          <w:p w:rsidR="0061232B" w:rsidRPr="007C5F59" w:rsidRDefault="0061232B" w:rsidP="00E84BAD">
            <w:pPr>
              <w:spacing w:after="0" w:line="240" w:lineRule="auto"/>
              <w:rPr>
                <w:rFonts w:cstheme="minorHAnsi"/>
                <w:b/>
                <w:sz w:val="18"/>
                <w:szCs w:val="18"/>
              </w:rPr>
            </w:pPr>
            <w:r w:rsidRPr="007C5F59">
              <w:rPr>
                <w:rFonts w:cstheme="minorHAnsi"/>
                <w:b/>
                <w:sz w:val="18"/>
                <w:szCs w:val="18"/>
              </w:rPr>
              <w:t>Year 1</w:t>
            </w:r>
          </w:p>
          <w:p w:rsidR="0061232B" w:rsidRPr="007C5F59" w:rsidRDefault="0061232B" w:rsidP="00E84BAD">
            <w:pPr>
              <w:spacing w:after="0" w:line="240" w:lineRule="auto"/>
              <w:rPr>
                <w:rFonts w:cstheme="minorHAnsi"/>
                <w:b/>
                <w:sz w:val="18"/>
                <w:szCs w:val="18"/>
              </w:rPr>
            </w:pPr>
            <w:r w:rsidRPr="007C5F59">
              <w:rPr>
                <w:rFonts w:cstheme="minorHAnsi"/>
                <w:b/>
                <w:sz w:val="18"/>
                <w:szCs w:val="18"/>
              </w:rPr>
              <w:t>(2012)</w:t>
            </w:r>
          </w:p>
        </w:tc>
        <w:tc>
          <w:tcPr>
            <w:tcW w:w="615" w:type="pct"/>
            <w:shd w:val="clear" w:color="auto" w:fill="FDE9D9" w:themeFill="accent6" w:themeFillTint="33"/>
          </w:tcPr>
          <w:p w:rsidR="0061232B" w:rsidRPr="007C5F59" w:rsidRDefault="0061232B" w:rsidP="00E84BAD">
            <w:pPr>
              <w:spacing w:after="0" w:line="240" w:lineRule="auto"/>
              <w:rPr>
                <w:rFonts w:cstheme="minorHAnsi"/>
                <w:b/>
                <w:sz w:val="18"/>
                <w:szCs w:val="18"/>
              </w:rPr>
            </w:pPr>
            <w:r w:rsidRPr="007C5F59">
              <w:rPr>
                <w:rFonts w:cstheme="minorHAnsi"/>
                <w:b/>
                <w:sz w:val="18"/>
                <w:szCs w:val="18"/>
              </w:rPr>
              <w:t xml:space="preserve">Year 2 </w:t>
            </w:r>
          </w:p>
          <w:p w:rsidR="0061232B" w:rsidRPr="007C5F59" w:rsidRDefault="0061232B" w:rsidP="00E84BAD">
            <w:pPr>
              <w:spacing w:after="0" w:line="240" w:lineRule="auto"/>
              <w:rPr>
                <w:rFonts w:cstheme="minorHAnsi"/>
                <w:b/>
                <w:sz w:val="18"/>
                <w:szCs w:val="18"/>
              </w:rPr>
            </w:pPr>
            <w:r w:rsidRPr="007C5F59">
              <w:rPr>
                <w:rFonts w:cstheme="minorHAnsi"/>
                <w:b/>
                <w:sz w:val="18"/>
                <w:szCs w:val="18"/>
              </w:rPr>
              <w:t>(2013)</w:t>
            </w:r>
          </w:p>
        </w:tc>
        <w:tc>
          <w:tcPr>
            <w:tcW w:w="701" w:type="pct"/>
            <w:shd w:val="clear" w:color="auto" w:fill="FDE9D9" w:themeFill="accent6" w:themeFillTint="33"/>
          </w:tcPr>
          <w:p w:rsidR="0061232B" w:rsidRPr="007C5F59" w:rsidRDefault="0061232B" w:rsidP="00E84BAD">
            <w:pPr>
              <w:spacing w:after="0" w:line="240" w:lineRule="auto"/>
              <w:rPr>
                <w:rFonts w:cstheme="minorHAnsi"/>
                <w:b/>
                <w:sz w:val="18"/>
                <w:szCs w:val="18"/>
              </w:rPr>
            </w:pPr>
            <w:r w:rsidRPr="007C5F59">
              <w:rPr>
                <w:rFonts w:cstheme="minorHAnsi"/>
                <w:b/>
                <w:sz w:val="18"/>
                <w:szCs w:val="18"/>
              </w:rPr>
              <w:t xml:space="preserve">Year 3 </w:t>
            </w:r>
          </w:p>
          <w:p w:rsidR="0061232B" w:rsidRPr="007C5F59" w:rsidRDefault="0061232B" w:rsidP="00E84BAD">
            <w:pPr>
              <w:spacing w:after="0" w:line="240" w:lineRule="auto"/>
              <w:rPr>
                <w:rFonts w:cstheme="minorHAnsi"/>
                <w:b/>
                <w:sz w:val="18"/>
                <w:szCs w:val="18"/>
              </w:rPr>
            </w:pPr>
            <w:r w:rsidRPr="000F4DC1">
              <w:rPr>
                <w:rFonts w:cstheme="minorHAnsi"/>
                <w:b/>
                <w:sz w:val="18"/>
                <w:szCs w:val="18"/>
              </w:rPr>
              <w:t>Current Status</w:t>
            </w:r>
            <w:r w:rsidRPr="007C5F59">
              <w:rPr>
                <w:rFonts w:cstheme="minorHAnsi"/>
                <w:b/>
                <w:sz w:val="18"/>
                <w:szCs w:val="18"/>
              </w:rPr>
              <w:t>(2014)</w:t>
            </w:r>
          </w:p>
        </w:tc>
        <w:tc>
          <w:tcPr>
            <w:tcW w:w="527" w:type="pct"/>
            <w:shd w:val="clear" w:color="auto" w:fill="FDE9D9" w:themeFill="accent6" w:themeFillTint="33"/>
          </w:tcPr>
          <w:p w:rsidR="0061232B" w:rsidRPr="007C5F59" w:rsidRDefault="0061232B" w:rsidP="00E84BAD">
            <w:pPr>
              <w:spacing w:after="0" w:line="240" w:lineRule="auto"/>
              <w:rPr>
                <w:rFonts w:cstheme="minorHAnsi"/>
                <w:b/>
                <w:sz w:val="18"/>
                <w:szCs w:val="18"/>
                <w:u w:val="single"/>
              </w:rPr>
            </w:pPr>
            <w:r w:rsidRPr="007C5F59">
              <w:rPr>
                <w:rFonts w:cstheme="minorHAnsi"/>
                <w:b/>
                <w:sz w:val="18"/>
                <w:szCs w:val="18"/>
              </w:rPr>
              <w:t xml:space="preserve">Year 4 </w:t>
            </w:r>
            <w:r w:rsidRPr="000F4DC1">
              <w:rPr>
                <w:rFonts w:cstheme="minorHAnsi"/>
                <w:b/>
                <w:sz w:val="18"/>
                <w:szCs w:val="18"/>
              </w:rPr>
              <w:t xml:space="preserve"> Projected</w:t>
            </w:r>
          </w:p>
          <w:p w:rsidR="0061232B" w:rsidRPr="007C5F59" w:rsidRDefault="0061232B" w:rsidP="00E84BAD">
            <w:pPr>
              <w:spacing w:after="0" w:line="240" w:lineRule="auto"/>
              <w:rPr>
                <w:rFonts w:cstheme="minorHAnsi"/>
                <w:b/>
                <w:sz w:val="18"/>
                <w:szCs w:val="18"/>
              </w:rPr>
            </w:pPr>
            <w:r w:rsidRPr="007C5F59">
              <w:rPr>
                <w:rFonts w:cstheme="minorHAnsi"/>
                <w:b/>
                <w:sz w:val="18"/>
                <w:szCs w:val="18"/>
              </w:rPr>
              <w:t>(2015)</w:t>
            </w:r>
          </w:p>
        </w:tc>
        <w:tc>
          <w:tcPr>
            <w:tcW w:w="408" w:type="pct"/>
            <w:shd w:val="clear" w:color="auto" w:fill="FDE9D9" w:themeFill="accent6" w:themeFillTint="33"/>
          </w:tcPr>
          <w:p w:rsidR="0061232B" w:rsidRPr="007C5F59" w:rsidRDefault="0061232B" w:rsidP="00E84BAD">
            <w:pPr>
              <w:spacing w:after="0" w:line="240" w:lineRule="auto"/>
              <w:rPr>
                <w:rFonts w:cstheme="minorHAnsi"/>
                <w:b/>
                <w:sz w:val="18"/>
                <w:szCs w:val="18"/>
              </w:rPr>
            </w:pPr>
          </w:p>
        </w:tc>
        <w:tc>
          <w:tcPr>
            <w:tcW w:w="517" w:type="pct"/>
            <w:shd w:val="clear" w:color="auto" w:fill="FDE9D9" w:themeFill="accent6" w:themeFillTint="33"/>
          </w:tcPr>
          <w:p w:rsidR="0061232B" w:rsidRPr="007C5F59" w:rsidRDefault="0061232B" w:rsidP="00E84BAD">
            <w:pPr>
              <w:spacing w:after="0" w:line="240" w:lineRule="auto"/>
              <w:rPr>
                <w:rFonts w:cstheme="minorHAnsi"/>
                <w:sz w:val="18"/>
                <w:szCs w:val="18"/>
              </w:rPr>
            </w:pPr>
          </w:p>
        </w:tc>
      </w:tr>
      <w:tr w:rsidR="0061232B" w:rsidRPr="007C5F59" w:rsidTr="00E84BAD">
        <w:trPr>
          <w:trHeight w:val="530"/>
        </w:trPr>
        <w:tc>
          <w:tcPr>
            <w:tcW w:w="694" w:type="pct"/>
            <w:shd w:val="clear" w:color="auto" w:fill="auto"/>
          </w:tcPr>
          <w:p w:rsidR="0061232B" w:rsidRPr="007C5F59" w:rsidRDefault="0061232B" w:rsidP="00E84BAD">
            <w:pPr>
              <w:spacing w:after="0" w:line="240" w:lineRule="auto"/>
              <w:rPr>
                <w:rFonts w:cstheme="minorHAnsi"/>
                <w:b/>
                <w:sz w:val="18"/>
                <w:szCs w:val="18"/>
              </w:rPr>
            </w:pPr>
            <w:r w:rsidRPr="007C5F59">
              <w:rPr>
                <w:rFonts w:cstheme="minorHAnsi"/>
                <w:b/>
                <w:sz w:val="18"/>
                <w:szCs w:val="18"/>
              </w:rPr>
              <w:t>Output 1: By 2015, an Early Recovery Facility is functional</w:t>
            </w:r>
          </w:p>
        </w:tc>
        <w:tc>
          <w:tcPr>
            <w:tcW w:w="897" w:type="pct"/>
            <w:shd w:val="clear" w:color="auto" w:fill="auto"/>
          </w:tcPr>
          <w:p w:rsidR="0061232B" w:rsidRPr="007C5F59" w:rsidRDefault="0061232B" w:rsidP="001E161B">
            <w:pPr>
              <w:numPr>
                <w:ilvl w:val="0"/>
                <w:numId w:val="49"/>
              </w:numPr>
              <w:spacing w:after="0" w:line="240" w:lineRule="auto"/>
              <w:rPr>
                <w:rFonts w:cstheme="minorHAnsi"/>
                <w:sz w:val="18"/>
                <w:szCs w:val="18"/>
              </w:rPr>
            </w:pPr>
            <w:r w:rsidRPr="007C5F59">
              <w:rPr>
                <w:rFonts w:cstheme="minorHAnsi"/>
                <w:sz w:val="18"/>
                <w:szCs w:val="18"/>
              </w:rPr>
              <w:t>100% of ERF staff positions filled as per TORs by 2013.</w:t>
            </w:r>
          </w:p>
          <w:p w:rsidR="0061232B" w:rsidRPr="007C5F59" w:rsidRDefault="0061232B" w:rsidP="001E161B">
            <w:pPr>
              <w:numPr>
                <w:ilvl w:val="0"/>
                <w:numId w:val="49"/>
              </w:numPr>
              <w:spacing w:after="0" w:line="240" w:lineRule="auto"/>
              <w:rPr>
                <w:rFonts w:cstheme="minorHAnsi"/>
                <w:sz w:val="18"/>
                <w:szCs w:val="18"/>
              </w:rPr>
            </w:pPr>
            <w:r w:rsidRPr="007C5F59">
              <w:rPr>
                <w:rFonts w:cstheme="minorHAnsi"/>
                <w:sz w:val="18"/>
                <w:szCs w:val="18"/>
              </w:rPr>
              <w:t xml:space="preserve">30% of ERF staff positions filled by women by 2014. </w:t>
            </w:r>
          </w:p>
          <w:p w:rsidR="0061232B" w:rsidRPr="007C5F59" w:rsidRDefault="0061232B" w:rsidP="001E161B">
            <w:pPr>
              <w:numPr>
                <w:ilvl w:val="0"/>
                <w:numId w:val="49"/>
              </w:numPr>
              <w:spacing w:after="0" w:line="240" w:lineRule="auto"/>
              <w:rPr>
                <w:rFonts w:cstheme="minorHAnsi"/>
                <w:sz w:val="18"/>
                <w:szCs w:val="18"/>
              </w:rPr>
            </w:pPr>
            <w:r w:rsidRPr="007C5F59">
              <w:rPr>
                <w:rFonts w:cstheme="minorHAnsi"/>
                <w:sz w:val="18"/>
                <w:szCs w:val="18"/>
              </w:rPr>
              <w:t>Business Continuity Plan for ERF in place by 2013.</w:t>
            </w:r>
          </w:p>
          <w:p w:rsidR="0061232B" w:rsidRPr="007C5F59" w:rsidRDefault="0061232B" w:rsidP="001E161B">
            <w:pPr>
              <w:numPr>
                <w:ilvl w:val="0"/>
                <w:numId w:val="49"/>
              </w:numPr>
              <w:spacing w:after="0" w:line="240" w:lineRule="auto"/>
              <w:rPr>
                <w:rFonts w:cstheme="minorHAnsi"/>
                <w:sz w:val="18"/>
                <w:szCs w:val="18"/>
              </w:rPr>
            </w:pPr>
            <w:r w:rsidRPr="007C5F59">
              <w:rPr>
                <w:rFonts w:cstheme="minorHAnsi"/>
                <w:sz w:val="18"/>
                <w:szCs w:val="18"/>
              </w:rPr>
              <w:t>30 UNDP SURGE candidates readied to respond to emergencies by 2015.</w:t>
            </w:r>
          </w:p>
          <w:p w:rsidR="0061232B" w:rsidRPr="007C5F59" w:rsidRDefault="0061232B" w:rsidP="001E161B">
            <w:pPr>
              <w:numPr>
                <w:ilvl w:val="0"/>
                <w:numId w:val="49"/>
              </w:numPr>
              <w:spacing w:after="0" w:line="240" w:lineRule="auto"/>
              <w:rPr>
                <w:rFonts w:cstheme="minorHAnsi"/>
                <w:sz w:val="18"/>
                <w:szCs w:val="18"/>
              </w:rPr>
            </w:pPr>
            <w:r w:rsidRPr="007C5F59">
              <w:rPr>
                <w:rFonts w:cstheme="minorHAnsi"/>
                <w:sz w:val="18"/>
                <w:szCs w:val="18"/>
              </w:rPr>
              <w:t xml:space="preserve">30% of UNDP SURGE candidates readied who are women by 2015. </w:t>
            </w:r>
          </w:p>
          <w:p w:rsidR="0061232B" w:rsidRPr="007C5F59" w:rsidRDefault="0061232B" w:rsidP="001E161B">
            <w:pPr>
              <w:numPr>
                <w:ilvl w:val="0"/>
                <w:numId w:val="49"/>
              </w:numPr>
              <w:spacing w:after="0" w:line="240" w:lineRule="auto"/>
              <w:rPr>
                <w:rFonts w:cstheme="minorHAnsi"/>
                <w:sz w:val="18"/>
                <w:szCs w:val="18"/>
              </w:rPr>
            </w:pPr>
            <w:r w:rsidRPr="007C5F59">
              <w:rPr>
                <w:rFonts w:cstheme="minorHAnsi"/>
                <w:sz w:val="18"/>
                <w:szCs w:val="18"/>
              </w:rPr>
              <w:t xml:space="preserve">Updated list of pre-qualified NGOs by 2012. </w:t>
            </w:r>
          </w:p>
        </w:tc>
        <w:tc>
          <w:tcPr>
            <w:tcW w:w="642"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90% staff</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2. 10% </w:t>
            </w:r>
          </w:p>
          <w:p w:rsidR="0061232B" w:rsidRPr="007C5F59" w:rsidRDefault="0061232B" w:rsidP="00E84BAD">
            <w:pPr>
              <w:spacing w:after="0" w:line="240" w:lineRule="auto"/>
              <w:rPr>
                <w:rFonts w:cstheme="minorHAnsi"/>
                <w:sz w:val="18"/>
                <w:szCs w:val="18"/>
              </w:rPr>
            </w:pPr>
            <w:r w:rsidRPr="007C5F59">
              <w:rPr>
                <w:rFonts w:cstheme="minorHAnsi"/>
                <w:sz w:val="18"/>
                <w:szCs w:val="18"/>
              </w:rPr>
              <w:t>3. Yes</w:t>
            </w:r>
          </w:p>
          <w:p w:rsidR="0061232B" w:rsidRPr="007C5F59" w:rsidRDefault="0061232B" w:rsidP="00E84BAD">
            <w:pPr>
              <w:spacing w:after="0" w:line="240" w:lineRule="auto"/>
              <w:rPr>
                <w:rFonts w:cstheme="minorHAnsi"/>
                <w:sz w:val="18"/>
                <w:szCs w:val="18"/>
              </w:rPr>
            </w:pPr>
            <w:r w:rsidRPr="007C5F59">
              <w:rPr>
                <w:rFonts w:cstheme="minorHAnsi"/>
                <w:sz w:val="18"/>
                <w:szCs w:val="18"/>
              </w:rPr>
              <w:t>4. 33</w:t>
            </w:r>
          </w:p>
          <w:p w:rsidR="0061232B" w:rsidRPr="007C5F59" w:rsidRDefault="0061232B" w:rsidP="00E84BAD">
            <w:pPr>
              <w:spacing w:after="0" w:line="240" w:lineRule="auto"/>
              <w:rPr>
                <w:rFonts w:cstheme="minorHAnsi"/>
                <w:sz w:val="18"/>
                <w:szCs w:val="18"/>
              </w:rPr>
            </w:pPr>
            <w:r w:rsidRPr="007C5F59">
              <w:rPr>
                <w:rFonts w:cstheme="minorHAnsi"/>
                <w:sz w:val="18"/>
                <w:szCs w:val="18"/>
              </w:rPr>
              <w:t>5. 26%</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6. List of 50 NGOs prepared for NGO roster. </w:t>
            </w:r>
          </w:p>
        </w:tc>
        <w:tc>
          <w:tcPr>
            <w:tcW w:w="615"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100% staff</w:t>
            </w:r>
          </w:p>
          <w:p w:rsidR="0061232B" w:rsidRPr="007C5F59" w:rsidRDefault="0061232B" w:rsidP="00E84BAD">
            <w:pPr>
              <w:spacing w:after="0" w:line="240" w:lineRule="auto"/>
              <w:rPr>
                <w:rFonts w:cstheme="minorHAnsi"/>
                <w:sz w:val="18"/>
                <w:szCs w:val="18"/>
              </w:rPr>
            </w:pPr>
            <w:r w:rsidRPr="007C5F59">
              <w:rPr>
                <w:rFonts w:cstheme="minorHAnsi"/>
                <w:sz w:val="18"/>
                <w:szCs w:val="18"/>
              </w:rPr>
              <w:t>2. 17%</w:t>
            </w:r>
          </w:p>
          <w:p w:rsidR="0061232B" w:rsidRPr="007C5F59" w:rsidRDefault="0061232B" w:rsidP="00E84BAD">
            <w:pPr>
              <w:spacing w:after="0" w:line="240" w:lineRule="auto"/>
              <w:rPr>
                <w:rFonts w:cstheme="minorHAnsi"/>
                <w:sz w:val="18"/>
                <w:szCs w:val="18"/>
              </w:rPr>
            </w:pPr>
            <w:r w:rsidRPr="007C5F59">
              <w:rPr>
                <w:rFonts w:cstheme="minorHAnsi"/>
                <w:sz w:val="18"/>
                <w:szCs w:val="18"/>
              </w:rPr>
              <w:t>3. Yes</w:t>
            </w:r>
          </w:p>
          <w:p w:rsidR="0061232B" w:rsidRPr="007C5F59" w:rsidRDefault="0061232B" w:rsidP="00E84BAD">
            <w:pPr>
              <w:spacing w:after="0" w:line="240" w:lineRule="auto"/>
              <w:rPr>
                <w:rFonts w:cstheme="minorHAnsi"/>
                <w:sz w:val="18"/>
                <w:szCs w:val="18"/>
              </w:rPr>
            </w:pPr>
            <w:r w:rsidRPr="007C5F59">
              <w:rPr>
                <w:rFonts w:cstheme="minorHAnsi"/>
                <w:sz w:val="18"/>
                <w:szCs w:val="18"/>
              </w:rPr>
              <w:t>4. 23</w:t>
            </w:r>
          </w:p>
          <w:p w:rsidR="0061232B" w:rsidRPr="007C5F59" w:rsidRDefault="0061232B" w:rsidP="00E84BAD">
            <w:pPr>
              <w:spacing w:after="0" w:line="240" w:lineRule="auto"/>
              <w:rPr>
                <w:rFonts w:cstheme="minorHAnsi"/>
                <w:sz w:val="18"/>
                <w:szCs w:val="18"/>
              </w:rPr>
            </w:pPr>
            <w:r w:rsidRPr="007C5F59">
              <w:rPr>
                <w:rFonts w:cstheme="minorHAnsi"/>
                <w:sz w:val="18"/>
                <w:szCs w:val="18"/>
              </w:rPr>
              <w:t>5. 26%</w:t>
            </w:r>
          </w:p>
          <w:p w:rsidR="0061232B" w:rsidRPr="007C5F59" w:rsidRDefault="0061232B" w:rsidP="00E84BAD">
            <w:pPr>
              <w:spacing w:after="0" w:line="240" w:lineRule="auto"/>
              <w:rPr>
                <w:rFonts w:cstheme="minorHAnsi"/>
                <w:sz w:val="18"/>
                <w:szCs w:val="18"/>
              </w:rPr>
            </w:pPr>
            <w:r w:rsidRPr="007C5F59">
              <w:rPr>
                <w:rFonts w:cstheme="minorHAnsi"/>
                <w:sz w:val="18"/>
                <w:szCs w:val="18"/>
              </w:rPr>
              <w:t>6. Yes, list updated.</w:t>
            </w:r>
          </w:p>
        </w:tc>
        <w:tc>
          <w:tcPr>
            <w:tcW w:w="701"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100% staff</w:t>
            </w:r>
          </w:p>
          <w:p w:rsidR="0061232B" w:rsidRPr="007C5F59" w:rsidRDefault="0061232B" w:rsidP="00E84BAD">
            <w:pPr>
              <w:spacing w:after="0" w:line="240" w:lineRule="auto"/>
              <w:rPr>
                <w:rFonts w:cstheme="minorHAnsi"/>
                <w:sz w:val="18"/>
                <w:szCs w:val="18"/>
              </w:rPr>
            </w:pPr>
            <w:r w:rsidRPr="007C5F59">
              <w:rPr>
                <w:rFonts w:cstheme="minorHAnsi"/>
                <w:sz w:val="18"/>
                <w:szCs w:val="18"/>
              </w:rPr>
              <w:t>2. 30%</w:t>
            </w:r>
          </w:p>
          <w:p w:rsidR="0061232B" w:rsidRPr="007C5F59" w:rsidRDefault="0061232B" w:rsidP="00E84BAD">
            <w:pPr>
              <w:spacing w:after="0" w:line="240" w:lineRule="auto"/>
              <w:rPr>
                <w:rFonts w:cstheme="minorHAnsi"/>
                <w:sz w:val="18"/>
                <w:szCs w:val="18"/>
              </w:rPr>
            </w:pPr>
            <w:r w:rsidRPr="007C5F59">
              <w:rPr>
                <w:rFonts w:cstheme="minorHAnsi"/>
                <w:sz w:val="18"/>
                <w:szCs w:val="18"/>
              </w:rPr>
              <w:t>3. Yes</w:t>
            </w:r>
          </w:p>
          <w:p w:rsidR="0061232B" w:rsidRPr="007C5F59" w:rsidRDefault="0061232B" w:rsidP="00E84BAD">
            <w:pPr>
              <w:spacing w:after="0" w:line="240" w:lineRule="auto"/>
              <w:rPr>
                <w:rFonts w:cstheme="minorHAnsi"/>
                <w:sz w:val="18"/>
                <w:szCs w:val="18"/>
              </w:rPr>
            </w:pPr>
            <w:r w:rsidRPr="007C5F59">
              <w:rPr>
                <w:rFonts w:cstheme="minorHAnsi"/>
                <w:sz w:val="18"/>
                <w:szCs w:val="18"/>
              </w:rPr>
              <w:t>4. 31</w:t>
            </w:r>
          </w:p>
          <w:p w:rsidR="0061232B" w:rsidRPr="007C5F59" w:rsidRDefault="0061232B" w:rsidP="00E84BAD">
            <w:pPr>
              <w:spacing w:after="0" w:line="240" w:lineRule="auto"/>
              <w:rPr>
                <w:rFonts w:cstheme="minorHAnsi"/>
                <w:sz w:val="18"/>
                <w:szCs w:val="18"/>
              </w:rPr>
            </w:pPr>
            <w:r w:rsidRPr="007C5F59">
              <w:rPr>
                <w:rFonts w:cstheme="minorHAnsi"/>
                <w:sz w:val="18"/>
                <w:szCs w:val="18"/>
              </w:rPr>
              <w:t>5. 26%</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6. Yes, list updating on going. </w:t>
            </w:r>
          </w:p>
        </w:tc>
        <w:tc>
          <w:tcPr>
            <w:tcW w:w="527"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1. 100%. </w:t>
            </w:r>
          </w:p>
          <w:p w:rsidR="0061232B" w:rsidRPr="007C5F59" w:rsidRDefault="0061232B" w:rsidP="00E84BAD">
            <w:pPr>
              <w:spacing w:after="0" w:line="240" w:lineRule="auto"/>
              <w:rPr>
                <w:rFonts w:cstheme="minorHAnsi"/>
                <w:sz w:val="18"/>
                <w:szCs w:val="18"/>
              </w:rPr>
            </w:pPr>
            <w:r w:rsidRPr="007C5F59">
              <w:rPr>
                <w:rFonts w:cstheme="minorHAnsi"/>
                <w:sz w:val="18"/>
                <w:szCs w:val="18"/>
              </w:rPr>
              <w:t>2. 30%</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3. Updated based on current situation. </w:t>
            </w:r>
          </w:p>
          <w:p w:rsidR="0061232B" w:rsidRPr="007C5F59" w:rsidRDefault="0061232B" w:rsidP="00E84BAD">
            <w:pPr>
              <w:spacing w:after="0" w:line="240" w:lineRule="auto"/>
              <w:rPr>
                <w:rFonts w:cstheme="minorHAnsi"/>
                <w:sz w:val="18"/>
                <w:szCs w:val="18"/>
              </w:rPr>
            </w:pPr>
            <w:r w:rsidRPr="007C5F59">
              <w:rPr>
                <w:rFonts w:cstheme="minorHAnsi"/>
                <w:sz w:val="18"/>
                <w:szCs w:val="18"/>
              </w:rPr>
              <w:t>4. 31.</w:t>
            </w:r>
          </w:p>
          <w:p w:rsidR="0061232B" w:rsidRPr="007C5F59" w:rsidRDefault="0061232B" w:rsidP="00E84BAD">
            <w:pPr>
              <w:spacing w:after="0" w:line="240" w:lineRule="auto"/>
              <w:rPr>
                <w:rFonts w:cstheme="minorHAnsi"/>
                <w:sz w:val="18"/>
                <w:szCs w:val="18"/>
              </w:rPr>
            </w:pPr>
            <w:r w:rsidRPr="007C5F59">
              <w:rPr>
                <w:rFonts w:cstheme="minorHAnsi"/>
                <w:sz w:val="18"/>
                <w:szCs w:val="18"/>
              </w:rPr>
              <w:t>5. 30%</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6. Updated list of pre-qualified NGOs. </w:t>
            </w:r>
          </w:p>
        </w:tc>
        <w:tc>
          <w:tcPr>
            <w:tcW w:w="408"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100% of project target for all indicators. </w:t>
            </w:r>
          </w:p>
        </w:tc>
        <w:tc>
          <w:tcPr>
            <w:tcW w:w="517" w:type="pct"/>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c>
          <w:tcPr>
            <w:tcW w:w="694" w:type="pct"/>
            <w:shd w:val="clear" w:color="auto" w:fill="auto"/>
          </w:tcPr>
          <w:p w:rsidR="0061232B" w:rsidRPr="007C5F59" w:rsidRDefault="0061232B" w:rsidP="00E84BAD">
            <w:pPr>
              <w:spacing w:after="0" w:line="240" w:lineRule="auto"/>
              <w:rPr>
                <w:rFonts w:cstheme="minorHAnsi"/>
                <w:b/>
                <w:sz w:val="18"/>
                <w:szCs w:val="18"/>
              </w:rPr>
            </w:pPr>
            <w:r w:rsidRPr="007C5F59">
              <w:rPr>
                <w:rFonts w:cstheme="minorHAnsi"/>
                <w:b/>
                <w:sz w:val="18"/>
                <w:szCs w:val="18"/>
              </w:rPr>
              <w:t>Output 2: By 2015, national, district and upazila officials are better able to prepare, coordinate and manage emergencies and early recovery</w:t>
            </w:r>
          </w:p>
        </w:tc>
        <w:tc>
          <w:tcPr>
            <w:tcW w:w="897" w:type="pct"/>
            <w:shd w:val="clear" w:color="auto" w:fill="auto"/>
          </w:tcPr>
          <w:p w:rsidR="0061232B" w:rsidRPr="007C5F59" w:rsidRDefault="0061232B" w:rsidP="001E161B">
            <w:pPr>
              <w:numPr>
                <w:ilvl w:val="0"/>
                <w:numId w:val="50"/>
              </w:numPr>
              <w:spacing w:after="0" w:line="240" w:lineRule="auto"/>
              <w:rPr>
                <w:rFonts w:cstheme="minorHAnsi"/>
                <w:sz w:val="18"/>
                <w:szCs w:val="18"/>
              </w:rPr>
            </w:pPr>
            <w:r w:rsidRPr="007C5F59">
              <w:rPr>
                <w:rFonts w:cstheme="minorHAnsi"/>
                <w:sz w:val="18"/>
                <w:szCs w:val="18"/>
              </w:rPr>
              <w:t xml:space="preserve">80% of DDM officials with capacity for early recovery approaches and methodologies by 2014. </w:t>
            </w:r>
          </w:p>
          <w:p w:rsidR="0061232B" w:rsidRPr="007C5F59" w:rsidRDefault="0061232B" w:rsidP="001E161B">
            <w:pPr>
              <w:numPr>
                <w:ilvl w:val="0"/>
                <w:numId w:val="50"/>
              </w:numPr>
              <w:spacing w:after="0" w:line="240" w:lineRule="auto"/>
              <w:rPr>
                <w:rFonts w:cstheme="minorHAnsi"/>
                <w:sz w:val="18"/>
                <w:szCs w:val="18"/>
              </w:rPr>
            </w:pPr>
            <w:r w:rsidRPr="007C5F59">
              <w:rPr>
                <w:rFonts w:cstheme="minorHAnsi"/>
                <w:sz w:val="18"/>
                <w:szCs w:val="18"/>
              </w:rPr>
              <w:t>90% of female DDM officials with capacity for early recovery approaches and methodologies by 2014.</w:t>
            </w:r>
          </w:p>
          <w:p w:rsidR="0061232B" w:rsidRPr="007C5F59" w:rsidRDefault="0061232B" w:rsidP="001E161B">
            <w:pPr>
              <w:numPr>
                <w:ilvl w:val="0"/>
                <w:numId w:val="50"/>
              </w:numPr>
              <w:spacing w:after="0" w:line="240" w:lineRule="auto"/>
              <w:rPr>
                <w:rFonts w:cstheme="minorHAnsi"/>
                <w:sz w:val="18"/>
                <w:szCs w:val="18"/>
              </w:rPr>
            </w:pPr>
            <w:r w:rsidRPr="007C5F59">
              <w:rPr>
                <w:rFonts w:cstheme="minorHAnsi"/>
                <w:sz w:val="18"/>
                <w:szCs w:val="18"/>
              </w:rPr>
              <w:t>Handboo</w:t>
            </w:r>
            <w:r>
              <w:rPr>
                <w:rFonts w:cstheme="minorHAnsi"/>
                <w:sz w:val="18"/>
                <w:szCs w:val="18"/>
              </w:rPr>
              <w:t>k</w:t>
            </w:r>
            <w:r w:rsidRPr="007C5F59">
              <w:rPr>
                <w:rFonts w:cstheme="minorHAnsi"/>
                <w:sz w:val="18"/>
                <w:szCs w:val="18"/>
              </w:rPr>
              <w:t xml:space="preserve"> for DDM Officials published by 2013. Target 6 point.</w:t>
            </w:r>
            <w:r w:rsidRPr="007C5F59">
              <w:rPr>
                <w:rStyle w:val="FootnoteReference"/>
                <w:rFonts w:cstheme="minorHAnsi"/>
                <w:sz w:val="18"/>
                <w:szCs w:val="18"/>
              </w:rPr>
              <w:footnoteReference w:id="99"/>
            </w:r>
          </w:p>
          <w:p w:rsidR="0061232B" w:rsidRPr="007C5F59" w:rsidRDefault="0061232B" w:rsidP="001E161B">
            <w:pPr>
              <w:numPr>
                <w:ilvl w:val="0"/>
                <w:numId w:val="50"/>
              </w:numPr>
              <w:spacing w:after="0" w:line="240" w:lineRule="auto"/>
              <w:rPr>
                <w:rFonts w:cstheme="minorHAnsi"/>
                <w:sz w:val="18"/>
                <w:szCs w:val="18"/>
              </w:rPr>
            </w:pPr>
            <w:r w:rsidRPr="007C5F59">
              <w:rPr>
                <w:rFonts w:cstheme="minorHAnsi"/>
                <w:sz w:val="18"/>
                <w:szCs w:val="18"/>
              </w:rPr>
              <w:t xml:space="preserve">50 NGOs with capacity for early recovery approaches and methodologies by </w:t>
            </w:r>
            <w:r w:rsidRPr="007C5F59">
              <w:rPr>
                <w:rFonts w:cstheme="minorHAnsi"/>
                <w:sz w:val="18"/>
                <w:szCs w:val="18"/>
              </w:rPr>
              <w:lastRenderedPageBreak/>
              <w:t>2015</w:t>
            </w:r>
          </w:p>
        </w:tc>
        <w:tc>
          <w:tcPr>
            <w:tcW w:w="642"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lastRenderedPageBreak/>
              <w:t>1. 30%</w:t>
            </w:r>
          </w:p>
          <w:p w:rsidR="0061232B" w:rsidRPr="007C5F59" w:rsidRDefault="0061232B" w:rsidP="00E84BAD">
            <w:pPr>
              <w:spacing w:after="0" w:line="240" w:lineRule="auto"/>
              <w:rPr>
                <w:rFonts w:cstheme="minorHAnsi"/>
                <w:sz w:val="18"/>
                <w:szCs w:val="18"/>
              </w:rPr>
            </w:pPr>
            <w:r w:rsidRPr="007C5F59">
              <w:rPr>
                <w:rFonts w:cstheme="minorHAnsi"/>
                <w:sz w:val="18"/>
                <w:szCs w:val="18"/>
              </w:rPr>
              <w:t>2. 10%</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3. 0 points.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4. 50 NGOs have been pre-qualified to receive capacity building support. </w:t>
            </w:r>
          </w:p>
        </w:tc>
        <w:tc>
          <w:tcPr>
            <w:tcW w:w="615"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1. 80%</w:t>
            </w:r>
          </w:p>
          <w:p w:rsidR="0061232B" w:rsidRPr="007C5F59" w:rsidRDefault="0061232B" w:rsidP="00E84BAD">
            <w:pPr>
              <w:spacing w:after="0" w:line="240" w:lineRule="auto"/>
              <w:rPr>
                <w:rFonts w:cstheme="minorHAnsi"/>
                <w:sz w:val="18"/>
                <w:szCs w:val="18"/>
              </w:rPr>
            </w:pPr>
            <w:r w:rsidRPr="007C5F59">
              <w:rPr>
                <w:rFonts w:cstheme="minorHAnsi"/>
                <w:sz w:val="18"/>
                <w:szCs w:val="18"/>
              </w:rPr>
              <w:t>2. 82%</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3. 2 points achieved. </w:t>
            </w:r>
          </w:p>
          <w:p w:rsidR="0061232B" w:rsidRPr="007C5F59" w:rsidRDefault="0061232B" w:rsidP="00E84BAD">
            <w:pPr>
              <w:spacing w:after="0" w:line="240" w:lineRule="auto"/>
              <w:rPr>
                <w:rFonts w:cstheme="minorHAnsi"/>
                <w:sz w:val="18"/>
                <w:szCs w:val="18"/>
              </w:rPr>
            </w:pPr>
            <w:r w:rsidRPr="007C5F59">
              <w:rPr>
                <w:rFonts w:cstheme="minorHAnsi"/>
                <w:sz w:val="18"/>
                <w:szCs w:val="18"/>
              </w:rPr>
              <w:t>4. 29 NGOs</w:t>
            </w:r>
          </w:p>
        </w:tc>
        <w:tc>
          <w:tcPr>
            <w:tcW w:w="701"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1. 94%</w:t>
            </w:r>
          </w:p>
          <w:p w:rsidR="0061232B" w:rsidRPr="007C5F59" w:rsidRDefault="0061232B" w:rsidP="00E84BAD">
            <w:pPr>
              <w:spacing w:after="0" w:line="240" w:lineRule="auto"/>
              <w:rPr>
                <w:rFonts w:cstheme="minorHAnsi"/>
                <w:sz w:val="18"/>
                <w:szCs w:val="18"/>
              </w:rPr>
            </w:pPr>
            <w:r w:rsidRPr="007C5F59">
              <w:rPr>
                <w:rFonts w:cstheme="minorHAnsi"/>
                <w:sz w:val="18"/>
                <w:szCs w:val="18"/>
              </w:rPr>
              <w:t>2. 86%</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3. 4 points achieved.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4. 29 NGOs </w:t>
            </w:r>
          </w:p>
        </w:tc>
        <w:tc>
          <w:tcPr>
            <w:tcW w:w="527"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1. 94%</w:t>
            </w:r>
          </w:p>
          <w:p w:rsidR="0061232B" w:rsidRPr="007C5F59" w:rsidRDefault="0061232B" w:rsidP="00E84BAD">
            <w:pPr>
              <w:spacing w:after="0" w:line="240" w:lineRule="auto"/>
              <w:rPr>
                <w:rFonts w:cstheme="minorHAnsi"/>
                <w:sz w:val="18"/>
                <w:szCs w:val="18"/>
              </w:rPr>
            </w:pPr>
            <w:r w:rsidRPr="007C5F59">
              <w:rPr>
                <w:rFonts w:cstheme="minorHAnsi"/>
                <w:sz w:val="18"/>
                <w:szCs w:val="18"/>
              </w:rPr>
              <w:t>2. 90%</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3. 6 points achieved. </w:t>
            </w:r>
          </w:p>
          <w:p w:rsidR="0061232B" w:rsidRPr="007C5F59" w:rsidRDefault="0061232B" w:rsidP="00E84BAD">
            <w:pPr>
              <w:spacing w:after="0" w:line="240" w:lineRule="auto"/>
              <w:rPr>
                <w:rFonts w:cstheme="minorHAnsi"/>
                <w:sz w:val="18"/>
                <w:szCs w:val="18"/>
              </w:rPr>
            </w:pPr>
            <w:r w:rsidRPr="007C5F59">
              <w:rPr>
                <w:rFonts w:cstheme="minorHAnsi"/>
                <w:sz w:val="18"/>
                <w:szCs w:val="18"/>
              </w:rPr>
              <w:t>4. 50 NGOs.</w:t>
            </w:r>
          </w:p>
        </w:tc>
        <w:tc>
          <w:tcPr>
            <w:tcW w:w="408"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100% of project target for all indicators.</w:t>
            </w:r>
          </w:p>
        </w:tc>
        <w:tc>
          <w:tcPr>
            <w:tcW w:w="517" w:type="pct"/>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c>
          <w:tcPr>
            <w:tcW w:w="694" w:type="pct"/>
            <w:shd w:val="clear" w:color="auto" w:fill="auto"/>
          </w:tcPr>
          <w:p w:rsidR="0061232B" w:rsidRPr="007C5F59" w:rsidRDefault="0061232B" w:rsidP="00E84BAD">
            <w:pPr>
              <w:spacing w:after="0" w:line="240" w:lineRule="auto"/>
              <w:rPr>
                <w:rFonts w:cstheme="minorHAnsi"/>
                <w:b/>
                <w:sz w:val="18"/>
                <w:szCs w:val="18"/>
              </w:rPr>
            </w:pPr>
            <w:r w:rsidRPr="007C5F59">
              <w:rPr>
                <w:rFonts w:cstheme="minorHAnsi"/>
                <w:b/>
                <w:sz w:val="18"/>
                <w:szCs w:val="18"/>
              </w:rPr>
              <w:lastRenderedPageBreak/>
              <w:t>Output 3: By 2015, integrated and coordinated volunteer networ</w:t>
            </w:r>
            <w:r>
              <w:rPr>
                <w:rFonts w:cstheme="minorHAnsi"/>
                <w:b/>
                <w:sz w:val="18"/>
                <w:szCs w:val="18"/>
              </w:rPr>
              <w:t>k</w:t>
            </w:r>
            <w:r w:rsidRPr="007C5F59">
              <w:rPr>
                <w:rFonts w:cstheme="minorHAnsi"/>
                <w:b/>
                <w:sz w:val="18"/>
                <w:szCs w:val="18"/>
              </w:rPr>
              <w:t xml:space="preserve"> ready to respond to local and national level disaster events</w:t>
            </w:r>
          </w:p>
        </w:tc>
        <w:tc>
          <w:tcPr>
            <w:tcW w:w="897" w:type="pct"/>
            <w:shd w:val="clear" w:color="auto" w:fill="auto"/>
          </w:tcPr>
          <w:p w:rsidR="0061232B" w:rsidRPr="007C5F59" w:rsidRDefault="0061232B" w:rsidP="001E161B">
            <w:pPr>
              <w:numPr>
                <w:ilvl w:val="0"/>
                <w:numId w:val="51"/>
              </w:numPr>
              <w:spacing w:after="0" w:line="240" w:lineRule="auto"/>
              <w:rPr>
                <w:rFonts w:cstheme="minorHAnsi"/>
                <w:sz w:val="18"/>
                <w:szCs w:val="18"/>
              </w:rPr>
            </w:pPr>
            <w:r w:rsidRPr="007C5F59">
              <w:rPr>
                <w:rFonts w:cstheme="minorHAnsi"/>
                <w:sz w:val="18"/>
                <w:szCs w:val="18"/>
              </w:rPr>
              <w:t>Progress towards a Handboo</w:t>
            </w:r>
            <w:r>
              <w:rPr>
                <w:rFonts w:cstheme="minorHAnsi"/>
                <w:sz w:val="18"/>
                <w:szCs w:val="18"/>
              </w:rPr>
              <w:t>k</w:t>
            </w:r>
            <w:r w:rsidRPr="007C5F59">
              <w:rPr>
                <w:rFonts w:cstheme="minorHAnsi"/>
                <w:sz w:val="18"/>
                <w:szCs w:val="18"/>
              </w:rPr>
              <w:t xml:space="preserve"> for Disaster Volunteers by 2014. Target 3 points. </w:t>
            </w:r>
            <w:r w:rsidRPr="007C5F59">
              <w:rPr>
                <w:rStyle w:val="FootnoteReference"/>
                <w:rFonts w:cstheme="minorHAnsi"/>
                <w:sz w:val="18"/>
                <w:szCs w:val="18"/>
              </w:rPr>
              <w:footnoteReference w:id="100"/>
            </w:r>
          </w:p>
          <w:p w:rsidR="0061232B" w:rsidRPr="007C5F59" w:rsidRDefault="0061232B" w:rsidP="001E161B">
            <w:pPr>
              <w:numPr>
                <w:ilvl w:val="0"/>
                <w:numId w:val="51"/>
              </w:numPr>
              <w:spacing w:after="0" w:line="240" w:lineRule="auto"/>
              <w:rPr>
                <w:rFonts w:cstheme="minorHAnsi"/>
                <w:sz w:val="18"/>
                <w:szCs w:val="18"/>
              </w:rPr>
            </w:pPr>
            <w:r w:rsidRPr="007C5F59">
              <w:rPr>
                <w:rFonts w:cstheme="minorHAnsi"/>
                <w:sz w:val="18"/>
                <w:szCs w:val="18"/>
              </w:rPr>
              <w:t>1200 disaster volunteers trained and readied for emergency response by 2015</w:t>
            </w:r>
          </w:p>
          <w:p w:rsidR="0061232B" w:rsidRPr="007C5F59" w:rsidRDefault="0061232B" w:rsidP="001E161B">
            <w:pPr>
              <w:numPr>
                <w:ilvl w:val="0"/>
                <w:numId w:val="51"/>
              </w:numPr>
              <w:spacing w:after="0" w:line="240" w:lineRule="auto"/>
              <w:rPr>
                <w:rFonts w:cstheme="minorHAnsi"/>
                <w:sz w:val="18"/>
                <w:szCs w:val="18"/>
              </w:rPr>
            </w:pPr>
            <w:r w:rsidRPr="007C5F59">
              <w:rPr>
                <w:rFonts w:cstheme="minorHAnsi"/>
                <w:sz w:val="18"/>
                <w:szCs w:val="18"/>
              </w:rPr>
              <w:t>10% of trained volunteers mobilized through volunteer organizations during national emergency by 2015</w:t>
            </w:r>
          </w:p>
          <w:p w:rsidR="0061232B" w:rsidRPr="007C5F59" w:rsidRDefault="0061232B" w:rsidP="001E161B">
            <w:pPr>
              <w:numPr>
                <w:ilvl w:val="0"/>
                <w:numId w:val="51"/>
              </w:numPr>
              <w:spacing w:after="0" w:line="240" w:lineRule="auto"/>
              <w:rPr>
                <w:rFonts w:cstheme="minorHAnsi"/>
                <w:sz w:val="18"/>
                <w:szCs w:val="18"/>
              </w:rPr>
            </w:pPr>
            <w:r w:rsidRPr="007C5F59">
              <w:rPr>
                <w:rFonts w:cstheme="minorHAnsi"/>
                <w:sz w:val="18"/>
                <w:szCs w:val="18"/>
              </w:rPr>
              <w:t>Integrated database for volunteers organizations operational by 2014</w:t>
            </w:r>
          </w:p>
        </w:tc>
        <w:tc>
          <w:tcPr>
            <w:tcW w:w="642"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1. 0 points. </w:t>
            </w:r>
          </w:p>
          <w:p w:rsidR="0061232B" w:rsidRPr="007C5F59" w:rsidRDefault="0061232B" w:rsidP="00E84BAD">
            <w:pPr>
              <w:spacing w:after="0" w:line="240" w:lineRule="auto"/>
              <w:rPr>
                <w:rFonts w:cstheme="minorHAnsi"/>
                <w:sz w:val="18"/>
                <w:szCs w:val="18"/>
              </w:rPr>
            </w:pPr>
            <w:r w:rsidRPr="007C5F59">
              <w:rPr>
                <w:rFonts w:cstheme="minorHAnsi"/>
                <w:sz w:val="18"/>
                <w:szCs w:val="18"/>
              </w:rPr>
              <w:t>2. Long-Term Agreement with</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Bangladesh Scouts formalized.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3. Process initiated to deploy volunteers.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4. Process initiated to develop database. </w:t>
            </w:r>
          </w:p>
        </w:tc>
        <w:tc>
          <w:tcPr>
            <w:tcW w:w="615"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1. 0 points.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2. Training curriculum finalized for Bangladesh Scouts.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3. 1080 Bangladesh Scouts mobilized to support cold wave in Jan 2013.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4. Yes, database developed. </w:t>
            </w:r>
          </w:p>
        </w:tc>
        <w:tc>
          <w:tcPr>
            <w:tcW w:w="701"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1 point</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2. 348 volunteers. </w:t>
            </w:r>
          </w:p>
          <w:p w:rsidR="0061232B" w:rsidRPr="007C5F59" w:rsidRDefault="0061232B" w:rsidP="00E84BAD">
            <w:pPr>
              <w:spacing w:after="0" w:line="240" w:lineRule="auto"/>
              <w:rPr>
                <w:rFonts w:cstheme="minorHAnsi"/>
                <w:sz w:val="18"/>
                <w:szCs w:val="18"/>
              </w:rPr>
            </w:pPr>
            <w:r w:rsidRPr="007C5F59">
              <w:rPr>
                <w:rFonts w:cstheme="minorHAnsi"/>
                <w:sz w:val="18"/>
                <w:szCs w:val="18"/>
              </w:rPr>
              <w:t>3. None mobilised as no national emergency seen;</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4. Yes, operational. </w:t>
            </w:r>
          </w:p>
        </w:tc>
        <w:tc>
          <w:tcPr>
            <w:tcW w:w="527"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3 points.</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2. 1200 disaster volunteers.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3. Based on national emergency, at least 10% of trained volunteers mobilised.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4. Yes, database operational.  </w:t>
            </w:r>
          </w:p>
        </w:tc>
        <w:tc>
          <w:tcPr>
            <w:tcW w:w="408"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100% of project target for all indicators.</w:t>
            </w:r>
          </w:p>
        </w:tc>
        <w:tc>
          <w:tcPr>
            <w:tcW w:w="517" w:type="pct"/>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c>
          <w:tcPr>
            <w:tcW w:w="694" w:type="pct"/>
            <w:shd w:val="clear" w:color="auto" w:fill="auto"/>
          </w:tcPr>
          <w:p w:rsidR="0061232B" w:rsidRPr="007C5F59" w:rsidRDefault="0061232B" w:rsidP="00E84BAD">
            <w:pPr>
              <w:spacing w:after="0" w:line="240" w:lineRule="auto"/>
              <w:rPr>
                <w:rFonts w:cstheme="minorHAnsi"/>
                <w:b/>
                <w:sz w:val="18"/>
                <w:szCs w:val="18"/>
              </w:rPr>
            </w:pPr>
            <w:r w:rsidRPr="007C5F59">
              <w:rPr>
                <w:rFonts w:cstheme="minorHAnsi"/>
                <w:b/>
                <w:sz w:val="18"/>
                <w:szCs w:val="18"/>
              </w:rPr>
              <w:t>Output 4: By 2015, Innovative community-based recovery solutions have been developed and tested</w:t>
            </w:r>
          </w:p>
        </w:tc>
        <w:tc>
          <w:tcPr>
            <w:tcW w:w="897" w:type="pct"/>
            <w:shd w:val="clear" w:color="auto" w:fill="auto"/>
          </w:tcPr>
          <w:p w:rsidR="0061232B" w:rsidRPr="007C5F59" w:rsidRDefault="0061232B" w:rsidP="001E161B">
            <w:pPr>
              <w:numPr>
                <w:ilvl w:val="0"/>
                <w:numId w:val="52"/>
              </w:numPr>
              <w:spacing w:after="0" w:line="240" w:lineRule="auto"/>
              <w:rPr>
                <w:rFonts w:cstheme="minorHAnsi"/>
                <w:sz w:val="18"/>
                <w:szCs w:val="18"/>
              </w:rPr>
            </w:pPr>
            <w:r w:rsidRPr="007C5F59">
              <w:rPr>
                <w:rFonts w:cstheme="minorHAnsi"/>
                <w:sz w:val="18"/>
                <w:szCs w:val="18"/>
              </w:rPr>
              <w:t>50% of early recovery schemes incorporating “build bac</w:t>
            </w:r>
            <w:r>
              <w:rPr>
                <w:rFonts w:cstheme="minorHAnsi"/>
                <w:sz w:val="18"/>
                <w:szCs w:val="18"/>
              </w:rPr>
              <w:t>k</w:t>
            </w:r>
            <w:r w:rsidRPr="007C5F59">
              <w:rPr>
                <w:rFonts w:cstheme="minorHAnsi"/>
                <w:sz w:val="18"/>
                <w:szCs w:val="18"/>
              </w:rPr>
              <w:t xml:space="preserve"> better” approach by 2015</w:t>
            </w:r>
          </w:p>
          <w:p w:rsidR="0061232B" w:rsidRPr="007C5F59" w:rsidRDefault="0061232B" w:rsidP="001E161B">
            <w:pPr>
              <w:numPr>
                <w:ilvl w:val="0"/>
                <w:numId w:val="52"/>
              </w:numPr>
              <w:spacing w:after="0" w:line="240" w:lineRule="auto"/>
              <w:rPr>
                <w:rFonts w:cstheme="minorHAnsi"/>
                <w:sz w:val="18"/>
                <w:szCs w:val="18"/>
              </w:rPr>
            </w:pPr>
            <w:r w:rsidRPr="007C5F59">
              <w:rPr>
                <w:rFonts w:cstheme="minorHAnsi"/>
                <w:sz w:val="18"/>
                <w:szCs w:val="18"/>
              </w:rPr>
              <w:t xml:space="preserve">04 documented innovative community-based recovery solutions by 2015. </w:t>
            </w:r>
          </w:p>
          <w:p w:rsidR="0061232B" w:rsidRPr="007C5F59" w:rsidRDefault="0061232B" w:rsidP="001E161B">
            <w:pPr>
              <w:numPr>
                <w:ilvl w:val="0"/>
                <w:numId w:val="52"/>
              </w:numPr>
              <w:spacing w:after="0" w:line="240" w:lineRule="auto"/>
              <w:rPr>
                <w:rFonts w:cstheme="minorHAnsi"/>
                <w:sz w:val="18"/>
                <w:szCs w:val="18"/>
              </w:rPr>
            </w:pPr>
            <w:r w:rsidRPr="007C5F59">
              <w:rPr>
                <w:rFonts w:cstheme="minorHAnsi"/>
                <w:sz w:val="18"/>
                <w:szCs w:val="18"/>
              </w:rPr>
              <w:t>02 regional wor</w:t>
            </w:r>
            <w:r>
              <w:rPr>
                <w:rFonts w:cstheme="minorHAnsi"/>
                <w:sz w:val="18"/>
                <w:szCs w:val="18"/>
              </w:rPr>
              <w:t>k</w:t>
            </w:r>
            <w:r w:rsidRPr="007C5F59">
              <w:rPr>
                <w:rFonts w:cstheme="minorHAnsi"/>
                <w:sz w:val="18"/>
                <w:szCs w:val="18"/>
              </w:rPr>
              <w:t>shops to share community recovery experiences per year by 2014</w:t>
            </w:r>
          </w:p>
        </w:tc>
        <w:tc>
          <w:tcPr>
            <w:tcW w:w="642"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1. Disaster Resilient Habitat (DRH) in </w:t>
            </w:r>
            <w:r>
              <w:rPr>
                <w:rFonts w:cstheme="minorHAnsi"/>
                <w:sz w:val="18"/>
                <w:szCs w:val="18"/>
              </w:rPr>
              <w:t>K</w:t>
            </w:r>
            <w:r w:rsidRPr="007C5F59">
              <w:rPr>
                <w:rFonts w:cstheme="minorHAnsi"/>
                <w:sz w:val="18"/>
                <w:szCs w:val="18"/>
              </w:rPr>
              <w:t>edarbazar, in Sat</w:t>
            </w:r>
            <w:r>
              <w:rPr>
                <w:rFonts w:cstheme="minorHAnsi"/>
                <w:sz w:val="18"/>
                <w:szCs w:val="18"/>
              </w:rPr>
              <w:t>k</w:t>
            </w:r>
            <w:r w:rsidRPr="007C5F59">
              <w:rPr>
                <w:rFonts w:cstheme="minorHAnsi"/>
                <w:sz w:val="18"/>
                <w:szCs w:val="18"/>
              </w:rPr>
              <w:t xml:space="preserve">hira incorporated this approach. </w:t>
            </w: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r w:rsidRPr="007C5F59">
              <w:rPr>
                <w:rFonts w:cstheme="minorHAnsi"/>
                <w:sz w:val="18"/>
                <w:szCs w:val="18"/>
              </w:rPr>
              <w:t>2. ToR developed &amp; procurement process completed.</w:t>
            </w: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3. No progress. </w:t>
            </w:r>
          </w:p>
        </w:tc>
        <w:tc>
          <w:tcPr>
            <w:tcW w:w="615"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1.‘Build Bac</w:t>
            </w:r>
            <w:r>
              <w:rPr>
                <w:rFonts w:cstheme="minorHAnsi"/>
                <w:sz w:val="18"/>
                <w:szCs w:val="18"/>
              </w:rPr>
              <w:t>k</w:t>
            </w:r>
            <w:r w:rsidRPr="007C5F59">
              <w:rPr>
                <w:rFonts w:cstheme="minorHAnsi"/>
                <w:sz w:val="18"/>
                <w:szCs w:val="18"/>
              </w:rPr>
              <w:t xml:space="preserve"> Better’ concept has been incorporated in disaster resilient core family shelters in </w:t>
            </w:r>
            <w:r>
              <w:rPr>
                <w:rFonts w:cstheme="minorHAnsi"/>
                <w:sz w:val="18"/>
                <w:szCs w:val="18"/>
              </w:rPr>
              <w:t>K</w:t>
            </w:r>
            <w:r w:rsidRPr="007C5F59">
              <w:rPr>
                <w:rFonts w:cstheme="minorHAnsi"/>
                <w:sz w:val="18"/>
                <w:szCs w:val="18"/>
              </w:rPr>
              <w:t xml:space="preserve">oyra, </w:t>
            </w:r>
            <w:r>
              <w:rPr>
                <w:rFonts w:cstheme="minorHAnsi"/>
                <w:sz w:val="18"/>
                <w:szCs w:val="18"/>
              </w:rPr>
              <w:t>K</w:t>
            </w:r>
            <w:r w:rsidRPr="007C5F59">
              <w:rPr>
                <w:rFonts w:cstheme="minorHAnsi"/>
                <w:sz w:val="18"/>
                <w:szCs w:val="18"/>
              </w:rPr>
              <w:t>hulna</w:t>
            </w:r>
          </w:p>
          <w:p w:rsidR="0061232B" w:rsidRPr="007C5F59" w:rsidRDefault="0061232B" w:rsidP="00E84BAD">
            <w:pPr>
              <w:spacing w:after="0" w:line="240" w:lineRule="auto"/>
              <w:rPr>
                <w:rFonts w:cstheme="minorHAnsi"/>
                <w:sz w:val="18"/>
                <w:szCs w:val="18"/>
              </w:rPr>
            </w:pPr>
            <w:r w:rsidRPr="007C5F59">
              <w:rPr>
                <w:rFonts w:cstheme="minorHAnsi"/>
                <w:sz w:val="18"/>
                <w:szCs w:val="18"/>
              </w:rPr>
              <w:t>2. Video documentation on disaster resilient shelter is under process.</w:t>
            </w:r>
          </w:p>
          <w:p w:rsidR="0061232B" w:rsidRPr="007C5F59" w:rsidRDefault="0061232B" w:rsidP="00E84BAD">
            <w:pPr>
              <w:spacing w:after="0" w:line="240" w:lineRule="auto"/>
              <w:rPr>
                <w:rFonts w:cstheme="minorHAnsi"/>
                <w:sz w:val="18"/>
                <w:szCs w:val="18"/>
              </w:rPr>
            </w:pPr>
            <w:r w:rsidRPr="007C5F59">
              <w:rPr>
                <w:rFonts w:cstheme="minorHAnsi"/>
                <w:sz w:val="18"/>
                <w:szCs w:val="18"/>
              </w:rPr>
              <w:t>3. Planned for 2014</w:t>
            </w:r>
          </w:p>
        </w:tc>
        <w:tc>
          <w:tcPr>
            <w:tcW w:w="701"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1. 100%</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2. Video documentation on DRH done; Video documentary on Community Resilience Project in </w:t>
            </w:r>
            <w:r>
              <w:rPr>
                <w:rFonts w:cstheme="minorHAnsi"/>
                <w:sz w:val="18"/>
                <w:szCs w:val="18"/>
              </w:rPr>
              <w:t>K</w:t>
            </w:r>
            <w:r w:rsidRPr="007C5F59">
              <w:rPr>
                <w:rFonts w:cstheme="minorHAnsi"/>
                <w:sz w:val="18"/>
                <w:szCs w:val="18"/>
              </w:rPr>
              <w:t>oyra in progress</w:t>
            </w:r>
          </w:p>
          <w:p w:rsidR="0061232B" w:rsidRPr="007C5F59" w:rsidRDefault="0061232B" w:rsidP="00E84BAD">
            <w:pPr>
              <w:spacing w:after="0" w:line="240" w:lineRule="auto"/>
              <w:rPr>
                <w:rFonts w:cstheme="minorHAnsi"/>
                <w:sz w:val="18"/>
                <w:szCs w:val="18"/>
              </w:rPr>
            </w:pPr>
            <w:r w:rsidRPr="007C5F59">
              <w:rPr>
                <w:rFonts w:cstheme="minorHAnsi"/>
                <w:sz w:val="18"/>
                <w:szCs w:val="18"/>
              </w:rPr>
              <w:t>3. 01 in 2013 (Mahasen response lesson learned wor</w:t>
            </w:r>
            <w:r>
              <w:rPr>
                <w:rFonts w:cstheme="minorHAnsi"/>
                <w:sz w:val="18"/>
                <w:szCs w:val="18"/>
              </w:rPr>
              <w:t>k</w:t>
            </w:r>
            <w:r w:rsidRPr="007C5F59">
              <w:rPr>
                <w:rFonts w:cstheme="minorHAnsi"/>
                <w:sz w:val="18"/>
                <w:szCs w:val="18"/>
              </w:rPr>
              <w:t>shop in Bhola)</w:t>
            </w:r>
          </w:p>
        </w:tc>
        <w:tc>
          <w:tcPr>
            <w:tcW w:w="527"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100% scheme of ERF adopt build bac</w:t>
            </w:r>
            <w:r>
              <w:rPr>
                <w:rFonts w:cstheme="minorHAnsi"/>
                <w:sz w:val="18"/>
                <w:szCs w:val="18"/>
              </w:rPr>
              <w:t>k</w:t>
            </w:r>
            <w:r w:rsidRPr="007C5F59">
              <w:rPr>
                <w:rFonts w:cstheme="minorHAnsi"/>
                <w:sz w:val="18"/>
                <w:szCs w:val="18"/>
              </w:rPr>
              <w:t xml:space="preserve"> better approach</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2. 03 documented solutions. </w:t>
            </w:r>
          </w:p>
          <w:p w:rsidR="0061232B" w:rsidRPr="007C5F59" w:rsidRDefault="0061232B" w:rsidP="00E84BAD">
            <w:pPr>
              <w:spacing w:after="0" w:line="240" w:lineRule="auto"/>
              <w:rPr>
                <w:rFonts w:cstheme="minorHAnsi"/>
                <w:sz w:val="18"/>
                <w:szCs w:val="18"/>
              </w:rPr>
            </w:pPr>
            <w:r w:rsidRPr="007C5F59">
              <w:rPr>
                <w:rFonts w:cstheme="minorHAnsi"/>
                <w:sz w:val="18"/>
                <w:szCs w:val="18"/>
              </w:rPr>
              <w:t>3. 01 regional wor</w:t>
            </w:r>
            <w:r>
              <w:rPr>
                <w:rFonts w:cstheme="minorHAnsi"/>
                <w:sz w:val="18"/>
                <w:szCs w:val="18"/>
              </w:rPr>
              <w:t>k</w:t>
            </w:r>
            <w:r w:rsidRPr="007C5F59">
              <w:rPr>
                <w:rFonts w:cstheme="minorHAnsi"/>
                <w:sz w:val="18"/>
                <w:szCs w:val="18"/>
              </w:rPr>
              <w:t xml:space="preserve">shop to share recovery experience.  </w:t>
            </w:r>
          </w:p>
        </w:tc>
        <w:tc>
          <w:tcPr>
            <w:tcW w:w="408"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100% of project target for 1 &amp; 3 indicators. 75% achievement for indicator 2. </w:t>
            </w:r>
          </w:p>
        </w:tc>
        <w:tc>
          <w:tcPr>
            <w:tcW w:w="517" w:type="pct"/>
            <w:shd w:val="clear" w:color="auto" w:fill="auto"/>
          </w:tcPr>
          <w:p w:rsidR="0061232B" w:rsidRPr="007C5F59" w:rsidRDefault="0061232B" w:rsidP="00E84BAD">
            <w:pPr>
              <w:pStyle w:val="Heading1"/>
              <w:spacing w:before="0" w:after="0"/>
              <w:rPr>
                <w:rFonts w:asciiTheme="minorHAnsi" w:hAnsiTheme="minorHAnsi" w:cstheme="minorHAnsi"/>
                <w:b w:val="0"/>
                <w:sz w:val="18"/>
                <w:szCs w:val="18"/>
              </w:rPr>
            </w:pPr>
            <w:r w:rsidRPr="007C5F59">
              <w:rPr>
                <w:rFonts w:asciiTheme="minorHAnsi" w:hAnsiTheme="minorHAnsi" w:cstheme="minorHAnsi"/>
                <w:b w:val="0"/>
                <w:sz w:val="18"/>
                <w:szCs w:val="18"/>
              </w:rPr>
              <w:t xml:space="preserve">Around 25% gap in case of documented community based solutions </w:t>
            </w:r>
          </w:p>
        </w:tc>
      </w:tr>
      <w:tr w:rsidR="0061232B" w:rsidRPr="007C5F59" w:rsidTr="00E84BAD">
        <w:tc>
          <w:tcPr>
            <w:tcW w:w="694" w:type="pct"/>
            <w:shd w:val="clear" w:color="auto" w:fill="auto"/>
          </w:tcPr>
          <w:p w:rsidR="0061232B" w:rsidRPr="007C5F59" w:rsidRDefault="0061232B" w:rsidP="00E84BAD">
            <w:pPr>
              <w:spacing w:after="0" w:line="240" w:lineRule="auto"/>
              <w:rPr>
                <w:rFonts w:cstheme="minorHAnsi"/>
                <w:b/>
                <w:sz w:val="18"/>
                <w:szCs w:val="18"/>
              </w:rPr>
            </w:pPr>
            <w:r w:rsidRPr="007C5F59">
              <w:rPr>
                <w:rFonts w:cstheme="minorHAnsi"/>
                <w:b/>
                <w:sz w:val="18"/>
                <w:szCs w:val="18"/>
              </w:rPr>
              <w:t xml:space="preserve">Output 5: National Emergency Response and Early Recovery </w:t>
            </w:r>
            <w:r w:rsidRPr="007C5F59">
              <w:rPr>
                <w:rFonts w:cstheme="minorHAnsi"/>
                <w:b/>
                <w:sz w:val="18"/>
                <w:szCs w:val="18"/>
              </w:rPr>
              <w:lastRenderedPageBreak/>
              <w:t>have been supported</w:t>
            </w:r>
          </w:p>
        </w:tc>
        <w:tc>
          <w:tcPr>
            <w:tcW w:w="897" w:type="pct"/>
            <w:shd w:val="clear" w:color="auto" w:fill="auto"/>
          </w:tcPr>
          <w:p w:rsidR="0061232B" w:rsidRPr="007C5F59" w:rsidRDefault="0061232B" w:rsidP="001E161B">
            <w:pPr>
              <w:numPr>
                <w:ilvl w:val="0"/>
                <w:numId w:val="53"/>
              </w:numPr>
              <w:spacing w:after="0" w:line="240" w:lineRule="auto"/>
              <w:rPr>
                <w:rFonts w:cstheme="minorHAnsi"/>
                <w:sz w:val="18"/>
                <w:szCs w:val="18"/>
              </w:rPr>
            </w:pPr>
            <w:r w:rsidRPr="007C5F59">
              <w:rPr>
                <w:rFonts w:cstheme="minorHAnsi"/>
                <w:sz w:val="18"/>
                <w:szCs w:val="18"/>
              </w:rPr>
              <w:lastRenderedPageBreak/>
              <w:t xml:space="preserve">10% of households affected by disasters that received livelihood </w:t>
            </w:r>
            <w:r w:rsidRPr="007C5F59">
              <w:rPr>
                <w:rFonts w:cstheme="minorHAnsi"/>
                <w:sz w:val="18"/>
                <w:szCs w:val="18"/>
              </w:rPr>
              <w:lastRenderedPageBreak/>
              <w:t xml:space="preserve">recovery assistance by 2015. </w:t>
            </w:r>
          </w:p>
          <w:p w:rsidR="0061232B" w:rsidRPr="007C5F59" w:rsidRDefault="0061232B" w:rsidP="001E161B">
            <w:pPr>
              <w:numPr>
                <w:ilvl w:val="0"/>
                <w:numId w:val="53"/>
              </w:numPr>
              <w:spacing w:after="0" w:line="240" w:lineRule="auto"/>
              <w:rPr>
                <w:rFonts w:cstheme="minorHAnsi"/>
                <w:sz w:val="18"/>
                <w:szCs w:val="18"/>
              </w:rPr>
            </w:pPr>
            <w:r w:rsidRPr="007C5F59">
              <w:rPr>
                <w:rFonts w:cstheme="minorHAnsi"/>
                <w:sz w:val="18"/>
                <w:szCs w:val="18"/>
              </w:rPr>
              <w:t>10% of households affected by disasters that received shelter assistance by 2015</w:t>
            </w:r>
          </w:p>
          <w:p w:rsidR="0061232B" w:rsidRPr="007C5F59" w:rsidRDefault="0061232B" w:rsidP="001E161B">
            <w:pPr>
              <w:numPr>
                <w:ilvl w:val="0"/>
                <w:numId w:val="53"/>
              </w:numPr>
              <w:spacing w:after="0" w:line="240" w:lineRule="auto"/>
              <w:rPr>
                <w:rFonts w:cstheme="minorHAnsi"/>
                <w:sz w:val="18"/>
                <w:szCs w:val="18"/>
              </w:rPr>
            </w:pPr>
            <w:r w:rsidRPr="007C5F59">
              <w:rPr>
                <w:rFonts w:cstheme="minorHAnsi"/>
                <w:sz w:val="18"/>
                <w:szCs w:val="18"/>
              </w:rPr>
              <w:t>10% of pre-qualified NGOs engaged for early recovery interventions per year.</w:t>
            </w:r>
          </w:p>
        </w:tc>
        <w:tc>
          <w:tcPr>
            <w:tcW w:w="642"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lastRenderedPageBreak/>
              <w:t xml:space="preserve">1. Around 11,598 families, affected by southeast flood </w:t>
            </w:r>
            <w:r w:rsidRPr="007C5F59">
              <w:rPr>
                <w:rFonts w:cstheme="minorHAnsi"/>
                <w:sz w:val="18"/>
                <w:szCs w:val="18"/>
              </w:rPr>
              <w:lastRenderedPageBreak/>
              <w:t xml:space="preserve">received livelihood supports.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2. 43 households of </w:t>
            </w:r>
            <w:r>
              <w:rPr>
                <w:rFonts w:cstheme="minorHAnsi"/>
                <w:sz w:val="18"/>
                <w:szCs w:val="18"/>
              </w:rPr>
              <w:t>k</w:t>
            </w:r>
            <w:r w:rsidRPr="007C5F59">
              <w:rPr>
                <w:rFonts w:cstheme="minorHAnsi"/>
                <w:sz w:val="18"/>
                <w:szCs w:val="18"/>
              </w:rPr>
              <w:t>edarbazar, Sat</w:t>
            </w:r>
            <w:r>
              <w:rPr>
                <w:rFonts w:cstheme="minorHAnsi"/>
                <w:sz w:val="18"/>
                <w:szCs w:val="18"/>
              </w:rPr>
              <w:t>k</w:t>
            </w:r>
            <w:r w:rsidRPr="007C5F59">
              <w:rPr>
                <w:rFonts w:cstheme="minorHAnsi"/>
                <w:sz w:val="18"/>
                <w:szCs w:val="18"/>
              </w:rPr>
              <w:t xml:space="preserve">hira received shelters. </w:t>
            </w:r>
          </w:p>
          <w:p w:rsidR="0061232B" w:rsidRPr="007C5F59" w:rsidRDefault="0061232B" w:rsidP="00E84BAD">
            <w:pPr>
              <w:spacing w:after="0" w:line="240" w:lineRule="auto"/>
              <w:rPr>
                <w:rFonts w:cstheme="minorHAnsi"/>
                <w:sz w:val="18"/>
                <w:szCs w:val="18"/>
              </w:rPr>
            </w:pPr>
            <w:r w:rsidRPr="007C5F59">
              <w:rPr>
                <w:rFonts w:cstheme="minorHAnsi"/>
                <w:sz w:val="18"/>
                <w:szCs w:val="18"/>
              </w:rPr>
              <w:t>3. Process initiated to ma</w:t>
            </w:r>
            <w:r>
              <w:rPr>
                <w:rFonts w:cstheme="minorHAnsi"/>
                <w:sz w:val="18"/>
                <w:szCs w:val="18"/>
              </w:rPr>
              <w:t>k</w:t>
            </w:r>
            <w:r w:rsidRPr="007C5F59">
              <w:rPr>
                <w:rFonts w:cstheme="minorHAnsi"/>
                <w:sz w:val="18"/>
                <w:szCs w:val="18"/>
              </w:rPr>
              <w:t xml:space="preserve">e roster of NGOs. </w:t>
            </w:r>
          </w:p>
        </w:tc>
        <w:tc>
          <w:tcPr>
            <w:tcW w:w="615"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lastRenderedPageBreak/>
              <w:t xml:space="preserve">1. 2,200 hhs in Mahasen affected area; 530 families </w:t>
            </w:r>
            <w:r w:rsidRPr="007C5F59">
              <w:rPr>
                <w:rFonts w:cstheme="minorHAnsi"/>
                <w:sz w:val="18"/>
                <w:szCs w:val="18"/>
              </w:rPr>
              <w:lastRenderedPageBreak/>
              <w:t xml:space="preserve">tornado affected.  </w:t>
            </w:r>
          </w:p>
          <w:p w:rsidR="0061232B" w:rsidRPr="007C5F59" w:rsidRDefault="0061232B" w:rsidP="00E84BAD">
            <w:pPr>
              <w:spacing w:after="0" w:line="240" w:lineRule="auto"/>
              <w:rPr>
                <w:rFonts w:cstheme="minorHAnsi"/>
                <w:sz w:val="18"/>
                <w:szCs w:val="18"/>
              </w:rPr>
            </w:pPr>
            <w:r w:rsidRPr="007C5F59">
              <w:rPr>
                <w:rFonts w:cstheme="minorHAnsi"/>
                <w:sz w:val="18"/>
                <w:szCs w:val="18"/>
              </w:rPr>
              <w:t>2. No new shelter in 2013.</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3. 12% in 2013; 6 partner NGOs contracted in 2013. </w:t>
            </w:r>
          </w:p>
        </w:tc>
        <w:tc>
          <w:tcPr>
            <w:tcW w:w="701"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lastRenderedPageBreak/>
              <w:t>1. Flood in south-east: &lt;10 in 2013</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2. Mahasen: 30% </w:t>
            </w:r>
            <w:r w:rsidRPr="007C5F59">
              <w:rPr>
                <w:rFonts w:cstheme="minorHAnsi"/>
                <w:sz w:val="18"/>
                <w:szCs w:val="18"/>
              </w:rPr>
              <w:lastRenderedPageBreak/>
              <w:t>achieved  in 2013</w:t>
            </w:r>
          </w:p>
          <w:p w:rsidR="0061232B" w:rsidRPr="007C5F59" w:rsidRDefault="0061232B" w:rsidP="00E84BAD">
            <w:pPr>
              <w:spacing w:after="0" w:line="240" w:lineRule="auto"/>
              <w:rPr>
                <w:rFonts w:cstheme="minorHAnsi"/>
                <w:sz w:val="18"/>
                <w:szCs w:val="18"/>
              </w:rPr>
            </w:pPr>
            <w:r w:rsidRPr="007C5F59">
              <w:rPr>
                <w:rFonts w:cstheme="minorHAnsi"/>
                <w:sz w:val="18"/>
                <w:szCs w:val="18"/>
              </w:rPr>
              <w:t>3. Flood in south-east: 0; Mahasen: shelter assistance need addressed by DDM</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4. 5% (1 NGO) in 2014; </w:t>
            </w:r>
          </w:p>
        </w:tc>
        <w:tc>
          <w:tcPr>
            <w:tcW w:w="527"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lastRenderedPageBreak/>
              <w:t xml:space="preserve">1. 10% HHs </w:t>
            </w:r>
          </w:p>
          <w:p w:rsidR="0061232B" w:rsidRPr="007C5F59" w:rsidRDefault="0061232B" w:rsidP="00E84BAD">
            <w:pPr>
              <w:spacing w:after="0" w:line="240" w:lineRule="auto"/>
              <w:rPr>
                <w:rFonts w:cstheme="minorHAnsi"/>
                <w:sz w:val="18"/>
                <w:szCs w:val="18"/>
              </w:rPr>
            </w:pPr>
            <w:r w:rsidRPr="007C5F59">
              <w:rPr>
                <w:rFonts w:cstheme="minorHAnsi"/>
                <w:sz w:val="18"/>
                <w:szCs w:val="18"/>
              </w:rPr>
              <w:t>2. 10% HHs</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3. 10% NGOs </w:t>
            </w:r>
          </w:p>
        </w:tc>
        <w:tc>
          <w:tcPr>
            <w:tcW w:w="408"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100% of project target for all </w:t>
            </w:r>
            <w:r w:rsidRPr="007C5F59">
              <w:rPr>
                <w:rFonts w:cstheme="minorHAnsi"/>
                <w:sz w:val="18"/>
                <w:szCs w:val="18"/>
              </w:rPr>
              <w:lastRenderedPageBreak/>
              <w:t>indicators.</w:t>
            </w:r>
          </w:p>
        </w:tc>
        <w:tc>
          <w:tcPr>
            <w:tcW w:w="517" w:type="pct"/>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c>
          <w:tcPr>
            <w:tcW w:w="694" w:type="pct"/>
            <w:shd w:val="clear" w:color="auto" w:fill="auto"/>
          </w:tcPr>
          <w:p w:rsidR="0061232B" w:rsidRPr="007C5F59" w:rsidRDefault="0061232B" w:rsidP="00E84BAD">
            <w:pPr>
              <w:spacing w:after="0" w:line="240" w:lineRule="auto"/>
              <w:rPr>
                <w:rFonts w:cstheme="minorHAnsi"/>
                <w:b/>
                <w:sz w:val="18"/>
                <w:szCs w:val="18"/>
              </w:rPr>
            </w:pPr>
            <w:r w:rsidRPr="007C5F59">
              <w:rPr>
                <w:rFonts w:cstheme="minorHAnsi"/>
                <w:b/>
                <w:sz w:val="18"/>
                <w:szCs w:val="18"/>
              </w:rPr>
              <w:lastRenderedPageBreak/>
              <w:t>Output 6: Emergency response coordination supported through DER-LCG and national cluster system</w:t>
            </w:r>
          </w:p>
        </w:tc>
        <w:tc>
          <w:tcPr>
            <w:tcW w:w="897" w:type="pct"/>
            <w:shd w:val="clear" w:color="auto" w:fill="auto"/>
          </w:tcPr>
          <w:p w:rsidR="0061232B" w:rsidRPr="007C5F59" w:rsidRDefault="0061232B" w:rsidP="001E161B">
            <w:pPr>
              <w:numPr>
                <w:ilvl w:val="0"/>
                <w:numId w:val="54"/>
              </w:numPr>
              <w:spacing w:after="0" w:line="240" w:lineRule="auto"/>
              <w:rPr>
                <w:rFonts w:cstheme="minorHAnsi"/>
                <w:sz w:val="18"/>
                <w:szCs w:val="18"/>
              </w:rPr>
            </w:pPr>
            <w:r w:rsidRPr="007C5F59">
              <w:rPr>
                <w:rFonts w:cstheme="minorHAnsi"/>
                <w:sz w:val="18"/>
                <w:szCs w:val="18"/>
              </w:rPr>
              <w:t>Early Recovery Cluster TOR and membership list by 2012</w:t>
            </w:r>
          </w:p>
          <w:p w:rsidR="0061232B" w:rsidRPr="007C5F59" w:rsidRDefault="0061232B" w:rsidP="001E161B">
            <w:pPr>
              <w:numPr>
                <w:ilvl w:val="0"/>
                <w:numId w:val="54"/>
              </w:numPr>
              <w:spacing w:after="0" w:line="240" w:lineRule="auto"/>
              <w:rPr>
                <w:rFonts w:cstheme="minorHAnsi"/>
                <w:sz w:val="18"/>
                <w:szCs w:val="18"/>
              </w:rPr>
            </w:pPr>
            <w:r w:rsidRPr="007C5F59">
              <w:rPr>
                <w:rFonts w:cstheme="minorHAnsi"/>
                <w:sz w:val="18"/>
                <w:szCs w:val="18"/>
              </w:rPr>
              <w:t>Coordinated early recovery needs assessment and response plan led by Government by 2015</w:t>
            </w:r>
          </w:p>
          <w:p w:rsidR="0061232B" w:rsidRPr="007C5F59" w:rsidRDefault="0061232B" w:rsidP="001E161B">
            <w:pPr>
              <w:numPr>
                <w:ilvl w:val="0"/>
                <w:numId w:val="54"/>
              </w:numPr>
              <w:spacing w:after="0" w:line="240" w:lineRule="auto"/>
              <w:rPr>
                <w:rFonts w:cstheme="minorHAnsi"/>
                <w:sz w:val="18"/>
                <w:szCs w:val="18"/>
              </w:rPr>
            </w:pPr>
            <w:r w:rsidRPr="007C5F59">
              <w:rPr>
                <w:rFonts w:cstheme="minorHAnsi"/>
                <w:sz w:val="18"/>
                <w:szCs w:val="18"/>
              </w:rPr>
              <w:t>Shelter Cluster TOR and membership list by 2012</w:t>
            </w:r>
          </w:p>
          <w:p w:rsidR="0061232B" w:rsidRPr="007C5F59" w:rsidRDefault="0061232B" w:rsidP="001E161B">
            <w:pPr>
              <w:numPr>
                <w:ilvl w:val="0"/>
                <w:numId w:val="54"/>
              </w:numPr>
              <w:spacing w:after="0" w:line="240" w:lineRule="auto"/>
              <w:rPr>
                <w:rFonts w:cstheme="minorHAnsi"/>
                <w:sz w:val="18"/>
                <w:szCs w:val="18"/>
              </w:rPr>
            </w:pPr>
            <w:r w:rsidRPr="007C5F59">
              <w:rPr>
                <w:rFonts w:cstheme="minorHAnsi"/>
                <w:sz w:val="18"/>
                <w:szCs w:val="18"/>
              </w:rPr>
              <w:t>Coordinated shelter needs assessment and response plan led by Government by 2015</w:t>
            </w:r>
          </w:p>
        </w:tc>
        <w:tc>
          <w:tcPr>
            <w:tcW w:w="642"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1. ER ToR and membership list prepared.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2. The needs assessment methodology was tested in July 2012 following the flood and landslide in the south-east Bangladesh.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3. ToR&amp; membership list prepared.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4. Process initiated, consultation done. </w:t>
            </w:r>
          </w:p>
        </w:tc>
        <w:tc>
          <w:tcPr>
            <w:tcW w:w="615"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Achieved in 2012</w:t>
            </w:r>
          </w:p>
          <w:p w:rsidR="0061232B" w:rsidRPr="007C5F59" w:rsidRDefault="0061232B" w:rsidP="00E84BAD">
            <w:pPr>
              <w:spacing w:after="0" w:line="240" w:lineRule="auto"/>
              <w:rPr>
                <w:rFonts w:cstheme="minorHAnsi"/>
                <w:sz w:val="18"/>
                <w:szCs w:val="18"/>
              </w:rPr>
            </w:pPr>
            <w:r w:rsidRPr="007C5F59">
              <w:rPr>
                <w:rFonts w:cstheme="minorHAnsi"/>
                <w:sz w:val="18"/>
                <w:szCs w:val="18"/>
              </w:rPr>
              <w:t>2. Yes ( for Brahmanbaria tornado and Mahasen)</w:t>
            </w:r>
          </w:p>
          <w:p w:rsidR="0061232B" w:rsidRPr="007C5F59" w:rsidRDefault="0061232B" w:rsidP="00E84BAD">
            <w:pPr>
              <w:spacing w:after="0" w:line="240" w:lineRule="auto"/>
              <w:rPr>
                <w:rFonts w:cstheme="minorHAnsi"/>
                <w:sz w:val="18"/>
                <w:szCs w:val="18"/>
              </w:rPr>
            </w:pPr>
            <w:r w:rsidRPr="007C5F59">
              <w:rPr>
                <w:rFonts w:cstheme="minorHAnsi"/>
                <w:sz w:val="18"/>
                <w:szCs w:val="18"/>
              </w:rPr>
              <w:t>3. Achieved in 2012</w:t>
            </w:r>
          </w:p>
          <w:p w:rsidR="0061232B" w:rsidRPr="007C5F59" w:rsidRDefault="0061232B" w:rsidP="00E84BAD">
            <w:pPr>
              <w:spacing w:after="0" w:line="240" w:lineRule="auto"/>
              <w:rPr>
                <w:rFonts w:cstheme="minorHAnsi"/>
                <w:sz w:val="18"/>
                <w:szCs w:val="18"/>
              </w:rPr>
            </w:pPr>
            <w:r w:rsidRPr="007C5F59">
              <w:rPr>
                <w:rFonts w:cstheme="minorHAnsi"/>
                <w:sz w:val="18"/>
                <w:szCs w:val="18"/>
              </w:rPr>
              <w:t>4. Partially achieved (coordinated needs assessment achieved; coordinated response plan in progress)</w:t>
            </w:r>
          </w:p>
        </w:tc>
        <w:tc>
          <w:tcPr>
            <w:tcW w:w="701"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Achieved in 2012</w:t>
            </w:r>
          </w:p>
          <w:p w:rsidR="0061232B" w:rsidRPr="007C5F59" w:rsidRDefault="0061232B" w:rsidP="00E84BAD">
            <w:pPr>
              <w:spacing w:after="0" w:line="240" w:lineRule="auto"/>
              <w:rPr>
                <w:rFonts w:cstheme="minorHAnsi"/>
                <w:sz w:val="18"/>
                <w:szCs w:val="18"/>
              </w:rPr>
            </w:pPr>
            <w:r w:rsidRPr="007C5F59">
              <w:rPr>
                <w:rFonts w:cstheme="minorHAnsi"/>
                <w:sz w:val="18"/>
                <w:szCs w:val="18"/>
              </w:rPr>
              <w:t>2. Yes (Brahmanbaria tornado and Mahasen)</w:t>
            </w:r>
          </w:p>
          <w:p w:rsidR="0061232B" w:rsidRPr="007C5F59" w:rsidRDefault="0061232B" w:rsidP="00E84BAD">
            <w:pPr>
              <w:spacing w:after="0" w:line="240" w:lineRule="auto"/>
              <w:rPr>
                <w:rFonts w:cstheme="minorHAnsi"/>
                <w:sz w:val="18"/>
                <w:szCs w:val="18"/>
              </w:rPr>
            </w:pPr>
            <w:r w:rsidRPr="007C5F59">
              <w:rPr>
                <w:rFonts w:cstheme="minorHAnsi"/>
                <w:sz w:val="18"/>
                <w:szCs w:val="18"/>
              </w:rPr>
              <w:t>3. Achieved in 2012</w:t>
            </w:r>
          </w:p>
          <w:p w:rsidR="0061232B" w:rsidRPr="007C5F59" w:rsidRDefault="0061232B" w:rsidP="00E84BAD">
            <w:pPr>
              <w:spacing w:after="0" w:line="240" w:lineRule="auto"/>
              <w:rPr>
                <w:rFonts w:cstheme="minorHAnsi"/>
                <w:sz w:val="18"/>
                <w:szCs w:val="18"/>
              </w:rPr>
            </w:pPr>
            <w:r w:rsidRPr="007C5F59">
              <w:rPr>
                <w:rFonts w:cstheme="minorHAnsi"/>
                <w:sz w:val="18"/>
                <w:szCs w:val="18"/>
              </w:rPr>
              <w:t>4. Partially achieved (coordinated needs assessment achieved; coordinated response plan in progress)</w:t>
            </w:r>
          </w:p>
        </w:tc>
        <w:tc>
          <w:tcPr>
            <w:tcW w:w="527"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1. Continue support for Early recovery cluster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2. Government lead coordinated ER need assessment. </w:t>
            </w:r>
          </w:p>
          <w:p w:rsidR="0061232B" w:rsidRPr="007C5F59" w:rsidRDefault="0061232B" w:rsidP="00E84BAD">
            <w:pPr>
              <w:spacing w:after="0" w:line="240" w:lineRule="auto"/>
              <w:rPr>
                <w:rFonts w:cstheme="minorHAnsi"/>
                <w:sz w:val="18"/>
                <w:szCs w:val="18"/>
              </w:rPr>
            </w:pPr>
            <w:r w:rsidRPr="007C5F59">
              <w:rPr>
                <w:rFonts w:cstheme="minorHAnsi"/>
                <w:sz w:val="18"/>
                <w:szCs w:val="18"/>
              </w:rPr>
              <w:t>3. Continue support for Shelter  cluster</w:t>
            </w:r>
          </w:p>
          <w:p w:rsidR="0061232B" w:rsidRPr="007C5F59" w:rsidRDefault="0061232B" w:rsidP="00E84BAD">
            <w:pPr>
              <w:spacing w:after="0" w:line="240" w:lineRule="auto"/>
              <w:rPr>
                <w:rFonts w:cstheme="minorHAnsi"/>
                <w:sz w:val="18"/>
                <w:szCs w:val="18"/>
              </w:rPr>
            </w:pPr>
            <w:r w:rsidRPr="007C5F59">
              <w:rPr>
                <w:rFonts w:cstheme="minorHAnsi"/>
                <w:sz w:val="18"/>
                <w:szCs w:val="18"/>
              </w:rPr>
              <w:t>4. Government lead coordinated Shelter need assessment.</w:t>
            </w:r>
          </w:p>
        </w:tc>
        <w:tc>
          <w:tcPr>
            <w:tcW w:w="408"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100% of project target for all indicators.</w:t>
            </w:r>
          </w:p>
        </w:tc>
        <w:tc>
          <w:tcPr>
            <w:tcW w:w="517" w:type="pct"/>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c>
          <w:tcPr>
            <w:tcW w:w="694"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Output 7: Support to Bangladesh to Participate in Regional and Global Disaster Management Forums</w:t>
            </w:r>
          </w:p>
          <w:p w:rsidR="0061232B" w:rsidRPr="007C5F59" w:rsidRDefault="0061232B" w:rsidP="00E84BAD">
            <w:pPr>
              <w:spacing w:after="0" w:line="240" w:lineRule="auto"/>
              <w:rPr>
                <w:rFonts w:cstheme="minorHAnsi"/>
                <w:sz w:val="18"/>
                <w:szCs w:val="18"/>
              </w:rPr>
            </w:pPr>
          </w:p>
        </w:tc>
        <w:tc>
          <w:tcPr>
            <w:tcW w:w="897" w:type="pct"/>
            <w:shd w:val="clear" w:color="auto" w:fill="auto"/>
          </w:tcPr>
          <w:p w:rsidR="0061232B" w:rsidRPr="007C5F59" w:rsidRDefault="0061232B" w:rsidP="001E161B">
            <w:pPr>
              <w:numPr>
                <w:ilvl w:val="0"/>
                <w:numId w:val="55"/>
              </w:numPr>
              <w:spacing w:after="0" w:line="240" w:lineRule="auto"/>
              <w:rPr>
                <w:rFonts w:cstheme="minorHAnsi"/>
                <w:sz w:val="18"/>
                <w:szCs w:val="18"/>
              </w:rPr>
            </w:pPr>
            <w:r w:rsidRPr="007C5F59">
              <w:rPr>
                <w:rFonts w:cstheme="minorHAnsi"/>
                <w:sz w:val="18"/>
                <w:szCs w:val="18"/>
              </w:rPr>
              <w:t>5 GOB/CSO officials participated in regional/global DM forum per year by 2015</w:t>
            </w:r>
          </w:p>
          <w:p w:rsidR="0061232B" w:rsidRPr="007C5F59" w:rsidRDefault="0061232B" w:rsidP="001E161B">
            <w:pPr>
              <w:numPr>
                <w:ilvl w:val="0"/>
                <w:numId w:val="55"/>
              </w:numPr>
              <w:spacing w:after="0" w:line="240" w:lineRule="auto"/>
              <w:rPr>
                <w:rFonts w:cstheme="minorHAnsi"/>
                <w:sz w:val="18"/>
                <w:szCs w:val="18"/>
              </w:rPr>
            </w:pPr>
            <w:r w:rsidRPr="007C5F59">
              <w:rPr>
                <w:rFonts w:cstheme="minorHAnsi"/>
                <w:sz w:val="18"/>
                <w:szCs w:val="18"/>
              </w:rPr>
              <w:t>1 early recovery lessons/publications shared in regional forums per year .</w:t>
            </w:r>
          </w:p>
        </w:tc>
        <w:tc>
          <w:tcPr>
            <w:tcW w:w="642"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1. 10 GOB officials visited Indonesia. </w:t>
            </w: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2. No progress. </w:t>
            </w:r>
          </w:p>
        </w:tc>
        <w:tc>
          <w:tcPr>
            <w:tcW w:w="615"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1. 01 CSO official. </w:t>
            </w: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2. No progress. </w:t>
            </w:r>
          </w:p>
        </w:tc>
        <w:tc>
          <w:tcPr>
            <w:tcW w:w="701"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05 (5 in 2014).</w:t>
            </w: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2. 01 (second World Reconstruction Conference in Washington DC 2014). </w:t>
            </w:r>
          </w:p>
        </w:tc>
        <w:tc>
          <w:tcPr>
            <w:tcW w:w="527"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1. 05 officials. </w:t>
            </w: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2. At least, 01 lesson shared. </w:t>
            </w:r>
          </w:p>
        </w:tc>
        <w:tc>
          <w:tcPr>
            <w:tcW w:w="408"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100% of project target for all indicators.</w:t>
            </w:r>
          </w:p>
        </w:tc>
        <w:tc>
          <w:tcPr>
            <w:tcW w:w="517" w:type="pct"/>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c>
          <w:tcPr>
            <w:tcW w:w="694"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Output 8: By 2015, Policies, Standards and Mechanisms for early recovery are in place</w:t>
            </w:r>
          </w:p>
        </w:tc>
        <w:tc>
          <w:tcPr>
            <w:tcW w:w="897" w:type="pct"/>
            <w:shd w:val="clear" w:color="auto" w:fill="auto"/>
          </w:tcPr>
          <w:p w:rsidR="0061232B" w:rsidRPr="007C5F59" w:rsidRDefault="0061232B" w:rsidP="001E161B">
            <w:pPr>
              <w:numPr>
                <w:ilvl w:val="0"/>
                <w:numId w:val="56"/>
              </w:numPr>
              <w:spacing w:after="0" w:line="240" w:lineRule="auto"/>
              <w:rPr>
                <w:rFonts w:cstheme="minorHAnsi"/>
                <w:sz w:val="18"/>
                <w:szCs w:val="18"/>
              </w:rPr>
            </w:pPr>
            <w:r w:rsidRPr="007C5F59">
              <w:rPr>
                <w:rFonts w:cstheme="minorHAnsi"/>
                <w:sz w:val="18"/>
                <w:szCs w:val="18"/>
              </w:rPr>
              <w:t>Early Recovery Cluster guidelines endorsed by ER Cluster by 2014</w:t>
            </w:r>
          </w:p>
          <w:p w:rsidR="0061232B" w:rsidRPr="007C5F59" w:rsidRDefault="0061232B" w:rsidP="001E161B">
            <w:pPr>
              <w:numPr>
                <w:ilvl w:val="0"/>
                <w:numId w:val="56"/>
              </w:numPr>
              <w:spacing w:after="0" w:line="240" w:lineRule="auto"/>
              <w:rPr>
                <w:rFonts w:cstheme="minorHAnsi"/>
                <w:sz w:val="18"/>
                <w:szCs w:val="18"/>
              </w:rPr>
            </w:pPr>
            <w:r w:rsidRPr="007C5F59">
              <w:rPr>
                <w:rFonts w:cstheme="minorHAnsi"/>
                <w:sz w:val="18"/>
                <w:szCs w:val="18"/>
              </w:rPr>
              <w:t xml:space="preserve">Shelter guidelines </w:t>
            </w:r>
            <w:r w:rsidRPr="007C5F59">
              <w:rPr>
                <w:rFonts w:cstheme="minorHAnsi"/>
                <w:sz w:val="18"/>
                <w:szCs w:val="18"/>
              </w:rPr>
              <w:lastRenderedPageBreak/>
              <w:t>endorsed by Shelter Cluster by 2014</w:t>
            </w:r>
          </w:p>
          <w:p w:rsidR="0061232B" w:rsidRPr="007C5F59" w:rsidRDefault="0061232B" w:rsidP="001E161B">
            <w:pPr>
              <w:numPr>
                <w:ilvl w:val="0"/>
                <w:numId w:val="56"/>
              </w:numPr>
              <w:spacing w:after="0" w:line="240" w:lineRule="auto"/>
              <w:rPr>
                <w:rFonts w:cstheme="minorHAnsi"/>
                <w:sz w:val="18"/>
                <w:szCs w:val="18"/>
              </w:rPr>
            </w:pPr>
            <w:r w:rsidRPr="007C5F59">
              <w:rPr>
                <w:rFonts w:cstheme="minorHAnsi"/>
                <w:sz w:val="18"/>
                <w:szCs w:val="18"/>
              </w:rPr>
              <w:t>Livelihood recovery strategy endorsed by ER Cluster by 2014</w:t>
            </w:r>
          </w:p>
          <w:p w:rsidR="0061232B" w:rsidRPr="007C5F59" w:rsidRDefault="0061232B" w:rsidP="001E161B">
            <w:pPr>
              <w:numPr>
                <w:ilvl w:val="0"/>
                <w:numId w:val="56"/>
              </w:numPr>
              <w:spacing w:after="0" w:line="240" w:lineRule="auto"/>
              <w:rPr>
                <w:rFonts w:cstheme="minorHAnsi"/>
                <w:sz w:val="18"/>
                <w:szCs w:val="18"/>
              </w:rPr>
            </w:pPr>
            <w:r w:rsidRPr="007C5F59">
              <w:rPr>
                <w:rFonts w:cstheme="minorHAnsi"/>
                <w:sz w:val="18"/>
                <w:szCs w:val="18"/>
              </w:rPr>
              <w:t xml:space="preserve">Standards for Shelter endorsed by Shelter Cluster by 2014 </w:t>
            </w:r>
          </w:p>
          <w:p w:rsidR="0061232B" w:rsidRPr="007C5F59" w:rsidRDefault="0061232B" w:rsidP="001E161B">
            <w:pPr>
              <w:numPr>
                <w:ilvl w:val="0"/>
                <w:numId w:val="56"/>
              </w:numPr>
              <w:spacing w:after="0" w:line="240" w:lineRule="auto"/>
              <w:rPr>
                <w:rFonts w:cstheme="minorHAnsi"/>
                <w:sz w:val="18"/>
                <w:szCs w:val="18"/>
              </w:rPr>
            </w:pPr>
            <w:r w:rsidRPr="007C5F59">
              <w:rPr>
                <w:rFonts w:cstheme="minorHAnsi"/>
                <w:sz w:val="18"/>
                <w:szCs w:val="18"/>
              </w:rPr>
              <w:t>Early Recovery Needs Assessment provide real time lessons/guidance for DRR strategies and plans by 2014</w:t>
            </w:r>
          </w:p>
        </w:tc>
        <w:tc>
          <w:tcPr>
            <w:tcW w:w="642"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lastRenderedPageBreak/>
              <w:t xml:space="preserve">1. ER guideline drafted and reviewed.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2. Shelter guideline </w:t>
            </w:r>
            <w:r w:rsidRPr="007C5F59">
              <w:rPr>
                <w:rFonts w:cstheme="minorHAnsi"/>
                <w:sz w:val="18"/>
                <w:szCs w:val="18"/>
              </w:rPr>
              <w:lastRenderedPageBreak/>
              <w:t xml:space="preserve">drafted.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3. No progress.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4. Planned for next year. </w:t>
            </w:r>
          </w:p>
          <w:p w:rsidR="0061232B" w:rsidRPr="007C5F59" w:rsidRDefault="0061232B" w:rsidP="00E84BAD">
            <w:pPr>
              <w:spacing w:after="0" w:line="240" w:lineRule="auto"/>
              <w:rPr>
                <w:rFonts w:cstheme="minorHAnsi"/>
                <w:sz w:val="18"/>
                <w:szCs w:val="18"/>
              </w:rPr>
            </w:pPr>
            <w:r w:rsidRPr="007C5F59">
              <w:rPr>
                <w:rFonts w:cstheme="minorHAnsi"/>
                <w:sz w:val="18"/>
                <w:szCs w:val="18"/>
              </w:rPr>
              <w:t>5. Yes, for southeast flood.</w:t>
            </w:r>
          </w:p>
        </w:tc>
        <w:tc>
          <w:tcPr>
            <w:tcW w:w="615"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lastRenderedPageBreak/>
              <w:t>1. Early Recovery Cluster guidelines endorsed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2. Shelter Technical </w:t>
            </w:r>
            <w:r w:rsidRPr="007C5F59">
              <w:rPr>
                <w:rFonts w:cstheme="minorHAnsi"/>
                <w:sz w:val="18"/>
                <w:szCs w:val="18"/>
              </w:rPr>
              <w:lastRenderedPageBreak/>
              <w:t>Wor</w:t>
            </w:r>
            <w:r>
              <w:rPr>
                <w:rFonts w:cstheme="minorHAnsi"/>
                <w:sz w:val="18"/>
                <w:szCs w:val="18"/>
              </w:rPr>
              <w:t>k</w:t>
            </w:r>
            <w:r w:rsidRPr="007C5F59">
              <w:rPr>
                <w:rFonts w:cstheme="minorHAnsi"/>
                <w:sz w:val="18"/>
                <w:szCs w:val="18"/>
              </w:rPr>
              <w:t>ing Group done consultation and review of existing model.</w:t>
            </w:r>
          </w:p>
          <w:p w:rsidR="0061232B" w:rsidRPr="007C5F59" w:rsidRDefault="0061232B" w:rsidP="00E84BAD">
            <w:pPr>
              <w:spacing w:after="0" w:line="240" w:lineRule="auto"/>
              <w:rPr>
                <w:rFonts w:cstheme="minorHAnsi"/>
                <w:sz w:val="18"/>
                <w:szCs w:val="18"/>
              </w:rPr>
            </w:pPr>
            <w:r w:rsidRPr="007C5F59">
              <w:rPr>
                <w:rFonts w:cstheme="minorHAnsi"/>
                <w:sz w:val="18"/>
                <w:szCs w:val="18"/>
              </w:rPr>
              <w:t>3. No progress</w:t>
            </w:r>
          </w:p>
          <w:p w:rsidR="0061232B" w:rsidRPr="007C5F59" w:rsidRDefault="0061232B" w:rsidP="00E84BAD">
            <w:pPr>
              <w:spacing w:after="0" w:line="240" w:lineRule="auto"/>
              <w:rPr>
                <w:rFonts w:cstheme="minorHAnsi"/>
                <w:sz w:val="18"/>
                <w:szCs w:val="18"/>
              </w:rPr>
            </w:pPr>
            <w:r w:rsidRPr="007C5F59">
              <w:rPr>
                <w:rFonts w:cstheme="minorHAnsi"/>
                <w:sz w:val="18"/>
                <w:szCs w:val="18"/>
              </w:rPr>
              <w:t>4. Progressing</w:t>
            </w:r>
          </w:p>
          <w:p w:rsidR="0061232B" w:rsidRPr="007C5F59" w:rsidRDefault="0061232B" w:rsidP="00E84BAD">
            <w:pPr>
              <w:spacing w:after="0" w:line="240" w:lineRule="auto"/>
              <w:rPr>
                <w:rFonts w:cstheme="minorHAnsi"/>
                <w:sz w:val="18"/>
                <w:szCs w:val="18"/>
              </w:rPr>
            </w:pPr>
            <w:r w:rsidRPr="007C5F59">
              <w:rPr>
                <w:rFonts w:cstheme="minorHAnsi"/>
                <w:sz w:val="18"/>
                <w:szCs w:val="18"/>
              </w:rPr>
              <w:t>5. Yes (for Mahasen)</w:t>
            </w:r>
          </w:p>
        </w:tc>
        <w:tc>
          <w:tcPr>
            <w:tcW w:w="701"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lastRenderedPageBreak/>
              <w:t>1. Yes, achieved (2013)</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2. Endorsement in progress.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3. Planned for 2015. </w:t>
            </w:r>
          </w:p>
          <w:p w:rsidR="0061232B" w:rsidRPr="007C5F59" w:rsidRDefault="0061232B" w:rsidP="00E84BAD">
            <w:pPr>
              <w:spacing w:after="0" w:line="240" w:lineRule="auto"/>
              <w:rPr>
                <w:rFonts w:cstheme="minorHAnsi"/>
                <w:sz w:val="18"/>
                <w:szCs w:val="18"/>
              </w:rPr>
            </w:pPr>
            <w:r w:rsidRPr="007C5F59">
              <w:rPr>
                <w:rFonts w:cstheme="minorHAnsi"/>
                <w:sz w:val="18"/>
                <w:szCs w:val="18"/>
              </w:rPr>
              <w:lastRenderedPageBreak/>
              <w:t>4. Draft being reviewed in 2014</w:t>
            </w:r>
          </w:p>
          <w:p w:rsidR="0061232B" w:rsidRPr="007C5F59" w:rsidRDefault="0061232B" w:rsidP="00E84BAD">
            <w:pPr>
              <w:spacing w:after="0" w:line="240" w:lineRule="auto"/>
              <w:rPr>
                <w:rFonts w:cstheme="minorHAnsi"/>
                <w:sz w:val="18"/>
                <w:szCs w:val="18"/>
              </w:rPr>
            </w:pPr>
            <w:r w:rsidRPr="007C5F59">
              <w:rPr>
                <w:rFonts w:cstheme="minorHAnsi"/>
                <w:sz w:val="18"/>
                <w:szCs w:val="18"/>
              </w:rPr>
              <w:t>5. Yes (Mahasen needs assessment provided DRR recommendations which were followed up with CDMP and relevant Government agencies)</w:t>
            </w:r>
          </w:p>
        </w:tc>
        <w:tc>
          <w:tcPr>
            <w:tcW w:w="527"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lastRenderedPageBreak/>
              <w:t xml:space="preserve">1. Already achieved.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2. Shelter Cluster guidelines </w:t>
            </w:r>
            <w:r w:rsidRPr="007C5F59">
              <w:rPr>
                <w:rFonts w:cstheme="minorHAnsi"/>
                <w:sz w:val="18"/>
                <w:szCs w:val="18"/>
              </w:rPr>
              <w:lastRenderedPageBreak/>
              <w:t xml:space="preserve">endorsed.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3. Livelihood recovery strategy drafted and endorsed. </w:t>
            </w:r>
          </w:p>
          <w:p w:rsidR="0061232B" w:rsidRPr="007C5F59" w:rsidRDefault="0061232B" w:rsidP="00E84BAD">
            <w:pPr>
              <w:spacing w:after="0" w:line="240" w:lineRule="auto"/>
              <w:rPr>
                <w:rFonts w:cstheme="minorHAnsi"/>
                <w:sz w:val="18"/>
                <w:szCs w:val="18"/>
              </w:rPr>
            </w:pPr>
            <w:r w:rsidRPr="007C5F59">
              <w:rPr>
                <w:rFonts w:cstheme="minorHAnsi"/>
                <w:sz w:val="18"/>
                <w:szCs w:val="18"/>
              </w:rPr>
              <w:t>4. Standards for Shelter endorsed.</w:t>
            </w:r>
          </w:p>
          <w:p w:rsidR="0061232B" w:rsidRPr="007C5F59" w:rsidRDefault="0061232B" w:rsidP="00E84BAD">
            <w:pPr>
              <w:spacing w:after="0" w:line="240" w:lineRule="auto"/>
              <w:rPr>
                <w:rFonts w:cstheme="minorHAnsi"/>
                <w:sz w:val="18"/>
                <w:szCs w:val="18"/>
              </w:rPr>
            </w:pPr>
            <w:r w:rsidRPr="007C5F59">
              <w:rPr>
                <w:rFonts w:cstheme="minorHAnsi"/>
                <w:sz w:val="18"/>
                <w:szCs w:val="18"/>
              </w:rPr>
              <w:t>5. ER need assessment provide real time lesson.</w:t>
            </w:r>
          </w:p>
        </w:tc>
        <w:tc>
          <w:tcPr>
            <w:tcW w:w="408" w:type="pc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lastRenderedPageBreak/>
              <w:t>100% of project target for all indicators.</w:t>
            </w:r>
          </w:p>
        </w:tc>
        <w:tc>
          <w:tcPr>
            <w:tcW w:w="517" w:type="pct"/>
            <w:shd w:val="clear" w:color="auto" w:fill="auto"/>
          </w:tcPr>
          <w:p w:rsidR="0061232B" w:rsidRPr="007C5F59" w:rsidRDefault="0061232B" w:rsidP="00E84BAD">
            <w:pPr>
              <w:spacing w:after="0" w:line="240" w:lineRule="auto"/>
              <w:rPr>
                <w:rFonts w:cstheme="minorHAnsi"/>
                <w:sz w:val="18"/>
                <w:szCs w:val="18"/>
              </w:rPr>
            </w:pPr>
          </w:p>
        </w:tc>
      </w:tr>
    </w:tbl>
    <w:p w:rsidR="0061232B" w:rsidRDefault="0061232B" w:rsidP="0061232B">
      <w:pPr>
        <w:shd w:val="clear" w:color="auto" w:fill="92CDDC" w:themeFill="accent5" w:themeFillTint="99"/>
        <w:spacing w:after="0" w:line="240" w:lineRule="auto"/>
        <w:jc w:val="center"/>
        <w:rPr>
          <w:rFonts w:cstheme="minorHAnsi"/>
          <w:b/>
          <w:sz w:val="24"/>
          <w:szCs w:val="18"/>
        </w:rPr>
      </w:pPr>
    </w:p>
    <w:p w:rsidR="0061232B" w:rsidRDefault="0061232B" w:rsidP="0061232B">
      <w:pPr>
        <w:shd w:val="clear" w:color="auto" w:fill="92CDDC" w:themeFill="accent5" w:themeFillTint="99"/>
        <w:spacing w:after="0" w:line="240" w:lineRule="auto"/>
        <w:jc w:val="center"/>
        <w:rPr>
          <w:rFonts w:cstheme="minorHAnsi"/>
          <w:b/>
          <w:sz w:val="24"/>
          <w:szCs w:val="18"/>
        </w:rPr>
      </w:pPr>
    </w:p>
    <w:p w:rsidR="0061232B" w:rsidRPr="00101739" w:rsidRDefault="0061232B" w:rsidP="0061232B">
      <w:pPr>
        <w:shd w:val="clear" w:color="auto" w:fill="92CDDC" w:themeFill="accent5" w:themeFillTint="99"/>
        <w:spacing w:after="0" w:line="240" w:lineRule="auto"/>
        <w:jc w:val="center"/>
        <w:rPr>
          <w:rFonts w:cstheme="minorHAnsi"/>
          <w:b/>
          <w:sz w:val="24"/>
          <w:szCs w:val="18"/>
        </w:rPr>
      </w:pPr>
      <w:r w:rsidRPr="007C5F59">
        <w:rPr>
          <w:rFonts w:cstheme="minorHAnsi"/>
          <w:b/>
          <w:sz w:val="24"/>
          <w:szCs w:val="18"/>
        </w:rPr>
        <w:t xml:space="preserve">STATUS OF THE (CBACC-Coastal Afforestation) PROJECT OUTPUTS </w:t>
      </w:r>
    </w:p>
    <w:tbl>
      <w:tblPr>
        <w:tblW w:w="143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0"/>
        <w:gridCol w:w="900"/>
        <w:gridCol w:w="720"/>
        <w:gridCol w:w="900"/>
        <w:gridCol w:w="810"/>
        <w:gridCol w:w="810"/>
        <w:gridCol w:w="810"/>
        <w:gridCol w:w="1530"/>
        <w:gridCol w:w="1260"/>
        <w:gridCol w:w="1170"/>
        <w:gridCol w:w="2430"/>
      </w:tblGrid>
      <w:tr w:rsidR="0061232B" w:rsidRPr="007C5F59" w:rsidTr="00E84BAD">
        <w:tc>
          <w:tcPr>
            <w:tcW w:w="2970" w:type="dxa"/>
            <w:shd w:val="clear" w:color="auto" w:fill="C2D69B" w:themeFill="accent3" w:themeFillTint="99"/>
          </w:tcPr>
          <w:p w:rsidR="0061232B" w:rsidRPr="007C5F59" w:rsidRDefault="0061232B" w:rsidP="00E84BAD">
            <w:pPr>
              <w:spacing w:after="0" w:line="240" w:lineRule="auto"/>
              <w:rPr>
                <w:rFonts w:cstheme="minorHAnsi"/>
                <w:b/>
                <w:sz w:val="18"/>
                <w:szCs w:val="18"/>
              </w:rPr>
            </w:pPr>
            <w:r w:rsidRPr="007C5F59">
              <w:rPr>
                <w:rFonts w:cstheme="minorHAnsi"/>
                <w:b/>
                <w:bCs/>
                <w:sz w:val="18"/>
                <w:szCs w:val="18"/>
              </w:rPr>
              <w:t>Outcome/Output</w:t>
            </w:r>
          </w:p>
        </w:tc>
        <w:tc>
          <w:tcPr>
            <w:tcW w:w="900" w:type="dxa"/>
            <w:shd w:val="clear" w:color="auto" w:fill="C2D69B" w:themeFill="accent3" w:themeFillTint="99"/>
          </w:tcPr>
          <w:p w:rsidR="0061232B" w:rsidRPr="007C5F59" w:rsidRDefault="0061232B" w:rsidP="00E84BAD">
            <w:pPr>
              <w:spacing w:after="0" w:line="240" w:lineRule="auto"/>
              <w:jc w:val="center"/>
              <w:rPr>
                <w:rFonts w:cstheme="minorHAnsi"/>
                <w:b/>
                <w:bCs/>
                <w:iCs/>
                <w:sz w:val="18"/>
                <w:szCs w:val="18"/>
              </w:rPr>
            </w:pPr>
            <w:r w:rsidRPr="007C5F59">
              <w:rPr>
                <w:rFonts w:cstheme="minorHAnsi"/>
                <w:b/>
                <w:bCs/>
                <w:iCs/>
                <w:sz w:val="18"/>
                <w:szCs w:val="18"/>
              </w:rPr>
              <w:t>Project Target</w:t>
            </w:r>
          </w:p>
          <w:p w:rsidR="0061232B" w:rsidRPr="007C5F59" w:rsidRDefault="0061232B" w:rsidP="00E84BAD">
            <w:pPr>
              <w:spacing w:after="0" w:line="240" w:lineRule="auto"/>
              <w:jc w:val="center"/>
              <w:rPr>
                <w:rFonts w:cstheme="minorHAnsi"/>
                <w:b/>
                <w:sz w:val="18"/>
                <w:szCs w:val="18"/>
              </w:rPr>
            </w:pPr>
            <w:r w:rsidRPr="007C5F59">
              <w:rPr>
                <w:rFonts w:cstheme="minorHAnsi"/>
                <w:b/>
                <w:bCs/>
                <w:iCs/>
                <w:sz w:val="18"/>
                <w:szCs w:val="18"/>
              </w:rPr>
              <w:t>(PT)</w:t>
            </w:r>
          </w:p>
        </w:tc>
        <w:tc>
          <w:tcPr>
            <w:tcW w:w="6840" w:type="dxa"/>
            <w:gridSpan w:val="7"/>
            <w:shd w:val="clear" w:color="auto" w:fill="C2D69B" w:themeFill="accent3" w:themeFillTint="99"/>
          </w:tcPr>
          <w:p w:rsidR="0061232B" w:rsidRPr="007C5F59" w:rsidRDefault="0061232B" w:rsidP="00E84BAD">
            <w:pPr>
              <w:spacing w:after="0" w:line="240" w:lineRule="auto"/>
              <w:jc w:val="center"/>
              <w:rPr>
                <w:rFonts w:cstheme="minorHAnsi"/>
                <w:b/>
                <w:sz w:val="18"/>
                <w:szCs w:val="18"/>
              </w:rPr>
            </w:pPr>
            <w:r w:rsidRPr="007C5F59">
              <w:rPr>
                <w:rFonts w:cstheme="minorHAnsi"/>
                <w:b/>
                <w:bCs/>
                <w:sz w:val="18"/>
                <w:szCs w:val="18"/>
              </w:rPr>
              <w:t>Achievement and the Outputs</w:t>
            </w:r>
          </w:p>
        </w:tc>
        <w:tc>
          <w:tcPr>
            <w:tcW w:w="1170" w:type="dxa"/>
            <w:shd w:val="clear" w:color="auto" w:fill="C2D69B" w:themeFill="accent3" w:themeFillTint="99"/>
          </w:tcPr>
          <w:p w:rsidR="0061232B" w:rsidRPr="007C5F59" w:rsidRDefault="0061232B" w:rsidP="00E84BAD">
            <w:pPr>
              <w:spacing w:after="0" w:line="240" w:lineRule="auto"/>
              <w:rPr>
                <w:rFonts w:cstheme="minorHAnsi"/>
                <w:b/>
                <w:sz w:val="18"/>
                <w:szCs w:val="18"/>
              </w:rPr>
            </w:pPr>
            <w:r w:rsidRPr="007C5F59">
              <w:rPr>
                <w:rFonts w:cstheme="minorHAnsi"/>
                <w:b/>
                <w:sz w:val="18"/>
                <w:szCs w:val="18"/>
              </w:rPr>
              <w:t>Target Achieved</w:t>
            </w:r>
          </w:p>
        </w:tc>
        <w:tc>
          <w:tcPr>
            <w:tcW w:w="2430" w:type="dxa"/>
            <w:shd w:val="clear" w:color="auto" w:fill="C2D69B" w:themeFill="accent3" w:themeFillTint="99"/>
          </w:tcPr>
          <w:p w:rsidR="0061232B" w:rsidRPr="007C5F59" w:rsidRDefault="0061232B" w:rsidP="00E84BAD">
            <w:pPr>
              <w:spacing w:after="0" w:line="240" w:lineRule="auto"/>
              <w:rPr>
                <w:rFonts w:cstheme="minorHAnsi"/>
                <w:b/>
                <w:sz w:val="18"/>
                <w:szCs w:val="18"/>
              </w:rPr>
            </w:pPr>
            <w:r w:rsidRPr="007C5F59">
              <w:rPr>
                <w:rFonts w:cstheme="minorHAnsi"/>
                <w:b/>
                <w:sz w:val="18"/>
                <w:szCs w:val="18"/>
              </w:rPr>
              <w:t>Remar</w:t>
            </w:r>
            <w:r>
              <w:rPr>
                <w:rFonts w:cstheme="minorHAnsi"/>
                <w:b/>
                <w:sz w:val="18"/>
                <w:szCs w:val="18"/>
              </w:rPr>
              <w:t>k</w:t>
            </w:r>
            <w:r w:rsidRPr="007C5F59">
              <w:rPr>
                <w:rFonts w:cstheme="minorHAnsi"/>
                <w:b/>
                <w:sz w:val="18"/>
                <w:szCs w:val="18"/>
              </w:rPr>
              <w:t>s/ Gaps</w:t>
            </w:r>
          </w:p>
        </w:tc>
      </w:tr>
      <w:tr w:rsidR="0061232B" w:rsidRPr="007C5F59" w:rsidTr="00E84BAD">
        <w:trPr>
          <w:trHeight w:val="3023"/>
        </w:trPr>
        <w:tc>
          <w:tcPr>
            <w:tcW w:w="2970" w:type="dxa"/>
            <w:shd w:val="clear" w:color="auto" w:fill="FDE9D9" w:themeFill="accent6" w:themeFillTint="33"/>
          </w:tcPr>
          <w:p w:rsidR="0061232B" w:rsidRPr="007C5F59" w:rsidRDefault="0061232B" w:rsidP="00E84BAD">
            <w:pPr>
              <w:spacing w:after="0" w:line="240" w:lineRule="auto"/>
              <w:rPr>
                <w:rFonts w:cstheme="minorHAnsi"/>
                <w:i/>
                <w:sz w:val="18"/>
                <w:szCs w:val="18"/>
              </w:rPr>
            </w:pPr>
            <w:r w:rsidRPr="007C5F59">
              <w:rPr>
                <w:rFonts w:cstheme="minorHAnsi"/>
                <w:sz w:val="18"/>
                <w:szCs w:val="18"/>
                <w:u w:val="single"/>
              </w:rPr>
              <w:t>Program Title:</w:t>
            </w:r>
          </w:p>
          <w:p w:rsidR="0061232B" w:rsidRPr="007C5F59" w:rsidRDefault="0061232B" w:rsidP="00E84BAD">
            <w:pPr>
              <w:spacing w:after="0" w:line="240" w:lineRule="auto"/>
              <w:rPr>
                <w:rFonts w:cstheme="minorHAnsi"/>
                <w:i/>
                <w:sz w:val="18"/>
                <w:szCs w:val="18"/>
              </w:rPr>
            </w:pPr>
            <w:r w:rsidRPr="007C5F59">
              <w:rPr>
                <w:rFonts w:cstheme="minorHAnsi"/>
                <w:i/>
                <w:sz w:val="18"/>
                <w:szCs w:val="18"/>
              </w:rPr>
              <w:t>Community Based Adaptation to Climate Change through Coastal Afforestation in Bangladesh</w:t>
            </w:r>
            <w:r>
              <w:rPr>
                <w:rFonts w:cstheme="minorHAnsi"/>
                <w:i/>
                <w:sz w:val="18"/>
                <w:szCs w:val="18"/>
              </w:rPr>
              <w:t xml:space="preserve"> (CBACC-CF)</w:t>
            </w:r>
          </w:p>
          <w:p w:rsidR="0061232B" w:rsidRPr="007C5F59" w:rsidRDefault="0061232B" w:rsidP="00E84BAD">
            <w:pPr>
              <w:spacing w:after="0" w:line="240" w:lineRule="auto"/>
              <w:rPr>
                <w:rFonts w:cstheme="minorHAnsi"/>
                <w:i/>
                <w:sz w:val="18"/>
                <w:szCs w:val="18"/>
              </w:rPr>
            </w:pPr>
            <w:r w:rsidRPr="007C5F59">
              <w:rPr>
                <w:rFonts w:cstheme="minorHAnsi"/>
                <w:i/>
                <w:sz w:val="18"/>
                <w:szCs w:val="18"/>
              </w:rPr>
              <w:t xml:space="preserve">(2009-2015)  </w:t>
            </w:r>
          </w:p>
        </w:tc>
        <w:tc>
          <w:tcPr>
            <w:tcW w:w="900" w:type="dxa"/>
            <w:shd w:val="clear" w:color="auto" w:fill="FDE9D9" w:themeFill="accent6" w:themeFillTint="33"/>
          </w:tcPr>
          <w:p w:rsidR="0061232B" w:rsidRPr="007C5F59" w:rsidRDefault="0061232B" w:rsidP="00E84BAD">
            <w:pPr>
              <w:spacing w:after="0" w:line="240" w:lineRule="auto"/>
              <w:jc w:val="center"/>
              <w:rPr>
                <w:rFonts w:cstheme="minorHAnsi"/>
                <w:sz w:val="18"/>
                <w:szCs w:val="18"/>
              </w:rPr>
            </w:pPr>
          </w:p>
        </w:tc>
        <w:tc>
          <w:tcPr>
            <w:tcW w:w="720" w:type="dxa"/>
            <w:shd w:val="clear" w:color="auto" w:fill="FDE9D9" w:themeFill="accent6" w:themeFillTint="33"/>
          </w:tcPr>
          <w:p w:rsidR="0061232B" w:rsidRPr="007C5F59" w:rsidRDefault="0061232B" w:rsidP="00E84BAD">
            <w:pPr>
              <w:spacing w:after="0" w:line="240" w:lineRule="auto"/>
              <w:jc w:val="center"/>
              <w:rPr>
                <w:rFonts w:cstheme="minorHAnsi"/>
                <w:b/>
                <w:sz w:val="18"/>
                <w:szCs w:val="18"/>
              </w:rPr>
            </w:pPr>
            <w:r w:rsidRPr="007C5F59">
              <w:rPr>
                <w:rFonts w:cstheme="minorHAnsi"/>
                <w:b/>
                <w:sz w:val="18"/>
                <w:szCs w:val="18"/>
              </w:rPr>
              <w:t>Year 1</w:t>
            </w:r>
          </w:p>
          <w:p w:rsidR="0061232B" w:rsidRPr="007C5F59" w:rsidRDefault="0061232B" w:rsidP="00E84BAD">
            <w:pPr>
              <w:spacing w:after="0" w:line="240" w:lineRule="auto"/>
              <w:jc w:val="center"/>
              <w:rPr>
                <w:rFonts w:cstheme="minorHAnsi"/>
                <w:b/>
                <w:sz w:val="18"/>
                <w:szCs w:val="18"/>
              </w:rPr>
            </w:pPr>
            <w:r w:rsidRPr="007C5F59">
              <w:rPr>
                <w:rFonts w:cstheme="minorHAnsi"/>
                <w:b/>
                <w:sz w:val="18"/>
                <w:szCs w:val="18"/>
              </w:rPr>
              <w:t>(2009)</w:t>
            </w:r>
          </w:p>
        </w:tc>
        <w:tc>
          <w:tcPr>
            <w:tcW w:w="900" w:type="dxa"/>
            <w:shd w:val="clear" w:color="auto" w:fill="FDE9D9" w:themeFill="accent6" w:themeFillTint="33"/>
          </w:tcPr>
          <w:p w:rsidR="0061232B" w:rsidRPr="007C5F59" w:rsidRDefault="0061232B" w:rsidP="00E84BAD">
            <w:pPr>
              <w:spacing w:after="0" w:line="240" w:lineRule="auto"/>
              <w:jc w:val="center"/>
              <w:rPr>
                <w:rFonts w:cstheme="minorHAnsi"/>
                <w:b/>
                <w:sz w:val="18"/>
                <w:szCs w:val="18"/>
              </w:rPr>
            </w:pPr>
            <w:r w:rsidRPr="007C5F59">
              <w:rPr>
                <w:rFonts w:cstheme="minorHAnsi"/>
                <w:b/>
                <w:sz w:val="18"/>
                <w:szCs w:val="18"/>
              </w:rPr>
              <w:t>Year 2</w:t>
            </w:r>
          </w:p>
          <w:p w:rsidR="0061232B" w:rsidRPr="007C5F59" w:rsidRDefault="0061232B" w:rsidP="00E84BAD">
            <w:pPr>
              <w:spacing w:after="0" w:line="240" w:lineRule="auto"/>
              <w:jc w:val="center"/>
              <w:rPr>
                <w:rFonts w:cstheme="minorHAnsi"/>
                <w:b/>
                <w:sz w:val="18"/>
                <w:szCs w:val="18"/>
              </w:rPr>
            </w:pPr>
            <w:r w:rsidRPr="007C5F59">
              <w:rPr>
                <w:rFonts w:cstheme="minorHAnsi"/>
                <w:b/>
                <w:sz w:val="18"/>
                <w:szCs w:val="18"/>
              </w:rPr>
              <w:t>(2010)</w:t>
            </w:r>
          </w:p>
        </w:tc>
        <w:tc>
          <w:tcPr>
            <w:tcW w:w="810" w:type="dxa"/>
            <w:shd w:val="clear" w:color="auto" w:fill="FDE9D9" w:themeFill="accent6" w:themeFillTint="33"/>
          </w:tcPr>
          <w:p w:rsidR="0061232B" w:rsidRPr="007C5F59" w:rsidRDefault="0061232B" w:rsidP="00E84BAD">
            <w:pPr>
              <w:spacing w:after="0" w:line="240" w:lineRule="auto"/>
              <w:jc w:val="center"/>
              <w:rPr>
                <w:rFonts w:cstheme="minorHAnsi"/>
                <w:b/>
                <w:sz w:val="18"/>
                <w:szCs w:val="18"/>
              </w:rPr>
            </w:pPr>
            <w:r w:rsidRPr="007C5F59">
              <w:rPr>
                <w:rFonts w:cstheme="minorHAnsi"/>
                <w:b/>
                <w:sz w:val="18"/>
                <w:szCs w:val="18"/>
              </w:rPr>
              <w:t>Year 3</w:t>
            </w:r>
          </w:p>
          <w:p w:rsidR="0061232B" w:rsidRPr="007C5F59" w:rsidRDefault="0061232B" w:rsidP="00E84BAD">
            <w:pPr>
              <w:spacing w:after="0" w:line="240" w:lineRule="auto"/>
              <w:jc w:val="center"/>
              <w:rPr>
                <w:rFonts w:cstheme="minorHAnsi"/>
                <w:b/>
                <w:sz w:val="18"/>
                <w:szCs w:val="18"/>
              </w:rPr>
            </w:pPr>
            <w:r w:rsidRPr="007C5F59">
              <w:rPr>
                <w:rFonts w:cstheme="minorHAnsi"/>
                <w:b/>
                <w:sz w:val="18"/>
                <w:szCs w:val="18"/>
              </w:rPr>
              <w:t>(2011)</w:t>
            </w:r>
          </w:p>
        </w:tc>
        <w:tc>
          <w:tcPr>
            <w:tcW w:w="810" w:type="dxa"/>
            <w:tcBorders>
              <w:right w:val="single" w:sz="4" w:space="0" w:color="auto"/>
            </w:tcBorders>
            <w:shd w:val="clear" w:color="auto" w:fill="FDE9D9" w:themeFill="accent6" w:themeFillTint="33"/>
          </w:tcPr>
          <w:p w:rsidR="0061232B" w:rsidRPr="007C5F59" w:rsidRDefault="0061232B" w:rsidP="00E84BAD">
            <w:pPr>
              <w:spacing w:after="0" w:line="240" w:lineRule="auto"/>
              <w:jc w:val="center"/>
              <w:rPr>
                <w:rFonts w:cstheme="minorHAnsi"/>
                <w:b/>
                <w:sz w:val="18"/>
                <w:szCs w:val="18"/>
                <w:u w:val="single"/>
              </w:rPr>
            </w:pPr>
            <w:r w:rsidRPr="007C5F59">
              <w:rPr>
                <w:rFonts w:cstheme="minorHAnsi"/>
                <w:b/>
                <w:sz w:val="18"/>
                <w:szCs w:val="18"/>
              </w:rPr>
              <w:t>Year 4</w:t>
            </w:r>
          </w:p>
          <w:p w:rsidR="0061232B" w:rsidRPr="007C5F59" w:rsidRDefault="0061232B" w:rsidP="00E84BAD">
            <w:pPr>
              <w:spacing w:after="0" w:line="240" w:lineRule="auto"/>
              <w:jc w:val="center"/>
              <w:rPr>
                <w:rFonts w:cstheme="minorHAnsi"/>
                <w:b/>
                <w:sz w:val="18"/>
                <w:szCs w:val="18"/>
              </w:rPr>
            </w:pPr>
            <w:r w:rsidRPr="007C5F59">
              <w:rPr>
                <w:rFonts w:cstheme="minorHAnsi"/>
                <w:b/>
                <w:sz w:val="18"/>
                <w:szCs w:val="18"/>
              </w:rPr>
              <w:t>(2012)</w:t>
            </w:r>
          </w:p>
        </w:tc>
        <w:tc>
          <w:tcPr>
            <w:tcW w:w="810" w:type="dxa"/>
            <w:tcBorders>
              <w:top w:val="single" w:sz="4" w:space="0" w:color="auto"/>
              <w:left w:val="single" w:sz="4" w:space="0" w:color="auto"/>
              <w:right w:val="single" w:sz="4" w:space="0" w:color="auto"/>
            </w:tcBorders>
            <w:shd w:val="clear" w:color="auto" w:fill="FDE9D9" w:themeFill="accent6" w:themeFillTint="33"/>
          </w:tcPr>
          <w:p w:rsidR="0061232B" w:rsidRPr="007C5F59" w:rsidRDefault="0061232B" w:rsidP="00E84BAD">
            <w:pPr>
              <w:spacing w:after="0" w:line="240" w:lineRule="auto"/>
              <w:jc w:val="center"/>
              <w:rPr>
                <w:rFonts w:cstheme="minorHAnsi"/>
                <w:b/>
                <w:sz w:val="18"/>
                <w:szCs w:val="18"/>
                <w:u w:val="single"/>
              </w:rPr>
            </w:pPr>
            <w:r w:rsidRPr="007C5F59">
              <w:rPr>
                <w:rFonts w:cstheme="minorHAnsi"/>
                <w:b/>
                <w:sz w:val="18"/>
                <w:szCs w:val="18"/>
              </w:rPr>
              <w:t>Year 5</w:t>
            </w:r>
          </w:p>
          <w:p w:rsidR="0061232B" w:rsidRPr="007C5F59" w:rsidRDefault="0061232B" w:rsidP="00E84BAD">
            <w:pPr>
              <w:spacing w:after="0" w:line="240" w:lineRule="auto"/>
              <w:jc w:val="center"/>
              <w:rPr>
                <w:rFonts w:cstheme="minorHAnsi"/>
                <w:b/>
                <w:sz w:val="18"/>
                <w:szCs w:val="18"/>
              </w:rPr>
            </w:pPr>
            <w:r w:rsidRPr="007C5F59">
              <w:rPr>
                <w:rFonts w:cstheme="minorHAnsi"/>
                <w:b/>
                <w:sz w:val="18"/>
                <w:szCs w:val="18"/>
              </w:rPr>
              <w:t>(2013)</w:t>
            </w:r>
          </w:p>
        </w:tc>
        <w:tc>
          <w:tcPr>
            <w:tcW w:w="1530" w:type="dxa"/>
            <w:tcBorders>
              <w:top w:val="single" w:sz="4" w:space="0" w:color="auto"/>
              <w:left w:val="single" w:sz="4" w:space="0" w:color="auto"/>
              <w:right w:val="single" w:sz="4" w:space="0" w:color="auto"/>
            </w:tcBorders>
            <w:shd w:val="clear" w:color="auto" w:fill="FDE9D9" w:themeFill="accent6" w:themeFillTint="33"/>
          </w:tcPr>
          <w:p w:rsidR="0061232B" w:rsidRPr="007C5F59" w:rsidRDefault="0061232B" w:rsidP="00E84BAD">
            <w:pPr>
              <w:spacing w:after="0" w:line="240" w:lineRule="auto"/>
              <w:jc w:val="center"/>
              <w:rPr>
                <w:rFonts w:cstheme="minorHAnsi"/>
                <w:b/>
                <w:sz w:val="18"/>
                <w:szCs w:val="18"/>
                <w:u w:val="single"/>
              </w:rPr>
            </w:pPr>
            <w:r w:rsidRPr="007C5F59">
              <w:rPr>
                <w:rFonts w:cstheme="minorHAnsi"/>
                <w:b/>
                <w:sz w:val="18"/>
                <w:szCs w:val="18"/>
              </w:rPr>
              <w:t>Year 6</w:t>
            </w:r>
          </w:p>
          <w:p w:rsidR="0061232B" w:rsidRPr="007C5F59" w:rsidRDefault="0061232B" w:rsidP="00E84BAD">
            <w:pPr>
              <w:spacing w:after="0" w:line="240" w:lineRule="auto"/>
              <w:jc w:val="center"/>
              <w:rPr>
                <w:rFonts w:cstheme="minorHAnsi"/>
                <w:b/>
                <w:sz w:val="18"/>
                <w:szCs w:val="18"/>
              </w:rPr>
            </w:pPr>
            <w:r w:rsidRPr="007C5F59">
              <w:rPr>
                <w:rFonts w:cstheme="minorHAnsi"/>
                <w:b/>
                <w:sz w:val="18"/>
                <w:szCs w:val="18"/>
              </w:rPr>
              <w:t>(2014)</w:t>
            </w:r>
          </w:p>
        </w:tc>
        <w:tc>
          <w:tcPr>
            <w:tcW w:w="1260" w:type="dxa"/>
            <w:tcBorders>
              <w:top w:val="single" w:sz="4" w:space="0" w:color="auto"/>
              <w:left w:val="single" w:sz="4" w:space="0" w:color="auto"/>
            </w:tcBorders>
            <w:shd w:val="clear" w:color="auto" w:fill="FDE9D9" w:themeFill="accent6" w:themeFillTint="33"/>
          </w:tcPr>
          <w:p w:rsidR="0061232B" w:rsidRPr="007C5F59" w:rsidRDefault="0061232B" w:rsidP="00E84BAD">
            <w:pPr>
              <w:spacing w:after="0" w:line="240" w:lineRule="auto"/>
              <w:jc w:val="center"/>
              <w:rPr>
                <w:rFonts w:cstheme="minorHAnsi"/>
                <w:b/>
                <w:sz w:val="18"/>
                <w:szCs w:val="18"/>
                <w:u w:val="single"/>
              </w:rPr>
            </w:pPr>
            <w:r w:rsidRPr="007C5F59">
              <w:rPr>
                <w:rFonts w:cstheme="minorHAnsi"/>
                <w:b/>
                <w:sz w:val="18"/>
                <w:szCs w:val="18"/>
              </w:rPr>
              <w:t>Year 7</w:t>
            </w:r>
          </w:p>
          <w:p w:rsidR="0061232B" w:rsidRPr="007C5F59" w:rsidRDefault="0061232B" w:rsidP="00E84BAD">
            <w:pPr>
              <w:spacing w:after="0" w:line="240" w:lineRule="auto"/>
              <w:jc w:val="center"/>
              <w:rPr>
                <w:rFonts w:cstheme="minorHAnsi"/>
                <w:b/>
                <w:sz w:val="18"/>
                <w:szCs w:val="18"/>
              </w:rPr>
            </w:pPr>
            <w:r w:rsidRPr="007C5F59">
              <w:rPr>
                <w:rFonts w:cstheme="minorHAnsi"/>
                <w:b/>
                <w:sz w:val="18"/>
                <w:szCs w:val="18"/>
              </w:rPr>
              <w:t>(Projected 2015)</w:t>
            </w:r>
          </w:p>
        </w:tc>
        <w:tc>
          <w:tcPr>
            <w:tcW w:w="1170" w:type="dxa"/>
            <w:shd w:val="clear" w:color="auto" w:fill="FDE9D9" w:themeFill="accent6" w:themeFillTint="33"/>
          </w:tcPr>
          <w:p w:rsidR="0061232B" w:rsidRPr="007C5F59" w:rsidRDefault="0061232B" w:rsidP="00E84BAD">
            <w:pPr>
              <w:spacing w:after="0" w:line="240" w:lineRule="auto"/>
              <w:rPr>
                <w:rFonts w:cstheme="minorHAnsi"/>
                <w:b/>
                <w:sz w:val="18"/>
                <w:szCs w:val="18"/>
              </w:rPr>
            </w:pPr>
          </w:p>
        </w:tc>
        <w:tc>
          <w:tcPr>
            <w:tcW w:w="2430" w:type="dxa"/>
            <w:shd w:val="clear" w:color="auto" w:fill="FDE9D9" w:themeFill="accent6" w:themeFillTint="33"/>
          </w:tcPr>
          <w:p w:rsidR="0061232B" w:rsidRPr="007C5F59" w:rsidRDefault="0061232B" w:rsidP="00E84BAD">
            <w:pPr>
              <w:spacing w:after="0" w:line="240" w:lineRule="auto"/>
              <w:rPr>
                <w:rFonts w:cstheme="minorHAnsi"/>
                <w:sz w:val="18"/>
                <w:szCs w:val="18"/>
              </w:rPr>
            </w:pPr>
            <w:r w:rsidRPr="007C5F59">
              <w:rPr>
                <w:rFonts w:cstheme="minorHAnsi"/>
                <w:sz w:val="18"/>
                <w:szCs w:val="18"/>
              </w:rPr>
              <w:t>As per project document the CBACC-C</w:t>
            </w:r>
            <w:r>
              <w:rPr>
                <w:rFonts w:cstheme="minorHAnsi"/>
                <w:sz w:val="18"/>
                <w:szCs w:val="18"/>
              </w:rPr>
              <w:t xml:space="preserve">F </w:t>
            </w:r>
            <w:r w:rsidRPr="007C5F59">
              <w:rPr>
                <w:rFonts w:cstheme="minorHAnsi"/>
                <w:sz w:val="18"/>
                <w:szCs w:val="18"/>
              </w:rPr>
              <w:t>project was supposed to start in April 2009 but administrative order for its initiation was made on Nov. 12, 2009. Moreover, the implementing parties undertoo</w:t>
            </w:r>
            <w:r>
              <w:rPr>
                <w:rFonts w:cstheme="minorHAnsi"/>
                <w:sz w:val="18"/>
                <w:szCs w:val="18"/>
              </w:rPr>
              <w:t>k</w:t>
            </w:r>
            <w:r w:rsidRPr="007C5F59">
              <w:rPr>
                <w:rFonts w:cstheme="minorHAnsi"/>
                <w:sz w:val="18"/>
                <w:szCs w:val="18"/>
              </w:rPr>
              <w:t xml:space="preserve"> field activities in July-Aug 2010 due to late nomination of Deputy Project Directors (DPDs) of different Govt. implementing parties.</w:t>
            </w:r>
          </w:p>
        </w:tc>
      </w:tr>
      <w:tr w:rsidR="0061232B" w:rsidRPr="007C5F59" w:rsidTr="00E84BAD">
        <w:tc>
          <w:tcPr>
            <w:tcW w:w="29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Output 1:Coastal Afforestation (Mangrove)</w:t>
            </w:r>
          </w:p>
        </w:tc>
        <w:tc>
          <w:tcPr>
            <w:tcW w:w="90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9000</w:t>
            </w:r>
          </w:p>
        </w:tc>
        <w:tc>
          <w:tcPr>
            <w:tcW w:w="72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90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350</w:t>
            </w:r>
          </w:p>
        </w:tc>
        <w:tc>
          <w:tcPr>
            <w:tcW w:w="810" w:type="dxa"/>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2650</w:t>
            </w:r>
          </w:p>
        </w:tc>
        <w:tc>
          <w:tcPr>
            <w:tcW w:w="810" w:type="dxa"/>
            <w:tcBorders>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3000</w:t>
            </w:r>
          </w:p>
        </w:tc>
        <w:tc>
          <w:tcPr>
            <w:tcW w:w="810" w:type="dxa"/>
            <w:tcBorders>
              <w:left w:val="single" w:sz="4" w:space="0" w:color="auto"/>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 xml:space="preserve">2500 </w:t>
            </w:r>
          </w:p>
        </w:tc>
        <w:tc>
          <w:tcPr>
            <w:tcW w:w="1530" w:type="dxa"/>
            <w:tcBorders>
              <w:left w:val="single" w:sz="4" w:space="0" w:color="auto"/>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500</w:t>
            </w:r>
          </w:p>
        </w:tc>
        <w:tc>
          <w:tcPr>
            <w:tcW w:w="1260" w:type="dxa"/>
            <w:tcBorders>
              <w:lef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Maintenance</w:t>
            </w:r>
          </w:p>
        </w:tc>
        <w:tc>
          <w:tcPr>
            <w:tcW w:w="117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 xml:space="preserve">100% of Project </w:t>
            </w:r>
            <w:r w:rsidRPr="007C5F59">
              <w:rPr>
                <w:rFonts w:cstheme="minorHAnsi"/>
                <w:sz w:val="18"/>
                <w:szCs w:val="18"/>
              </w:rPr>
              <w:lastRenderedPageBreak/>
              <w:t>Target (PT)</w:t>
            </w:r>
          </w:p>
        </w:tc>
        <w:tc>
          <w:tcPr>
            <w:tcW w:w="2430" w:type="dxa"/>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c>
          <w:tcPr>
            <w:tcW w:w="29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lastRenderedPageBreak/>
              <w:t>Output 2: Dy</w:t>
            </w:r>
            <w:r>
              <w:rPr>
                <w:rFonts w:cstheme="minorHAnsi"/>
                <w:sz w:val="18"/>
                <w:szCs w:val="18"/>
              </w:rPr>
              <w:t>k</w:t>
            </w:r>
            <w:r w:rsidRPr="007C5F59">
              <w:rPr>
                <w:rFonts w:cstheme="minorHAnsi"/>
                <w:sz w:val="18"/>
                <w:szCs w:val="18"/>
              </w:rPr>
              <w:t>e Plantation (ha)</w:t>
            </w:r>
          </w:p>
        </w:tc>
        <w:tc>
          <w:tcPr>
            <w:tcW w:w="90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112</w:t>
            </w:r>
          </w:p>
        </w:tc>
        <w:tc>
          <w:tcPr>
            <w:tcW w:w="72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90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10</w:t>
            </w:r>
          </w:p>
        </w:tc>
        <w:tc>
          <w:tcPr>
            <w:tcW w:w="810" w:type="dxa"/>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30</w:t>
            </w:r>
          </w:p>
        </w:tc>
        <w:tc>
          <w:tcPr>
            <w:tcW w:w="810" w:type="dxa"/>
            <w:tcBorders>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40</w:t>
            </w:r>
          </w:p>
        </w:tc>
        <w:tc>
          <w:tcPr>
            <w:tcW w:w="810" w:type="dxa"/>
            <w:tcBorders>
              <w:left w:val="single" w:sz="4" w:space="0" w:color="auto"/>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32</w:t>
            </w:r>
          </w:p>
        </w:tc>
        <w:tc>
          <w:tcPr>
            <w:tcW w:w="1530" w:type="dxa"/>
            <w:tcBorders>
              <w:left w:val="single" w:sz="4" w:space="0" w:color="auto"/>
              <w:right w:val="single" w:sz="4" w:space="0" w:color="auto"/>
            </w:tcBorders>
            <w:shd w:val="clear" w:color="auto" w:fill="auto"/>
          </w:tcPr>
          <w:p w:rsidR="0061232B" w:rsidRPr="007C5F59" w:rsidRDefault="0061232B" w:rsidP="00E84BAD">
            <w:pPr>
              <w:jc w:val="center"/>
              <w:rPr>
                <w:rFonts w:cstheme="minorHAnsi"/>
                <w:sz w:val="18"/>
                <w:szCs w:val="18"/>
              </w:rPr>
            </w:pPr>
            <w:r w:rsidRPr="007C5F59">
              <w:rPr>
                <w:rFonts w:cstheme="minorHAnsi"/>
                <w:sz w:val="18"/>
                <w:szCs w:val="18"/>
              </w:rPr>
              <w:t>Maintenance</w:t>
            </w:r>
          </w:p>
        </w:tc>
        <w:tc>
          <w:tcPr>
            <w:tcW w:w="1260" w:type="dxa"/>
            <w:tcBorders>
              <w:left w:val="single" w:sz="4" w:space="0" w:color="auto"/>
            </w:tcBorders>
            <w:shd w:val="clear" w:color="auto" w:fill="auto"/>
          </w:tcPr>
          <w:p w:rsidR="0061232B" w:rsidRPr="007C5F59" w:rsidRDefault="0061232B" w:rsidP="00E84BAD">
            <w:pPr>
              <w:jc w:val="center"/>
              <w:rPr>
                <w:rFonts w:cstheme="minorHAnsi"/>
                <w:sz w:val="18"/>
                <w:szCs w:val="18"/>
              </w:rPr>
            </w:pPr>
            <w:r w:rsidRPr="007C5F59">
              <w:rPr>
                <w:rFonts w:cstheme="minorHAnsi"/>
                <w:sz w:val="18"/>
                <w:szCs w:val="18"/>
              </w:rPr>
              <w:t>Maintenance</w:t>
            </w:r>
          </w:p>
        </w:tc>
        <w:tc>
          <w:tcPr>
            <w:tcW w:w="117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100% of PT</w:t>
            </w:r>
          </w:p>
        </w:tc>
        <w:tc>
          <w:tcPr>
            <w:tcW w:w="2430" w:type="dxa"/>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c>
          <w:tcPr>
            <w:tcW w:w="29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Output 3:Mound Plantation</w:t>
            </w:r>
          </w:p>
          <w:p w:rsidR="0061232B" w:rsidRPr="007C5F59" w:rsidRDefault="0061232B" w:rsidP="00E84BAD">
            <w:pPr>
              <w:spacing w:after="0" w:line="240" w:lineRule="auto"/>
              <w:rPr>
                <w:rFonts w:cstheme="minorHAnsi"/>
                <w:sz w:val="18"/>
                <w:szCs w:val="18"/>
              </w:rPr>
            </w:pPr>
            <w:r w:rsidRPr="007C5F59">
              <w:rPr>
                <w:rFonts w:cstheme="minorHAnsi"/>
                <w:sz w:val="18"/>
                <w:szCs w:val="18"/>
              </w:rPr>
              <w:t>(ha)</w:t>
            </w:r>
          </w:p>
        </w:tc>
        <w:tc>
          <w:tcPr>
            <w:tcW w:w="90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332</w:t>
            </w:r>
          </w:p>
        </w:tc>
        <w:tc>
          <w:tcPr>
            <w:tcW w:w="72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90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50</w:t>
            </w:r>
          </w:p>
        </w:tc>
        <w:tc>
          <w:tcPr>
            <w:tcW w:w="810" w:type="dxa"/>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112</w:t>
            </w:r>
          </w:p>
        </w:tc>
        <w:tc>
          <w:tcPr>
            <w:tcW w:w="810" w:type="dxa"/>
            <w:tcBorders>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170</w:t>
            </w:r>
          </w:p>
        </w:tc>
        <w:tc>
          <w:tcPr>
            <w:tcW w:w="810" w:type="dxa"/>
            <w:tcBorders>
              <w:left w:val="single" w:sz="4" w:space="0" w:color="auto"/>
              <w:right w:val="single" w:sz="4" w:space="0" w:color="auto"/>
            </w:tcBorders>
            <w:shd w:val="clear" w:color="auto" w:fill="auto"/>
          </w:tcPr>
          <w:p w:rsidR="0061232B" w:rsidRPr="007C5F59" w:rsidRDefault="0061232B" w:rsidP="00E84BAD">
            <w:pPr>
              <w:spacing w:after="0"/>
              <w:jc w:val="center"/>
              <w:rPr>
                <w:rFonts w:cstheme="minorHAnsi"/>
                <w:sz w:val="18"/>
                <w:szCs w:val="18"/>
              </w:rPr>
            </w:pPr>
            <w:r w:rsidRPr="007C5F59">
              <w:rPr>
                <w:rFonts w:cstheme="minorHAnsi"/>
                <w:sz w:val="18"/>
                <w:szCs w:val="18"/>
              </w:rPr>
              <w:t>Maintenance</w:t>
            </w:r>
          </w:p>
        </w:tc>
        <w:tc>
          <w:tcPr>
            <w:tcW w:w="1530" w:type="dxa"/>
            <w:tcBorders>
              <w:left w:val="single" w:sz="4" w:space="0" w:color="auto"/>
              <w:right w:val="single" w:sz="4" w:space="0" w:color="auto"/>
            </w:tcBorders>
            <w:shd w:val="clear" w:color="auto" w:fill="auto"/>
          </w:tcPr>
          <w:p w:rsidR="0061232B" w:rsidRPr="007C5F59" w:rsidRDefault="0061232B" w:rsidP="00E84BAD">
            <w:pPr>
              <w:spacing w:after="0"/>
              <w:jc w:val="center"/>
              <w:rPr>
                <w:rFonts w:cstheme="minorHAnsi"/>
                <w:sz w:val="18"/>
                <w:szCs w:val="18"/>
              </w:rPr>
            </w:pPr>
            <w:r w:rsidRPr="007C5F59">
              <w:rPr>
                <w:rFonts w:cstheme="minorHAnsi"/>
                <w:sz w:val="18"/>
                <w:szCs w:val="18"/>
              </w:rPr>
              <w:t>Maintenance</w:t>
            </w:r>
          </w:p>
        </w:tc>
        <w:tc>
          <w:tcPr>
            <w:tcW w:w="1260" w:type="dxa"/>
            <w:tcBorders>
              <w:left w:val="single" w:sz="4" w:space="0" w:color="auto"/>
            </w:tcBorders>
            <w:shd w:val="clear" w:color="auto" w:fill="auto"/>
          </w:tcPr>
          <w:p w:rsidR="0061232B" w:rsidRPr="007C5F59" w:rsidRDefault="0061232B" w:rsidP="00E84BAD">
            <w:pPr>
              <w:spacing w:after="0"/>
              <w:jc w:val="center"/>
              <w:rPr>
                <w:rFonts w:cstheme="minorHAnsi"/>
                <w:sz w:val="18"/>
                <w:szCs w:val="18"/>
              </w:rPr>
            </w:pPr>
            <w:r w:rsidRPr="007C5F59">
              <w:rPr>
                <w:rFonts w:cstheme="minorHAnsi"/>
                <w:sz w:val="18"/>
                <w:szCs w:val="18"/>
              </w:rPr>
              <w:t>Maintenance</w:t>
            </w:r>
          </w:p>
        </w:tc>
        <w:tc>
          <w:tcPr>
            <w:tcW w:w="117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100% of PT</w:t>
            </w:r>
          </w:p>
        </w:tc>
        <w:tc>
          <w:tcPr>
            <w:tcW w:w="2430" w:type="dxa"/>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c>
          <w:tcPr>
            <w:tcW w:w="29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Output 4 :Strip Plantation (</w:t>
            </w:r>
            <w:r>
              <w:rPr>
                <w:rFonts w:cstheme="minorHAnsi"/>
                <w:sz w:val="18"/>
                <w:szCs w:val="18"/>
              </w:rPr>
              <w:t>k</w:t>
            </w:r>
            <w:r w:rsidRPr="007C5F59">
              <w:rPr>
                <w:rFonts w:cstheme="minorHAnsi"/>
                <w:sz w:val="18"/>
                <w:szCs w:val="18"/>
              </w:rPr>
              <w:t>m)</w:t>
            </w:r>
          </w:p>
        </w:tc>
        <w:tc>
          <w:tcPr>
            <w:tcW w:w="90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680</w:t>
            </w:r>
          </w:p>
        </w:tc>
        <w:tc>
          <w:tcPr>
            <w:tcW w:w="72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90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1 15</w:t>
            </w:r>
          </w:p>
        </w:tc>
        <w:tc>
          <w:tcPr>
            <w:tcW w:w="810" w:type="dxa"/>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98</w:t>
            </w:r>
          </w:p>
        </w:tc>
        <w:tc>
          <w:tcPr>
            <w:tcW w:w="810" w:type="dxa"/>
            <w:tcBorders>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215</w:t>
            </w:r>
          </w:p>
        </w:tc>
        <w:tc>
          <w:tcPr>
            <w:tcW w:w="810" w:type="dxa"/>
            <w:tcBorders>
              <w:left w:val="single" w:sz="4" w:space="0" w:color="auto"/>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252</w:t>
            </w:r>
          </w:p>
        </w:tc>
        <w:tc>
          <w:tcPr>
            <w:tcW w:w="1530" w:type="dxa"/>
            <w:tcBorders>
              <w:left w:val="single" w:sz="4" w:space="0" w:color="auto"/>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Maintenance</w:t>
            </w:r>
          </w:p>
        </w:tc>
        <w:tc>
          <w:tcPr>
            <w:tcW w:w="1260" w:type="dxa"/>
            <w:tcBorders>
              <w:lef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Maintenance</w:t>
            </w:r>
          </w:p>
        </w:tc>
        <w:tc>
          <w:tcPr>
            <w:tcW w:w="117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100% of PT</w:t>
            </w:r>
          </w:p>
        </w:tc>
        <w:tc>
          <w:tcPr>
            <w:tcW w:w="2430" w:type="dxa"/>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rPr>
          <w:trHeight w:val="305"/>
        </w:trPr>
        <w:tc>
          <w:tcPr>
            <w:tcW w:w="29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Output 5: Model Demo (ha)</w:t>
            </w:r>
          </w:p>
        </w:tc>
        <w:tc>
          <w:tcPr>
            <w:tcW w:w="90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200</w:t>
            </w:r>
          </w:p>
        </w:tc>
        <w:tc>
          <w:tcPr>
            <w:tcW w:w="720" w:type="dxa"/>
            <w:shd w:val="clear" w:color="auto" w:fill="auto"/>
          </w:tcPr>
          <w:p w:rsidR="0061232B" w:rsidRPr="007C5F59" w:rsidRDefault="0061232B" w:rsidP="00E84BAD">
            <w:pPr>
              <w:spacing w:after="0" w:line="240" w:lineRule="auto"/>
              <w:jc w:val="center"/>
              <w:rPr>
                <w:rFonts w:cstheme="minorHAnsi"/>
                <w:sz w:val="18"/>
                <w:szCs w:val="18"/>
              </w:rPr>
            </w:pPr>
          </w:p>
        </w:tc>
        <w:tc>
          <w:tcPr>
            <w:tcW w:w="900" w:type="dxa"/>
            <w:shd w:val="clear" w:color="auto" w:fill="auto"/>
          </w:tcPr>
          <w:p w:rsidR="0061232B" w:rsidRPr="007C5F59" w:rsidRDefault="0061232B" w:rsidP="00E84BAD">
            <w:pPr>
              <w:spacing w:after="0" w:line="240" w:lineRule="auto"/>
              <w:jc w:val="center"/>
              <w:rPr>
                <w:rFonts w:cstheme="minorHAnsi"/>
                <w:sz w:val="18"/>
                <w:szCs w:val="18"/>
              </w:rPr>
            </w:pPr>
          </w:p>
        </w:tc>
        <w:tc>
          <w:tcPr>
            <w:tcW w:w="810" w:type="dxa"/>
          </w:tcPr>
          <w:p w:rsidR="0061232B" w:rsidRPr="007C5F59" w:rsidRDefault="0061232B" w:rsidP="00E84BAD">
            <w:pPr>
              <w:spacing w:after="0" w:line="240" w:lineRule="auto"/>
              <w:jc w:val="center"/>
              <w:rPr>
                <w:rFonts w:cstheme="minorHAnsi"/>
                <w:sz w:val="18"/>
                <w:szCs w:val="18"/>
              </w:rPr>
            </w:pPr>
          </w:p>
        </w:tc>
        <w:tc>
          <w:tcPr>
            <w:tcW w:w="810" w:type="dxa"/>
            <w:tcBorders>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100</w:t>
            </w:r>
          </w:p>
        </w:tc>
        <w:tc>
          <w:tcPr>
            <w:tcW w:w="810" w:type="dxa"/>
            <w:tcBorders>
              <w:left w:val="single" w:sz="4" w:space="0" w:color="auto"/>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50</w:t>
            </w:r>
          </w:p>
          <w:p w:rsidR="0061232B" w:rsidRPr="007C5F59" w:rsidRDefault="0061232B" w:rsidP="00E84BAD">
            <w:pPr>
              <w:spacing w:after="0" w:line="240" w:lineRule="auto"/>
              <w:jc w:val="center"/>
              <w:rPr>
                <w:rFonts w:cstheme="minorHAnsi"/>
                <w:sz w:val="18"/>
                <w:szCs w:val="18"/>
              </w:rPr>
            </w:pPr>
          </w:p>
        </w:tc>
        <w:tc>
          <w:tcPr>
            <w:tcW w:w="1530" w:type="dxa"/>
            <w:tcBorders>
              <w:left w:val="single" w:sz="4" w:space="0" w:color="auto"/>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 xml:space="preserve">Maintenance and nursery </w:t>
            </w:r>
            <w:r>
              <w:rPr>
                <w:rFonts w:cstheme="minorHAnsi"/>
                <w:sz w:val="18"/>
                <w:szCs w:val="18"/>
              </w:rPr>
              <w:t>for</w:t>
            </w:r>
            <w:r w:rsidRPr="007C5F59">
              <w:rPr>
                <w:rFonts w:cstheme="minorHAnsi"/>
                <w:sz w:val="18"/>
                <w:szCs w:val="18"/>
              </w:rPr>
              <w:t xml:space="preserve"> 50ha</w:t>
            </w:r>
          </w:p>
        </w:tc>
        <w:tc>
          <w:tcPr>
            <w:tcW w:w="1260" w:type="dxa"/>
            <w:tcBorders>
              <w:lef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50</w:t>
            </w:r>
          </w:p>
        </w:tc>
        <w:tc>
          <w:tcPr>
            <w:tcW w:w="117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75% of PT</w:t>
            </w:r>
          </w:p>
        </w:tc>
        <w:tc>
          <w:tcPr>
            <w:tcW w:w="2430" w:type="dxa"/>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c>
          <w:tcPr>
            <w:tcW w:w="29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Output 6: Training (Nos)</w:t>
            </w:r>
          </w:p>
        </w:tc>
        <w:tc>
          <w:tcPr>
            <w:tcW w:w="90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12700</w:t>
            </w:r>
          </w:p>
        </w:tc>
        <w:tc>
          <w:tcPr>
            <w:tcW w:w="72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90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5640</w:t>
            </w:r>
          </w:p>
        </w:tc>
        <w:tc>
          <w:tcPr>
            <w:tcW w:w="810" w:type="dxa"/>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6360</w:t>
            </w:r>
          </w:p>
        </w:tc>
        <w:tc>
          <w:tcPr>
            <w:tcW w:w="810" w:type="dxa"/>
            <w:tcBorders>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200</w:t>
            </w:r>
          </w:p>
        </w:tc>
        <w:tc>
          <w:tcPr>
            <w:tcW w:w="810" w:type="dxa"/>
            <w:tcBorders>
              <w:left w:val="single" w:sz="4" w:space="0" w:color="auto"/>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500</w:t>
            </w:r>
          </w:p>
        </w:tc>
        <w:tc>
          <w:tcPr>
            <w:tcW w:w="1530" w:type="dxa"/>
            <w:tcBorders>
              <w:left w:val="single" w:sz="4" w:space="0" w:color="auto"/>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1260" w:type="dxa"/>
            <w:tcBorders>
              <w:lef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117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100% of PT</w:t>
            </w:r>
          </w:p>
        </w:tc>
        <w:tc>
          <w:tcPr>
            <w:tcW w:w="2430" w:type="dxa"/>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rPr>
          <w:trHeight w:val="238"/>
        </w:trPr>
        <w:tc>
          <w:tcPr>
            <w:tcW w:w="2970" w:type="dxa"/>
            <w:vMerge w:val="restar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Output 7:Agricultural Demo </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 Training</w:t>
            </w:r>
          </w:p>
        </w:tc>
        <w:tc>
          <w:tcPr>
            <w:tcW w:w="900" w:type="dxa"/>
            <w:vMerge w:val="restart"/>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Demo:</w:t>
            </w:r>
          </w:p>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2860HH</w:t>
            </w:r>
          </w:p>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Training 4000Nos</w:t>
            </w:r>
          </w:p>
        </w:tc>
        <w:tc>
          <w:tcPr>
            <w:tcW w:w="720" w:type="dxa"/>
            <w:tcBorders>
              <w:bottom w:val="dotted"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900" w:type="dxa"/>
            <w:tcBorders>
              <w:bottom w:val="dotted"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223</w:t>
            </w:r>
          </w:p>
        </w:tc>
        <w:tc>
          <w:tcPr>
            <w:tcW w:w="810" w:type="dxa"/>
            <w:tcBorders>
              <w:bottom w:val="dotted" w:sz="4" w:space="0" w:color="auto"/>
            </w:tcBorders>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220</w:t>
            </w:r>
          </w:p>
        </w:tc>
        <w:tc>
          <w:tcPr>
            <w:tcW w:w="810" w:type="dxa"/>
            <w:tcBorders>
              <w:bottom w:val="dotted" w:sz="4" w:space="0" w:color="auto"/>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243</w:t>
            </w:r>
          </w:p>
        </w:tc>
        <w:tc>
          <w:tcPr>
            <w:tcW w:w="810" w:type="dxa"/>
            <w:tcBorders>
              <w:left w:val="single" w:sz="4" w:space="0" w:color="auto"/>
              <w:bottom w:val="dotted" w:sz="4" w:space="0" w:color="auto"/>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867</w:t>
            </w:r>
          </w:p>
        </w:tc>
        <w:tc>
          <w:tcPr>
            <w:tcW w:w="1530" w:type="dxa"/>
            <w:tcBorders>
              <w:left w:val="single" w:sz="4" w:space="0" w:color="auto"/>
              <w:bottom w:val="dotted" w:sz="4" w:space="0" w:color="auto"/>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707</w:t>
            </w:r>
          </w:p>
        </w:tc>
        <w:tc>
          <w:tcPr>
            <w:tcW w:w="1260" w:type="dxa"/>
            <w:tcBorders>
              <w:left w:val="single" w:sz="4" w:space="0" w:color="auto"/>
              <w:bottom w:val="dotted" w:sz="4" w:space="0" w:color="auto"/>
            </w:tcBorders>
            <w:shd w:val="clear" w:color="auto" w:fill="auto"/>
          </w:tcPr>
          <w:p w:rsidR="0061232B" w:rsidRPr="007C5F59" w:rsidRDefault="0061232B" w:rsidP="00E84BAD">
            <w:pPr>
              <w:spacing w:after="0" w:line="240" w:lineRule="auto"/>
              <w:jc w:val="center"/>
              <w:rPr>
                <w:rFonts w:cstheme="minorHAnsi"/>
                <w:i/>
                <w:iCs/>
                <w:sz w:val="18"/>
                <w:szCs w:val="18"/>
              </w:rPr>
            </w:pPr>
          </w:p>
        </w:tc>
        <w:tc>
          <w:tcPr>
            <w:tcW w:w="1170" w:type="dxa"/>
            <w:vMerge w:val="restart"/>
            <w:shd w:val="clear" w:color="auto" w:fill="auto"/>
            <w:vAlign w:val="center"/>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&gt;100% of PT</w:t>
            </w:r>
          </w:p>
        </w:tc>
        <w:tc>
          <w:tcPr>
            <w:tcW w:w="2430" w:type="dxa"/>
            <w:vMerge w:val="restart"/>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rPr>
          <w:trHeight w:val="213"/>
        </w:trPr>
        <w:tc>
          <w:tcPr>
            <w:tcW w:w="2970" w:type="dxa"/>
            <w:vMerge/>
            <w:shd w:val="clear" w:color="auto" w:fill="auto"/>
          </w:tcPr>
          <w:p w:rsidR="0061232B" w:rsidRPr="007C5F59" w:rsidRDefault="0061232B" w:rsidP="00E84BAD">
            <w:pPr>
              <w:spacing w:after="0" w:line="240" w:lineRule="auto"/>
              <w:rPr>
                <w:rFonts w:cstheme="minorHAnsi"/>
                <w:sz w:val="18"/>
                <w:szCs w:val="18"/>
              </w:rPr>
            </w:pPr>
          </w:p>
        </w:tc>
        <w:tc>
          <w:tcPr>
            <w:tcW w:w="900" w:type="dxa"/>
            <w:vMerge/>
            <w:shd w:val="clear" w:color="auto" w:fill="auto"/>
          </w:tcPr>
          <w:p w:rsidR="0061232B" w:rsidRPr="007C5F59" w:rsidRDefault="0061232B" w:rsidP="00E84BAD">
            <w:pPr>
              <w:spacing w:after="0" w:line="240" w:lineRule="auto"/>
              <w:jc w:val="center"/>
              <w:rPr>
                <w:rFonts w:cstheme="minorHAnsi"/>
                <w:sz w:val="18"/>
                <w:szCs w:val="18"/>
              </w:rPr>
            </w:pPr>
          </w:p>
        </w:tc>
        <w:tc>
          <w:tcPr>
            <w:tcW w:w="720" w:type="dxa"/>
            <w:tcBorders>
              <w:top w:val="dotted"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900" w:type="dxa"/>
            <w:tcBorders>
              <w:top w:val="dotted"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550</w:t>
            </w:r>
          </w:p>
        </w:tc>
        <w:tc>
          <w:tcPr>
            <w:tcW w:w="810" w:type="dxa"/>
            <w:tcBorders>
              <w:top w:val="dotted" w:sz="4" w:space="0" w:color="auto"/>
            </w:tcBorders>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600</w:t>
            </w:r>
          </w:p>
        </w:tc>
        <w:tc>
          <w:tcPr>
            <w:tcW w:w="810" w:type="dxa"/>
            <w:tcBorders>
              <w:top w:val="dotted" w:sz="4" w:space="0" w:color="auto"/>
              <w:right w:val="single"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0</w:t>
            </w:r>
          </w:p>
        </w:tc>
        <w:tc>
          <w:tcPr>
            <w:tcW w:w="810" w:type="dxa"/>
            <w:tcBorders>
              <w:top w:val="dotted" w:sz="4" w:space="0" w:color="auto"/>
              <w:left w:val="single" w:sz="4" w:space="0" w:color="auto"/>
              <w:right w:val="single"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1950</w:t>
            </w:r>
          </w:p>
        </w:tc>
        <w:tc>
          <w:tcPr>
            <w:tcW w:w="1530" w:type="dxa"/>
            <w:tcBorders>
              <w:top w:val="dotted" w:sz="4" w:space="0" w:color="auto"/>
              <w:left w:val="single" w:sz="4" w:space="0" w:color="auto"/>
              <w:right w:val="single"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2172</w:t>
            </w:r>
          </w:p>
        </w:tc>
        <w:tc>
          <w:tcPr>
            <w:tcW w:w="1260" w:type="dxa"/>
            <w:tcBorders>
              <w:top w:val="dotted" w:sz="4" w:space="0" w:color="auto"/>
              <w:left w:val="single" w:sz="4" w:space="0" w:color="auto"/>
            </w:tcBorders>
            <w:shd w:val="clear" w:color="auto" w:fill="auto"/>
          </w:tcPr>
          <w:p w:rsidR="0061232B" w:rsidRPr="007C5F59" w:rsidRDefault="0061232B" w:rsidP="00E84BAD">
            <w:pPr>
              <w:spacing w:after="0" w:line="240" w:lineRule="auto"/>
              <w:jc w:val="center"/>
              <w:rPr>
                <w:rFonts w:cstheme="minorHAnsi"/>
                <w:i/>
                <w:iCs/>
                <w:sz w:val="18"/>
                <w:szCs w:val="18"/>
              </w:rPr>
            </w:pPr>
          </w:p>
        </w:tc>
        <w:tc>
          <w:tcPr>
            <w:tcW w:w="1170" w:type="dxa"/>
            <w:vMerge/>
            <w:shd w:val="clear" w:color="auto" w:fill="auto"/>
          </w:tcPr>
          <w:p w:rsidR="0061232B" w:rsidRPr="007C5F59" w:rsidRDefault="0061232B" w:rsidP="00E84BAD">
            <w:pPr>
              <w:spacing w:after="0" w:line="240" w:lineRule="auto"/>
              <w:jc w:val="center"/>
              <w:rPr>
                <w:rFonts w:cstheme="minorHAnsi"/>
                <w:sz w:val="18"/>
                <w:szCs w:val="18"/>
              </w:rPr>
            </w:pPr>
          </w:p>
        </w:tc>
        <w:tc>
          <w:tcPr>
            <w:tcW w:w="2430" w:type="dxa"/>
            <w:vMerge/>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rPr>
          <w:trHeight w:val="238"/>
        </w:trPr>
        <w:tc>
          <w:tcPr>
            <w:tcW w:w="2970" w:type="dxa"/>
            <w:vMerge w:val="restar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Output 8: Fisheries Demo Training</w:t>
            </w:r>
          </w:p>
        </w:tc>
        <w:tc>
          <w:tcPr>
            <w:tcW w:w="900" w:type="dxa"/>
            <w:vMerge/>
            <w:shd w:val="clear" w:color="auto" w:fill="auto"/>
          </w:tcPr>
          <w:p w:rsidR="0061232B" w:rsidRPr="007C5F59" w:rsidRDefault="0061232B" w:rsidP="00E84BAD">
            <w:pPr>
              <w:spacing w:after="0" w:line="240" w:lineRule="auto"/>
              <w:jc w:val="center"/>
              <w:rPr>
                <w:rFonts w:cstheme="minorHAnsi"/>
                <w:sz w:val="18"/>
                <w:szCs w:val="18"/>
              </w:rPr>
            </w:pPr>
          </w:p>
        </w:tc>
        <w:tc>
          <w:tcPr>
            <w:tcW w:w="720" w:type="dxa"/>
            <w:tcBorders>
              <w:bottom w:val="dotted"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900" w:type="dxa"/>
            <w:tcBorders>
              <w:bottom w:val="dotted"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60</w:t>
            </w:r>
          </w:p>
        </w:tc>
        <w:tc>
          <w:tcPr>
            <w:tcW w:w="810" w:type="dxa"/>
            <w:tcBorders>
              <w:bottom w:val="dotted" w:sz="4" w:space="0" w:color="auto"/>
            </w:tcBorders>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60</w:t>
            </w:r>
          </w:p>
        </w:tc>
        <w:tc>
          <w:tcPr>
            <w:tcW w:w="810" w:type="dxa"/>
            <w:tcBorders>
              <w:bottom w:val="dotted" w:sz="4" w:space="0" w:color="auto"/>
              <w:right w:val="single"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80</w:t>
            </w:r>
          </w:p>
        </w:tc>
        <w:tc>
          <w:tcPr>
            <w:tcW w:w="810" w:type="dxa"/>
            <w:tcBorders>
              <w:left w:val="single" w:sz="4" w:space="0" w:color="auto"/>
              <w:bottom w:val="dotted" w:sz="4" w:space="0" w:color="auto"/>
              <w:right w:val="single"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110</w:t>
            </w:r>
          </w:p>
        </w:tc>
        <w:tc>
          <w:tcPr>
            <w:tcW w:w="1530" w:type="dxa"/>
            <w:tcBorders>
              <w:left w:val="single" w:sz="4" w:space="0" w:color="auto"/>
              <w:bottom w:val="dotted" w:sz="4" w:space="0" w:color="auto"/>
              <w:right w:val="single"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63</w:t>
            </w:r>
          </w:p>
        </w:tc>
        <w:tc>
          <w:tcPr>
            <w:tcW w:w="1260" w:type="dxa"/>
            <w:tcBorders>
              <w:left w:val="single" w:sz="4" w:space="0" w:color="auto"/>
              <w:bottom w:val="dotted" w:sz="4" w:space="0" w:color="auto"/>
            </w:tcBorders>
            <w:shd w:val="clear" w:color="auto" w:fill="auto"/>
          </w:tcPr>
          <w:p w:rsidR="0061232B" w:rsidRPr="007C5F59" w:rsidRDefault="0061232B" w:rsidP="00E84BAD">
            <w:pPr>
              <w:spacing w:after="0" w:line="240" w:lineRule="auto"/>
              <w:jc w:val="center"/>
              <w:rPr>
                <w:rFonts w:cstheme="minorHAnsi"/>
                <w:i/>
                <w:iCs/>
                <w:sz w:val="18"/>
                <w:szCs w:val="18"/>
              </w:rPr>
            </w:pPr>
          </w:p>
        </w:tc>
        <w:tc>
          <w:tcPr>
            <w:tcW w:w="1170" w:type="dxa"/>
            <w:vMerge w:val="restart"/>
            <w:shd w:val="clear" w:color="auto" w:fill="auto"/>
            <w:vAlign w:val="center"/>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&gt;100% of PT</w:t>
            </w:r>
          </w:p>
        </w:tc>
        <w:tc>
          <w:tcPr>
            <w:tcW w:w="2430" w:type="dxa"/>
            <w:vMerge w:val="restart"/>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rPr>
          <w:trHeight w:val="213"/>
        </w:trPr>
        <w:tc>
          <w:tcPr>
            <w:tcW w:w="2970" w:type="dxa"/>
            <w:vMerge/>
            <w:shd w:val="clear" w:color="auto" w:fill="auto"/>
          </w:tcPr>
          <w:p w:rsidR="0061232B" w:rsidRPr="007C5F59" w:rsidRDefault="0061232B" w:rsidP="00E84BAD">
            <w:pPr>
              <w:spacing w:after="0" w:line="240" w:lineRule="auto"/>
              <w:rPr>
                <w:rFonts w:cstheme="minorHAnsi"/>
                <w:sz w:val="18"/>
                <w:szCs w:val="18"/>
              </w:rPr>
            </w:pPr>
          </w:p>
        </w:tc>
        <w:tc>
          <w:tcPr>
            <w:tcW w:w="900" w:type="dxa"/>
            <w:vMerge/>
            <w:shd w:val="clear" w:color="auto" w:fill="auto"/>
          </w:tcPr>
          <w:p w:rsidR="0061232B" w:rsidRPr="007C5F59" w:rsidRDefault="0061232B" w:rsidP="00E84BAD">
            <w:pPr>
              <w:spacing w:after="0" w:line="240" w:lineRule="auto"/>
              <w:jc w:val="center"/>
              <w:rPr>
                <w:rFonts w:cstheme="minorHAnsi"/>
                <w:sz w:val="18"/>
                <w:szCs w:val="18"/>
              </w:rPr>
            </w:pPr>
          </w:p>
        </w:tc>
        <w:tc>
          <w:tcPr>
            <w:tcW w:w="720" w:type="dxa"/>
            <w:tcBorders>
              <w:top w:val="dotted"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900" w:type="dxa"/>
            <w:tcBorders>
              <w:top w:val="dotted"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60</w:t>
            </w:r>
          </w:p>
        </w:tc>
        <w:tc>
          <w:tcPr>
            <w:tcW w:w="810" w:type="dxa"/>
            <w:tcBorders>
              <w:top w:val="dotted" w:sz="4" w:space="0" w:color="auto"/>
            </w:tcBorders>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60</w:t>
            </w:r>
          </w:p>
        </w:tc>
        <w:tc>
          <w:tcPr>
            <w:tcW w:w="810" w:type="dxa"/>
            <w:tcBorders>
              <w:top w:val="dotted" w:sz="4" w:space="0" w:color="auto"/>
              <w:right w:val="single"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80</w:t>
            </w:r>
          </w:p>
        </w:tc>
        <w:tc>
          <w:tcPr>
            <w:tcW w:w="810" w:type="dxa"/>
            <w:tcBorders>
              <w:top w:val="dotted" w:sz="4" w:space="0" w:color="auto"/>
              <w:left w:val="single" w:sz="4" w:space="0" w:color="auto"/>
              <w:right w:val="single"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160</w:t>
            </w:r>
          </w:p>
        </w:tc>
        <w:tc>
          <w:tcPr>
            <w:tcW w:w="1530" w:type="dxa"/>
            <w:tcBorders>
              <w:top w:val="dotted" w:sz="4" w:space="0" w:color="auto"/>
              <w:left w:val="single" w:sz="4" w:space="0" w:color="auto"/>
              <w:right w:val="single"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180</w:t>
            </w:r>
          </w:p>
        </w:tc>
        <w:tc>
          <w:tcPr>
            <w:tcW w:w="1260" w:type="dxa"/>
            <w:tcBorders>
              <w:top w:val="dotted" w:sz="4" w:space="0" w:color="auto"/>
              <w:left w:val="single" w:sz="4" w:space="0" w:color="auto"/>
            </w:tcBorders>
            <w:shd w:val="clear" w:color="auto" w:fill="auto"/>
          </w:tcPr>
          <w:p w:rsidR="0061232B" w:rsidRPr="007C5F59" w:rsidRDefault="0061232B" w:rsidP="00E84BAD">
            <w:pPr>
              <w:spacing w:after="0" w:line="240" w:lineRule="auto"/>
              <w:jc w:val="center"/>
              <w:rPr>
                <w:rFonts w:cstheme="minorHAnsi"/>
                <w:i/>
                <w:iCs/>
                <w:sz w:val="18"/>
                <w:szCs w:val="18"/>
              </w:rPr>
            </w:pPr>
          </w:p>
        </w:tc>
        <w:tc>
          <w:tcPr>
            <w:tcW w:w="1170" w:type="dxa"/>
            <w:vMerge/>
            <w:shd w:val="clear" w:color="auto" w:fill="auto"/>
          </w:tcPr>
          <w:p w:rsidR="0061232B" w:rsidRPr="007C5F59" w:rsidRDefault="0061232B" w:rsidP="00E84BAD">
            <w:pPr>
              <w:spacing w:after="0" w:line="240" w:lineRule="auto"/>
              <w:jc w:val="center"/>
              <w:rPr>
                <w:rFonts w:cstheme="minorHAnsi"/>
                <w:sz w:val="18"/>
                <w:szCs w:val="18"/>
              </w:rPr>
            </w:pPr>
          </w:p>
        </w:tc>
        <w:tc>
          <w:tcPr>
            <w:tcW w:w="2430" w:type="dxa"/>
            <w:vMerge/>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rPr>
          <w:trHeight w:val="226"/>
        </w:trPr>
        <w:tc>
          <w:tcPr>
            <w:tcW w:w="2970" w:type="dxa"/>
            <w:vMerge w:val="restar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Output 9: Livestoc</w:t>
            </w:r>
            <w:r>
              <w:rPr>
                <w:rFonts w:cstheme="minorHAnsi"/>
                <w:sz w:val="18"/>
                <w:szCs w:val="18"/>
              </w:rPr>
              <w:t>k</w:t>
            </w:r>
            <w:r w:rsidRPr="007C5F59">
              <w:rPr>
                <w:rFonts w:cstheme="minorHAnsi"/>
                <w:sz w:val="18"/>
                <w:szCs w:val="18"/>
              </w:rPr>
              <w:t xml:space="preserve"> Demo and Training</w:t>
            </w:r>
          </w:p>
        </w:tc>
        <w:tc>
          <w:tcPr>
            <w:tcW w:w="900" w:type="dxa"/>
            <w:vMerge/>
            <w:shd w:val="clear" w:color="auto" w:fill="auto"/>
          </w:tcPr>
          <w:p w:rsidR="0061232B" w:rsidRPr="007C5F59" w:rsidRDefault="0061232B" w:rsidP="00E84BAD">
            <w:pPr>
              <w:spacing w:after="0" w:line="240" w:lineRule="auto"/>
              <w:jc w:val="center"/>
              <w:rPr>
                <w:rFonts w:cstheme="minorHAnsi"/>
                <w:sz w:val="18"/>
                <w:szCs w:val="18"/>
              </w:rPr>
            </w:pPr>
          </w:p>
        </w:tc>
        <w:tc>
          <w:tcPr>
            <w:tcW w:w="720" w:type="dxa"/>
            <w:tcBorders>
              <w:bottom w:val="dotted"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900" w:type="dxa"/>
            <w:tcBorders>
              <w:bottom w:val="dotted"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0</w:t>
            </w:r>
          </w:p>
        </w:tc>
        <w:tc>
          <w:tcPr>
            <w:tcW w:w="810" w:type="dxa"/>
            <w:tcBorders>
              <w:bottom w:val="dotted" w:sz="4" w:space="0" w:color="auto"/>
            </w:tcBorders>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216</w:t>
            </w:r>
          </w:p>
        </w:tc>
        <w:tc>
          <w:tcPr>
            <w:tcW w:w="810" w:type="dxa"/>
            <w:tcBorders>
              <w:bottom w:val="dotted" w:sz="4" w:space="0" w:color="auto"/>
              <w:right w:val="single"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152</w:t>
            </w:r>
          </w:p>
        </w:tc>
        <w:tc>
          <w:tcPr>
            <w:tcW w:w="810" w:type="dxa"/>
            <w:tcBorders>
              <w:left w:val="single" w:sz="4" w:space="0" w:color="auto"/>
              <w:bottom w:val="dotted" w:sz="4" w:space="0" w:color="auto"/>
              <w:right w:val="single"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146</w:t>
            </w:r>
          </w:p>
        </w:tc>
        <w:tc>
          <w:tcPr>
            <w:tcW w:w="1530" w:type="dxa"/>
            <w:tcBorders>
              <w:left w:val="single" w:sz="4" w:space="0" w:color="auto"/>
              <w:bottom w:val="dotted" w:sz="4" w:space="0" w:color="auto"/>
              <w:right w:val="single"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336</w:t>
            </w:r>
          </w:p>
        </w:tc>
        <w:tc>
          <w:tcPr>
            <w:tcW w:w="1260" w:type="dxa"/>
            <w:tcBorders>
              <w:left w:val="single" w:sz="4" w:space="0" w:color="auto"/>
              <w:bottom w:val="dotted" w:sz="4" w:space="0" w:color="auto"/>
            </w:tcBorders>
            <w:shd w:val="clear" w:color="auto" w:fill="auto"/>
          </w:tcPr>
          <w:p w:rsidR="0061232B" w:rsidRPr="007C5F59" w:rsidRDefault="0061232B" w:rsidP="00E84BAD">
            <w:pPr>
              <w:spacing w:after="0" w:line="240" w:lineRule="auto"/>
              <w:jc w:val="center"/>
              <w:rPr>
                <w:rFonts w:cstheme="minorHAnsi"/>
                <w:i/>
                <w:iCs/>
                <w:sz w:val="18"/>
                <w:szCs w:val="18"/>
              </w:rPr>
            </w:pPr>
          </w:p>
        </w:tc>
        <w:tc>
          <w:tcPr>
            <w:tcW w:w="1170" w:type="dxa"/>
            <w:vMerge w:val="restart"/>
            <w:shd w:val="clear" w:color="auto" w:fill="auto"/>
            <w:vAlign w:val="center"/>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&gt;100% of PT</w:t>
            </w:r>
          </w:p>
        </w:tc>
        <w:tc>
          <w:tcPr>
            <w:tcW w:w="2430" w:type="dxa"/>
            <w:vMerge w:val="restart"/>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rPr>
          <w:trHeight w:val="225"/>
        </w:trPr>
        <w:tc>
          <w:tcPr>
            <w:tcW w:w="2970" w:type="dxa"/>
            <w:vMerge/>
            <w:shd w:val="clear" w:color="auto" w:fill="auto"/>
          </w:tcPr>
          <w:p w:rsidR="0061232B" w:rsidRPr="007C5F59" w:rsidRDefault="0061232B" w:rsidP="00E84BAD">
            <w:pPr>
              <w:spacing w:after="0" w:line="240" w:lineRule="auto"/>
              <w:rPr>
                <w:rFonts w:cstheme="minorHAnsi"/>
                <w:sz w:val="18"/>
                <w:szCs w:val="18"/>
              </w:rPr>
            </w:pPr>
          </w:p>
        </w:tc>
        <w:tc>
          <w:tcPr>
            <w:tcW w:w="900" w:type="dxa"/>
            <w:vMerge/>
            <w:shd w:val="clear" w:color="auto" w:fill="auto"/>
          </w:tcPr>
          <w:p w:rsidR="0061232B" w:rsidRPr="007C5F59" w:rsidRDefault="0061232B" w:rsidP="00E84BAD">
            <w:pPr>
              <w:spacing w:after="0" w:line="240" w:lineRule="auto"/>
              <w:jc w:val="center"/>
              <w:rPr>
                <w:rFonts w:cstheme="minorHAnsi"/>
                <w:sz w:val="18"/>
                <w:szCs w:val="18"/>
              </w:rPr>
            </w:pPr>
          </w:p>
        </w:tc>
        <w:tc>
          <w:tcPr>
            <w:tcW w:w="720" w:type="dxa"/>
            <w:tcBorders>
              <w:top w:val="dotted"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900" w:type="dxa"/>
            <w:tcBorders>
              <w:top w:val="dotted"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0</w:t>
            </w:r>
          </w:p>
        </w:tc>
        <w:tc>
          <w:tcPr>
            <w:tcW w:w="810" w:type="dxa"/>
            <w:tcBorders>
              <w:top w:val="dotted" w:sz="4" w:space="0" w:color="auto"/>
            </w:tcBorders>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168</w:t>
            </w:r>
          </w:p>
        </w:tc>
        <w:tc>
          <w:tcPr>
            <w:tcW w:w="810" w:type="dxa"/>
            <w:tcBorders>
              <w:top w:val="dotted" w:sz="4" w:space="0" w:color="auto"/>
              <w:right w:val="single"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244</w:t>
            </w:r>
          </w:p>
        </w:tc>
        <w:tc>
          <w:tcPr>
            <w:tcW w:w="810" w:type="dxa"/>
            <w:tcBorders>
              <w:top w:val="dotted" w:sz="4" w:space="0" w:color="auto"/>
              <w:left w:val="single" w:sz="4" w:space="0" w:color="auto"/>
              <w:right w:val="single"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820</w:t>
            </w:r>
          </w:p>
        </w:tc>
        <w:tc>
          <w:tcPr>
            <w:tcW w:w="1530" w:type="dxa"/>
            <w:tcBorders>
              <w:top w:val="dotted" w:sz="4" w:space="0" w:color="auto"/>
              <w:left w:val="single" w:sz="4" w:space="0" w:color="auto"/>
              <w:right w:val="single" w:sz="4" w:space="0" w:color="auto"/>
            </w:tcBorders>
            <w:shd w:val="clear" w:color="auto" w:fill="auto"/>
            <w:vAlign w:val="bottom"/>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623</w:t>
            </w:r>
          </w:p>
        </w:tc>
        <w:tc>
          <w:tcPr>
            <w:tcW w:w="1260" w:type="dxa"/>
            <w:tcBorders>
              <w:top w:val="dotted" w:sz="4" w:space="0" w:color="auto"/>
              <w:left w:val="single" w:sz="4" w:space="0" w:color="auto"/>
            </w:tcBorders>
            <w:shd w:val="clear" w:color="auto" w:fill="auto"/>
          </w:tcPr>
          <w:p w:rsidR="0061232B" w:rsidRPr="007C5F59" w:rsidRDefault="0061232B" w:rsidP="00E84BAD">
            <w:pPr>
              <w:spacing w:after="0" w:line="240" w:lineRule="auto"/>
              <w:jc w:val="center"/>
              <w:rPr>
                <w:rFonts w:cstheme="minorHAnsi"/>
                <w:i/>
                <w:iCs/>
                <w:sz w:val="18"/>
                <w:szCs w:val="18"/>
              </w:rPr>
            </w:pPr>
          </w:p>
        </w:tc>
        <w:tc>
          <w:tcPr>
            <w:tcW w:w="1170" w:type="dxa"/>
            <w:vMerge/>
            <w:shd w:val="clear" w:color="auto" w:fill="auto"/>
          </w:tcPr>
          <w:p w:rsidR="0061232B" w:rsidRPr="007C5F59" w:rsidRDefault="0061232B" w:rsidP="00E84BAD">
            <w:pPr>
              <w:spacing w:after="0" w:line="240" w:lineRule="auto"/>
              <w:rPr>
                <w:rFonts w:cstheme="minorHAnsi"/>
                <w:sz w:val="18"/>
                <w:szCs w:val="18"/>
              </w:rPr>
            </w:pPr>
          </w:p>
        </w:tc>
        <w:tc>
          <w:tcPr>
            <w:tcW w:w="2430" w:type="dxa"/>
            <w:vMerge/>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c>
          <w:tcPr>
            <w:tcW w:w="29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Output 10: Resilience of Coastal Communities through Water Management</w:t>
            </w:r>
          </w:p>
        </w:tc>
        <w:tc>
          <w:tcPr>
            <w:tcW w:w="90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180HH</w:t>
            </w:r>
          </w:p>
        </w:tc>
        <w:tc>
          <w:tcPr>
            <w:tcW w:w="72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90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810" w:type="dxa"/>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810" w:type="dxa"/>
            <w:tcBorders>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810" w:type="dxa"/>
            <w:tcBorders>
              <w:left w:val="single" w:sz="4" w:space="0" w:color="auto"/>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1530" w:type="dxa"/>
            <w:tcBorders>
              <w:left w:val="single" w:sz="4" w:space="0" w:color="auto"/>
              <w:righ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 xml:space="preserve">4.07 </w:t>
            </w:r>
            <w:r>
              <w:rPr>
                <w:rFonts w:cstheme="minorHAnsi"/>
                <w:sz w:val="18"/>
                <w:szCs w:val="18"/>
              </w:rPr>
              <w:t>k</w:t>
            </w:r>
            <w:r w:rsidRPr="007C5F59">
              <w:rPr>
                <w:rFonts w:cstheme="minorHAnsi"/>
                <w:sz w:val="18"/>
                <w:szCs w:val="18"/>
              </w:rPr>
              <w:t>m Emban</w:t>
            </w:r>
            <w:r>
              <w:rPr>
                <w:rFonts w:cstheme="minorHAnsi"/>
                <w:sz w:val="18"/>
                <w:szCs w:val="18"/>
              </w:rPr>
              <w:t>k</w:t>
            </w:r>
            <w:r w:rsidRPr="007C5F59">
              <w:rPr>
                <w:rFonts w:cstheme="minorHAnsi"/>
                <w:sz w:val="18"/>
                <w:szCs w:val="18"/>
              </w:rPr>
              <w:t>ment with</w:t>
            </w:r>
            <w:r w:rsidRPr="007C5F59">
              <w:rPr>
                <w:rFonts w:cstheme="minorHAnsi"/>
                <w:sz w:val="18"/>
                <w:szCs w:val="18"/>
              </w:rPr>
              <w:br/>
              <w:t>8 Reservoirs</w:t>
            </w:r>
          </w:p>
        </w:tc>
        <w:tc>
          <w:tcPr>
            <w:tcW w:w="1260" w:type="dxa"/>
            <w:tcBorders>
              <w:left w:val="single" w:sz="4" w:space="0" w:color="auto"/>
            </w:tcBorders>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Maintenance</w:t>
            </w:r>
          </w:p>
        </w:tc>
        <w:tc>
          <w:tcPr>
            <w:tcW w:w="117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100% of PT</w:t>
            </w:r>
          </w:p>
        </w:tc>
        <w:tc>
          <w:tcPr>
            <w:tcW w:w="2430" w:type="dxa"/>
            <w:shd w:val="clear" w:color="auto" w:fill="auto"/>
          </w:tcPr>
          <w:p w:rsidR="0061232B" w:rsidRPr="007C5F59" w:rsidRDefault="0061232B" w:rsidP="00E84BAD">
            <w:pPr>
              <w:spacing w:after="0" w:line="240" w:lineRule="auto"/>
              <w:rPr>
                <w:rFonts w:cstheme="minorHAnsi"/>
                <w:sz w:val="18"/>
                <w:szCs w:val="18"/>
              </w:rPr>
            </w:pPr>
          </w:p>
        </w:tc>
      </w:tr>
    </w:tbl>
    <w:p w:rsidR="0061232B" w:rsidRPr="00101739" w:rsidRDefault="0061232B" w:rsidP="0061232B">
      <w:pPr>
        <w:shd w:val="clear" w:color="auto" w:fill="92CDDC" w:themeFill="accent5" w:themeFillTint="99"/>
        <w:spacing w:after="0" w:line="240" w:lineRule="auto"/>
        <w:jc w:val="center"/>
        <w:rPr>
          <w:rFonts w:cstheme="minorHAnsi"/>
          <w:b/>
          <w:sz w:val="24"/>
          <w:szCs w:val="18"/>
        </w:rPr>
      </w:pPr>
      <w:r w:rsidRPr="00712E0B">
        <w:rPr>
          <w:rFonts w:cstheme="minorHAnsi"/>
          <w:b/>
          <w:sz w:val="24"/>
          <w:szCs w:val="18"/>
        </w:rPr>
        <w:t xml:space="preserve">STATUS OF THE BRESL PROJECT OUTPUTS </w:t>
      </w:r>
    </w:p>
    <w:tbl>
      <w:tblPr>
        <w:tblW w:w="143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2340"/>
        <w:gridCol w:w="900"/>
        <w:gridCol w:w="900"/>
        <w:gridCol w:w="1080"/>
        <w:gridCol w:w="990"/>
        <w:gridCol w:w="1170"/>
        <w:gridCol w:w="1170"/>
        <w:gridCol w:w="630"/>
        <w:gridCol w:w="900"/>
        <w:gridCol w:w="2430"/>
      </w:tblGrid>
      <w:tr w:rsidR="0061232B" w:rsidRPr="007C5F59" w:rsidTr="00E84BAD">
        <w:trPr>
          <w:tblHeader/>
        </w:trPr>
        <w:tc>
          <w:tcPr>
            <w:tcW w:w="1800" w:type="dxa"/>
            <w:shd w:val="clear" w:color="auto" w:fill="D6E3BC" w:themeFill="accent3" w:themeFillTint="66"/>
          </w:tcPr>
          <w:p w:rsidR="0061232B" w:rsidRPr="00EE283C" w:rsidRDefault="0061232B" w:rsidP="00E84BAD">
            <w:pPr>
              <w:spacing w:after="0" w:line="240" w:lineRule="auto"/>
              <w:rPr>
                <w:rFonts w:cstheme="minorHAnsi"/>
                <w:b/>
                <w:sz w:val="18"/>
                <w:szCs w:val="18"/>
              </w:rPr>
            </w:pPr>
            <w:r w:rsidRPr="00EE283C">
              <w:rPr>
                <w:rFonts w:cstheme="minorHAnsi"/>
                <w:b/>
                <w:bCs/>
                <w:sz w:val="18"/>
                <w:szCs w:val="18"/>
              </w:rPr>
              <w:t>Outcome/Output</w:t>
            </w:r>
          </w:p>
        </w:tc>
        <w:tc>
          <w:tcPr>
            <w:tcW w:w="2340" w:type="dxa"/>
            <w:shd w:val="clear" w:color="auto" w:fill="D6E3BC" w:themeFill="accent3" w:themeFillTint="66"/>
          </w:tcPr>
          <w:p w:rsidR="0061232B" w:rsidRPr="00E41408" w:rsidRDefault="0061232B" w:rsidP="00E84BAD">
            <w:pPr>
              <w:spacing w:after="0" w:line="240" w:lineRule="auto"/>
              <w:rPr>
                <w:rFonts w:cstheme="minorHAnsi"/>
                <w:b/>
                <w:sz w:val="18"/>
                <w:szCs w:val="18"/>
              </w:rPr>
            </w:pPr>
            <w:r w:rsidRPr="00E41408">
              <w:rPr>
                <w:rFonts w:cstheme="minorHAnsi"/>
                <w:b/>
                <w:bCs/>
                <w:iCs/>
                <w:sz w:val="18"/>
                <w:szCs w:val="18"/>
              </w:rPr>
              <w:t>Target</w:t>
            </w:r>
          </w:p>
        </w:tc>
        <w:tc>
          <w:tcPr>
            <w:tcW w:w="6840" w:type="dxa"/>
            <w:gridSpan w:val="7"/>
            <w:shd w:val="clear" w:color="auto" w:fill="D6E3BC" w:themeFill="accent3" w:themeFillTint="66"/>
          </w:tcPr>
          <w:p w:rsidR="0061232B" w:rsidRPr="007C5F59" w:rsidRDefault="0061232B" w:rsidP="00E84BAD">
            <w:pPr>
              <w:spacing w:after="0" w:line="240" w:lineRule="auto"/>
              <w:rPr>
                <w:rFonts w:cstheme="minorHAnsi"/>
                <w:b/>
                <w:sz w:val="18"/>
                <w:szCs w:val="18"/>
              </w:rPr>
            </w:pPr>
            <w:r w:rsidRPr="007C5F59">
              <w:rPr>
                <w:rFonts w:cstheme="minorHAnsi"/>
                <w:b/>
                <w:bCs/>
                <w:sz w:val="18"/>
                <w:szCs w:val="18"/>
              </w:rPr>
              <w:t>Achievement and the  Outputs</w:t>
            </w:r>
          </w:p>
        </w:tc>
        <w:tc>
          <w:tcPr>
            <w:tcW w:w="900" w:type="dxa"/>
            <w:shd w:val="clear" w:color="auto" w:fill="D6E3BC" w:themeFill="accent3" w:themeFillTint="66"/>
          </w:tcPr>
          <w:p w:rsidR="0061232B" w:rsidRPr="007C5F59" w:rsidRDefault="0061232B" w:rsidP="00E84BAD">
            <w:pPr>
              <w:spacing w:after="0" w:line="240" w:lineRule="auto"/>
              <w:rPr>
                <w:rFonts w:cstheme="minorHAnsi"/>
                <w:b/>
                <w:sz w:val="18"/>
                <w:szCs w:val="18"/>
              </w:rPr>
            </w:pPr>
            <w:r w:rsidRPr="007C5F59">
              <w:rPr>
                <w:rFonts w:cstheme="minorHAnsi"/>
                <w:b/>
                <w:sz w:val="18"/>
                <w:szCs w:val="18"/>
              </w:rPr>
              <w:t>Target Achieved</w:t>
            </w:r>
          </w:p>
        </w:tc>
        <w:tc>
          <w:tcPr>
            <w:tcW w:w="2430" w:type="dxa"/>
            <w:shd w:val="clear" w:color="auto" w:fill="D6E3BC" w:themeFill="accent3" w:themeFillTint="66"/>
          </w:tcPr>
          <w:p w:rsidR="0061232B" w:rsidRPr="007C5F59" w:rsidRDefault="0061232B" w:rsidP="00E84BAD">
            <w:pPr>
              <w:spacing w:after="0" w:line="240" w:lineRule="auto"/>
              <w:rPr>
                <w:rFonts w:cstheme="minorHAnsi"/>
                <w:b/>
                <w:sz w:val="18"/>
                <w:szCs w:val="18"/>
              </w:rPr>
            </w:pPr>
            <w:r w:rsidRPr="007C5F59">
              <w:rPr>
                <w:rFonts w:cstheme="minorHAnsi"/>
                <w:b/>
                <w:sz w:val="18"/>
                <w:szCs w:val="18"/>
              </w:rPr>
              <w:t>Remar</w:t>
            </w:r>
            <w:r>
              <w:rPr>
                <w:rFonts w:cstheme="minorHAnsi"/>
                <w:b/>
                <w:sz w:val="18"/>
                <w:szCs w:val="18"/>
              </w:rPr>
              <w:t>k</w:t>
            </w:r>
            <w:r w:rsidRPr="007C5F59">
              <w:rPr>
                <w:rFonts w:cstheme="minorHAnsi"/>
                <w:b/>
                <w:sz w:val="18"/>
                <w:szCs w:val="18"/>
              </w:rPr>
              <w:t>s/ Gaps</w:t>
            </w:r>
          </w:p>
        </w:tc>
      </w:tr>
      <w:tr w:rsidR="0061232B" w:rsidRPr="007C5F59" w:rsidTr="00E84BAD">
        <w:tc>
          <w:tcPr>
            <w:tcW w:w="1800" w:type="dxa"/>
            <w:shd w:val="clear" w:color="auto" w:fill="FDE9D9" w:themeFill="accent6" w:themeFillTint="33"/>
          </w:tcPr>
          <w:p w:rsidR="0061232B" w:rsidRPr="00EE283C" w:rsidRDefault="0061232B" w:rsidP="00E84BAD">
            <w:pPr>
              <w:spacing w:after="0" w:line="240" w:lineRule="auto"/>
              <w:rPr>
                <w:rFonts w:cstheme="minorHAnsi"/>
                <w:b/>
                <w:i/>
                <w:sz w:val="18"/>
                <w:szCs w:val="18"/>
              </w:rPr>
            </w:pPr>
            <w:r w:rsidRPr="00EE283C">
              <w:rPr>
                <w:rFonts w:cstheme="minorHAnsi"/>
                <w:b/>
                <w:sz w:val="18"/>
                <w:szCs w:val="18"/>
                <w:u w:val="single"/>
              </w:rPr>
              <w:t>Program Title:</w:t>
            </w:r>
          </w:p>
          <w:p w:rsidR="0061232B" w:rsidRPr="00EE283C" w:rsidRDefault="0061232B" w:rsidP="00E84BAD">
            <w:pPr>
              <w:spacing w:after="0" w:line="240" w:lineRule="auto"/>
              <w:rPr>
                <w:rFonts w:cstheme="minorHAnsi"/>
                <w:b/>
                <w:i/>
                <w:sz w:val="18"/>
                <w:szCs w:val="18"/>
              </w:rPr>
            </w:pPr>
            <w:r w:rsidRPr="00EE283C">
              <w:rPr>
                <w:rFonts w:cstheme="minorHAnsi"/>
                <w:b/>
                <w:i/>
                <w:sz w:val="18"/>
                <w:szCs w:val="18"/>
              </w:rPr>
              <w:t>Barrier Removal for Energy Standards and Labelling</w:t>
            </w:r>
          </w:p>
          <w:p w:rsidR="0061232B" w:rsidRPr="00EE283C" w:rsidRDefault="0061232B" w:rsidP="00E84BAD">
            <w:pPr>
              <w:spacing w:after="0" w:line="240" w:lineRule="auto"/>
              <w:rPr>
                <w:rFonts w:cstheme="minorHAnsi"/>
                <w:b/>
                <w:sz w:val="18"/>
                <w:szCs w:val="18"/>
              </w:rPr>
            </w:pPr>
            <w:r w:rsidRPr="00EE283C">
              <w:rPr>
                <w:rFonts w:cstheme="minorHAnsi"/>
                <w:b/>
                <w:sz w:val="18"/>
                <w:szCs w:val="18"/>
              </w:rPr>
              <w:t>(2010-2015)</w:t>
            </w:r>
          </w:p>
          <w:p w:rsidR="0061232B" w:rsidRPr="00EE283C" w:rsidRDefault="0061232B" w:rsidP="00E84BAD">
            <w:pPr>
              <w:spacing w:after="0" w:line="240" w:lineRule="auto"/>
              <w:rPr>
                <w:rFonts w:cstheme="minorHAnsi"/>
                <w:sz w:val="18"/>
                <w:szCs w:val="18"/>
              </w:rPr>
            </w:pPr>
          </w:p>
        </w:tc>
        <w:tc>
          <w:tcPr>
            <w:tcW w:w="2340" w:type="dxa"/>
            <w:shd w:val="clear" w:color="auto" w:fill="FDE9D9" w:themeFill="accent6" w:themeFillTint="33"/>
          </w:tcPr>
          <w:p w:rsidR="0061232B" w:rsidRPr="00E41408" w:rsidRDefault="0061232B" w:rsidP="00E84BAD">
            <w:pPr>
              <w:spacing w:after="0" w:line="240" w:lineRule="auto"/>
              <w:rPr>
                <w:rFonts w:cstheme="minorHAnsi"/>
                <w:sz w:val="18"/>
                <w:szCs w:val="18"/>
              </w:rPr>
            </w:pPr>
          </w:p>
        </w:tc>
        <w:tc>
          <w:tcPr>
            <w:tcW w:w="900" w:type="dxa"/>
            <w:shd w:val="clear" w:color="auto" w:fill="FDE9D9" w:themeFill="accent6" w:themeFillTint="33"/>
          </w:tcPr>
          <w:p w:rsidR="0061232B" w:rsidRPr="007C5F59" w:rsidRDefault="0061232B" w:rsidP="00E84BAD">
            <w:pPr>
              <w:spacing w:after="0" w:line="240" w:lineRule="auto"/>
              <w:rPr>
                <w:rFonts w:cstheme="minorHAnsi"/>
                <w:b/>
                <w:color w:val="000000"/>
                <w:sz w:val="18"/>
                <w:szCs w:val="18"/>
              </w:rPr>
            </w:pPr>
            <w:r w:rsidRPr="007C5F59">
              <w:rPr>
                <w:rFonts w:cstheme="minorHAnsi"/>
                <w:b/>
                <w:color w:val="000000"/>
                <w:sz w:val="18"/>
                <w:szCs w:val="18"/>
              </w:rPr>
              <w:t>Year 1</w:t>
            </w:r>
          </w:p>
          <w:p w:rsidR="0061232B" w:rsidRPr="007C5F59" w:rsidRDefault="0061232B" w:rsidP="00E84BAD">
            <w:pPr>
              <w:spacing w:after="0" w:line="240" w:lineRule="auto"/>
              <w:rPr>
                <w:rFonts w:cstheme="minorHAnsi"/>
                <w:b/>
                <w:color w:val="000000"/>
                <w:sz w:val="18"/>
                <w:szCs w:val="18"/>
              </w:rPr>
            </w:pPr>
          </w:p>
          <w:p w:rsidR="0061232B" w:rsidRPr="007C5F59" w:rsidRDefault="0061232B" w:rsidP="00E84BAD">
            <w:pPr>
              <w:spacing w:after="0" w:line="240" w:lineRule="auto"/>
              <w:rPr>
                <w:rFonts w:cstheme="minorHAnsi"/>
                <w:b/>
                <w:color w:val="000000"/>
                <w:sz w:val="18"/>
                <w:szCs w:val="18"/>
              </w:rPr>
            </w:pPr>
            <w:r w:rsidRPr="007C5F59">
              <w:rPr>
                <w:rFonts w:cstheme="minorHAnsi"/>
                <w:b/>
                <w:color w:val="000000"/>
                <w:sz w:val="18"/>
                <w:szCs w:val="18"/>
              </w:rPr>
              <w:t>(July 2010 )</w:t>
            </w:r>
          </w:p>
          <w:p w:rsidR="0061232B" w:rsidRPr="007C5F59" w:rsidRDefault="0061232B" w:rsidP="00E84BAD">
            <w:pPr>
              <w:spacing w:after="0" w:line="240" w:lineRule="auto"/>
              <w:rPr>
                <w:rFonts w:cstheme="minorHAnsi"/>
                <w:b/>
                <w:color w:val="000000"/>
                <w:sz w:val="18"/>
                <w:szCs w:val="18"/>
              </w:rPr>
            </w:pPr>
          </w:p>
          <w:p w:rsidR="0061232B" w:rsidRPr="007C5F59" w:rsidRDefault="0061232B" w:rsidP="00E84BAD">
            <w:pPr>
              <w:spacing w:after="0" w:line="240" w:lineRule="auto"/>
              <w:rPr>
                <w:rFonts w:cstheme="minorHAnsi"/>
                <w:b/>
                <w:color w:val="000000"/>
                <w:sz w:val="18"/>
                <w:szCs w:val="18"/>
              </w:rPr>
            </w:pPr>
            <w:r w:rsidRPr="007C5F59">
              <w:rPr>
                <w:rFonts w:cstheme="minorHAnsi"/>
                <w:b/>
                <w:color w:val="000000"/>
                <w:sz w:val="18"/>
                <w:szCs w:val="18"/>
              </w:rPr>
              <w:t>6 Month</w:t>
            </w:r>
          </w:p>
        </w:tc>
        <w:tc>
          <w:tcPr>
            <w:tcW w:w="900" w:type="dxa"/>
            <w:shd w:val="clear" w:color="auto" w:fill="FDE9D9" w:themeFill="accent6" w:themeFillTint="33"/>
          </w:tcPr>
          <w:p w:rsidR="0061232B" w:rsidRPr="007C5F59" w:rsidRDefault="0061232B" w:rsidP="00E84BAD">
            <w:pPr>
              <w:spacing w:after="0" w:line="240" w:lineRule="auto"/>
              <w:rPr>
                <w:rFonts w:cstheme="minorHAnsi"/>
                <w:b/>
                <w:color w:val="000000"/>
                <w:sz w:val="18"/>
                <w:szCs w:val="18"/>
              </w:rPr>
            </w:pPr>
            <w:r w:rsidRPr="007C5F59">
              <w:rPr>
                <w:rFonts w:cstheme="minorHAnsi"/>
                <w:b/>
                <w:color w:val="000000"/>
                <w:sz w:val="18"/>
                <w:szCs w:val="18"/>
              </w:rPr>
              <w:t xml:space="preserve">Year 2 </w:t>
            </w:r>
          </w:p>
          <w:p w:rsidR="0061232B" w:rsidRPr="007C5F59" w:rsidRDefault="0061232B" w:rsidP="00E84BAD">
            <w:pPr>
              <w:spacing w:after="0" w:line="240" w:lineRule="auto"/>
              <w:rPr>
                <w:rFonts w:cstheme="minorHAnsi"/>
                <w:b/>
                <w:color w:val="000000"/>
                <w:sz w:val="18"/>
                <w:szCs w:val="18"/>
              </w:rPr>
            </w:pPr>
          </w:p>
          <w:p w:rsidR="0061232B" w:rsidRPr="007C5F59" w:rsidRDefault="0061232B" w:rsidP="00E84BAD">
            <w:pPr>
              <w:spacing w:after="0" w:line="240" w:lineRule="auto"/>
              <w:rPr>
                <w:rFonts w:cstheme="minorHAnsi"/>
                <w:b/>
                <w:color w:val="000000"/>
                <w:sz w:val="18"/>
                <w:szCs w:val="18"/>
              </w:rPr>
            </w:pPr>
            <w:r w:rsidRPr="007C5F59">
              <w:rPr>
                <w:rFonts w:cstheme="minorHAnsi"/>
                <w:b/>
                <w:color w:val="000000"/>
                <w:sz w:val="18"/>
                <w:szCs w:val="18"/>
              </w:rPr>
              <w:t>(2011)</w:t>
            </w:r>
          </w:p>
          <w:p w:rsidR="0061232B" w:rsidRPr="007C5F59" w:rsidRDefault="0061232B" w:rsidP="00E84BAD">
            <w:pPr>
              <w:spacing w:after="0" w:line="240" w:lineRule="auto"/>
              <w:rPr>
                <w:rFonts w:cstheme="minorHAnsi"/>
                <w:b/>
                <w:color w:val="000000"/>
                <w:sz w:val="18"/>
                <w:szCs w:val="18"/>
              </w:rPr>
            </w:pPr>
          </w:p>
          <w:p w:rsidR="0061232B" w:rsidRPr="007C5F59" w:rsidRDefault="0061232B" w:rsidP="00E84BAD">
            <w:pPr>
              <w:spacing w:after="0" w:line="240" w:lineRule="auto"/>
              <w:rPr>
                <w:rFonts w:cstheme="minorHAnsi"/>
                <w:b/>
                <w:color w:val="000000"/>
                <w:sz w:val="18"/>
                <w:szCs w:val="18"/>
              </w:rPr>
            </w:pPr>
          </w:p>
          <w:p w:rsidR="0061232B" w:rsidRPr="007C5F59" w:rsidRDefault="0061232B" w:rsidP="00E84BAD">
            <w:pPr>
              <w:spacing w:after="0" w:line="240" w:lineRule="auto"/>
              <w:rPr>
                <w:rFonts w:cstheme="minorHAnsi"/>
                <w:b/>
                <w:color w:val="000000"/>
                <w:sz w:val="18"/>
                <w:szCs w:val="18"/>
              </w:rPr>
            </w:pPr>
            <w:r w:rsidRPr="007C5F59">
              <w:rPr>
                <w:rFonts w:cstheme="minorHAnsi"/>
                <w:b/>
                <w:color w:val="000000"/>
                <w:sz w:val="18"/>
                <w:szCs w:val="18"/>
              </w:rPr>
              <w:t>1 Year</w:t>
            </w:r>
          </w:p>
        </w:tc>
        <w:tc>
          <w:tcPr>
            <w:tcW w:w="1080" w:type="dxa"/>
            <w:shd w:val="clear" w:color="auto" w:fill="FDE9D9" w:themeFill="accent6" w:themeFillTint="33"/>
          </w:tcPr>
          <w:p w:rsidR="0061232B" w:rsidRPr="007C5F59" w:rsidRDefault="0061232B" w:rsidP="00E84BAD">
            <w:pPr>
              <w:spacing w:after="0" w:line="240" w:lineRule="auto"/>
              <w:rPr>
                <w:rFonts w:cstheme="minorHAnsi"/>
                <w:b/>
                <w:color w:val="000000"/>
                <w:sz w:val="18"/>
                <w:szCs w:val="18"/>
              </w:rPr>
            </w:pPr>
            <w:r w:rsidRPr="007C5F59">
              <w:rPr>
                <w:rFonts w:cstheme="minorHAnsi"/>
                <w:b/>
                <w:color w:val="000000"/>
                <w:sz w:val="18"/>
                <w:szCs w:val="18"/>
              </w:rPr>
              <w:t xml:space="preserve">Year 3 </w:t>
            </w:r>
          </w:p>
          <w:p w:rsidR="0061232B" w:rsidRPr="007C5F59" w:rsidRDefault="0061232B" w:rsidP="00E84BAD">
            <w:pPr>
              <w:spacing w:after="0" w:line="240" w:lineRule="auto"/>
              <w:rPr>
                <w:rFonts w:cstheme="minorHAnsi"/>
                <w:b/>
                <w:color w:val="000000"/>
                <w:sz w:val="18"/>
                <w:szCs w:val="18"/>
              </w:rPr>
            </w:pPr>
          </w:p>
          <w:p w:rsidR="0061232B" w:rsidRPr="007C5F59" w:rsidRDefault="0061232B" w:rsidP="00E84BAD">
            <w:pPr>
              <w:spacing w:after="0" w:line="240" w:lineRule="auto"/>
              <w:rPr>
                <w:rFonts w:cstheme="minorHAnsi"/>
                <w:b/>
                <w:color w:val="000000"/>
                <w:sz w:val="18"/>
                <w:szCs w:val="18"/>
              </w:rPr>
            </w:pPr>
            <w:r w:rsidRPr="007C5F59">
              <w:rPr>
                <w:rFonts w:cstheme="minorHAnsi"/>
                <w:b/>
                <w:color w:val="000000"/>
                <w:sz w:val="18"/>
                <w:szCs w:val="18"/>
              </w:rPr>
              <w:t>(2012)</w:t>
            </w:r>
          </w:p>
        </w:tc>
        <w:tc>
          <w:tcPr>
            <w:tcW w:w="990" w:type="dxa"/>
            <w:shd w:val="clear" w:color="auto" w:fill="FDE9D9" w:themeFill="accent6" w:themeFillTint="33"/>
          </w:tcPr>
          <w:p w:rsidR="0061232B" w:rsidRPr="007C5F59" w:rsidRDefault="0061232B" w:rsidP="00E84BAD">
            <w:pPr>
              <w:spacing w:after="0" w:line="240" w:lineRule="auto"/>
              <w:rPr>
                <w:rFonts w:cstheme="minorHAnsi"/>
                <w:b/>
                <w:color w:val="000000"/>
                <w:sz w:val="18"/>
                <w:szCs w:val="18"/>
              </w:rPr>
            </w:pPr>
            <w:r w:rsidRPr="007C5F59">
              <w:rPr>
                <w:rFonts w:cstheme="minorHAnsi"/>
                <w:b/>
                <w:color w:val="000000"/>
                <w:sz w:val="18"/>
                <w:szCs w:val="18"/>
              </w:rPr>
              <w:t>Year 4</w:t>
            </w:r>
          </w:p>
          <w:p w:rsidR="0061232B" w:rsidRPr="007C5F59" w:rsidRDefault="0061232B" w:rsidP="00E84BAD">
            <w:pPr>
              <w:spacing w:after="0" w:line="240" w:lineRule="auto"/>
              <w:rPr>
                <w:rFonts w:cstheme="minorHAnsi"/>
                <w:b/>
                <w:color w:val="000000"/>
                <w:sz w:val="18"/>
                <w:szCs w:val="18"/>
                <w:u w:val="single"/>
              </w:rPr>
            </w:pPr>
          </w:p>
          <w:p w:rsidR="0061232B" w:rsidRPr="007C5F59" w:rsidRDefault="0061232B" w:rsidP="00E84BAD">
            <w:pPr>
              <w:spacing w:after="0" w:line="240" w:lineRule="auto"/>
              <w:rPr>
                <w:rFonts w:cstheme="minorHAnsi"/>
                <w:b/>
                <w:color w:val="000000"/>
                <w:sz w:val="18"/>
                <w:szCs w:val="18"/>
              </w:rPr>
            </w:pPr>
            <w:r w:rsidRPr="007C5F59">
              <w:rPr>
                <w:rFonts w:cstheme="minorHAnsi"/>
                <w:b/>
                <w:color w:val="000000"/>
                <w:sz w:val="18"/>
                <w:szCs w:val="18"/>
              </w:rPr>
              <w:t>(2013)</w:t>
            </w:r>
          </w:p>
        </w:tc>
        <w:tc>
          <w:tcPr>
            <w:tcW w:w="1170" w:type="dxa"/>
            <w:shd w:val="clear" w:color="auto" w:fill="FDE9D9" w:themeFill="accent6" w:themeFillTint="33"/>
          </w:tcPr>
          <w:p w:rsidR="0061232B" w:rsidRPr="007C5F59" w:rsidRDefault="0061232B" w:rsidP="00E84BAD">
            <w:pPr>
              <w:spacing w:after="0" w:line="240" w:lineRule="auto"/>
              <w:rPr>
                <w:rFonts w:cstheme="minorHAnsi"/>
                <w:b/>
                <w:color w:val="000000"/>
                <w:sz w:val="18"/>
                <w:szCs w:val="18"/>
              </w:rPr>
            </w:pPr>
            <w:r w:rsidRPr="007C5F59">
              <w:rPr>
                <w:rFonts w:cstheme="minorHAnsi"/>
                <w:b/>
                <w:color w:val="000000"/>
                <w:sz w:val="18"/>
                <w:szCs w:val="18"/>
              </w:rPr>
              <w:t>Year 5</w:t>
            </w:r>
          </w:p>
          <w:p w:rsidR="0061232B" w:rsidRPr="007C5F59" w:rsidRDefault="0061232B" w:rsidP="00E84BAD">
            <w:pPr>
              <w:spacing w:after="0" w:line="240" w:lineRule="auto"/>
              <w:rPr>
                <w:rFonts w:cstheme="minorHAnsi"/>
                <w:b/>
                <w:color w:val="000000"/>
                <w:sz w:val="18"/>
                <w:szCs w:val="18"/>
              </w:rPr>
            </w:pPr>
          </w:p>
          <w:p w:rsidR="0061232B" w:rsidRPr="007C5F59" w:rsidRDefault="0061232B" w:rsidP="00E84BAD">
            <w:pPr>
              <w:spacing w:after="0" w:line="240" w:lineRule="auto"/>
              <w:rPr>
                <w:rFonts w:cstheme="minorHAnsi"/>
                <w:b/>
                <w:color w:val="000000"/>
                <w:sz w:val="18"/>
                <w:szCs w:val="18"/>
              </w:rPr>
            </w:pPr>
            <w:r w:rsidRPr="007C5F59">
              <w:rPr>
                <w:rFonts w:cstheme="minorHAnsi"/>
                <w:b/>
                <w:color w:val="000000"/>
                <w:sz w:val="18"/>
                <w:szCs w:val="18"/>
              </w:rPr>
              <w:t>(2014 )</w:t>
            </w:r>
          </w:p>
        </w:tc>
        <w:tc>
          <w:tcPr>
            <w:tcW w:w="1170" w:type="dxa"/>
            <w:shd w:val="clear" w:color="auto" w:fill="FDE9D9" w:themeFill="accent6" w:themeFillTint="33"/>
          </w:tcPr>
          <w:p w:rsidR="0061232B" w:rsidRPr="007C5F59" w:rsidRDefault="0061232B" w:rsidP="00E84BAD">
            <w:pPr>
              <w:spacing w:after="0" w:line="240" w:lineRule="auto"/>
              <w:rPr>
                <w:rFonts w:cstheme="minorHAnsi"/>
                <w:b/>
                <w:sz w:val="18"/>
                <w:szCs w:val="18"/>
              </w:rPr>
            </w:pPr>
            <w:r w:rsidRPr="007C5F59">
              <w:rPr>
                <w:rFonts w:cstheme="minorHAnsi"/>
                <w:b/>
                <w:sz w:val="18"/>
                <w:szCs w:val="18"/>
              </w:rPr>
              <w:t>Year 6</w:t>
            </w:r>
          </w:p>
          <w:p w:rsidR="0061232B" w:rsidRPr="007C5F59" w:rsidRDefault="0061232B" w:rsidP="00E84BAD">
            <w:pPr>
              <w:spacing w:after="0" w:line="240" w:lineRule="auto"/>
              <w:rPr>
                <w:rFonts w:cstheme="minorHAnsi"/>
                <w:b/>
                <w:sz w:val="18"/>
                <w:szCs w:val="18"/>
              </w:rPr>
            </w:pPr>
          </w:p>
          <w:p w:rsidR="0061232B" w:rsidRPr="007C5F59" w:rsidRDefault="0061232B" w:rsidP="00E84BAD">
            <w:pPr>
              <w:spacing w:after="0" w:line="240" w:lineRule="auto"/>
              <w:rPr>
                <w:rFonts w:cstheme="minorHAnsi"/>
                <w:b/>
                <w:sz w:val="18"/>
                <w:szCs w:val="18"/>
              </w:rPr>
            </w:pPr>
            <w:r w:rsidRPr="007C5F59">
              <w:rPr>
                <w:rFonts w:cstheme="minorHAnsi"/>
                <w:b/>
                <w:sz w:val="18"/>
                <w:szCs w:val="18"/>
              </w:rPr>
              <w:t>(June 2015)</w:t>
            </w:r>
          </w:p>
          <w:p w:rsidR="0061232B" w:rsidRPr="007C5F59" w:rsidRDefault="0061232B" w:rsidP="00E84BAD">
            <w:pPr>
              <w:spacing w:after="0" w:line="240" w:lineRule="auto"/>
              <w:rPr>
                <w:rFonts w:cstheme="minorHAnsi"/>
                <w:b/>
                <w:sz w:val="18"/>
                <w:szCs w:val="18"/>
              </w:rPr>
            </w:pPr>
          </w:p>
          <w:p w:rsidR="0061232B" w:rsidRPr="007C5F59" w:rsidRDefault="0061232B" w:rsidP="00E84BAD">
            <w:pPr>
              <w:spacing w:after="0" w:line="240" w:lineRule="auto"/>
              <w:rPr>
                <w:rFonts w:cstheme="minorHAnsi"/>
                <w:b/>
                <w:sz w:val="18"/>
                <w:szCs w:val="18"/>
              </w:rPr>
            </w:pPr>
            <w:r w:rsidRPr="007C5F59">
              <w:rPr>
                <w:rFonts w:cstheme="minorHAnsi"/>
                <w:b/>
                <w:sz w:val="18"/>
                <w:szCs w:val="18"/>
              </w:rPr>
              <w:t>6 Month</w:t>
            </w:r>
          </w:p>
        </w:tc>
        <w:tc>
          <w:tcPr>
            <w:tcW w:w="630" w:type="dxa"/>
            <w:shd w:val="clear" w:color="auto" w:fill="FDE9D9" w:themeFill="accent6" w:themeFillTint="33"/>
          </w:tcPr>
          <w:p w:rsidR="0061232B" w:rsidRPr="007C5F59" w:rsidRDefault="0061232B" w:rsidP="00E84BAD">
            <w:pPr>
              <w:spacing w:after="0" w:line="240" w:lineRule="auto"/>
              <w:rPr>
                <w:rFonts w:cstheme="minorHAnsi"/>
                <w:b/>
                <w:sz w:val="18"/>
                <w:szCs w:val="18"/>
              </w:rPr>
            </w:pPr>
            <w:r w:rsidRPr="007C5F59">
              <w:rPr>
                <w:rFonts w:cstheme="minorHAnsi"/>
                <w:b/>
                <w:sz w:val="18"/>
                <w:szCs w:val="18"/>
              </w:rPr>
              <w:t>Year</w:t>
            </w:r>
          </w:p>
          <w:p w:rsidR="0061232B" w:rsidRPr="007C5F59" w:rsidRDefault="0061232B" w:rsidP="00E84BAD">
            <w:pPr>
              <w:spacing w:after="0" w:line="240" w:lineRule="auto"/>
              <w:rPr>
                <w:rFonts w:cstheme="minorHAnsi"/>
                <w:b/>
                <w:sz w:val="18"/>
                <w:szCs w:val="18"/>
              </w:rPr>
            </w:pPr>
          </w:p>
          <w:p w:rsidR="0061232B" w:rsidRPr="007C5F59" w:rsidRDefault="0061232B" w:rsidP="00E84BAD">
            <w:pPr>
              <w:spacing w:after="0" w:line="240" w:lineRule="auto"/>
              <w:rPr>
                <w:rFonts w:cstheme="minorHAnsi"/>
                <w:b/>
                <w:sz w:val="18"/>
                <w:szCs w:val="18"/>
              </w:rPr>
            </w:pPr>
            <w:r w:rsidRPr="007C5F59">
              <w:rPr>
                <w:rFonts w:cstheme="minorHAnsi"/>
                <w:b/>
                <w:sz w:val="18"/>
                <w:szCs w:val="18"/>
              </w:rPr>
              <w:t xml:space="preserve"> 7</w:t>
            </w:r>
          </w:p>
          <w:p w:rsidR="0061232B" w:rsidRPr="007C5F59" w:rsidRDefault="0061232B" w:rsidP="00E84BAD">
            <w:pPr>
              <w:spacing w:after="0" w:line="240" w:lineRule="auto"/>
              <w:rPr>
                <w:rFonts w:cstheme="minorHAnsi"/>
                <w:b/>
                <w:sz w:val="18"/>
                <w:szCs w:val="18"/>
              </w:rPr>
            </w:pPr>
          </w:p>
        </w:tc>
        <w:tc>
          <w:tcPr>
            <w:tcW w:w="900" w:type="dxa"/>
            <w:shd w:val="clear" w:color="auto" w:fill="FDE9D9" w:themeFill="accent6" w:themeFillTint="33"/>
          </w:tcPr>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tc>
        <w:tc>
          <w:tcPr>
            <w:tcW w:w="2430" w:type="dxa"/>
            <w:shd w:val="clear" w:color="auto" w:fill="FDE9D9" w:themeFill="accent6" w:themeFillTint="33"/>
          </w:tcPr>
          <w:p w:rsidR="0061232B" w:rsidRPr="007C5F59" w:rsidRDefault="0061232B" w:rsidP="00E84BAD">
            <w:pPr>
              <w:spacing w:after="0" w:line="240" w:lineRule="auto"/>
              <w:rPr>
                <w:rFonts w:cstheme="minorHAnsi"/>
                <w:color w:val="000000"/>
                <w:sz w:val="18"/>
                <w:szCs w:val="18"/>
              </w:rPr>
            </w:pPr>
            <w:r w:rsidRPr="007C5F59">
              <w:rPr>
                <w:rFonts w:cstheme="minorHAnsi"/>
                <w:color w:val="000000"/>
                <w:sz w:val="18"/>
                <w:szCs w:val="18"/>
              </w:rPr>
              <w:t>BRESL Project was supposed to start in 2009, but for finalization of TPP (approval), Administrative order of each initiation and hiring of Project Staff too</w:t>
            </w:r>
            <w:r>
              <w:rPr>
                <w:rFonts w:cstheme="minorHAnsi"/>
                <w:color w:val="000000"/>
                <w:sz w:val="18"/>
                <w:szCs w:val="18"/>
              </w:rPr>
              <w:t>k</w:t>
            </w:r>
            <w:r w:rsidRPr="007C5F59">
              <w:rPr>
                <w:rFonts w:cstheme="minorHAnsi"/>
                <w:color w:val="000000"/>
                <w:sz w:val="18"/>
                <w:szCs w:val="18"/>
              </w:rPr>
              <w:t xml:space="preserve"> almost 1 year. Therefore, project activities have been started from July 2010 by nominating one National Project Director (NPD) from BSTI under Ministry of Industries (MoI).</w:t>
            </w:r>
          </w:p>
        </w:tc>
      </w:tr>
      <w:tr w:rsidR="0061232B" w:rsidRPr="007C5F59" w:rsidTr="00E84BAD">
        <w:tc>
          <w:tcPr>
            <w:tcW w:w="1800" w:type="dxa"/>
            <w:vMerge w:val="restart"/>
            <w:shd w:val="clear" w:color="auto" w:fill="auto"/>
          </w:tcPr>
          <w:p w:rsidR="0061232B" w:rsidRPr="00EE283C" w:rsidRDefault="0061232B" w:rsidP="00E84BAD">
            <w:pPr>
              <w:spacing w:after="0" w:line="240" w:lineRule="auto"/>
              <w:rPr>
                <w:rFonts w:cstheme="minorHAnsi"/>
                <w:b/>
                <w:sz w:val="18"/>
                <w:szCs w:val="18"/>
              </w:rPr>
            </w:pPr>
            <w:r w:rsidRPr="00EE283C">
              <w:rPr>
                <w:rFonts w:cstheme="minorHAnsi"/>
                <w:b/>
                <w:sz w:val="18"/>
                <w:szCs w:val="18"/>
              </w:rPr>
              <w:t>Output 1</w:t>
            </w:r>
          </w:p>
          <w:p w:rsidR="0061232B" w:rsidRPr="00EE283C" w:rsidRDefault="0061232B" w:rsidP="00E84BAD">
            <w:pPr>
              <w:spacing w:after="0" w:line="240" w:lineRule="auto"/>
              <w:rPr>
                <w:rFonts w:cstheme="minorHAnsi"/>
                <w:sz w:val="18"/>
                <w:szCs w:val="18"/>
              </w:rPr>
            </w:pPr>
          </w:p>
          <w:p w:rsidR="0061232B" w:rsidRPr="00EE283C" w:rsidRDefault="0061232B" w:rsidP="00E84BAD">
            <w:pPr>
              <w:spacing w:after="0" w:line="240" w:lineRule="auto"/>
              <w:rPr>
                <w:rFonts w:cstheme="minorHAnsi"/>
                <w:sz w:val="18"/>
                <w:szCs w:val="18"/>
              </w:rPr>
            </w:pPr>
          </w:p>
          <w:p w:rsidR="0061232B" w:rsidRPr="00EE283C" w:rsidRDefault="0061232B" w:rsidP="00E84BAD">
            <w:pPr>
              <w:spacing w:after="0" w:line="240" w:lineRule="auto"/>
              <w:rPr>
                <w:rFonts w:cstheme="minorHAnsi"/>
                <w:b/>
                <w:sz w:val="18"/>
                <w:szCs w:val="18"/>
              </w:rPr>
            </w:pPr>
            <w:r w:rsidRPr="00EE283C">
              <w:rPr>
                <w:rFonts w:cstheme="minorHAnsi"/>
                <w:b/>
                <w:bCs/>
                <w:sz w:val="18"/>
                <w:szCs w:val="18"/>
              </w:rPr>
              <w:t>ES &amp;L Policy Ma</w:t>
            </w:r>
            <w:r>
              <w:rPr>
                <w:rFonts w:cstheme="minorHAnsi"/>
                <w:b/>
                <w:bCs/>
                <w:sz w:val="18"/>
                <w:szCs w:val="18"/>
              </w:rPr>
              <w:t>k</w:t>
            </w:r>
            <w:r w:rsidRPr="00EE283C">
              <w:rPr>
                <w:rFonts w:cstheme="minorHAnsi"/>
                <w:b/>
                <w:bCs/>
                <w:sz w:val="18"/>
                <w:szCs w:val="18"/>
              </w:rPr>
              <w:t>ing Program</w:t>
            </w:r>
          </w:p>
        </w:tc>
        <w:tc>
          <w:tcPr>
            <w:tcW w:w="2340" w:type="dxa"/>
            <w:shd w:val="clear" w:color="auto" w:fill="auto"/>
          </w:tcPr>
          <w:p w:rsidR="0061232B" w:rsidRPr="00E41408" w:rsidRDefault="0061232B" w:rsidP="00E84BAD">
            <w:pPr>
              <w:spacing w:after="0" w:line="240" w:lineRule="auto"/>
              <w:rPr>
                <w:rFonts w:cstheme="minorHAnsi"/>
                <w:sz w:val="18"/>
                <w:szCs w:val="18"/>
              </w:rPr>
            </w:pPr>
            <w:r w:rsidRPr="00E41408">
              <w:rPr>
                <w:rFonts w:cstheme="minorHAnsi"/>
                <w:sz w:val="18"/>
                <w:szCs w:val="18"/>
              </w:rPr>
              <w:t>1.1.Standardization  of 6 BRESL Products (AC, Refrigerator, Electric Motor, Electric Fan, CFL, &amp; Electronic Ballast )</w:t>
            </w:r>
          </w:p>
        </w:tc>
        <w:tc>
          <w:tcPr>
            <w:tcW w:w="90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Initial Stage </w:t>
            </w:r>
          </w:p>
        </w:tc>
        <w:tc>
          <w:tcPr>
            <w:tcW w:w="90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Process on going </w:t>
            </w:r>
          </w:p>
        </w:tc>
        <w:tc>
          <w:tcPr>
            <w:tcW w:w="108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Formulation of  Bangladesh Standard (BDS) of 6 </w:t>
            </w:r>
            <w:r w:rsidRPr="007C5F59">
              <w:rPr>
                <w:rFonts w:cstheme="minorHAnsi"/>
                <w:sz w:val="18"/>
                <w:szCs w:val="18"/>
              </w:rPr>
              <w:lastRenderedPageBreak/>
              <w:t>products completed</w:t>
            </w:r>
          </w:p>
        </w:tc>
        <w:tc>
          <w:tcPr>
            <w:tcW w:w="99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lastRenderedPageBreak/>
              <w:t xml:space="preserve">Revised through FS Report by National </w:t>
            </w:r>
            <w:r w:rsidRPr="007C5F59">
              <w:rPr>
                <w:rFonts w:cstheme="minorHAnsi"/>
                <w:sz w:val="18"/>
                <w:szCs w:val="18"/>
              </w:rPr>
              <w:lastRenderedPageBreak/>
              <w:t xml:space="preserve">Expert (NE) </w:t>
            </w:r>
          </w:p>
        </w:tc>
        <w:tc>
          <w:tcPr>
            <w:tcW w:w="117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lastRenderedPageBreak/>
              <w:t xml:space="preserve">Finalized </w:t>
            </w: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Continuation</w:t>
            </w:r>
          </w:p>
        </w:tc>
        <w:tc>
          <w:tcPr>
            <w:tcW w:w="630" w:type="dxa"/>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90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100% of Project Target (PT)</w:t>
            </w:r>
          </w:p>
        </w:tc>
        <w:tc>
          <w:tcPr>
            <w:tcW w:w="243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r>
      <w:tr w:rsidR="0061232B" w:rsidRPr="007C5F59" w:rsidTr="00E84BAD">
        <w:tc>
          <w:tcPr>
            <w:tcW w:w="1800" w:type="dxa"/>
            <w:vMerge/>
            <w:shd w:val="clear" w:color="auto" w:fill="auto"/>
          </w:tcPr>
          <w:p w:rsidR="0061232B" w:rsidRPr="00EE283C" w:rsidRDefault="0061232B" w:rsidP="00E84BAD">
            <w:pPr>
              <w:spacing w:after="0" w:line="240" w:lineRule="auto"/>
              <w:rPr>
                <w:rFonts w:cstheme="minorHAnsi"/>
                <w:sz w:val="18"/>
                <w:szCs w:val="18"/>
              </w:rPr>
            </w:pPr>
          </w:p>
        </w:tc>
        <w:tc>
          <w:tcPr>
            <w:tcW w:w="2340" w:type="dxa"/>
            <w:shd w:val="clear" w:color="auto" w:fill="auto"/>
          </w:tcPr>
          <w:p w:rsidR="0061232B" w:rsidRPr="00E41408" w:rsidRDefault="0061232B" w:rsidP="00E84BAD">
            <w:pPr>
              <w:spacing w:after="0" w:line="240" w:lineRule="auto"/>
              <w:rPr>
                <w:rFonts w:cstheme="minorHAnsi"/>
                <w:sz w:val="18"/>
                <w:szCs w:val="18"/>
              </w:rPr>
            </w:pPr>
            <w:r w:rsidRPr="00E41408">
              <w:rPr>
                <w:rFonts w:cstheme="minorHAnsi"/>
                <w:sz w:val="18"/>
                <w:szCs w:val="18"/>
              </w:rPr>
              <w:t>1.2. Star Label Assignment for 6 BRESL Products  (AC, Refrigerator, Electric Motor, Electric Fan, CFL, &amp; Electronic Ballast )</w:t>
            </w:r>
          </w:p>
        </w:tc>
        <w:tc>
          <w:tcPr>
            <w:tcW w:w="90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Initial stage </w:t>
            </w:r>
          </w:p>
        </w:tc>
        <w:tc>
          <w:tcPr>
            <w:tcW w:w="90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Process on going</w:t>
            </w:r>
          </w:p>
        </w:tc>
        <w:tc>
          <w:tcPr>
            <w:tcW w:w="108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Process on going</w:t>
            </w:r>
          </w:p>
        </w:tc>
        <w:tc>
          <w:tcPr>
            <w:tcW w:w="99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Star label assignment of CFL  &amp; FAN completed</w:t>
            </w:r>
          </w:p>
        </w:tc>
        <w:tc>
          <w:tcPr>
            <w:tcW w:w="117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Star label assignment of Electronic Ballast (EB) completed</w:t>
            </w: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Process Continuation for new manufacturers of CFL, FAN &amp; EB</w:t>
            </w:r>
          </w:p>
        </w:tc>
        <w:tc>
          <w:tcPr>
            <w:tcW w:w="630" w:type="dxa"/>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90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50%  of PT</w:t>
            </w:r>
          </w:p>
        </w:tc>
        <w:tc>
          <w:tcPr>
            <w:tcW w:w="243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Lac</w:t>
            </w:r>
            <w:r>
              <w:rPr>
                <w:rFonts w:cstheme="minorHAnsi"/>
                <w:sz w:val="18"/>
                <w:szCs w:val="18"/>
              </w:rPr>
              <w:t>k</w:t>
            </w:r>
            <w:r w:rsidRPr="007C5F59">
              <w:rPr>
                <w:rFonts w:cstheme="minorHAnsi"/>
                <w:sz w:val="18"/>
                <w:szCs w:val="18"/>
              </w:rPr>
              <w:t xml:space="preserve"> of Lab Facilities for other 3 products (50%): AC, Refrigerator and Electric Motor. </w:t>
            </w:r>
          </w:p>
        </w:tc>
      </w:tr>
      <w:tr w:rsidR="0061232B" w:rsidRPr="007C5F59" w:rsidTr="00E84BAD">
        <w:tc>
          <w:tcPr>
            <w:tcW w:w="1800" w:type="dxa"/>
            <w:shd w:val="clear" w:color="auto" w:fill="auto"/>
          </w:tcPr>
          <w:p w:rsidR="0061232B" w:rsidRPr="00EE283C" w:rsidRDefault="0061232B" w:rsidP="00E84BAD">
            <w:pPr>
              <w:spacing w:after="0" w:line="240" w:lineRule="auto"/>
              <w:rPr>
                <w:rFonts w:cstheme="minorHAnsi"/>
                <w:b/>
                <w:sz w:val="18"/>
                <w:szCs w:val="18"/>
              </w:rPr>
            </w:pPr>
            <w:r w:rsidRPr="00EE283C">
              <w:rPr>
                <w:rFonts w:cstheme="minorHAnsi"/>
                <w:b/>
                <w:sz w:val="18"/>
                <w:szCs w:val="18"/>
              </w:rPr>
              <w:t>Output 2</w:t>
            </w:r>
          </w:p>
          <w:p w:rsidR="0061232B" w:rsidRPr="00EE283C" w:rsidRDefault="0061232B" w:rsidP="00E84BAD">
            <w:pPr>
              <w:rPr>
                <w:rFonts w:cstheme="minorHAnsi"/>
                <w:b/>
                <w:bCs/>
                <w:sz w:val="18"/>
                <w:szCs w:val="18"/>
              </w:rPr>
            </w:pPr>
            <w:r w:rsidRPr="00EE283C">
              <w:rPr>
                <w:rFonts w:cstheme="minorHAnsi"/>
                <w:b/>
                <w:bCs/>
                <w:sz w:val="18"/>
                <w:szCs w:val="18"/>
              </w:rPr>
              <w:t xml:space="preserve">ES&amp;L Capacity Building Program </w:t>
            </w:r>
          </w:p>
          <w:p w:rsidR="0061232B" w:rsidRPr="00EE283C" w:rsidRDefault="0061232B" w:rsidP="00E84BAD">
            <w:pPr>
              <w:spacing w:after="0" w:line="240" w:lineRule="auto"/>
              <w:rPr>
                <w:rFonts w:cstheme="minorHAnsi"/>
                <w:sz w:val="18"/>
                <w:szCs w:val="18"/>
              </w:rPr>
            </w:pPr>
          </w:p>
        </w:tc>
        <w:tc>
          <w:tcPr>
            <w:tcW w:w="2340" w:type="dxa"/>
            <w:shd w:val="clear" w:color="auto" w:fill="auto"/>
          </w:tcPr>
          <w:p w:rsidR="0061232B" w:rsidRPr="00E41408" w:rsidRDefault="0061232B" w:rsidP="00E84BAD">
            <w:pPr>
              <w:spacing w:after="0" w:line="240" w:lineRule="auto"/>
              <w:rPr>
                <w:rFonts w:cstheme="minorHAnsi"/>
                <w:sz w:val="18"/>
                <w:szCs w:val="18"/>
              </w:rPr>
            </w:pPr>
            <w:r w:rsidRPr="00E41408">
              <w:rPr>
                <w:rFonts w:cstheme="minorHAnsi"/>
                <w:sz w:val="18"/>
                <w:szCs w:val="18"/>
              </w:rPr>
              <w:t>5 nos. International TWG (Technical Wor</w:t>
            </w:r>
            <w:r>
              <w:rPr>
                <w:rFonts w:cstheme="minorHAnsi"/>
                <w:sz w:val="18"/>
                <w:szCs w:val="18"/>
              </w:rPr>
              <w:t>k</w:t>
            </w:r>
            <w:r w:rsidRPr="00E41408">
              <w:rPr>
                <w:rFonts w:cstheme="minorHAnsi"/>
                <w:sz w:val="18"/>
                <w:szCs w:val="18"/>
              </w:rPr>
              <w:t>ing Group) Meeting &amp; Local 54 nos.  TWG Meeting with  6 Counter Part Experts (CPE) &amp; 4  National experts (NE)</w:t>
            </w:r>
          </w:p>
        </w:tc>
        <w:tc>
          <w:tcPr>
            <w:tcW w:w="90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 Intl TWG,</w:t>
            </w: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 Local#4</w:t>
            </w:r>
          </w:p>
          <w:p w:rsidR="0061232B" w:rsidRPr="007C5F59" w:rsidRDefault="0061232B" w:rsidP="00E84BAD">
            <w:pPr>
              <w:spacing w:after="0" w:line="240" w:lineRule="auto"/>
              <w:rPr>
                <w:rFonts w:cstheme="minorHAnsi"/>
                <w:sz w:val="18"/>
                <w:szCs w:val="18"/>
              </w:rPr>
            </w:pPr>
            <w:r w:rsidRPr="007C5F59">
              <w:rPr>
                <w:rFonts w:cstheme="minorHAnsi"/>
                <w:sz w:val="18"/>
                <w:szCs w:val="18"/>
              </w:rPr>
              <w:t>TWG</w:t>
            </w:r>
          </w:p>
        </w:tc>
        <w:tc>
          <w:tcPr>
            <w:tcW w:w="90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1#Intl TWG,</w:t>
            </w:r>
          </w:p>
          <w:p w:rsidR="0061232B" w:rsidRPr="007C5F59" w:rsidRDefault="0061232B" w:rsidP="00E84BAD">
            <w:pPr>
              <w:spacing w:after="0" w:line="240" w:lineRule="auto"/>
              <w:rPr>
                <w:rFonts w:cstheme="minorHAnsi"/>
                <w:sz w:val="18"/>
                <w:szCs w:val="18"/>
              </w:rPr>
            </w:pPr>
            <w:r w:rsidRPr="007C5F59">
              <w:rPr>
                <w:rFonts w:cstheme="minorHAnsi"/>
                <w:sz w:val="18"/>
                <w:szCs w:val="18"/>
              </w:rPr>
              <w:t>Local #14 TWG</w:t>
            </w:r>
          </w:p>
        </w:tc>
        <w:tc>
          <w:tcPr>
            <w:tcW w:w="108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1 #Intl TWG, </w:t>
            </w:r>
          </w:p>
          <w:p w:rsidR="0061232B" w:rsidRPr="007C5F59" w:rsidRDefault="0061232B" w:rsidP="00E84BAD">
            <w:pPr>
              <w:spacing w:after="0" w:line="240" w:lineRule="auto"/>
              <w:rPr>
                <w:rFonts w:cstheme="minorHAnsi"/>
                <w:sz w:val="18"/>
                <w:szCs w:val="18"/>
              </w:rPr>
            </w:pPr>
            <w:r w:rsidRPr="007C5F59">
              <w:rPr>
                <w:rFonts w:cstheme="minorHAnsi"/>
                <w:sz w:val="18"/>
                <w:szCs w:val="18"/>
              </w:rPr>
              <w:t>Local #12 TWG</w:t>
            </w:r>
          </w:p>
        </w:tc>
        <w:tc>
          <w:tcPr>
            <w:tcW w:w="99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1 # Intl TWG, </w:t>
            </w:r>
          </w:p>
          <w:p w:rsidR="0061232B" w:rsidRPr="007C5F59" w:rsidRDefault="0061232B" w:rsidP="00E84BAD">
            <w:pPr>
              <w:spacing w:after="0" w:line="240" w:lineRule="auto"/>
              <w:rPr>
                <w:rFonts w:cstheme="minorHAnsi"/>
                <w:sz w:val="18"/>
                <w:szCs w:val="18"/>
              </w:rPr>
            </w:pPr>
            <w:r w:rsidRPr="007C5F59">
              <w:rPr>
                <w:rFonts w:cstheme="minorHAnsi"/>
                <w:sz w:val="18"/>
                <w:szCs w:val="18"/>
              </w:rPr>
              <w:t>Local #12 TWG</w:t>
            </w:r>
          </w:p>
        </w:tc>
        <w:tc>
          <w:tcPr>
            <w:tcW w:w="117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1 #Intl TWG, </w:t>
            </w:r>
          </w:p>
          <w:p w:rsidR="0061232B" w:rsidRPr="007C5F59" w:rsidRDefault="0061232B" w:rsidP="00E84BAD">
            <w:pPr>
              <w:spacing w:after="0" w:line="240" w:lineRule="auto"/>
              <w:rPr>
                <w:rFonts w:cstheme="minorHAnsi"/>
                <w:sz w:val="18"/>
                <w:szCs w:val="18"/>
              </w:rPr>
            </w:pPr>
            <w:r w:rsidRPr="007C5F59">
              <w:rPr>
                <w:rFonts w:cstheme="minorHAnsi"/>
                <w:sz w:val="18"/>
                <w:szCs w:val="18"/>
              </w:rPr>
              <w:t>Local #12 TWG</w:t>
            </w:r>
          </w:p>
        </w:tc>
        <w:tc>
          <w:tcPr>
            <w:tcW w:w="117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630" w:type="dxa"/>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90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100%  of PT </w:t>
            </w:r>
          </w:p>
        </w:tc>
        <w:tc>
          <w:tcPr>
            <w:tcW w:w="243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r>
      <w:tr w:rsidR="0061232B" w:rsidRPr="007C5F59" w:rsidTr="00E84BAD">
        <w:tc>
          <w:tcPr>
            <w:tcW w:w="1800" w:type="dxa"/>
            <w:shd w:val="clear" w:color="auto" w:fill="auto"/>
          </w:tcPr>
          <w:p w:rsidR="0061232B" w:rsidRPr="00EE283C" w:rsidRDefault="0061232B" w:rsidP="00E84BAD">
            <w:pPr>
              <w:spacing w:after="0" w:line="240" w:lineRule="auto"/>
              <w:rPr>
                <w:rFonts w:cstheme="minorHAnsi"/>
                <w:b/>
                <w:sz w:val="18"/>
                <w:szCs w:val="18"/>
              </w:rPr>
            </w:pPr>
            <w:r w:rsidRPr="00EE283C">
              <w:rPr>
                <w:rFonts w:cstheme="minorHAnsi"/>
                <w:b/>
                <w:sz w:val="18"/>
                <w:szCs w:val="18"/>
              </w:rPr>
              <w:t>Output 3</w:t>
            </w:r>
          </w:p>
          <w:p w:rsidR="0061232B" w:rsidRPr="00EE283C" w:rsidRDefault="0061232B" w:rsidP="00E84BAD">
            <w:pPr>
              <w:spacing w:after="0" w:line="240" w:lineRule="auto"/>
              <w:rPr>
                <w:rFonts w:cstheme="minorHAnsi"/>
                <w:b/>
                <w:sz w:val="18"/>
                <w:szCs w:val="18"/>
              </w:rPr>
            </w:pPr>
            <w:r w:rsidRPr="00EE283C">
              <w:rPr>
                <w:rFonts w:cstheme="minorHAnsi"/>
                <w:b/>
                <w:bCs/>
                <w:sz w:val="18"/>
                <w:szCs w:val="18"/>
              </w:rPr>
              <w:t>ES&amp;L Manufacturer Support Program</w:t>
            </w:r>
          </w:p>
        </w:tc>
        <w:tc>
          <w:tcPr>
            <w:tcW w:w="2340" w:type="dxa"/>
            <w:shd w:val="clear" w:color="auto" w:fill="auto"/>
          </w:tcPr>
          <w:p w:rsidR="0061232B" w:rsidRPr="00E41408" w:rsidRDefault="0061232B" w:rsidP="00E84BAD">
            <w:pPr>
              <w:spacing w:after="0" w:line="240" w:lineRule="auto"/>
              <w:rPr>
                <w:rFonts w:cstheme="minorHAnsi"/>
                <w:sz w:val="18"/>
                <w:szCs w:val="18"/>
              </w:rPr>
            </w:pPr>
            <w:r w:rsidRPr="00E41408">
              <w:rPr>
                <w:rFonts w:cstheme="minorHAnsi"/>
                <w:sz w:val="18"/>
                <w:szCs w:val="18"/>
              </w:rPr>
              <w:t>30 nos. of Training /Wor</w:t>
            </w:r>
            <w:r>
              <w:rPr>
                <w:rFonts w:cstheme="minorHAnsi"/>
                <w:sz w:val="18"/>
                <w:szCs w:val="18"/>
              </w:rPr>
              <w:t>k</w:t>
            </w:r>
            <w:r w:rsidRPr="00E41408">
              <w:rPr>
                <w:rFonts w:cstheme="minorHAnsi"/>
                <w:sz w:val="18"/>
                <w:szCs w:val="18"/>
              </w:rPr>
              <w:t>shop/Idea Exchange Meeting.</w:t>
            </w:r>
          </w:p>
        </w:tc>
        <w:tc>
          <w:tcPr>
            <w:tcW w:w="90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2 nos.</w:t>
            </w:r>
          </w:p>
        </w:tc>
        <w:tc>
          <w:tcPr>
            <w:tcW w:w="90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6 nos.</w:t>
            </w:r>
          </w:p>
        </w:tc>
        <w:tc>
          <w:tcPr>
            <w:tcW w:w="108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7 nos.</w:t>
            </w:r>
          </w:p>
        </w:tc>
        <w:tc>
          <w:tcPr>
            <w:tcW w:w="99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7 nos.</w:t>
            </w:r>
          </w:p>
        </w:tc>
        <w:tc>
          <w:tcPr>
            <w:tcW w:w="117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8 nos.</w:t>
            </w:r>
          </w:p>
        </w:tc>
        <w:tc>
          <w:tcPr>
            <w:tcW w:w="117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630" w:type="dxa"/>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90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100%  of  PT</w:t>
            </w:r>
          </w:p>
        </w:tc>
        <w:tc>
          <w:tcPr>
            <w:tcW w:w="243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r>
      <w:tr w:rsidR="0061232B" w:rsidRPr="007C5F59" w:rsidTr="00E84BAD">
        <w:tc>
          <w:tcPr>
            <w:tcW w:w="1800" w:type="dxa"/>
            <w:shd w:val="clear" w:color="auto" w:fill="auto"/>
          </w:tcPr>
          <w:p w:rsidR="0061232B" w:rsidRPr="00EE283C" w:rsidRDefault="0061232B" w:rsidP="00E84BAD">
            <w:pPr>
              <w:spacing w:after="0" w:line="240" w:lineRule="auto"/>
              <w:rPr>
                <w:rFonts w:cstheme="minorHAnsi"/>
                <w:b/>
                <w:sz w:val="18"/>
                <w:szCs w:val="18"/>
              </w:rPr>
            </w:pPr>
            <w:r w:rsidRPr="00EE283C">
              <w:rPr>
                <w:rFonts w:cstheme="minorHAnsi"/>
                <w:b/>
                <w:sz w:val="18"/>
                <w:szCs w:val="18"/>
              </w:rPr>
              <w:t>Output 4</w:t>
            </w:r>
          </w:p>
          <w:p w:rsidR="0061232B" w:rsidRPr="00EE283C" w:rsidRDefault="0061232B" w:rsidP="00E84BAD">
            <w:pPr>
              <w:spacing w:after="0" w:line="240" w:lineRule="auto"/>
              <w:rPr>
                <w:rFonts w:cstheme="minorHAnsi"/>
                <w:b/>
                <w:sz w:val="18"/>
                <w:szCs w:val="18"/>
              </w:rPr>
            </w:pPr>
            <w:r w:rsidRPr="00EE283C">
              <w:rPr>
                <w:rFonts w:cstheme="minorHAnsi"/>
                <w:b/>
                <w:bCs/>
                <w:sz w:val="18"/>
                <w:szCs w:val="18"/>
              </w:rPr>
              <w:t>ES&amp;L Regional Cooperation Program</w:t>
            </w:r>
          </w:p>
        </w:tc>
        <w:tc>
          <w:tcPr>
            <w:tcW w:w="2340" w:type="dxa"/>
            <w:shd w:val="clear" w:color="auto" w:fill="auto"/>
          </w:tcPr>
          <w:p w:rsidR="0061232B" w:rsidRPr="00E41408" w:rsidRDefault="0061232B" w:rsidP="00E84BAD">
            <w:pPr>
              <w:spacing w:after="0" w:line="240" w:lineRule="auto"/>
              <w:rPr>
                <w:rFonts w:cstheme="minorHAnsi"/>
                <w:sz w:val="18"/>
                <w:szCs w:val="18"/>
              </w:rPr>
            </w:pPr>
            <w:r w:rsidRPr="00E41408">
              <w:rPr>
                <w:rFonts w:cstheme="minorHAnsi"/>
                <w:sz w:val="18"/>
                <w:szCs w:val="18"/>
              </w:rPr>
              <w:t>6 nos. RPSC, 5 nos. TWG Meeting, 3nos. International Training and 1 no. Round Robin Testing</w:t>
            </w:r>
          </w:p>
        </w:tc>
        <w:tc>
          <w:tcPr>
            <w:tcW w:w="90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1 # TWG </w:t>
            </w:r>
          </w:p>
          <w:p w:rsidR="0061232B" w:rsidRPr="007C5F59" w:rsidRDefault="0061232B" w:rsidP="00E84BAD">
            <w:pPr>
              <w:spacing w:after="0" w:line="240" w:lineRule="auto"/>
              <w:rPr>
                <w:rFonts w:cstheme="minorHAnsi"/>
                <w:sz w:val="18"/>
                <w:szCs w:val="18"/>
              </w:rPr>
            </w:pPr>
          </w:p>
        </w:tc>
        <w:tc>
          <w:tcPr>
            <w:tcW w:w="90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 RPSC,</w:t>
            </w:r>
          </w:p>
          <w:p w:rsidR="0061232B" w:rsidRPr="007C5F59" w:rsidRDefault="0061232B" w:rsidP="00E84BAD">
            <w:pPr>
              <w:spacing w:after="0" w:line="240" w:lineRule="auto"/>
              <w:rPr>
                <w:rFonts w:cstheme="minorHAnsi"/>
                <w:sz w:val="18"/>
                <w:szCs w:val="18"/>
              </w:rPr>
            </w:pPr>
            <w:r w:rsidRPr="007C5F59">
              <w:rPr>
                <w:rFonts w:cstheme="minorHAnsi"/>
                <w:sz w:val="18"/>
                <w:szCs w:val="18"/>
              </w:rPr>
              <w:t>1 # TWG</w:t>
            </w:r>
          </w:p>
          <w:p w:rsidR="0061232B" w:rsidRPr="007C5F59" w:rsidRDefault="0061232B" w:rsidP="00E84BAD">
            <w:pPr>
              <w:spacing w:after="0" w:line="240" w:lineRule="auto"/>
              <w:rPr>
                <w:rFonts w:cstheme="minorHAnsi"/>
                <w:sz w:val="18"/>
                <w:szCs w:val="18"/>
              </w:rPr>
            </w:pPr>
          </w:p>
        </w:tc>
        <w:tc>
          <w:tcPr>
            <w:tcW w:w="108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 RPSC,</w:t>
            </w:r>
          </w:p>
          <w:p w:rsidR="0061232B" w:rsidRPr="007C5F59" w:rsidRDefault="0061232B" w:rsidP="00E84BAD">
            <w:pPr>
              <w:spacing w:after="0" w:line="240" w:lineRule="auto"/>
              <w:rPr>
                <w:rFonts w:cstheme="minorHAnsi"/>
                <w:sz w:val="18"/>
                <w:szCs w:val="18"/>
              </w:rPr>
            </w:pPr>
            <w:r w:rsidRPr="007C5F59">
              <w:rPr>
                <w:rFonts w:cstheme="minorHAnsi"/>
                <w:sz w:val="18"/>
                <w:szCs w:val="18"/>
              </w:rPr>
              <w:t>1 # TWG,</w:t>
            </w:r>
          </w:p>
          <w:p w:rsidR="0061232B" w:rsidRPr="007C5F59" w:rsidRDefault="0061232B" w:rsidP="00E84BAD">
            <w:pPr>
              <w:spacing w:after="0" w:line="240" w:lineRule="auto"/>
              <w:rPr>
                <w:rFonts w:cstheme="minorHAnsi"/>
                <w:sz w:val="18"/>
                <w:szCs w:val="18"/>
              </w:rPr>
            </w:pPr>
            <w:r w:rsidRPr="007C5F59">
              <w:rPr>
                <w:rFonts w:cstheme="minorHAnsi"/>
                <w:sz w:val="18"/>
                <w:szCs w:val="18"/>
              </w:rPr>
              <w:t>3 nos. Intl. Training completed</w:t>
            </w:r>
          </w:p>
        </w:tc>
        <w:tc>
          <w:tcPr>
            <w:tcW w:w="99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RPSC,</w:t>
            </w:r>
          </w:p>
          <w:p w:rsidR="0061232B" w:rsidRPr="007C5F59" w:rsidRDefault="0061232B" w:rsidP="00E84BAD">
            <w:pPr>
              <w:spacing w:after="0" w:line="240" w:lineRule="auto"/>
              <w:rPr>
                <w:rFonts w:cstheme="minorHAnsi"/>
                <w:sz w:val="18"/>
                <w:szCs w:val="18"/>
              </w:rPr>
            </w:pPr>
            <w:r w:rsidRPr="007C5F59">
              <w:rPr>
                <w:rFonts w:cstheme="minorHAnsi"/>
                <w:sz w:val="18"/>
                <w:szCs w:val="18"/>
              </w:rPr>
              <w:t>1 #TWG,</w:t>
            </w:r>
          </w:p>
          <w:p w:rsidR="0061232B" w:rsidRPr="007C5F59" w:rsidRDefault="0061232B" w:rsidP="00E84BAD">
            <w:pPr>
              <w:spacing w:after="0" w:line="240" w:lineRule="auto"/>
              <w:rPr>
                <w:rFonts w:cstheme="minorHAnsi"/>
                <w:sz w:val="18"/>
                <w:szCs w:val="18"/>
              </w:rPr>
            </w:pPr>
            <w:r w:rsidRPr="007C5F59">
              <w:rPr>
                <w:rFonts w:cstheme="minorHAnsi"/>
                <w:sz w:val="18"/>
                <w:szCs w:val="18"/>
              </w:rPr>
              <w:t>1 no. Round Robin Testing completed for Fan.</w:t>
            </w:r>
          </w:p>
        </w:tc>
        <w:tc>
          <w:tcPr>
            <w:tcW w:w="117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1 #RPSC,</w:t>
            </w:r>
          </w:p>
          <w:p w:rsidR="0061232B" w:rsidRPr="007C5F59" w:rsidRDefault="0061232B" w:rsidP="00E84BAD">
            <w:pPr>
              <w:spacing w:after="0" w:line="240" w:lineRule="auto"/>
              <w:rPr>
                <w:rFonts w:cstheme="minorHAnsi"/>
                <w:sz w:val="18"/>
                <w:szCs w:val="18"/>
              </w:rPr>
            </w:pPr>
            <w:r w:rsidRPr="007C5F59">
              <w:rPr>
                <w:rFonts w:cstheme="minorHAnsi"/>
                <w:sz w:val="18"/>
                <w:szCs w:val="18"/>
              </w:rPr>
              <w:t>1#TWG.</w:t>
            </w:r>
          </w:p>
          <w:p w:rsidR="0061232B" w:rsidRPr="007C5F59" w:rsidRDefault="0061232B" w:rsidP="00E84BAD">
            <w:pPr>
              <w:spacing w:after="0" w:line="240" w:lineRule="auto"/>
              <w:rPr>
                <w:rFonts w:cstheme="minorHAnsi"/>
                <w:sz w:val="18"/>
                <w:szCs w:val="18"/>
              </w:rPr>
            </w:pP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RPSC</w:t>
            </w:r>
          </w:p>
          <w:p w:rsidR="0061232B" w:rsidRPr="007C5F59" w:rsidRDefault="0061232B" w:rsidP="00E84BAD">
            <w:pPr>
              <w:spacing w:after="0" w:line="240" w:lineRule="auto"/>
              <w:rPr>
                <w:rFonts w:cstheme="minorHAnsi"/>
                <w:sz w:val="18"/>
                <w:szCs w:val="18"/>
              </w:rPr>
            </w:pPr>
          </w:p>
        </w:tc>
        <w:tc>
          <w:tcPr>
            <w:tcW w:w="630" w:type="dxa"/>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90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 100%  of  PT</w:t>
            </w:r>
          </w:p>
        </w:tc>
        <w:tc>
          <w:tcPr>
            <w:tcW w:w="243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Inception Meeting of BRESL Project in 2009 (which was 1</w:t>
            </w:r>
            <w:r w:rsidRPr="007C5F59">
              <w:rPr>
                <w:rFonts w:cstheme="minorHAnsi"/>
                <w:sz w:val="18"/>
                <w:szCs w:val="18"/>
                <w:vertAlign w:val="superscript"/>
              </w:rPr>
              <w:t>st</w:t>
            </w:r>
            <w:r w:rsidRPr="007C5F59">
              <w:rPr>
                <w:rFonts w:cstheme="minorHAnsi"/>
                <w:sz w:val="18"/>
                <w:szCs w:val="18"/>
              </w:rPr>
              <w:t>RPSC Meeting).</w:t>
            </w:r>
          </w:p>
          <w:p w:rsidR="0061232B" w:rsidRPr="007C5F59" w:rsidRDefault="0061232B" w:rsidP="00E84BAD">
            <w:pPr>
              <w:spacing w:after="0" w:line="240" w:lineRule="auto"/>
              <w:rPr>
                <w:rFonts w:cstheme="minorHAnsi"/>
                <w:sz w:val="18"/>
                <w:szCs w:val="18"/>
              </w:rPr>
            </w:pPr>
          </w:p>
        </w:tc>
      </w:tr>
      <w:tr w:rsidR="0061232B" w:rsidRPr="007C5F59" w:rsidTr="00E84BAD">
        <w:tc>
          <w:tcPr>
            <w:tcW w:w="1800" w:type="dxa"/>
            <w:shd w:val="clear" w:color="auto" w:fill="auto"/>
          </w:tcPr>
          <w:p w:rsidR="0061232B" w:rsidRPr="00EE283C" w:rsidRDefault="0061232B" w:rsidP="00E84BAD">
            <w:pPr>
              <w:spacing w:after="0" w:line="240" w:lineRule="auto"/>
              <w:rPr>
                <w:rFonts w:cstheme="minorHAnsi"/>
                <w:b/>
                <w:sz w:val="18"/>
                <w:szCs w:val="18"/>
              </w:rPr>
            </w:pPr>
            <w:r w:rsidRPr="00EE283C">
              <w:rPr>
                <w:rFonts w:cstheme="minorHAnsi"/>
                <w:b/>
                <w:sz w:val="18"/>
                <w:szCs w:val="18"/>
              </w:rPr>
              <w:t>Output 5</w:t>
            </w:r>
          </w:p>
          <w:p w:rsidR="0061232B" w:rsidRPr="00EE283C" w:rsidRDefault="0061232B" w:rsidP="00E84BAD">
            <w:pPr>
              <w:spacing w:after="0" w:line="240" w:lineRule="auto"/>
              <w:rPr>
                <w:rFonts w:cstheme="minorHAnsi"/>
                <w:b/>
                <w:sz w:val="18"/>
                <w:szCs w:val="18"/>
              </w:rPr>
            </w:pPr>
            <w:r w:rsidRPr="00EE283C">
              <w:rPr>
                <w:rFonts w:cstheme="minorHAnsi"/>
                <w:b/>
                <w:sz w:val="18"/>
                <w:szCs w:val="18"/>
              </w:rPr>
              <w:t>ES&amp; L Pilot Projects</w:t>
            </w:r>
          </w:p>
          <w:p w:rsidR="0061232B" w:rsidRPr="00EE283C" w:rsidRDefault="0061232B" w:rsidP="00E84BAD">
            <w:pPr>
              <w:spacing w:after="0" w:line="240" w:lineRule="auto"/>
              <w:rPr>
                <w:rFonts w:cstheme="minorHAnsi"/>
                <w:sz w:val="18"/>
                <w:szCs w:val="18"/>
              </w:rPr>
            </w:pPr>
          </w:p>
        </w:tc>
        <w:tc>
          <w:tcPr>
            <w:tcW w:w="2340" w:type="dxa"/>
            <w:shd w:val="clear" w:color="auto" w:fill="auto"/>
          </w:tcPr>
          <w:p w:rsidR="0061232B" w:rsidRPr="00E41408" w:rsidRDefault="0061232B" w:rsidP="00E84BAD">
            <w:pPr>
              <w:spacing w:after="0" w:line="240" w:lineRule="auto"/>
              <w:rPr>
                <w:rFonts w:cstheme="minorHAnsi"/>
                <w:sz w:val="18"/>
                <w:szCs w:val="18"/>
              </w:rPr>
            </w:pPr>
            <w:r w:rsidRPr="00E41408">
              <w:rPr>
                <w:rFonts w:cstheme="minorHAnsi"/>
                <w:sz w:val="18"/>
                <w:szCs w:val="18"/>
              </w:rPr>
              <w:t>Case Study of Pilot Project (1 no.).</w:t>
            </w:r>
          </w:p>
          <w:p w:rsidR="0061232B" w:rsidRPr="00E41408" w:rsidRDefault="0061232B" w:rsidP="00E84BAD">
            <w:pPr>
              <w:spacing w:after="0" w:line="240" w:lineRule="auto"/>
              <w:rPr>
                <w:rFonts w:cstheme="minorHAnsi"/>
                <w:sz w:val="18"/>
                <w:szCs w:val="18"/>
              </w:rPr>
            </w:pPr>
            <w:r w:rsidRPr="00E41408">
              <w:rPr>
                <w:rFonts w:cstheme="minorHAnsi"/>
                <w:sz w:val="18"/>
                <w:szCs w:val="18"/>
              </w:rPr>
              <w:t>Full Pilot Project (1 no.)</w:t>
            </w:r>
          </w:p>
        </w:tc>
        <w:tc>
          <w:tcPr>
            <w:tcW w:w="90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90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108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Case Study in Gazipur</w:t>
            </w:r>
            <w:r>
              <w:rPr>
                <w:rFonts w:cstheme="minorHAnsi"/>
                <w:sz w:val="18"/>
                <w:szCs w:val="18"/>
              </w:rPr>
              <w:t>K</w:t>
            </w:r>
            <w:r w:rsidRPr="007C5F59">
              <w:rPr>
                <w:rFonts w:cstheme="minorHAnsi"/>
                <w:sz w:val="18"/>
                <w:szCs w:val="18"/>
              </w:rPr>
              <w:t>aliganj (Sep- Dec 2012)</w:t>
            </w:r>
          </w:p>
        </w:tc>
        <w:tc>
          <w:tcPr>
            <w:tcW w:w="99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117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1 Full Pilot Project in Palash UZ at Narshingdi District (February-June  2014)</w:t>
            </w:r>
          </w:p>
        </w:tc>
        <w:tc>
          <w:tcPr>
            <w:tcW w:w="117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630" w:type="dxa"/>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c>
          <w:tcPr>
            <w:tcW w:w="90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100%  of  PT</w:t>
            </w:r>
          </w:p>
        </w:tc>
        <w:tc>
          <w:tcPr>
            <w:tcW w:w="2430" w:type="dxa"/>
            <w:shd w:val="clear" w:color="auto" w:fill="auto"/>
          </w:tcPr>
          <w:p w:rsidR="0061232B" w:rsidRPr="007C5F59" w:rsidRDefault="0061232B" w:rsidP="00E84BAD">
            <w:pPr>
              <w:spacing w:after="0" w:line="240" w:lineRule="auto"/>
              <w:jc w:val="center"/>
              <w:rPr>
                <w:rFonts w:cstheme="minorHAnsi"/>
                <w:sz w:val="18"/>
                <w:szCs w:val="18"/>
              </w:rPr>
            </w:pPr>
            <w:r w:rsidRPr="007C5F59">
              <w:rPr>
                <w:rFonts w:cstheme="minorHAnsi"/>
                <w:sz w:val="18"/>
                <w:szCs w:val="18"/>
              </w:rPr>
              <w:t>-</w:t>
            </w:r>
          </w:p>
        </w:tc>
      </w:tr>
    </w:tbl>
    <w:p w:rsidR="0061232B" w:rsidRPr="00712E0B" w:rsidRDefault="0061232B" w:rsidP="0061232B">
      <w:pPr>
        <w:shd w:val="clear" w:color="auto" w:fill="92CDDC" w:themeFill="accent5" w:themeFillTint="99"/>
        <w:spacing w:after="0" w:line="240" w:lineRule="auto"/>
        <w:jc w:val="center"/>
        <w:rPr>
          <w:rFonts w:cstheme="minorHAnsi"/>
          <w:b/>
          <w:sz w:val="24"/>
          <w:szCs w:val="18"/>
        </w:rPr>
      </w:pPr>
      <w:r w:rsidRPr="00712E0B">
        <w:rPr>
          <w:rFonts w:cstheme="minorHAnsi"/>
          <w:b/>
          <w:sz w:val="24"/>
          <w:szCs w:val="18"/>
        </w:rPr>
        <w:t>STATUS OF THE I</w:t>
      </w:r>
      <w:r>
        <w:rPr>
          <w:rFonts w:cstheme="minorHAnsi"/>
          <w:b/>
          <w:sz w:val="24"/>
          <w:szCs w:val="18"/>
        </w:rPr>
        <w:t>K</w:t>
      </w:r>
      <w:r w:rsidRPr="00712E0B">
        <w:rPr>
          <w:rFonts w:cstheme="minorHAnsi"/>
          <w:b/>
          <w:sz w:val="24"/>
          <w:szCs w:val="18"/>
        </w:rPr>
        <w:t xml:space="preserve">EMBI PROJECT OUTPUTS </w:t>
      </w:r>
    </w:p>
    <w:tbl>
      <w:tblPr>
        <w:tblW w:w="143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1800"/>
        <w:gridCol w:w="1260"/>
        <w:gridCol w:w="1170"/>
        <w:gridCol w:w="1170"/>
        <w:gridCol w:w="1170"/>
        <w:gridCol w:w="1260"/>
        <w:gridCol w:w="1440"/>
        <w:gridCol w:w="2250"/>
      </w:tblGrid>
      <w:tr w:rsidR="0061232B" w:rsidRPr="007C5F59" w:rsidTr="00E84BAD">
        <w:trPr>
          <w:tblHeader/>
        </w:trPr>
        <w:tc>
          <w:tcPr>
            <w:tcW w:w="2790" w:type="dxa"/>
            <w:shd w:val="clear" w:color="auto" w:fill="FABF8F" w:themeFill="accent6" w:themeFillTint="99"/>
          </w:tcPr>
          <w:p w:rsidR="0061232B" w:rsidRPr="007C5F59" w:rsidRDefault="0061232B" w:rsidP="00E84BAD">
            <w:pPr>
              <w:spacing w:after="0" w:line="240" w:lineRule="auto"/>
              <w:rPr>
                <w:rFonts w:cstheme="minorHAnsi"/>
                <w:b/>
                <w:sz w:val="18"/>
                <w:szCs w:val="18"/>
              </w:rPr>
            </w:pPr>
            <w:r w:rsidRPr="007C5F59">
              <w:rPr>
                <w:rFonts w:cstheme="minorHAnsi"/>
                <w:b/>
                <w:bCs/>
                <w:sz w:val="18"/>
                <w:szCs w:val="18"/>
              </w:rPr>
              <w:t>Outcome/Output</w:t>
            </w:r>
          </w:p>
        </w:tc>
        <w:tc>
          <w:tcPr>
            <w:tcW w:w="1800" w:type="dxa"/>
            <w:shd w:val="clear" w:color="auto" w:fill="FABF8F" w:themeFill="accent6" w:themeFillTint="99"/>
          </w:tcPr>
          <w:p w:rsidR="0061232B" w:rsidRPr="007C5F59" w:rsidRDefault="0061232B" w:rsidP="00E84BAD">
            <w:pPr>
              <w:spacing w:after="0" w:line="240" w:lineRule="auto"/>
              <w:rPr>
                <w:rFonts w:cstheme="minorHAnsi"/>
                <w:b/>
                <w:sz w:val="18"/>
                <w:szCs w:val="18"/>
              </w:rPr>
            </w:pPr>
            <w:r w:rsidRPr="007C5F59">
              <w:rPr>
                <w:rFonts w:cstheme="minorHAnsi"/>
                <w:b/>
                <w:bCs/>
                <w:iCs/>
                <w:sz w:val="18"/>
                <w:szCs w:val="18"/>
              </w:rPr>
              <w:t>Target</w:t>
            </w:r>
          </w:p>
        </w:tc>
        <w:tc>
          <w:tcPr>
            <w:tcW w:w="6030" w:type="dxa"/>
            <w:gridSpan w:val="5"/>
            <w:shd w:val="clear" w:color="auto" w:fill="FABF8F" w:themeFill="accent6" w:themeFillTint="99"/>
          </w:tcPr>
          <w:p w:rsidR="0061232B" w:rsidRPr="007C5F59" w:rsidRDefault="0061232B" w:rsidP="00E84BAD">
            <w:pPr>
              <w:spacing w:after="0" w:line="240" w:lineRule="auto"/>
              <w:rPr>
                <w:rFonts w:cstheme="minorHAnsi"/>
                <w:b/>
                <w:sz w:val="18"/>
                <w:szCs w:val="18"/>
              </w:rPr>
            </w:pPr>
            <w:r w:rsidRPr="007C5F59">
              <w:rPr>
                <w:rFonts w:cstheme="minorHAnsi"/>
                <w:b/>
                <w:bCs/>
                <w:sz w:val="18"/>
                <w:szCs w:val="18"/>
              </w:rPr>
              <w:t>Achievement and the 2014 Outputs</w:t>
            </w:r>
          </w:p>
        </w:tc>
        <w:tc>
          <w:tcPr>
            <w:tcW w:w="1440" w:type="dxa"/>
            <w:shd w:val="clear" w:color="auto" w:fill="FABF8F" w:themeFill="accent6" w:themeFillTint="99"/>
          </w:tcPr>
          <w:p w:rsidR="0061232B" w:rsidRPr="007C5F59" w:rsidRDefault="0061232B" w:rsidP="00E84BAD">
            <w:pPr>
              <w:spacing w:after="0" w:line="240" w:lineRule="auto"/>
              <w:rPr>
                <w:rFonts w:cstheme="minorHAnsi"/>
                <w:b/>
                <w:sz w:val="18"/>
                <w:szCs w:val="18"/>
              </w:rPr>
            </w:pPr>
            <w:r w:rsidRPr="007C5F59">
              <w:rPr>
                <w:rFonts w:cstheme="minorHAnsi"/>
                <w:b/>
                <w:sz w:val="18"/>
                <w:szCs w:val="18"/>
              </w:rPr>
              <w:t>Estimated Final Outputs</w:t>
            </w:r>
          </w:p>
        </w:tc>
        <w:tc>
          <w:tcPr>
            <w:tcW w:w="2250" w:type="dxa"/>
            <w:shd w:val="clear" w:color="auto" w:fill="FABF8F" w:themeFill="accent6" w:themeFillTint="99"/>
          </w:tcPr>
          <w:p w:rsidR="0061232B" w:rsidRPr="007C5F59" w:rsidRDefault="0061232B" w:rsidP="00E84BAD">
            <w:pPr>
              <w:spacing w:after="0" w:line="240" w:lineRule="auto"/>
              <w:rPr>
                <w:rFonts w:cstheme="minorHAnsi"/>
                <w:b/>
                <w:sz w:val="18"/>
                <w:szCs w:val="18"/>
              </w:rPr>
            </w:pPr>
            <w:r w:rsidRPr="007C5F59">
              <w:rPr>
                <w:rFonts w:cstheme="minorHAnsi"/>
                <w:b/>
                <w:sz w:val="18"/>
                <w:szCs w:val="18"/>
              </w:rPr>
              <w:t>Remar</w:t>
            </w:r>
            <w:r>
              <w:rPr>
                <w:rFonts w:cstheme="minorHAnsi"/>
                <w:b/>
                <w:sz w:val="18"/>
                <w:szCs w:val="18"/>
              </w:rPr>
              <w:t>k</w:t>
            </w:r>
            <w:r w:rsidRPr="007C5F59">
              <w:rPr>
                <w:rFonts w:cstheme="minorHAnsi"/>
                <w:b/>
                <w:sz w:val="18"/>
                <w:szCs w:val="18"/>
              </w:rPr>
              <w:t>s/ Gaps</w:t>
            </w:r>
          </w:p>
        </w:tc>
      </w:tr>
      <w:tr w:rsidR="0061232B" w:rsidRPr="007C5F59" w:rsidTr="00E84BAD">
        <w:trPr>
          <w:trHeight w:val="1097"/>
          <w:tblHeader/>
        </w:trPr>
        <w:tc>
          <w:tcPr>
            <w:tcW w:w="2790" w:type="dxa"/>
            <w:shd w:val="clear" w:color="auto" w:fill="C6D9F1" w:themeFill="text2" w:themeFillTint="33"/>
          </w:tcPr>
          <w:p w:rsidR="0061232B" w:rsidRPr="007C5F59" w:rsidRDefault="0061232B" w:rsidP="00E84BAD">
            <w:pPr>
              <w:spacing w:after="0" w:line="240" w:lineRule="auto"/>
              <w:rPr>
                <w:rFonts w:cstheme="minorHAnsi"/>
                <w:i/>
                <w:sz w:val="18"/>
                <w:szCs w:val="18"/>
              </w:rPr>
            </w:pPr>
            <w:r w:rsidRPr="007C5F59">
              <w:rPr>
                <w:rFonts w:cstheme="minorHAnsi"/>
                <w:sz w:val="18"/>
                <w:szCs w:val="18"/>
                <w:u w:val="single"/>
              </w:rPr>
              <w:lastRenderedPageBreak/>
              <w:t>Program Title:</w:t>
            </w:r>
          </w:p>
          <w:p w:rsidR="0061232B" w:rsidRPr="007C5F59" w:rsidRDefault="0061232B" w:rsidP="00E84BAD">
            <w:pPr>
              <w:spacing w:after="0" w:line="240" w:lineRule="auto"/>
              <w:rPr>
                <w:rFonts w:cstheme="minorHAnsi"/>
                <w:i/>
                <w:sz w:val="18"/>
                <w:szCs w:val="18"/>
              </w:rPr>
            </w:pPr>
            <w:r w:rsidRPr="007C5F59">
              <w:rPr>
                <w:rFonts w:cstheme="minorHAnsi"/>
                <w:i/>
                <w:sz w:val="18"/>
                <w:szCs w:val="18"/>
              </w:rPr>
              <w:t xml:space="preserve">Improving </w:t>
            </w:r>
            <w:r>
              <w:rPr>
                <w:rFonts w:cstheme="minorHAnsi"/>
                <w:i/>
                <w:sz w:val="18"/>
                <w:szCs w:val="18"/>
              </w:rPr>
              <w:t>K</w:t>
            </w:r>
            <w:r w:rsidRPr="007C5F59">
              <w:rPr>
                <w:rFonts w:cstheme="minorHAnsi"/>
                <w:i/>
                <w:sz w:val="18"/>
                <w:szCs w:val="18"/>
              </w:rPr>
              <w:t>iln Efficiency in the Bric</w:t>
            </w:r>
            <w:r>
              <w:rPr>
                <w:rFonts w:cstheme="minorHAnsi"/>
                <w:i/>
                <w:sz w:val="18"/>
                <w:szCs w:val="18"/>
              </w:rPr>
              <w:t>k</w:t>
            </w:r>
            <w:r w:rsidRPr="007C5F59">
              <w:rPr>
                <w:rFonts w:cstheme="minorHAnsi"/>
                <w:i/>
                <w:sz w:val="18"/>
                <w:szCs w:val="18"/>
              </w:rPr>
              <w:t xml:space="preserve"> Ma</w:t>
            </w:r>
            <w:r>
              <w:rPr>
                <w:rFonts w:cstheme="minorHAnsi"/>
                <w:i/>
                <w:sz w:val="18"/>
                <w:szCs w:val="18"/>
              </w:rPr>
              <w:t>k</w:t>
            </w:r>
            <w:r w:rsidRPr="007C5F59">
              <w:rPr>
                <w:rFonts w:cstheme="minorHAnsi"/>
                <w:i/>
                <w:sz w:val="18"/>
                <w:szCs w:val="18"/>
              </w:rPr>
              <w:t>ing Industry (I</w:t>
            </w:r>
            <w:r>
              <w:rPr>
                <w:rFonts w:cstheme="minorHAnsi"/>
                <w:i/>
                <w:sz w:val="18"/>
                <w:szCs w:val="18"/>
              </w:rPr>
              <w:t>K</w:t>
            </w:r>
            <w:r w:rsidRPr="007C5F59">
              <w:rPr>
                <w:rFonts w:cstheme="minorHAnsi"/>
                <w:i/>
                <w:sz w:val="18"/>
                <w:szCs w:val="18"/>
              </w:rPr>
              <w:t>EMBI)</w:t>
            </w:r>
          </w:p>
          <w:p w:rsidR="0061232B" w:rsidRPr="007C5F59" w:rsidRDefault="0061232B" w:rsidP="00E84BAD">
            <w:pPr>
              <w:spacing w:after="0" w:line="240" w:lineRule="auto"/>
              <w:rPr>
                <w:rFonts w:cstheme="minorHAnsi"/>
                <w:sz w:val="18"/>
                <w:szCs w:val="18"/>
              </w:rPr>
            </w:pPr>
            <w:r w:rsidRPr="007C5F59">
              <w:rPr>
                <w:rFonts w:cstheme="minorHAnsi"/>
                <w:sz w:val="18"/>
                <w:szCs w:val="18"/>
              </w:rPr>
              <w:t>(2009-2014)</w:t>
            </w:r>
          </w:p>
        </w:tc>
        <w:tc>
          <w:tcPr>
            <w:tcW w:w="1800" w:type="dxa"/>
            <w:shd w:val="clear" w:color="auto" w:fill="C6D9F1" w:themeFill="text2" w:themeFillTint="33"/>
          </w:tcPr>
          <w:p w:rsidR="0061232B" w:rsidRPr="007C5F59" w:rsidRDefault="0061232B" w:rsidP="00E84BAD">
            <w:pPr>
              <w:spacing w:after="0" w:line="240" w:lineRule="auto"/>
              <w:rPr>
                <w:rFonts w:cstheme="minorHAnsi"/>
                <w:sz w:val="18"/>
                <w:szCs w:val="18"/>
              </w:rPr>
            </w:pPr>
          </w:p>
        </w:tc>
        <w:tc>
          <w:tcPr>
            <w:tcW w:w="1260" w:type="dxa"/>
            <w:shd w:val="clear" w:color="auto" w:fill="C6D9F1" w:themeFill="text2" w:themeFillTint="33"/>
          </w:tcPr>
          <w:p w:rsidR="0061232B" w:rsidRPr="007C5F59" w:rsidRDefault="0061232B" w:rsidP="00E84BAD">
            <w:pPr>
              <w:spacing w:after="0" w:line="240" w:lineRule="auto"/>
              <w:rPr>
                <w:rFonts w:cstheme="minorHAnsi"/>
                <w:sz w:val="18"/>
                <w:szCs w:val="18"/>
              </w:rPr>
            </w:pPr>
            <w:r w:rsidRPr="007C5F59">
              <w:rPr>
                <w:rFonts w:cstheme="minorHAnsi"/>
                <w:sz w:val="18"/>
                <w:szCs w:val="18"/>
              </w:rPr>
              <w:t>Year 1</w:t>
            </w:r>
          </w:p>
          <w:p w:rsidR="0061232B" w:rsidRPr="007C5F59" w:rsidRDefault="0061232B" w:rsidP="00E84BAD">
            <w:pPr>
              <w:spacing w:after="0" w:line="240" w:lineRule="auto"/>
              <w:rPr>
                <w:rFonts w:cstheme="minorHAnsi"/>
                <w:sz w:val="18"/>
                <w:szCs w:val="18"/>
              </w:rPr>
            </w:pPr>
            <w:r w:rsidRPr="007C5F59">
              <w:rPr>
                <w:rFonts w:cstheme="minorHAnsi"/>
                <w:sz w:val="18"/>
                <w:szCs w:val="18"/>
              </w:rPr>
              <w:t>(2010)</w:t>
            </w:r>
          </w:p>
        </w:tc>
        <w:tc>
          <w:tcPr>
            <w:tcW w:w="1170" w:type="dxa"/>
            <w:shd w:val="clear" w:color="auto" w:fill="C6D9F1" w:themeFill="text2" w:themeFillTint="33"/>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Year 2 </w:t>
            </w:r>
          </w:p>
          <w:p w:rsidR="0061232B" w:rsidRPr="007C5F59" w:rsidRDefault="0061232B" w:rsidP="00E84BAD">
            <w:pPr>
              <w:spacing w:after="0" w:line="240" w:lineRule="auto"/>
              <w:rPr>
                <w:rFonts w:cstheme="minorHAnsi"/>
                <w:sz w:val="18"/>
                <w:szCs w:val="18"/>
              </w:rPr>
            </w:pPr>
            <w:r w:rsidRPr="007C5F59">
              <w:rPr>
                <w:rFonts w:cstheme="minorHAnsi"/>
                <w:sz w:val="18"/>
                <w:szCs w:val="18"/>
              </w:rPr>
              <w:t>(2011)</w:t>
            </w:r>
          </w:p>
        </w:tc>
        <w:tc>
          <w:tcPr>
            <w:tcW w:w="1170" w:type="dxa"/>
            <w:shd w:val="clear" w:color="auto" w:fill="C6D9F1" w:themeFill="text2" w:themeFillTint="33"/>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Year 3 </w:t>
            </w:r>
          </w:p>
          <w:p w:rsidR="0061232B" w:rsidRPr="007C5F59" w:rsidRDefault="0061232B" w:rsidP="00E84BAD">
            <w:pPr>
              <w:spacing w:after="0" w:line="240" w:lineRule="auto"/>
              <w:rPr>
                <w:rFonts w:cstheme="minorHAnsi"/>
                <w:sz w:val="18"/>
                <w:szCs w:val="18"/>
              </w:rPr>
            </w:pPr>
            <w:r w:rsidRPr="007C5F59">
              <w:rPr>
                <w:rFonts w:cstheme="minorHAnsi"/>
                <w:sz w:val="18"/>
                <w:szCs w:val="18"/>
              </w:rPr>
              <w:t>(2012)</w:t>
            </w:r>
          </w:p>
        </w:tc>
        <w:tc>
          <w:tcPr>
            <w:tcW w:w="1170" w:type="dxa"/>
            <w:shd w:val="clear" w:color="auto" w:fill="C6D9F1" w:themeFill="text2" w:themeFillTint="33"/>
          </w:tcPr>
          <w:p w:rsidR="0061232B" w:rsidRPr="007C5F59" w:rsidRDefault="0061232B" w:rsidP="00E84BAD">
            <w:pPr>
              <w:spacing w:after="0" w:line="240" w:lineRule="auto"/>
              <w:rPr>
                <w:rFonts w:cstheme="minorHAnsi"/>
                <w:sz w:val="18"/>
                <w:szCs w:val="18"/>
                <w:u w:val="single"/>
              </w:rPr>
            </w:pPr>
            <w:r w:rsidRPr="007C5F59">
              <w:rPr>
                <w:rFonts w:cstheme="minorHAnsi"/>
                <w:sz w:val="18"/>
                <w:szCs w:val="18"/>
              </w:rPr>
              <w:t xml:space="preserve">Year 4 </w:t>
            </w:r>
          </w:p>
          <w:p w:rsidR="0061232B" w:rsidRPr="007C5F59" w:rsidRDefault="0061232B" w:rsidP="00E84BAD">
            <w:pPr>
              <w:spacing w:after="0" w:line="240" w:lineRule="auto"/>
              <w:rPr>
                <w:rFonts w:cstheme="minorHAnsi"/>
                <w:sz w:val="18"/>
                <w:szCs w:val="18"/>
              </w:rPr>
            </w:pPr>
            <w:r w:rsidRPr="007C5F59">
              <w:rPr>
                <w:rFonts w:cstheme="minorHAnsi"/>
                <w:sz w:val="18"/>
                <w:szCs w:val="18"/>
              </w:rPr>
              <w:t>(2013)</w:t>
            </w:r>
          </w:p>
        </w:tc>
        <w:tc>
          <w:tcPr>
            <w:tcW w:w="1260" w:type="dxa"/>
            <w:shd w:val="clear" w:color="auto" w:fill="C6D9F1" w:themeFill="text2" w:themeFillTint="33"/>
          </w:tcPr>
          <w:p w:rsidR="0061232B" w:rsidRPr="007C5F59" w:rsidRDefault="0061232B" w:rsidP="00E84BAD">
            <w:pPr>
              <w:spacing w:after="0" w:line="240" w:lineRule="auto"/>
              <w:rPr>
                <w:rFonts w:cstheme="minorHAnsi"/>
                <w:sz w:val="18"/>
                <w:szCs w:val="18"/>
              </w:rPr>
            </w:pPr>
            <w:r w:rsidRPr="007C5F59">
              <w:rPr>
                <w:rFonts w:cstheme="minorHAnsi"/>
                <w:sz w:val="18"/>
                <w:szCs w:val="18"/>
              </w:rPr>
              <w:t>Year 5</w:t>
            </w:r>
          </w:p>
          <w:p w:rsidR="0061232B" w:rsidRPr="007C5F59" w:rsidRDefault="0061232B" w:rsidP="00E84BAD">
            <w:pPr>
              <w:spacing w:after="0" w:line="240" w:lineRule="auto"/>
              <w:rPr>
                <w:rFonts w:cstheme="minorHAnsi"/>
                <w:sz w:val="18"/>
                <w:szCs w:val="18"/>
                <w:u w:val="single"/>
              </w:rPr>
            </w:pPr>
            <w:r w:rsidRPr="007C5F59">
              <w:rPr>
                <w:rFonts w:cstheme="minorHAnsi"/>
                <w:sz w:val="18"/>
                <w:szCs w:val="18"/>
                <w:u w:val="single"/>
              </w:rPr>
              <w:t xml:space="preserve">Status upon completion </w:t>
            </w:r>
          </w:p>
          <w:p w:rsidR="0061232B" w:rsidRPr="007C5F59" w:rsidRDefault="0061232B" w:rsidP="00E84BAD">
            <w:pPr>
              <w:spacing w:after="0" w:line="240" w:lineRule="auto"/>
              <w:rPr>
                <w:rFonts w:cstheme="minorHAnsi"/>
                <w:sz w:val="18"/>
                <w:szCs w:val="18"/>
              </w:rPr>
            </w:pPr>
            <w:r w:rsidRPr="007C5F59">
              <w:rPr>
                <w:rFonts w:cstheme="minorHAnsi"/>
                <w:sz w:val="18"/>
                <w:szCs w:val="18"/>
              </w:rPr>
              <w:t>(2014)</w:t>
            </w:r>
          </w:p>
        </w:tc>
        <w:tc>
          <w:tcPr>
            <w:tcW w:w="1440" w:type="dxa"/>
            <w:shd w:val="clear" w:color="auto" w:fill="C6D9F1" w:themeFill="text2" w:themeFillTint="33"/>
          </w:tcPr>
          <w:p w:rsidR="0061232B" w:rsidRPr="007C5F59" w:rsidRDefault="0061232B" w:rsidP="00E84BAD">
            <w:pPr>
              <w:spacing w:after="0" w:line="240" w:lineRule="auto"/>
              <w:rPr>
                <w:rFonts w:cstheme="minorHAnsi"/>
                <w:sz w:val="18"/>
                <w:szCs w:val="18"/>
              </w:rPr>
            </w:pPr>
          </w:p>
        </w:tc>
        <w:tc>
          <w:tcPr>
            <w:tcW w:w="2250" w:type="dxa"/>
            <w:shd w:val="clear" w:color="auto" w:fill="C6D9F1" w:themeFill="text2" w:themeFillTint="33"/>
          </w:tcPr>
          <w:p w:rsidR="0061232B" w:rsidRPr="007C5F59" w:rsidRDefault="0061232B" w:rsidP="00E84BAD">
            <w:pPr>
              <w:spacing w:after="0" w:line="240" w:lineRule="auto"/>
              <w:rPr>
                <w:rFonts w:cstheme="minorHAnsi"/>
                <w:sz w:val="18"/>
                <w:szCs w:val="18"/>
              </w:rPr>
            </w:pPr>
          </w:p>
        </w:tc>
      </w:tr>
      <w:tr w:rsidR="0061232B" w:rsidRPr="007C5F59" w:rsidTr="00E84BAD">
        <w:tc>
          <w:tcPr>
            <w:tcW w:w="279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Output 1: Establishment of HH</w:t>
            </w:r>
            <w:r>
              <w:rPr>
                <w:rFonts w:cstheme="minorHAnsi"/>
                <w:sz w:val="18"/>
                <w:szCs w:val="18"/>
              </w:rPr>
              <w:t>K</w:t>
            </w:r>
            <w:r w:rsidRPr="007C5F59">
              <w:rPr>
                <w:rFonts w:cstheme="minorHAnsi"/>
                <w:sz w:val="18"/>
                <w:szCs w:val="18"/>
              </w:rPr>
              <w:t xml:space="preserve"> demo plants </w:t>
            </w:r>
          </w:p>
        </w:tc>
        <w:tc>
          <w:tcPr>
            <w:tcW w:w="1800" w:type="dxa"/>
            <w:shd w:val="clear" w:color="auto" w:fill="auto"/>
          </w:tcPr>
          <w:p w:rsidR="0061232B" w:rsidRPr="007C5F59" w:rsidRDefault="0061232B" w:rsidP="001E161B">
            <w:pPr>
              <w:numPr>
                <w:ilvl w:val="0"/>
                <w:numId w:val="57"/>
              </w:numPr>
              <w:spacing w:after="0" w:line="240" w:lineRule="auto"/>
              <w:ind w:left="197" w:hanging="197"/>
              <w:rPr>
                <w:rFonts w:cstheme="minorHAnsi"/>
                <w:sz w:val="18"/>
                <w:szCs w:val="18"/>
              </w:rPr>
            </w:pPr>
            <w:r w:rsidRPr="007C5F59">
              <w:rPr>
                <w:rFonts w:cstheme="minorHAnsi"/>
                <w:sz w:val="18"/>
                <w:szCs w:val="18"/>
              </w:rPr>
              <w:t>15 HH</w:t>
            </w:r>
            <w:r>
              <w:rPr>
                <w:rFonts w:cstheme="minorHAnsi"/>
                <w:sz w:val="18"/>
                <w:szCs w:val="18"/>
              </w:rPr>
              <w:t>K</w:t>
            </w:r>
            <w:r w:rsidRPr="007C5F59">
              <w:rPr>
                <w:rFonts w:cstheme="minorHAnsi"/>
                <w:sz w:val="18"/>
                <w:szCs w:val="18"/>
              </w:rPr>
              <w:t xml:space="preserve"> demo (direct project supported) </w:t>
            </w:r>
            <w:r>
              <w:rPr>
                <w:rFonts w:cstheme="minorHAnsi"/>
                <w:sz w:val="18"/>
                <w:szCs w:val="18"/>
              </w:rPr>
              <w:t>k</w:t>
            </w:r>
            <w:r w:rsidRPr="007C5F59">
              <w:rPr>
                <w:rFonts w:cstheme="minorHAnsi"/>
                <w:sz w:val="18"/>
                <w:szCs w:val="18"/>
              </w:rPr>
              <w:t xml:space="preserve">iln by end of the project </w:t>
            </w:r>
          </w:p>
          <w:p w:rsidR="0061232B" w:rsidRPr="007C5F59" w:rsidRDefault="0061232B" w:rsidP="00E84BAD">
            <w:pPr>
              <w:spacing w:after="0" w:line="240" w:lineRule="auto"/>
              <w:ind w:left="197"/>
              <w:rPr>
                <w:rFonts w:cstheme="minorHAnsi"/>
                <w:sz w:val="18"/>
                <w:szCs w:val="18"/>
              </w:rPr>
            </w:pPr>
          </w:p>
          <w:p w:rsidR="0061232B" w:rsidRPr="007C5F59" w:rsidRDefault="0061232B" w:rsidP="00E84BAD">
            <w:pPr>
              <w:spacing w:after="0" w:line="240" w:lineRule="auto"/>
              <w:ind w:left="197"/>
              <w:rPr>
                <w:rFonts w:cstheme="minorHAnsi"/>
                <w:sz w:val="18"/>
                <w:szCs w:val="18"/>
              </w:rPr>
            </w:pPr>
          </w:p>
          <w:p w:rsidR="0061232B" w:rsidRPr="007C5F59" w:rsidRDefault="0061232B" w:rsidP="001E161B">
            <w:pPr>
              <w:numPr>
                <w:ilvl w:val="0"/>
                <w:numId w:val="57"/>
              </w:numPr>
              <w:spacing w:after="0" w:line="240" w:lineRule="auto"/>
              <w:ind w:left="197" w:hanging="197"/>
              <w:rPr>
                <w:rFonts w:cstheme="minorHAnsi"/>
                <w:sz w:val="18"/>
                <w:szCs w:val="18"/>
              </w:rPr>
            </w:pPr>
            <w:r w:rsidRPr="007C5F59">
              <w:rPr>
                <w:rFonts w:cstheme="minorHAnsi"/>
                <w:sz w:val="18"/>
                <w:szCs w:val="18"/>
              </w:rPr>
              <w:t>20 HH</w:t>
            </w:r>
            <w:r>
              <w:rPr>
                <w:rFonts w:cstheme="minorHAnsi"/>
                <w:sz w:val="18"/>
                <w:szCs w:val="18"/>
              </w:rPr>
              <w:t>K</w:t>
            </w:r>
            <w:r w:rsidRPr="007C5F59">
              <w:rPr>
                <w:rFonts w:cstheme="minorHAnsi"/>
                <w:sz w:val="18"/>
                <w:szCs w:val="18"/>
              </w:rPr>
              <w:t xml:space="preserve"> replicated </w:t>
            </w:r>
            <w:r>
              <w:rPr>
                <w:rFonts w:cstheme="minorHAnsi"/>
                <w:sz w:val="18"/>
                <w:szCs w:val="18"/>
              </w:rPr>
              <w:t>k</w:t>
            </w:r>
            <w:r w:rsidRPr="007C5F59">
              <w:rPr>
                <w:rFonts w:cstheme="minorHAnsi"/>
                <w:sz w:val="18"/>
                <w:szCs w:val="18"/>
              </w:rPr>
              <w:t xml:space="preserve">iln by end of the project  </w:t>
            </w:r>
          </w:p>
        </w:tc>
        <w:tc>
          <w:tcPr>
            <w:tcW w:w="126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2 HH</w:t>
            </w:r>
            <w:r>
              <w:rPr>
                <w:rFonts w:cstheme="minorHAnsi"/>
                <w:sz w:val="18"/>
                <w:szCs w:val="18"/>
              </w:rPr>
              <w:t>K</w:t>
            </w:r>
            <w:r w:rsidRPr="007C5F59">
              <w:rPr>
                <w:rFonts w:cstheme="minorHAnsi"/>
                <w:sz w:val="18"/>
                <w:szCs w:val="18"/>
              </w:rPr>
              <w:t xml:space="preserve"> demo </w:t>
            </w:r>
            <w:r>
              <w:rPr>
                <w:rFonts w:cstheme="minorHAnsi"/>
                <w:sz w:val="18"/>
                <w:szCs w:val="18"/>
              </w:rPr>
              <w:t>k</w:t>
            </w:r>
            <w:r w:rsidRPr="007C5F59">
              <w:rPr>
                <w:rFonts w:cstheme="minorHAnsi"/>
                <w:sz w:val="18"/>
                <w:szCs w:val="18"/>
              </w:rPr>
              <w:t>ilns</w:t>
            </w:r>
          </w:p>
          <w:p w:rsidR="0061232B" w:rsidRPr="007C5F59" w:rsidRDefault="0061232B" w:rsidP="00E84BAD">
            <w:pPr>
              <w:spacing w:after="0" w:line="240" w:lineRule="auto"/>
              <w:rPr>
                <w:rFonts w:cstheme="minorHAnsi"/>
                <w:sz w:val="18"/>
                <w:szCs w:val="18"/>
              </w:rPr>
            </w:pP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0 HH</w:t>
            </w:r>
            <w:r>
              <w:rPr>
                <w:rFonts w:cstheme="minorHAnsi"/>
                <w:sz w:val="18"/>
                <w:szCs w:val="18"/>
              </w:rPr>
              <w:t>K</w:t>
            </w:r>
            <w:r w:rsidRPr="007C5F59">
              <w:rPr>
                <w:rFonts w:cstheme="minorHAnsi"/>
                <w:sz w:val="18"/>
                <w:szCs w:val="18"/>
              </w:rPr>
              <w:t xml:space="preserve"> demo </w:t>
            </w:r>
            <w:r>
              <w:rPr>
                <w:rFonts w:cstheme="minorHAnsi"/>
                <w:sz w:val="18"/>
                <w:szCs w:val="18"/>
              </w:rPr>
              <w:t>k</w:t>
            </w:r>
            <w:r w:rsidRPr="007C5F59">
              <w:rPr>
                <w:rFonts w:cstheme="minorHAnsi"/>
                <w:sz w:val="18"/>
                <w:szCs w:val="18"/>
              </w:rPr>
              <w:t xml:space="preserve">iln </w:t>
            </w: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HH</w:t>
            </w:r>
            <w:r>
              <w:rPr>
                <w:rFonts w:cstheme="minorHAnsi"/>
                <w:sz w:val="18"/>
                <w:szCs w:val="18"/>
              </w:rPr>
              <w:t>K</w:t>
            </w:r>
            <w:r w:rsidRPr="007C5F59">
              <w:rPr>
                <w:rFonts w:cstheme="minorHAnsi"/>
                <w:sz w:val="18"/>
                <w:szCs w:val="18"/>
              </w:rPr>
              <w:t xml:space="preserve"> demo </w:t>
            </w:r>
            <w:r>
              <w:rPr>
                <w:rFonts w:cstheme="minorHAnsi"/>
                <w:sz w:val="18"/>
                <w:szCs w:val="18"/>
              </w:rPr>
              <w:t>k</w:t>
            </w:r>
            <w:r w:rsidRPr="007C5F59">
              <w:rPr>
                <w:rFonts w:cstheme="minorHAnsi"/>
                <w:sz w:val="18"/>
                <w:szCs w:val="18"/>
              </w:rPr>
              <w:t xml:space="preserve">ilns </w:t>
            </w: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2 HH</w:t>
            </w:r>
            <w:r>
              <w:rPr>
                <w:rFonts w:cstheme="minorHAnsi"/>
                <w:sz w:val="18"/>
                <w:szCs w:val="18"/>
              </w:rPr>
              <w:t>K</w:t>
            </w:r>
            <w:r w:rsidRPr="007C5F59">
              <w:rPr>
                <w:rFonts w:cstheme="minorHAnsi"/>
                <w:sz w:val="18"/>
                <w:szCs w:val="18"/>
              </w:rPr>
              <w:t xml:space="preserve"> demo </w:t>
            </w:r>
            <w:r>
              <w:rPr>
                <w:rFonts w:cstheme="minorHAnsi"/>
                <w:sz w:val="18"/>
                <w:szCs w:val="18"/>
              </w:rPr>
              <w:t>k</w:t>
            </w:r>
            <w:r w:rsidRPr="007C5F59">
              <w:rPr>
                <w:rFonts w:cstheme="minorHAnsi"/>
                <w:sz w:val="18"/>
                <w:szCs w:val="18"/>
              </w:rPr>
              <w:t>ilns</w:t>
            </w: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r w:rsidRPr="007C5F59">
              <w:rPr>
                <w:rFonts w:cstheme="minorHAnsi"/>
                <w:sz w:val="18"/>
                <w:szCs w:val="18"/>
              </w:rPr>
              <w:t>47 HH</w:t>
            </w:r>
            <w:r>
              <w:rPr>
                <w:rFonts w:cstheme="minorHAnsi"/>
                <w:sz w:val="18"/>
                <w:szCs w:val="18"/>
              </w:rPr>
              <w:t>K</w:t>
            </w:r>
            <w:r w:rsidRPr="007C5F59">
              <w:rPr>
                <w:rFonts w:cstheme="minorHAnsi"/>
                <w:sz w:val="18"/>
                <w:szCs w:val="18"/>
              </w:rPr>
              <w:t xml:space="preserve"> replicated </w:t>
            </w:r>
            <w:r>
              <w:rPr>
                <w:rFonts w:cstheme="minorHAnsi"/>
                <w:sz w:val="18"/>
                <w:szCs w:val="18"/>
              </w:rPr>
              <w:t>k</w:t>
            </w:r>
            <w:r w:rsidRPr="007C5F59">
              <w:rPr>
                <w:rFonts w:cstheme="minorHAnsi"/>
                <w:sz w:val="18"/>
                <w:szCs w:val="18"/>
              </w:rPr>
              <w:t>iln</w:t>
            </w:r>
          </w:p>
        </w:tc>
        <w:tc>
          <w:tcPr>
            <w:tcW w:w="126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0 HH</w:t>
            </w:r>
            <w:r>
              <w:rPr>
                <w:rFonts w:cstheme="minorHAnsi"/>
                <w:sz w:val="18"/>
                <w:szCs w:val="18"/>
              </w:rPr>
              <w:t>K</w:t>
            </w:r>
            <w:r w:rsidRPr="007C5F59">
              <w:rPr>
                <w:rFonts w:cstheme="minorHAnsi"/>
                <w:sz w:val="18"/>
                <w:szCs w:val="18"/>
              </w:rPr>
              <w:t xml:space="preserve"> demo </w:t>
            </w:r>
            <w:r>
              <w:rPr>
                <w:rFonts w:cstheme="minorHAnsi"/>
                <w:sz w:val="18"/>
                <w:szCs w:val="18"/>
              </w:rPr>
              <w:t>k</w:t>
            </w:r>
            <w:r w:rsidRPr="007C5F59">
              <w:rPr>
                <w:rFonts w:cstheme="minorHAnsi"/>
                <w:sz w:val="18"/>
                <w:szCs w:val="18"/>
              </w:rPr>
              <w:t>ilns)</w:t>
            </w: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tc>
        <w:tc>
          <w:tcPr>
            <w:tcW w:w="144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5 HH</w:t>
            </w:r>
            <w:r>
              <w:rPr>
                <w:rFonts w:cstheme="minorHAnsi"/>
                <w:sz w:val="18"/>
                <w:szCs w:val="18"/>
              </w:rPr>
              <w:t>K</w:t>
            </w:r>
            <w:r w:rsidRPr="007C5F59">
              <w:rPr>
                <w:rFonts w:cstheme="minorHAnsi"/>
                <w:sz w:val="18"/>
                <w:szCs w:val="18"/>
              </w:rPr>
              <w:t xml:space="preserve"> demo </w:t>
            </w:r>
            <w:r>
              <w:rPr>
                <w:rFonts w:cstheme="minorHAnsi"/>
                <w:sz w:val="18"/>
                <w:szCs w:val="18"/>
              </w:rPr>
              <w:t>k</w:t>
            </w:r>
            <w:r w:rsidRPr="007C5F59">
              <w:rPr>
                <w:rFonts w:cstheme="minorHAnsi"/>
                <w:sz w:val="18"/>
                <w:szCs w:val="18"/>
              </w:rPr>
              <w:t xml:space="preserve">iln </w:t>
            </w: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r w:rsidRPr="007C5F59">
              <w:rPr>
                <w:rFonts w:cstheme="minorHAnsi"/>
                <w:sz w:val="18"/>
                <w:szCs w:val="18"/>
              </w:rPr>
              <w:t>47 HH</w:t>
            </w:r>
            <w:r>
              <w:rPr>
                <w:rFonts w:cstheme="minorHAnsi"/>
                <w:sz w:val="18"/>
                <w:szCs w:val="18"/>
              </w:rPr>
              <w:t>K</w:t>
            </w:r>
            <w:r w:rsidRPr="007C5F59">
              <w:rPr>
                <w:rFonts w:cstheme="minorHAnsi"/>
                <w:sz w:val="18"/>
                <w:szCs w:val="18"/>
              </w:rPr>
              <w:t xml:space="preserve"> replicated </w:t>
            </w:r>
            <w:r>
              <w:rPr>
                <w:rFonts w:cstheme="minorHAnsi"/>
                <w:sz w:val="18"/>
                <w:szCs w:val="18"/>
              </w:rPr>
              <w:t>k</w:t>
            </w:r>
            <w:r w:rsidRPr="007C5F59">
              <w:rPr>
                <w:rFonts w:cstheme="minorHAnsi"/>
                <w:sz w:val="18"/>
                <w:szCs w:val="18"/>
              </w:rPr>
              <w:t>iln</w:t>
            </w: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tc>
        <w:tc>
          <w:tcPr>
            <w:tcW w:w="225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Another 6 HH</w:t>
            </w:r>
            <w:r>
              <w:rPr>
                <w:rFonts w:cstheme="minorHAnsi"/>
                <w:sz w:val="18"/>
                <w:szCs w:val="18"/>
              </w:rPr>
              <w:t>K</w:t>
            </w:r>
            <w:r w:rsidRPr="007C5F59">
              <w:rPr>
                <w:rFonts w:cstheme="minorHAnsi"/>
                <w:sz w:val="18"/>
                <w:szCs w:val="18"/>
              </w:rPr>
              <w:t xml:space="preserve"> demo </w:t>
            </w:r>
            <w:r>
              <w:rPr>
                <w:rFonts w:cstheme="minorHAnsi"/>
                <w:sz w:val="18"/>
                <w:szCs w:val="18"/>
              </w:rPr>
              <w:t>k</w:t>
            </w:r>
            <w:r w:rsidRPr="007C5F59">
              <w:rPr>
                <w:rFonts w:cstheme="minorHAnsi"/>
                <w:sz w:val="18"/>
                <w:szCs w:val="18"/>
              </w:rPr>
              <w:t>ilns are in pipelined (in different phase of establishment process)</w:t>
            </w:r>
          </w:p>
        </w:tc>
      </w:tr>
      <w:tr w:rsidR="0061232B" w:rsidRPr="007C5F59" w:rsidTr="00E84BAD">
        <w:trPr>
          <w:trHeight w:val="1772"/>
        </w:trPr>
        <w:tc>
          <w:tcPr>
            <w:tcW w:w="279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Output 2: Carbon saving</w:t>
            </w:r>
          </w:p>
        </w:tc>
        <w:tc>
          <w:tcPr>
            <w:tcW w:w="1800" w:type="dxa"/>
            <w:shd w:val="clear" w:color="auto" w:fill="auto"/>
          </w:tcPr>
          <w:p w:rsidR="0061232B" w:rsidRPr="007C5F59" w:rsidRDefault="0061232B" w:rsidP="001E161B">
            <w:pPr>
              <w:numPr>
                <w:ilvl w:val="0"/>
                <w:numId w:val="57"/>
              </w:numPr>
              <w:spacing w:after="0" w:line="240" w:lineRule="auto"/>
              <w:ind w:left="197" w:hanging="197"/>
              <w:rPr>
                <w:rFonts w:cstheme="minorHAnsi"/>
                <w:sz w:val="18"/>
                <w:szCs w:val="18"/>
              </w:rPr>
            </w:pPr>
            <w:r w:rsidRPr="007C5F59">
              <w:rPr>
                <w:rFonts w:cstheme="minorHAnsi"/>
                <w:sz w:val="18"/>
                <w:szCs w:val="18"/>
              </w:rPr>
              <w:t xml:space="preserve">314 </w:t>
            </w:r>
            <w:r>
              <w:rPr>
                <w:rFonts w:cstheme="minorHAnsi"/>
                <w:sz w:val="18"/>
                <w:szCs w:val="18"/>
              </w:rPr>
              <w:t>k</w:t>
            </w:r>
            <w:r w:rsidRPr="007C5F59">
              <w:rPr>
                <w:rFonts w:cstheme="minorHAnsi"/>
                <w:sz w:val="18"/>
                <w:szCs w:val="18"/>
              </w:rPr>
              <w:t xml:space="preserve"> ton from direct project supported </w:t>
            </w:r>
            <w:r>
              <w:rPr>
                <w:rFonts w:cstheme="minorHAnsi"/>
                <w:sz w:val="18"/>
                <w:szCs w:val="18"/>
              </w:rPr>
              <w:t>k</w:t>
            </w:r>
            <w:r w:rsidRPr="007C5F59">
              <w:rPr>
                <w:rFonts w:cstheme="minorHAnsi"/>
                <w:sz w:val="18"/>
                <w:szCs w:val="18"/>
              </w:rPr>
              <w:t>ilns</w:t>
            </w:r>
          </w:p>
          <w:p w:rsidR="0061232B" w:rsidRPr="007C5F59" w:rsidRDefault="0061232B" w:rsidP="001E161B">
            <w:pPr>
              <w:numPr>
                <w:ilvl w:val="0"/>
                <w:numId w:val="57"/>
              </w:numPr>
              <w:spacing w:after="0" w:line="240" w:lineRule="auto"/>
              <w:ind w:left="197" w:hanging="197"/>
              <w:rPr>
                <w:rFonts w:cstheme="minorHAnsi"/>
                <w:sz w:val="18"/>
                <w:szCs w:val="18"/>
              </w:rPr>
            </w:pPr>
            <w:r w:rsidRPr="007C5F59">
              <w:rPr>
                <w:rFonts w:cstheme="minorHAnsi"/>
                <w:sz w:val="18"/>
                <w:szCs w:val="18"/>
              </w:rPr>
              <w:t xml:space="preserve">527 </w:t>
            </w:r>
            <w:r>
              <w:rPr>
                <w:rFonts w:cstheme="minorHAnsi"/>
                <w:sz w:val="18"/>
                <w:szCs w:val="18"/>
              </w:rPr>
              <w:t>kton</w:t>
            </w:r>
            <w:r w:rsidRPr="007C5F59">
              <w:rPr>
                <w:rFonts w:cstheme="minorHAnsi"/>
                <w:sz w:val="18"/>
                <w:szCs w:val="18"/>
              </w:rPr>
              <w:t xml:space="preserve"> from indirect (replicated) project supported </w:t>
            </w:r>
            <w:r>
              <w:rPr>
                <w:rFonts w:cstheme="minorHAnsi"/>
                <w:sz w:val="18"/>
                <w:szCs w:val="18"/>
              </w:rPr>
              <w:t>k</w:t>
            </w:r>
            <w:r w:rsidRPr="007C5F59">
              <w:rPr>
                <w:rFonts w:cstheme="minorHAnsi"/>
                <w:sz w:val="18"/>
                <w:szCs w:val="18"/>
              </w:rPr>
              <w:t>ilns</w:t>
            </w:r>
          </w:p>
        </w:tc>
        <w:tc>
          <w:tcPr>
            <w:tcW w:w="126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3</w:t>
            </w:r>
            <w:r>
              <w:rPr>
                <w:rFonts w:cstheme="minorHAnsi"/>
                <w:sz w:val="18"/>
                <w:szCs w:val="18"/>
              </w:rPr>
              <w:t xml:space="preserve"> k </w:t>
            </w:r>
            <w:r w:rsidRPr="007C5F59">
              <w:rPr>
                <w:rFonts w:cstheme="minorHAnsi"/>
                <w:sz w:val="18"/>
                <w:szCs w:val="18"/>
              </w:rPr>
              <w:t>tons</w:t>
            </w: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6 </w:t>
            </w:r>
            <w:r>
              <w:rPr>
                <w:rFonts w:cstheme="minorHAnsi"/>
                <w:sz w:val="18"/>
                <w:szCs w:val="18"/>
              </w:rPr>
              <w:t>kTon</w:t>
            </w: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6 </w:t>
            </w:r>
            <w:r>
              <w:rPr>
                <w:rFonts w:cstheme="minorHAnsi"/>
                <w:sz w:val="18"/>
                <w:szCs w:val="18"/>
              </w:rPr>
              <w:t>kTon</w:t>
            </w: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3 </w:t>
            </w:r>
            <w:r>
              <w:rPr>
                <w:rFonts w:cstheme="minorHAnsi"/>
                <w:sz w:val="18"/>
                <w:szCs w:val="18"/>
              </w:rPr>
              <w:t>kTon</w:t>
            </w: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76 </w:t>
            </w:r>
            <w:r>
              <w:rPr>
                <w:rFonts w:cstheme="minorHAnsi"/>
                <w:sz w:val="18"/>
                <w:szCs w:val="18"/>
              </w:rPr>
              <w:t>kTon</w:t>
            </w:r>
            <w:r w:rsidRPr="007C5F59">
              <w:rPr>
                <w:rFonts w:cstheme="minorHAnsi"/>
                <w:sz w:val="18"/>
                <w:szCs w:val="18"/>
              </w:rPr>
              <w:t xml:space="preserve"> (estimate)</w:t>
            </w:r>
          </w:p>
        </w:tc>
        <w:tc>
          <w:tcPr>
            <w:tcW w:w="1260" w:type="dxa"/>
          </w:tcPr>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76 </w:t>
            </w:r>
            <w:r>
              <w:rPr>
                <w:rFonts w:cstheme="minorHAnsi"/>
                <w:sz w:val="18"/>
                <w:szCs w:val="18"/>
              </w:rPr>
              <w:t>kTon</w:t>
            </w:r>
            <w:r w:rsidRPr="007C5F59">
              <w:rPr>
                <w:rFonts w:cstheme="minorHAnsi"/>
                <w:sz w:val="18"/>
                <w:szCs w:val="18"/>
              </w:rPr>
              <w:t xml:space="preserve"> (estimate)</w:t>
            </w:r>
          </w:p>
        </w:tc>
        <w:tc>
          <w:tcPr>
            <w:tcW w:w="144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18 </w:t>
            </w:r>
            <w:r>
              <w:rPr>
                <w:rFonts w:cstheme="minorHAnsi"/>
                <w:sz w:val="18"/>
                <w:szCs w:val="18"/>
              </w:rPr>
              <w:t>kTon</w:t>
            </w: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152 </w:t>
            </w:r>
            <w:r>
              <w:rPr>
                <w:rFonts w:cstheme="minorHAnsi"/>
                <w:sz w:val="18"/>
                <w:szCs w:val="18"/>
              </w:rPr>
              <w:t>kTon</w:t>
            </w:r>
            <w:r w:rsidRPr="007C5F59">
              <w:rPr>
                <w:rFonts w:cstheme="minorHAnsi"/>
                <w:sz w:val="18"/>
                <w:szCs w:val="18"/>
              </w:rPr>
              <w:t xml:space="preserve"> (Estimated)</w:t>
            </w:r>
          </w:p>
        </w:tc>
        <w:tc>
          <w:tcPr>
            <w:tcW w:w="2250" w:type="dxa"/>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c>
          <w:tcPr>
            <w:tcW w:w="279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Output 3: Associated activities for establishing HH</w:t>
            </w:r>
            <w:r>
              <w:rPr>
                <w:rFonts w:cstheme="minorHAnsi"/>
                <w:sz w:val="18"/>
                <w:szCs w:val="18"/>
              </w:rPr>
              <w:t>K</w:t>
            </w:r>
            <w:r w:rsidRPr="007C5F59">
              <w:rPr>
                <w:rFonts w:cstheme="minorHAnsi"/>
                <w:sz w:val="18"/>
                <w:szCs w:val="18"/>
              </w:rPr>
              <w:t xml:space="preserve"> demo plants (techno-economic feasibility studies, baseline studies, requirement analysis, clay resources assessments, develop detail design and layout etc.)</w:t>
            </w:r>
          </w:p>
        </w:tc>
        <w:tc>
          <w:tcPr>
            <w:tcW w:w="180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For 15 HH</w:t>
            </w:r>
            <w:r>
              <w:rPr>
                <w:rFonts w:cstheme="minorHAnsi"/>
                <w:sz w:val="18"/>
                <w:szCs w:val="18"/>
              </w:rPr>
              <w:t>K</w:t>
            </w:r>
            <w:r w:rsidRPr="007C5F59">
              <w:rPr>
                <w:rFonts w:cstheme="minorHAnsi"/>
                <w:sz w:val="18"/>
                <w:szCs w:val="18"/>
              </w:rPr>
              <w:t xml:space="preserve"> demo </w:t>
            </w:r>
            <w:r>
              <w:rPr>
                <w:rFonts w:cstheme="minorHAnsi"/>
                <w:sz w:val="18"/>
                <w:szCs w:val="18"/>
              </w:rPr>
              <w:t>k</w:t>
            </w:r>
            <w:r w:rsidRPr="007C5F59">
              <w:rPr>
                <w:rFonts w:cstheme="minorHAnsi"/>
                <w:sz w:val="18"/>
                <w:szCs w:val="18"/>
              </w:rPr>
              <w:t xml:space="preserve">ilns by end of the project </w:t>
            </w:r>
          </w:p>
        </w:tc>
        <w:tc>
          <w:tcPr>
            <w:tcW w:w="126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For 2 potential HH</w:t>
            </w:r>
            <w:r>
              <w:rPr>
                <w:rFonts w:cstheme="minorHAnsi"/>
                <w:sz w:val="18"/>
                <w:szCs w:val="18"/>
              </w:rPr>
              <w:t>K</w:t>
            </w:r>
            <w:r w:rsidRPr="007C5F59">
              <w:rPr>
                <w:rFonts w:cstheme="minorHAnsi"/>
                <w:sz w:val="18"/>
                <w:szCs w:val="18"/>
              </w:rPr>
              <w:t xml:space="preserve"> demo </w:t>
            </w:r>
            <w:r>
              <w:rPr>
                <w:rFonts w:cstheme="minorHAnsi"/>
                <w:sz w:val="18"/>
                <w:szCs w:val="18"/>
              </w:rPr>
              <w:t>k</w:t>
            </w:r>
            <w:r w:rsidRPr="007C5F59">
              <w:rPr>
                <w:rFonts w:cstheme="minorHAnsi"/>
                <w:sz w:val="18"/>
                <w:szCs w:val="18"/>
              </w:rPr>
              <w:t>ilns</w:t>
            </w: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For 2 potential HH</w:t>
            </w:r>
            <w:r>
              <w:rPr>
                <w:rFonts w:cstheme="minorHAnsi"/>
                <w:sz w:val="18"/>
                <w:szCs w:val="18"/>
              </w:rPr>
              <w:t>K</w:t>
            </w:r>
            <w:r w:rsidRPr="007C5F59">
              <w:rPr>
                <w:rFonts w:cstheme="minorHAnsi"/>
                <w:sz w:val="18"/>
                <w:szCs w:val="18"/>
              </w:rPr>
              <w:t xml:space="preserve"> demo </w:t>
            </w:r>
            <w:r>
              <w:rPr>
                <w:rFonts w:cstheme="minorHAnsi"/>
                <w:sz w:val="18"/>
                <w:szCs w:val="18"/>
              </w:rPr>
              <w:t>k</w:t>
            </w:r>
            <w:r w:rsidRPr="007C5F59">
              <w:rPr>
                <w:rFonts w:cstheme="minorHAnsi"/>
                <w:sz w:val="18"/>
                <w:szCs w:val="18"/>
              </w:rPr>
              <w:t>ilns</w:t>
            </w: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For 3 potential HH</w:t>
            </w:r>
            <w:r>
              <w:rPr>
                <w:rFonts w:cstheme="minorHAnsi"/>
                <w:sz w:val="18"/>
                <w:szCs w:val="18"/>
              </w:rPr>
              <w:t>K</w:t>
            </w:r>
            <w:r w:rsidRPr="007C5F59">
              <w:rPr>
                <w:rFonts w:cstheme="minorHAnsi"/>
                <w:sz w:val="18"/>
                <w:szCs w:val="18"/>
              </w:rPr>
              <w:t xml:space="preserve"> demo </w:t>
            </w:r>
            <w:r>
              <w:rPr>
                <w:rFonts w:cstheme="minorHAnsi"/>
                <w:sz w:val="18"/>
                <w:szCs w:val="18"/>
              </w:rPr>
              <w:t>k</w:t>
            </w:r>
            <w:r w:rsidRPr="007C5F59">
              <w:rPr>
                <w:rFonts w:cstheme="minorHAnsi"/>
                <w:sz w:val="18"/>
                <w:szCs w:val="18"/>
              </w:rPr>
              <w:t>ilns</w:t>
            </w: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For 4 potential HH</w:t>
            </w:r>
            <w:r>
              <w:rPr>
                <w:rFonts w:cstheme="minorHAnsi"/>
                <w:sz w:val="18"/>
                <w:szCs w:val="18"/>
              </w:rPr>
              <w:t>K</w:t>
            </w:r>
            <w:r w:rsidRPr="007C5F59">
              <w:rPr>
                <w:rFonts w:cstheme="minorHAnsi"/>
                <w:sz w:val="18"/>
                <w:szCs w:val="18"/>
              </w:rPr>
              <w:t xml:space="preserve"> demo </w:t>
            </w:r>
            <w:r>
              <w:rPr>
                <w:rFonts w:cstheme="minorHAnsi"/>
                <w:sz w:val="18"/>
                <w:szCs w:val="18"/>
              </w:rPr>
              <w:t>k</w:t>
            </w:r>
            <w:r w:rsidRPr="007C5F59">
              <w:rPr>
                <w:rFonts w:cstheme="minorHAnsi"/>
                <w:sz w:val="18"/>
                <w:szCs w:val="18"/>
              </w:rPr>
              <w:t>ilns</w:t>
            </w:r>
          </w:p>
        </w:tc>
        <w:tc>
          <w:tcPr>
            <w:tcW w:w="1260" w:type="dxa"/>
          </w:tcPr>
          <w:p w:rsidR="0061232B" w:rsidRPr="007C5F59" w:rsidRDefault="0061232B" w:rsidP="00E84BAD">
            <w:pPr>
              <w:spacing w:after="0" w:line="240" w:lineRule="auto"/>
              <w:rPr>
                <w:rFonts w:cstheme="minorHAnsi"/>
                <w:sz w:val="18"/>
                <w:szCs w:val="18"/>
              </w:rPr>
            </w:pPr>
          </w:p>
        </w:tc>
        <w:tc>
          <w:tcPr>
            <w:tcW w:w="144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Associated activities have been completed for 11 potential HH</w:t>
            </w:r>
            <w:r>
              <w:rPr>
                <w:rFonts w:cstheme="minorHAnsi"/>
                <w:sz w:val="18"/>
                <w:szCs w:val="18"/>
              </w:rPr>
              <w:t>K</w:t>
            </w:r>
            <w:r w:rsidRPr="007C5F59">
              <w:rPr>
                <w:rFonts w:cstheme="minorHAnsi"/>
                <w:sz w:val="18"/>
                <w:szCs w:val="18"/>
              </w:rPr>
              <w:t xml:space="preserve"> demo </w:t>
            </w:r>
            <w:r>
              <w:rPr>
                <w:rFonts w:cstheme="minorHAnsi"/>
                <w:sz w:val="18"/>
                <w:szCs w:val="18"/>
              </w:rPr>
              <w:t>k</w:t>
            </w:r>
            <w:r w:rsidRPr="007C5F59">
              <w:rPr>
                <w:rFonts w:cstheme="minorHAnsi"/>
                <w:sz w:val="18"/>
                <w:szCs w:val="18"/>
              </w:rPr>
              <w:t>ilns</w:t>
            </w:r>
          </w:p>
        </w:tc>
        <w:tc>
          <w:tcPr>
            <w:tcW w:w="2250" w:type="dxa"/>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c>
          <w:tcPr>
            <w:tcW w:w="279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Output 4: Capacity building for BMI production and managerial personnel</w:t>
            </w:r>
          </w:p>
        </w:tc>
        <w:tc>
          <w:tcPr>
            <w:tcW w:w="180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Total 700 production and managerial personnel will be trained by end of the project</w:t>
            </w:r>
          </w:p>
        </w:tc>
        <w:tc>
          <w:tcPr>
            <w:tcW w:w="1260" w:type="dxa"/>
            <w:shd w:val="clear" w:color="auto" w:fill="auto"/>
          </w:tcPr>
          <w:p w:rsidR="0061232B" w:rsidRPr="007C5F59" w:rsidRDefault="0061232B" w:rsidP="00E84BAD">
            <w:pPr>
              <w:spacing w:after="0" w:line="240" w:lineRule="auto"/>
              <w:rPr>
                <w:rFonts w:cstheme="minorHAnsi"/>
                <w:sz w:val="18"/>
                <w:szCs w:val="18"/>
              </w:rPr>
            </w:pP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50</w:t>
            </w: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134</w:t>
            </w:r>
          </w:p>
        </w:tc>
        <w:tc>
          <w:tcPr>
            <w:tcW w:w="1170" w:type="dxa"/>
            <w:shd w:val="clear" w:color="auto" w:fill="auto"/>
          </w:tcPr>
          <w:p w:rsidR="0061232B" w:rsidRPr="007C5F59" w:rsidRDefault="0061232B" w:rsidP="00E84BAD">
            <w:pPr>
              <w:spacing w:after="0" w:line="240" w:lineRule="auto"/>
              <w:rPr>
                <w:rFonts w:cstheme="minorHAnsi"/>
                <w:sz w:val="18"/>
                <w:szCs w:val="18"/>
              </w:rPr>
            </w:pPr>
          </w:p>
        </w:tc>
        <w:tc>
          <w:tcPr>
            <w:tcW w:w="1260" w:type="dxa"/>
          </w:tcPr>
          <w:p w:rsidR="0061232B" w:rsidRPr="007C5F59" w:rsidRDefault="0061232B" w:rsidP="00E84BAD">
            <w:pPr>
              <w:spacing w:after="0" w:line="240" w:lineRule="auto"/>
              <w:rPr>
                <w:rFonts w:cstheme="minorHAnsi"/>
                <w:sz w:val="18"/>
                <w:szCs w:val="18"/>
              </w:rPr>
            </w:pPr>
          </w:p>
        </w:tc>
        <w:tc>
          <w:tcPr>
            <w:tcW w:w="144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Total 184 Production and managerial personnel have trained </w:t>
            </w:r>
          </w:p>
        </w:tc>
        <w:tc>
          <w:tcPr>
            <w:tcW w:w="2250" w:type="dxa"/>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c>
          <w:tcPr>
            <w:tcW w:w="279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Output 5: Involvement of ban</w:t>
            </w:r>
            <w:r>
              <w:rPr>
                <w:rFonts w:cstheme="minorHAnsi"/>
                <w:sz w:val="18"/>
                <w:szCs w:val="18"/>
              </w:rPr>
              <w:t>k</w:t>
            </w:r>
            <w:r w:rsidRPr="007C5F59">
              <w:rPr>
                <w:rFonts w:cstheme="minorHAnsi"/>
                <w:sz w:val="18"/>
                <w:szCs w:val="18"/>
              </w:rPr>
              <w:t xml:space="preserve"> and financial institutions disbursed loan for EE</w:t>
            </w:r>
            <w:r>
              <w:rPr>
                <w:rFonts w:cstheme="minorHAnsi"/>
                <w:sz w:val="18"/>
                <w:szCs w:val="18"/>
              </w:rPr>
              <w:t>K</w:t>
            </w:r>
          </w:p>
        </w:tc>
        <w:tc>
          <w:tcPr>
            <w:tcW w:w="180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At least 10 ban</w:t>
            </w:r>
            <w:r>
              <w:rPr>
                <w:rFonts w:cstheme="minorHAnsi"/>
                <w:sz w:val="18"/>
                <w:szCs w:val="18"/>
              </w:rPr>
              <w:t>k</w:t>
            </w:r>
            <w:r w:rsidRPr="007C5F59">
              <w:rPr>
                <w:rFonts w:cstheme="minorHAnsi"/>
                <w:sz w:val="18"/>
                <w:szCs w:val="18"/>
              </w:rPr>
              <w:t xml:space="preserve">s/FIs by end of the project </w:t>
            </w:r>
          </w:p>
        </w:tc>
        <w:tc>
          <w:tcPr>
            <w:tcW w:w="126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2</w:t>
            </w: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w:t>
            </w: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4</w:t>
            </w: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2</w:t>
            </w:r>
          </w:p>
        </w:tc>
        <w:tc>
          <w:tcPr>
            <w:tcW w:w="1260" w:type="dxa"/>
          </w:tcPr>
          <w:p w:rsidR="0061232B" w:rsidRPr="007C5F59" w:rsidRDefault="0061232B" w:rsidP="00E84BAD">
            <w:pPr>
              <w:spacing w:after="0" w:line="240" w:lineRule="auto"/>
              <w:rPr>
                <w:rFonts w:cstheme="minorHAnsi"/>
                <w:sz w:val="18"/>
                <w:szCs w:val="18"/>
              </w:rPr>
            </w:pPr>
          </w:p>
        </w:tc>
        <w:tc>
          <w:tcPr>
            <w:tcW w:w="144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Total 9 ban</w:t>
            </w:r>
            <w:r>
              <w:rPr>
                <w:rFonts w:cstheme="minorHAnsi"/>
                <w:sz w:val="18"/>
                <w:szCs w:val="18"/>
              </w:rPr>
              <w:t>k</w:t>
            </w:r>
            <w:r w:rsidRPr="007C5F59">
              <w:rPr>
                <w:rFonts w:cstheme="minorHAnsi"/>
                <w:sz w:val="18"/>
                <w:szCs w:val="18"/>
              </w:rPr>
              <w:t>/FIs have disbursed loan for EE</w:t>
            </w:r>
            <w:r>
              <w:rPr>
                <w:rFonts w:cstheme="minorHAnsi"/>
                <w:sz w:val="18"/>
                <w:szCs w:val="18"/>
              </w:rPr>
              <w:t>K</w:t>
            </w:r>
          </w:p>
        </w:tc>
        <w:tc>
          <w:tcPr>
            <w:tcW w:w="2250" w:type="dxa"/>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c>
          <w:tcPr>
            <w:tcW w:w="279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Output 5: Amount of investment to establishing EE</w:t>
            </w:r>
            <w:r>
              <w:rPr>
                <w:rFonts w:cstheme="minorHAnsi"/>
                <w:sz w:val="18"/>
                <w:szCs w:val="18"/>
              </w:rPr>
              <w:t>K</w:t>
            </w:r>
          </w:p>
        </w:tc>
        <w:tc>
          <w:tcPr>
            <w:tcW w:w="180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Total 10.85 m. USD for establishing 15 HH</w:t>
            </w:r>
            <w:r>
              <w:rPr>
                <w:rFonts w:cstheme="minorHAnsi"/>
                <w:sz w:val="18"/>
                <w:szCs w:val="18"/>
              </w:rPr>
              <w:t>K</w:t>
            </w:r>
            <w:r w:rsidRPr="007C5F59">
              <w:rPr>
                <w:rFonts w:cstheme="minorHAnsi"/>
                <w:sz w:val="18"/>
                <w:szCs w:val="18"/>
              </w:rPr>
              <w:t xml:space="preserve"> demo </w:t>
            </w:r>
            <w:r>
              <w:rPr>
                <w:rFonts w:cstheme="minorHAnsi"/>
                <w:sz w:val="18"/>
                <w:szCs w:val="18"/>
              </w:rPr>
              <w:t>k</w:t>
            </w:r>
            <w:r w:rsidRPr="007C5F59">
              <w:rPr>
                <w:rFonts w:cstheme="minorHAnsi"/>
                <w:sz w:val="18"/>
                <w:szCs w:val="18"/>
              </w:rPr>
              <w:t xml:space="preserve">iln by end of the project </w:t>
            </w:r>
            <w:r w:rsidRPr="007C5F59">
              <w:rPr>
                <w:rFonts w:cstheme="minorHAnsi"/>
                <w:sz w:val="18"/>
                <w:szCs w:val="18"/>
              </w:rPr>
              <w:lastRenderedPageBreak/>
              <w:t>(from IIDFC)</w:t>
            </w:r>
            <w:r w:rsidRPr="007C5F59">
              <w:rPr>
                <w:rStyle w:val="FootnoteReference"/>
                <w:rFonts w:cstheme="minorHAnsi"/>
                <w:sz w:val="18"/>
                <w:szCs w:val="18"/>
              </w:rPr>
              <w:footnoteReference w:id="101"/>
            </w:r>
          </w:p>
        </w:tc>
        <w:tc>
          <w:tcPr>
            <w:tcW w:w="126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lastRenderedPageBreak/>
              <w:t>1.36 m. USD</w:t>
            </w: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0.40 m. USD</w:t>
            </w: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2.92 m. USD</w:t>
            </w:r>
          </w:p>
        </w:tc>
        <w:tc>
          <w:tcPr>
            <w:tcW w:w="1170" w:type="dxa"/>
            <w:shd w:val="clear" w:color="auto" w:fill="auto"/>
          </w:tcPr>
          <w:p w:rsidR="0061232B" w:rsidRPr="007C5F59" w:rsidRDefault="0061232B" w:rsidP="00E84BAD">
            <w:pPr>
              <w:spacing w:after="0" w:line="240" w:lineRule="auto"/>
              <w:rPr>
                <w:rFonts w:cstheme="minorHAnsi"/>
                <w:sz w:val="18"/>
                <w:szCs w:val="18"/>
              </w:rPr>
            </w:pPr>
          </w:p>
        </w:tc>
        <w:tc>
          <w:tcPr>
            <w:tcW w:w="1260" w:type="dxa"/>
          </w:tcPr>
          <w:p w:rsidR="0061232B" w:rsidRPr="007C5F59" w:rsidRDefault="0061232B" w:rsidP="00E84BAD">
            <w:pPr>
              <w:spacing w:after="0" w:line="240" w:lineRule="auto"/>
              <w:rPr>
                <w:rFonts w:cstheme="minorHAnsi"/>
                <w:sz w:val="18"/>
                <w:szCs w:val="18"/>
              </w:rPr>
            </w:pPr>
          </w:p>
        </w:tc>
        <w:tc>
          <w:tcPr>
            <w:tcW w:w="144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4.68 m. USD</w:t>
            </w:r>
          </w:p>
        </w:tc>
        <w:tc>
          <w:tcPr>
            <w:tcW w:w="2250" w:type="dxa"/>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c>
          <w:tcPr>
            <w:tcW w:w="279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lastRenderedPageBreak/>
              <w:t xml:space="preserve">Output 6: Support to potential entrepreneurs </w:t>
            </w:r>
          </w:p>
        </w:tc>
        <w:tc>
          <w:tcPr>
            <w:tcW w:w="180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Total 150 potential entrepreneurs by end of the project </w:t>
            </w:r>
          </w:p>
        </w:tc>
        <w:tc>
          <w:tcPr>
            <w:tcW w:w="126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38</w:t>
            </w: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77</w:t>
            </w: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40</w:t>
            </w: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27</w:t>
            </w:r>
          </w:p>
        </w:tc>
        <w:tc>
          <w:tcPr>
            <w:tcW w:w="1260" w:type="dxa"/>
          </w:tcPr>
          <w:p w:rsidR="0061232B" w:rsidRPr="007C5F59" w:rsidRDefault="0061232B" w:rsidP="00E84BAD">
            <w:pPr>
              <w:spacing w:after="0" w:line="240" w:lineRule="auto"/>
              <w:rPr>
                <w:rFonts w:cstheme="minorHAnsi"/>
                <w:sz w:val="18"/>
                <w:szCs w:val="18"/>
              </w:rPr>
            </w:pPr>
          </w:p>
        </w:tc>
        <w:tc>
          <w:tcPr>
            <w:tcW w:w="144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Total 182 potential entrepreneur have received different support from the project </w:t>
            </w:r>
          </w:p>
        </w:tc>
        <w:tc>
          <w:tcPr>
            <w:tcW w:w="2250" w:type="dxa"/>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c>
          <w:tcPr>
            <w:tcW w:w="2790" w:type="dxa"/>
            <w:vMerge w:val="restar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Output 7: Communication and awareness</w:t>
            </w:r>
          </w:p>
          <w:p w:rsidR="0061232B" w:rsidRPr="007C5F59" w:rsidRDefault="0061232B" w:rsidP="00E84BAD">
            <w:pPr>
              <w:spacing w:after="0" w:line="240" w:lineRule="auto"/>
              <w:rPr>
                <w:rFonts w:cstheme="minorHAnsi"/>
                <w:sz w:val="18"/>
                <w:szCs w:val="18"/>
              </w:rPr>
            </w:pPr>
          </w:p>
        </w:tc>
        <w:tc>
          <w:tcPr>
            <w:tcW w:w="1800" w:type="dxa"/>
            <w:vMerge w:val="restart"/>
            <w:shd w:val="clear" w:color="auto" w:fill="auto"/>
          </w:tcPr>
          <w:p w:rsidR="0061232B" w:rsidRPr="007C5F59" w:rsidRDefault="0061232B" w:rsidP="00E84BAD">
            <w:pPr>
              <w:spacing w:after="0" w:line="240" w:lineRule="auto"/>
              <w:rPr>
                <w:rFonts w:cstheme="minorHAnsi"/>
                <w:sz w:val="18"/>
                <w:szCs w:val="18"/>
              </w:rPr>
            </w:pPr>
          </w:p>
        </w:tc>
        <w:tc>
          <w:tcPr>
            <w:tcW w:w="1260" w:type="dxa"/>
            <w:shd w:val="clear" w:color="auto" w:fill="auto"/>
          </w:tcPr>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p w:rsidR="0061232B" w:rsidRPr="007C5F59" w:rsidRDefault="0061232B" w:rsidP="00E84BAD">
            <w:pPr>
              <w:spacing w:after="0" w:line="240" w:lineRule="auto"/>
              <w:rPr>
                <w:rFonts w:cstheme="minorHAnsi"/>
                <w:sz w:val="18"/>
                <w:szCs w:val="18"/>
              </w:rPr>
            </w:pP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28 News/stories published in print and electric media</w:t>
            </w:r>
          </w:p>
        </w:tc>
        <w:tc>
          <w:tcPr>
            <w:tcW w:w="1170" w:type="dxa"/>
            <w:shd w:val="clear" w:color="auto" w:fill="auto"/>
          </w:tcPr>
          <w:p w:rsidR="0061232B" w:rsidRPr="007C5F59" w:rsidRDefault="0061232B" w:rsidP="00E84BAD">
            <w:pPr>
              <w:spacing w:after="0" w:line="240" w:lineRule="auto"/>
              <w:ind w:left="-18"/>
              <w:rPr>
                <w:rFonts w:cstheme="minorHAnsi"/>
                <w:sz w:val="18"/>
                <w:szCs w:val="18"/>
              </w:rPr>
            </w:pPr>
            <w:r w:rsidRPr="007C5F59">
              <w:rPr>
                <w:rFonts w:cstheme="minorHAnsi"/>
                <w:sz w:val="18"/>
                <w:szCs w:val="18"/>
              </w:rPr>
              <w:t>69 News/stories published in print and electric media</w:t>
            </w: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6 News/stories published in print and electric media</w:t>
            </w:r>
          </w:p>
        </w:tc>
        <w:tc>
          <w:tcPr>
            <w:tcW w:w="1260" w:type="dxa"/>
          </w:tcPr>
          <w:p w:rsidR="0061232B" w:rsidRPr="007C5F59" w:rsidRDefault="0061232B" w:rsidP="00E84BAD">
            <w:pPr>
              <w:spacing w:after="0" w:line="240" w:lineRule="auto"/>
              <w:rPr>
                <w:rFonts w:cstheme="minorHAnsi"/>
                <w:sz w:val="18"/>
                <w:szCs w:val="18"/>
              </w:rPr>
            </w:pPr>
          </w:p>
        </w:tc>
        <w:tc>
          <w:tcPr>
            <w:tcW w:w="144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Total 200,000 have reached by conducting mentioned communication activities </w:t>
            </w:r>
          </w:p>
        </w:tc>
        <w:tc>
          <w:tcPr>
            <w:tcW w:w="2250" w:type="dxa"/>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rPr>
          <w:trHeight w:val="70"/>
        </w:trPr>
        <w:tc>
          <w:tcPr>
            <w:tcW w:w="2790" w:type="dxa"/>
            <w:vMerge/>
            <w:shd w:val="clear" w:color="auto" w:fill="auto"/>
          </w:tcPr>
          <w:p w:rsidR="0061232B" w:rsidRPr="007C5F59" w:rsidRDefault="0061232B" w:rsidP="00E84BAD">
            <w:pPr>
              <w:spacing w:after="0" w:line="240" w:lineRule="auto"/>
              <w:rPr>
                <w:rFonts w:cstheme="minorHAnsi"/>
                <w:sz w:val="18"/>
                <w:szCs w:val="18"/>
              </w:rPr>
            </w:pPr>
          </w:p>
        </w:tc>
        <w:tc>
          <w:tcPr>
            <w:tcW w:w="1800" w:type="dxa"/>
            <w:vMerge/>
            <w:shd w:val="clear" w:color="auto" w:fill="auto"/>
          </w:tcPr>
          <w:p w:rsidR="0061232B" w:rsidRPr="007C5F59" w:rsidRDefault="0061232B" w:rsidP="00E84BAD">
            <w:pPr>
              <w:spacing w:after="0" w:line="240" w:lineRule="auto"/>
              <w:rPr>
                <w:rFonts w:cstheme="minorHAnsi"/>
                <w:sz w:val="18"/>
                <w:szCs w:val="18"/>
              </w:rPr>
            </w:pPr>
          </w:p>
        </w:tc>
        <w:tc>
          <w:tcPr>
            <w:tcW w:w="1260" w:type="dxa"/>
            <w:shd w:val="clear" w:color="auto" w:fill="auto"/>
          </w:tcPr>
          <w:p w:rsidR="0061232B" w:rsidRPr="007C5F59" w:rsidRDefault="0061232B" w:rsidP="00E84BAD">
            <w:pPr>
              <w:spacing w:after="0" w:line="240" w:lineRule="auto"/>
              <w:rPr>
                <w:rFonts w:cstheme="minorHAnsi"/>
                <w:sz w:val="18"/>
                <w:szCs w:val="18"/>
              </w:rPr>
            </w:pP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video documentary prepared</w:t>
            </w: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2 video documentary prepared</w:t>
            </w:r>
          </w:p>
        </w:tc>
        <w:tc>
          <w:tcPr>
            <w:tcW w:w="1170" w:type="dxa"/>
            <w:shd w:val="clear" w:color="auto" w:fill="auto"/>
          </w:tcPr>
          <w:p w:rsidR="0061232B" w:rsidRPr="007C5F59" w:rsidRDefault="0061232B" w:rsidP="00E84BAD">
            <w:pPr>
              <w:spacing w:after="0" w:line="240" w:lineRule="auto"/>
              <w:rPr>
                <w:rFonts w:cstheme="minorHAnsi"/>
                <w:sz w:val="18"/>
                <w:szCs w:val="18"/>
              </w:rPr>
            </w:pPr>
          </w:p>
        </w:tc>
        <w:tc>
          <w:tcPr>
            <w:tcW w:w="1260" w:type="dxa"/>
          </w:tcPr>
          <w:p w:rsidR="0061232B" w:rsidRPr="007C5F59" w:rsidRDefault="0061232B" w:rsidP="00E84BAD">
            <w:pPr>
              <w:spacing w:after="0" w:line="240" w:lineRule="auto"/>
              <w:rPr>
                <w:rFonts w:cstheme="minorHAnsi"/>
                <w:sz w:val="18"/>
                <w:szCs w:val="18"/>
              </w:rPr>
            </w:pPr>
          </w:p>
        </w:tc>
        <w:tc>
          <w:tcPr>
            <w:tcW w:w="1440" w:type="dxa"/>
          </w:tcPr>
          <w:p w:rsidR="0061232B" w:rsidRPr="007C5F59" w:rsidRDefault="0061232B" w:rsidP="00E84BAD">
            <w:pPr>
              <w:spacing w:after="0" w:line="240" w:lineRule="auto"/>
              <w:rPr>
                <w:rFonts w:cstheme="minorHAnsi"/>
                <w:sz w:val="18"/>
                <w:szCs w:val="18"/>
              </w:rPr>
            </w:pPr>
          </w:p>
        </w:tc>
        <w:tc>
          <w:tcPr>
            <w:tcW w:w="2250" w:type="dxa"/>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c>
          <w:tcPr>
            <w:tcW w:w="2790" w:type="dxa"/>
            <w:vMerge/>
            <w:shd w:val="clear" w:color="auto" w:fill="auto"/>
          </w:tcPr>
          <w:p w:rsidR="0061232B" w:rsidRPr="007C5F59" w:rsidRDefault="0061232B" w:rsidP="00E84BAD">
            <w:pPr>
              <w:spacing w:after="0" w:line="240" w:lineRule="auto"/>
              <w:rPr>
                <w:rFonts w:cstheme="minorHAnsi"/>
                <w:sz w:val="18"/>
                <w:szCs w:val="18"/>
              </w:rPr>
            </w:pPr>
          </w:p>
        </w:tc>
        <w:tc>
          <w:tcPr>
            <w:tcW w:w="1800" w:type="dxa"/>
            <w:vMerge/>
            <w:shd w:val="clear" w:color="auto" w:fill="auto"/>
          </w:tcPr>
          <w:p w:rsidR="0061232B" w:rsidRPr="007C5F59" w:rsidRDefault="0061232B" w:rsidP="00E84BAD">
            <w:pPr>
              <w:spacing w:after="0" w:line="240" w:lineRule="auto"/>
              <w:rPr>
                <w:rFonts w:cstheme="minorHAnsi"/>
                <w:sz w:val="18"/>
                <w:szCs w:val="18"/>
              </w:rPr>
            </w:pPr>
          </w:p>
        </w:tc>
        <w:tc>
          <w:tcPr>
            <w:tcW w:w="1260" w:type="dxa"/>
            <w:shd w:val="clear" w:color="auto" w:fill="auto"/>
          </w:tcPr>
          <w:p w:rsidR="0061232B" w:rsidRPr="007C5F59" w:rsidRDefault="0061232B" w:rsidP="00E84BAD">
            <w:pPr>
              <w:spacing w:after="0" w:line="240" w:lineRule="auto"/>
              <w:rPr>
                <w:rFonts w:cstheme="minorHAnsi"/>
                <w:sz w:val="18"/>
                <w:szCs w:val="18"/>
              </w:rPr>
            </w:pP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1 regional awareness campaign</w:t>
            </w: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3 regional awareness campaign</w:t>
            </w:r>
          </w:p>
        </w:tc>
        <w:tc>
          <w:tcPr>
            <w:tcW w:w="1170" w:type="dxa"/>
            <w:shd w:val="clear" w:color="auto" w:fill="auto"/>
          </w:tcPr>
          <w:p w:rsidR="0061232B" w:rsidRPr="007C5F59" w:rsidRDefault="0061232B" w:rsidP="00E84BAD">
            <w:pPr>
              <w:spacing w:after="0" w:line="240" w:lineRule="auto"/>
              <w:rPr>
                <w:rFonts w:cstheme="minorHAnsi"/>
                <w:sz w:val="18"/>
                <w:szCs w:val="18"/>
              </w:rPr>
            </w:pPr>
          </w:p>
        </w:tc>
        <w:tc>
          <w:tcPr>
            <w:tcW w:w="1260" w:type="dxa"/>
          </w:tcPr>
          <w:p w:rsidR="0061232B" w:rsidRPr="007C5F59" w:rsidRDefault="0061232B" w:rsidP="00E84BAD">
            <w:pPr>
              <w:spacing w:after="0" w:line="240" w:lineRule="auto"/>
              <w:rPr>
                <w:rFonts w:cstheme="minorHAnsi"/>
                <w:sz w:val="18"/>
                <w:szCs w:val="18"/>
              </w:rPr>
            </w:pPr>
          </w:p>
        </w:tc>
        <w:tc>
          <w:tcPr>
            <w:tcW w:w="1440" w:type="dxa"/>
          </w:tcPr>
          <w:p w:rsidR="0061232B" w:rsidRPr="007C5F59" w:rsidRDefault="0061232B" w:rsidP="00E84BAD">
            <w:pPr>
              <w:spacing w:after="0" w:line="240" w:lineRule="auto"/>
              <w:rPr>
                <w:rFonts w:cstheme="minorHAnsi"/>
                <w:sz w:val="18"/>
                <w:szCs w:val="18"/>
              </w:rPr>
            </w:pPr>
          </w:p>
        </w:tc>
        <w:tc>
          <w:tcPr>
            <w:tcW w:w="2250" w:type="dxa"/>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c>
          <w:tcPr>
            <w:tcW w:w="279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Output 8: Policy related activities </w:t>
            </w:r>
          </w:p>
        </w:tc>
        <w:tc>
          <w:tcPr>
            <w:tcW w:w="1800" w:type="dxa"/>
            <w:shd w:val="clear" w:color="auto" w:fill="auto"/>
          </w:tcPr>
          <w:p w:rsidR="0061232B" w:rsidRPr="007C5F59" w:rsidRDefault="0061232B" w:rsidP="00E84BAD">
            <w:pPr>
              <w:spacing w:after="0" w:line="240" w:lineRule="auto"/>
              <w:rPr>
                <w:rFonts w:cstheme="minorHAnsi"/>
                <w:sz w:val="18"/>
                <w:szCs w:val="18"/>
              </w:rPr>
            </w:pPr>
          </w:p>
        </w:tc>
        <w:tc>
          <w:tcPr>
            <w:tcW w:w="1260" w:type="dxa"/>
            <w:shd w:val="clear" w:color="auto" w:fill="auto"/>
          </w:tcPr>
          <w:p w:rsidR="0061232B" w:rsidRPr="007C5F59" w:rsidRDefault="0061232B" w:rsidP="00E84BAD">
            <w:pPr>
              <w:spacing w:after="0" w:line="240" w:lineRule="auto"/>
              <w:rPr>
                <w:rFonts w:cstheme="minorHAnsi"/>
                <w:sz w:val="18"/>
                <w:szCs w:val="18"/>
              </w:rPr>
            </w:pPr>
          </w:p>
        </w:tc>
        <w:tc>
          <w:tcPr>
            <w:tcW w:w="1170" w:type="dxa"/>
            <w:shd w:val="clear" w:color="auto" w:fill="auto"/>
          </w:tcPr>
          <w:p w:rsidR="0061232B" w:rsidRPr="007C5F59" w:rsidRDefault="0061232B" w:rsidP="00E84BAD">
            <w:pPr>
              <w:spacing w:after="0" w:line="240" w:lineRule="auto"/>
              <w:rPr>
                <w:rFonts w:cstheme="minorHAnsi"/>
                <w:sz w:val="18"/>
                <w:szCs w:val="18"/>
              </w:rPr>
            </w:pPr>
          </w:p>
        </w:tc>
        <w:tc>
          <w:tcPr>
            <w:tcW w:w="1170" w:type="dxa"/>
            <w:shd w:val="clear" w:color="auto" w:fill="auto"/>
          </w:tcPr>
          <w:p w:rsidR="0061232B" w:rsidRPr="007C5F59" w:rsidRDefault="0061232B" w:rsidP="00E84BAD">
            <w:pPr>
              <w:spacing w:after="0" w:line="240" w:lineRule="auto"/>
              <w:rPr>
                <w:rFonts w:cstheme="minorHAnsi"/>
                <w:sz w:val="18"/>
                <w:szCs w:val="18"/>
              </w:rPr>
            </w:pP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Successfully provide support for revising bric</w:t>
            </w:r>
            <w:r>
              <w:rPr>
                <w:rFonts w:cstheme="minorHAnsi"/>
                <w:sz w:val="18"/>
                <w:szCs w:val="18"/>
              </w:rPr>
              <w:t>k</w:t>
            </w:r>
            <w:r w:rsidRPr="007C5F59">
              <w:rPr>
                <w:rFonts w:cstheme="minorHAnsi"/>
                <w:sz w:val="18"/>
                <w:szCs w:val="18"/>
              </w:rPr>
              <w:t xml:space="preserve"> act “Bric</w:t>
            </w:r>
            <w:r>
              <w:rPr>
                <w:rFonts w:cstheme="minorHAnsi"/>
                <w:sz w:val="18"/>
                <w:szCs w:val="18"/>
              </w:rPr>
              <w:t>k</w:t>
            </w:r>
            <w:r w:rsidRPr="007C5F59">
              <w:rPr>
                <w:rFonts w:cstheme="minorHAnsi"/>
                <w:sz w:val="18"/>
                <w:szCs w:val="18"/>
              </w:rPr>
              <w:t xml:space="preserve"> Manufacturing and Bric</w:t>
            </w:r>
            <w:r>
              <w:rPr>
                <w:rFonts w:cstheme="minorHAnsi"/>
                <w:sz w:val="18"/>
                <w:szCs w:val="18"/>
              </w:rPr>
              <w:t>kK</w:t>
            </w:r>
            <w:r w:rsidRPr="007C5F59">
              <w:rPr>
                <w:rFonts w:cstheme="minorHAnsi"/>
                <w:sz w:val="18"/>
                <w:szCs w:val="18"/>
              </w:rPr>
              <w:t xml:space="preserve">iln </w:t>
            </w:r>
            <w:r w:rsidRPr="007C5F59">
              <w:rPr>
                <w:rFonts w:cstheme="minorHAnsi"/>
                <w:sz w:val="18"/>
                <w:szCs w:val="18"/>
              </w:rPr>
              <w:lastRenderedPageBreak/>
              <w:t>Set-up (Control) Act, 2013”</w:t>
            </w:r>
          </w:p>
        </w:tc>
        <w:tc>
          <w:tcPr>
            <w:tcW w:w="1260" w:type="dxa"/>
          </w:tcPr>
          <w:p w:rsidR="0061232B" w:rsidRPr="007C5F59" w:rsidRDefault="0061232B" w:rsidP="00E84BAD">
            <w:pPr>
              <w:spacing w:after="0" w:line="240" w:lineRule="auto"/>
              <w:rPr>
                <w:rFonts w:cstheme="minorHAnsi"/>
                <w:sz w:val="18"/>
                <w:szCs w:val="18"/>
              </w:rPr>
            </w:pPr>
          </w:p>
        </w:tc>
        <w:tc>
          <w:tcPr>
            <w:tcW w:w="1440" w:type="dxa"/>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Government approved the mentioned act in the end of 2013 </w:t>
            </w:r>
          </w:p>
        </w:tc>
        <w:tc>
          <w:tcPr>
            <w:tcW w:w="2250" w:type="dxa"/>
            <w:shd w:val="clear" w:color="auto" w:fill="auto"/>
          </w:tcPr>
          <w:p w:rsidR="0061232B" w:rsidRPr="007C5F59" w:rsidRDefault="0061232B" w:rsidP="00E84BAD">
            <w:pPr>
              <w:spacing w:after="0" w:line="240" w:lineRule="auto"/>
              <w:rPr>
                <w:rFonts w:cstheme="minorHAnsi"/>
                <w:sz w:val="18"/>
                <w:szCs w:val="18"/>
              </w:rPr>
            </w:pPr>
          </w:p>
        </w:tc>
      </w:tr>
      <w:tr w:rsidR="0061232B" w:rsidRPr="007C5F59" w:rsidTr="00E84BAD">
        <w:tc>
          <w:tcPr>
            <w:tcW w:w="2790" w:type="dxa"/>
            <w:vMerge w:val="restar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lastRenderedPageBreak/>
              <w:t>Output 9: Gender related intervention</w:t>
            </w:r>
          </w:p>
        </w:tc>
        <w:tc>
          <w:tcPr>
            <w:tcW w:w="1800" w:type="dxa"/>
            <w:vMerge w:val="restart"/>
            <w:shd w:val="clear" w:color="auto" w:fill="auto"/>
          </w:tcPr>
          <w:p w:rsidR="0061232B" w:rsidRPr="007C5F59" w:rsidRDefault="0061232B" w:rsidP="00E84BAD">
            <w:pPr>
              <w:spacing w:after="0" w:line="240" w:lineRule="auto"/>
              <w:rPr>
                <w:rFonts w:cstheme="minorHAnsi"/>
                <w:sz w:val="18"/>
                <w:szCs w:val="18"/>
              </w:rPr>
            </w:pPr>
          </w:p>
        </w:tc>
        <w:tc>
          <w:tcPr>
            <w:tcW w:w="1260" w:type="dxa"/>
            <w:shd w:val="clear" w:color="auto" w:fill="auto"/>
          </w:tcPr>
          <w:p w:rsidR="0061232B" w:rsidRPr="007C5F59" w:rsidRDefault="0061232B" w:rsidP="00E84BAD">
            <w:pPr>
              <w:spacing w:after="0" w:line="240" w:lineRule="auto"/>
              <w:rPr>
                <w:rFonts w:cstheme="minorHAnsi"/>
                <w:sz w:val="18"/>
                <w:szCs w:val="18"/>
              </w:rPr>
            </w:pPr>
          </w:p>
        </w:tc>
        <w:tc>
          <w:tcPr>
            <w:tcW w:w="1170" w:type="dxa"/>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Conduct 1 wor</w:t>
            </w:r>
            <w:r>
              <w:rPr>
                <w:rFonts w:cstheme="minorHAnsi"/>
                <w:sz w:val="18"/>
                <w:szCs w:val="18"/>
              </w:rPr>
              <w:t>k</w:t>
            </w:r>
            <w:r w:rsidRPr="007C5F59">
              <w:rPr>
                <w:rFonts w:cstheme="minorHAnsi"/>
                <w:sz w:val="18"/>
                <w:szCs w:val="18"/>
              </w:rPr>
              <w:t>shop with BBMOA</w:t>
            </w:r>
          </w:p>
        </w:tc>
        <w:tc>
          <w:tcPr>
            <w:tcW w:w="1170" w:type="dxa"/>
            <w:shd w:val="clear" w:color="auto" w:fill="auto"/>
          </w:tcPr>
          <w:p w:rsidR="0061232B" w:rsidRPr="007C5F59" w:rsidRDefault="0061232B" w:rsidP="001E161B">
            <w:pPr>
              <w:numPr>
                <w:ilvl w:val="0"/>
                <w:numId w:val="58"/>
              </w:numPr>
              <w:spacing w:after="0" w:line="240" w:lineRule="auto"/>
              <w:ind w:left="162" w:hanging="162"/>
              <w:rPr>
                <w:rFonts w:cstheme="minorHAnsi"/>
                <w:sz w:val="18"/>
                <w:szCs w:val="18"/>
              </w:rPr>
            </w:pPr>
            <w:r w:rsidRPr="007C5F59">
              <w:rPr>
                <w:rFonts w:cstheme="minorHAnsi"/>
                <w:sz w:val="18"/>
                <w:szCs w:val="18"/>
              </w:rPr>
              <w:t>Conducted 1 wor</w:t>
            </w:r>
            <w:r>
              <w:rPr>
                <w:rFonts w:cstheme="minorHAnsi"/>
                <w:sz w:val="18"/>
                <w:szCs w:val="18"/>
              </w:rPr>
              <w:t>k</w:t>
            </w:r>
            <w:r w:rsidRPr="007C5F59">
              <w:rPr>
                <w:rFonts w:cstheme="minorHAnsi"/>
                <w:sz w:val="18"/>
                <w:szCs w:val="18"/>
              </w:rPr>
              <w:t>shop with BBMOA Rangpur district</w:t>
            </w:r>
          </w:p>
          <w:p w:rsidR="0061232B" w:rsidRPr="007C5F59" w:rsidRDefault="0061232B" w:rsidP="001E161B">
            <w:pPr>
              <w:numPr>
                <w:ilvl w:val="0"/>
                <w:numId w:val="58"/>
              </w:numPr>
              <w:spacing w:after="0" w:line="240" w:lineRule="auto"/>
              <w:ind w:left="162" w:hanging="162"/>
              <w:rPr>
                <w:rFonts w:cstheme="minorHAnsi"/>
                <w:sz w:val="18"/>
                <w:szCs w:val="18"/>
              </w:rPr>
            </w:pPr>
            <w:r w:rsidRPr="007C5F59">
              <w:rPr>
                <w:rFonts w:cstheme="minorHAnsi"/>
                <w:sz w:val="18"/>
                <w:szCs w:val="18"/>
              </w:rPr>
              <w:t>Conduct national level wor</w:t>
            </w:r>
            <w:r>
              <w:rPr>
                <w:rFonts w:cstheme="minorHAnsi"/>
                <w:sz w:val="18"/>
                <w:szCs w:val="18"/>
              </w:rPr>
              <w:t>k</w:t>
            </w:r>
            <w:r w:rsidRPr="007C5F59">
              <w:rPr>
                <w:rFonts w:cstheme="minorHAnsi"/>
                <w:sz w:val="18"/>
                <w:szCs w:val="18"/>
              </w:rPr>
              <w:t>shop with sta</w:t>
            </w:r>
            <w:r>
              <w:rPr>
                <w:rFonts w:cstheme="minorHAnsi"/>
                <w:sz w:val="18"/>
                <w:szCs w:val="18"/>
              </w:rPr>
              <w:t>k</w:t>
            </w:r>
            <w:r w:rsidRPr="007C5F59">
              <w:rPr>
                <w:rFonts w:cstheme="minorHAnsi"/>
                <w:sz w:val="18"/>
                <w:szCs w:val="18"/>
              </w:rPr>
              <w:t xml:space="preserve">eholders </w:t>
            </w:r>
          </w:p>
        </w:tc>
        <w:tc>
          <w:tcPr>
            <w:tcW w:w="1170" w:type="dxa"/>
            <w:shd w:val="clear" w:color="auto" w:fill="auto"/>
          </w:tcPr>
          <w:p w:rsidR="0061232B" w:rsidRPr="007C5F59" w:rsidRDefault="0061232B" w:rsidP="001E161B">
            <w:pPr>
              <w:numPr>
                <w:ilvl w:val="0"/>
                <w:numId w:val="58"/>
              </w:numPr>
              <w:spacing w:after="0" w:line="240" w:lineRule="auto"/>
              <w:ind w:left="162" w:hanging="162"/>
              <w:rPr>
                <w:rFonts w:cstheme="minorHAnsi"/>
                <w:sz w:val="18"/>
                <w:szCs w:val="18"/>
              </w:rPr>
            </w:pPr>
          </w:p>
        </w:tc>
        <w:tc>
          <w:tcPr>
            <w:tcW w:w="1260" w:type="dxa"/>
          </w:tcPr>
          <w:p w:rsidR="0061232B" w:rsidRPr="007C5F59" w:rsidRDefault="0061232B" w:rsidP="001E161B">
            <w:pPr>
              <w:numPr>
                <w:ilvl w:val="0"/>
                <w:numId w:val="58"/>
              </w:numPr>
              <w:spacing w:after="0" w:line="240" w:lineRule="auto"/>
              <w:ind w:left="162" w:hanging="162"/>
              <w:rPr>
                <w:rFonts w:cstheme="minorHAnsi"/>
                <w:sz w:val="18"/>
                <w:szCs w:val="18"/>
              </w:rPr>
            </w:pPr>
          </w:p>
        </w:tc>
        <w:tc>
          <w:tcPr>
            <w:tcW w:w="1440" w:type="dxa"/>
          </w:tcPr>
          <w:p w:rsidR="0061232B" w:rsidRPr="007C5F59" w:rsidRDefault="0061232B" w:rsidP="001E161B">
            <w:pPr>
              <w:numPr>
                <w:ilvl w:val="0"/>
                <w:numId w:val="58"/>
              </w:numPr>
              <w:spacing w:after="0" w:line="240" w:lineRule="auto"/>
              <w:ind w:left="162" w:hanging="162"/>
              <w:rPr>
                <w:rFonts w:cstheme="minorHAnsi"/>
                <w:sz w:val="18"/>
                <w:szCs w:val="18"/>
              </w:rPr>
            </w:pPr>
            <w:r w:rsidRPr="007C5F59">
              <w:rPr>
                <w:rFonts w:cstheme="minorHAnsi"/>
                <w:sz w:val="18"/>
                <w:szCs w:val="18"/>
              </w:rPr>
              <w:t>Total 2 local and 1 national level wor</w:t>
            </w:r>
            <w:r>
              <w:rPr>
                <w:rFonts w:cstheme="minorHAnsi"/>
                <w:sz w:val="18"/>
                <w:szCs w:val="18"/>
              </w:rPr>
              <w:t>k</w:t>
            </w:r>
            <w:r w:rsidRPr="007C5F59">
              <w:rPr>
                <w:rFonts w:cstheme="minorHAnsi"/>
                <w:sz w:val="18"/>
                <w:szCs w:val="18"/>
              </w:rPr>
              <w:t>shop related to gender related requirement and intervention in BMI of Bangladesh</w:t>
            </w:r>
          </w:p>
        </w:tc>
        <w:tc>
          <w:tcPr>
            <w:tcW w:w="2250" w:type="dxa"/>
            <w:vMerge w:val="restart"/>
            <w:shd w:val="clear" w:color="auto" w:fill="auto"/>
          </w:tcPr>
          <w:p w:rsidR="0061232B" w:rsidRPr="007C5F59" w:rsidRDefault="0061232B" w:rsidP="00E84BAD">
            <w:pPr>
              <w:spacing w:after="0" w:line="240" w:lineRule="auto"/>
              <w:rPr>
                <w:rFonts w:cstheme="minorHAnsi"/>
                <w:sz w:val="18"/>
                <w:szCs w:val="18"/>
              </w:rPr>
            </w:pPr>
            <w:r w:rsidRPr="007C5F59">
              <w:rPr>
                <w:rFonts w:cstheme="minorHAnsi"/>
                <w:sz w:val="18"/>
                <w:szCs w:val="18"/>
              </w:rPr>
              <w:t xml:space="preserve">Mentioned activities are the gender related intervention for the first time in the BMI  in Bangladesh. </w:t>
            </w:r>
          </w:p>
        </w:tc>
      </w:tr>
      <w:tr w:rsidR="0061232B" w:rsidRPr="007C5F59" w:rsidTr="00E84BAD">
        <w:tc>
          <w:tcPr>
            <w:tcW w:w="2790" w:type="dxa"/>
            <w:vMerge/>
            <w:shd w:val="clear" w:color="auto" w:fill="auto"/>
          </w:tcPr>
          <w:p w:rsidR="0061232B" w:rsidRPr="007C5F59" w:rsidRDefault="0061232B" w:rsidP="00E84BAD">
            <w:pPr>
              <w:spacing w:after="0" w:line="240" w:lineRule="auto"/>
              <w:rPr>
                <w:rFonts w:cstheme="minorHAnsi"/>
                <w:sz w:val="18"/>
                <w:szCs w:val="18"/>
              </w:rPr>
            </w:pPr>
          </w:p>
        </w:tc>
        <w:tc>
          <w:tcPr>
            <w:tcW w:w="1800" w:type="dxa"/>
            <w:vMerge/>
            <w:shd w:val="clear" w:color="auto" w:fill="auto"/>
          </w:tcPr>
          <w:p w:rsidR="0061232B" w:rsidRPr="007C5F59" w:rsidRDefault="0061232B" w:rsidP="00E84BAD">
            <w:pPr>
              <w:spacing w:after="0" w:line="240" w:lineRule="auto"/>
              <w:rPr>
                <w:rFonts w:cstheme="minorHAnsi"/>
                <w:sz w:val="18"/>
                <w:szCs w:val="18"/>
              </w:rPr>
            </w:pPr>
          </w:p>
        </w:tc>
        <w:tc>
          <w:tcPr>
            <w:tcW w:w="1260" w:type="dxa"/>
            <w:shd w:val="clear" w:color="auto" w:fill="auto"/>
          </w:tcPr>
          <w:p w:rsidR="0061232B" w:rsidRPr="007C5F59" w:rsidRDefault="0061232B" w:rsidP="00E84BAD">
            <w:pPr>
              <w:spacing w:after="0" w:line="240" w:lineRule="auto"/>
              <w:rPr>
                <w:rFonts w:cstheme="minorHAnsi"/>
                <w:sz w:val="18"/>
                <w:szCs w:val="18"/>
              </w:rPr>
            </w:pPr>
          </w:p>
        </w:tc>
        <w:tc>
          <w:tcPr>
            <w:tcW w:w="1170" w:type="dxa"/>
            <w:shd w:val="clear" w:color="auto" w:fill="auto"/>
          </w:tcPr>
          <w:p w:rsidR="0061232B" w:rsidRPr="007C5F59" w:rsidRDefault="0061232B" w:rsidP="00E84BAD">
            <w:pPr>
              <w:spacing w:after="0" w:line="240" w:lineRule="auto"/>
              <w:rPr>
                <w:rFonts w:cstheme="minorHAnsi"/>
                <w:sz w:val="18"/>
                <w:szCs w:val="18"/>
              </w:rPr>
            </w:pPr>
          </w:p>
        </w:tc>
        <w:tc>
          <w:tcPr>
            <w:tcW w:w="1170" w:type="dxa"/>
            <w:shd w:val="clear" w:color="auto" w:fill="auto"/>
          </w:tcPr>
          <w:p w:rsidR="0061232B" w:rsidRPr="007C5F59" w:rsidRDefault="0061232B" w:rsidP="00E84BAD">
            <w:pPr>
              <w:spacing w:after="0" w:line="240" w:lineRule="auto"/>
              <w:rPr>
                <w:rFonts w:cstheme="minorHAnsi"/>
                <w:sz w:val="18"/>
                <w:szCs w:val="18"/>
              </w:rPr>
            </w:pPr>
          </w:p>
        </w:tc>
        <w:tc>
          <w:tcPr>
            <w:tcW w:w="1170" w:type="dxa"/>
            <w:shd w:val="clear" w:color="auto" w:fill="auto"/>
          </w:tcPr>
          <w:p w:rsidR="0061232B" w:rsidRPr="007C5F59" w:rsidRDefault="0061232B" w:rsidP="001E161B">
            <w:pPr>
              <w:numPr>
                <w:ilvl w:val="0"/>
                <w:numId w:val="58"/>
              </w:numPr>
              <w:spacing w:after="0" w:line="240" w:lineRule="auto"/>
              <w:ind w:left="162" w:hanging="162"/>
              <w:rPr>
                <w:rFonts w:cstheme="minorHAnsi"/>
                <w:sz w:val="18"/>
                <w:szCs w:val="18"/>
              </w:rPr>
            </w:pPr>
            <w:r w:rsidRPr="007C5F59">
              <w:rPr>
                <w:rFonts w:cstheme="minorHAnsi"/>
                <w:sz w:val="18"/>
                <w:szCs w:val="18"/>
              </w:rPr>
              <w:t>Provide health support to 26 female wor</w:t>
            </w:r>
            <w:r>
              <w:rPr>
                <w:rFonts w:cstheme="minorHAnsi"/>
                <w:sz w:val="18"/>
                <w:szCs w:val="18"/>
              </w:rPr>
              <w:t>k</w:t>
            </w:r>
            <w:r w:rsidRPr="007C5F59">
              <w:rPr>
                <w:rFonts w:cstheme="minorHAnsi"/>
                <w:sz w:val="18"/>
                <w:szCs w:val="18"/>
              </w:rPr>
              <w:t>ers of HH</w:t>
            </w:r>
            <w:r>
              <w:rPr>
                <w:rFonts w:cstheme="minorHAnsi"/>
                <w:sz w:val="18"/>
                <w:szCs w:val="18"/>
              </w:rPr>
              <w:t>K</w:t>
            </w:r>
            <w:r w:rsidRPr="007C5F59">
              <w:rPr>
                <w:rFonts w:cstheme="minorHAnsi"/>
                <w:sz w:val="18"/>
                <w:szCs w:val="18"/>
              </w:rPr>
              <w:t xml:space="preserve"> demo plants</w:t>
            </w:r>
          </w:p>
        </w:tc>
        <w:tc>
          <w:tcPr>
            <w:tcW w:w="1260" w:type="dxa"/>
          </w:tcPr>
          <w:p w:rsidR="0061232B" w:rsidRPr="007C5F59" w:rsidRDefault="0061232B" w:rsidP="001E161B">
            <w:pPr>
              <w:numPr>
                <w:ilvl w:val="0"/>
                <w:numId w:val="58"/>
              </w:numPr>
              <w:spacing w:after="0" w:line="240" w:lineRule="auto"/>
              <w:ind w:left="162" w:hanging="162"/>
              <w:rPr>
                <w:rFonts w:cstheme="minorHAnsi"/>
                <w:sz w:val="18"/>
                <w:szCs w:val="18"/>
              </w:rPr>
            </w:pPr>
            <w:r w:rsidRPr="007C5F59">
              <w:rPr>
                <w:rFonts w:cstheme="minorHAnsi"/>
                <w:sz w:val="18"/>
                <w:szCs w:val="18"/>
              </w:rPr>
              <w:t>Containing health support to 26 female wor</w:t>
            </w:r>
            <w:r>
              <w:rPr>
                <w:rFonts w:cstheme="minorHAnsi"/>
                <w:sz w:val="18"/>
                <w:szCs w:val="18"/>
              </w:rPr>
              <w:t>k</w:t>
            </w:r>
            <w:r w:rsidRPr="007C5F59">
              <w:rPr>
                <w:rFonts w:cstheme="minorHAnsi"/>
                <w:sz w:val="18"/>
                <w:szCs w:val="18"/>
              </w:rPr>
              <w:t>ers of HH</w:t>
            </w:r>
            <w:r>
              <w:rPr>
                <w:rFonts w:cstheme="minorHAnsi"/>
                <w:sz w:val="18"/>
                <w:szCs w:val="18"/>
              </w:rPr>
              <w:t>K</w:t>
            </w:r>
            <w:r w:rsidRPr="007C5F59">
              <w:rPr>
                <w:rFonts w:cstheme="minorHAnsi"/>
                <w:sz w:val="18"/>
                <w:szCs w:val="18"/>
              </w:rPr>
              <w:t xml:space="preserve"> demo plants</w:t>
            </w:r>
          </w:p>
        </w:tc>
        <w:tc>
          <w:tcPr>
            <w:tcW w:w="1440" w:type="dxa"/>
          </w:tcPr>
          <w:p w:rsidR="0061232B" w:rsidRPr="007C5F59" w:rsidRDefault="0061232B" w:rsidP="00E84BAD">
            <w:pPr>
              <w:spacing w:after="0" w:line="240" w:lineRule="auto"/>
              <w:ind w:left="162" w:hanging="162"/>
              <w:rPr>
                <w:rFonts w:cstheme="minorHAnsi"/>
                <w:sz w:val="18"/>
                <w:szCs w:val="18"/>
              </w:rPr>
            </w:pPr>
            <w:r w:rsidRPr="007C5F59">
              <w:rPr>
                <w:rFonts w:cstheme="minorHAnsi"/>
                <w:sz w:val="18"/>
                <w:szCs w:val="18"/>
              </w:rPr>
              <w:t>Total 26 female wor</w:t>
            </w:r>
            <w:r>
              <w:rPr>
                <w:rFonts w:cstheme="minorHAnsi"/>
                <w:sz w:val="18"/>
                <w:szCs w:val="18"/>
              </w:rPr>
              <w:t>k</w:t>
            </w:r>
            <w:r w:rsidRPr="007C5F59">
              <w:rPr>
                <w:rFonts w:cstheme="minorHAnsi"/>
                <w:sz w:val="18"/>
                <w:szCs w:val="18"/>
              </w:rPr>
              <w:t xml:space="preserve">ers received health facility over 7 months. </w:t>
            </w:r>
          </w:p>
        </w:tc>
        <w:tc>
          <w:tcPr>
            <w:tcW w:w="2250" w:type="dxa"/>
            <w:vMerge/>
            <w:shd w:val="clear" w:color="auto" w:fill="auto"/>
          </w:tcPr>
          <w:p w:rsidR="0061232B" w:rsidRPr="007C5F59" w:rsidRDefault="0061232B" w:rsidP="00E84BAD">
            <w:pPr>
              <w:spacing w:after="0" w:line="240" w:lineRule="auto"/>
              <w:rPr>
                <w:rFonts w:cstheme="minorHAnsi"/>
                <w:sz w:val="18"/>
                <w:szCs w:val="18"/>
              </w:rPr>
            </w:pPr>
          </w:p>
        </w:tc>
      </w:tr>
    </w:tbl>
    <w:p w:rsidR="0061232B" w:rsidRPr="00EE283C" w:rsidRDefault="0061232B" w:rsidP="0061232B">
      <w:pPr>
        <w:shd w:val="clear" w:color="auto" w:fill="92CDDC" w:themeFill="accent5" w:themeFillTint="99"/>
        <w:spacing w:after="0"/>
        <w:jc w:val="center"/>
        <w:rPr>
          <w:rFonts w:cstheme="minorHAnsi"/>
          <w:b/>
          <w:sz w:val="24"/>
          <w:szCs w:val="18"/>
        </w:rPr>
      </w:pPr>
      <w:r w:rsidRPr="00EE283C">
        <w:rPr>
          <w:rFonts w:cstheme="minorHAnsi"/>
          <w:b/>
          <w:sz w:val="24"/>
          <w:szCs w:val="18"/>
        </w:rPr>
        <w:t xml:space="preserve">STATUS OF THE PECM PROJECT OUTPUTS </w:t>
      </w:r>
    </w:p>
    <w:tbl>
      <w:tblPr>
        <w:tblW w:w="543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1589"/>
        <w:gridCol w:w="26"/>
        <w:gridCol w:w="3492"/>
        <w:gridCol w:w="5152"/>
        <w:gridCol w:w="1795"/>
      </w:tblGrid>
      <w:tr w:rsidR="0061232B" w:rsidRPr="007C5F59" w:rsidTr="00E84BAD">
        <w:trPr>
          <w:trHeight w:val="85"/>
          <w:tblHeader/>
        </w:trPr>
        <w:tc>
          <w:tcPr>
            <w:tcW w:w="78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61232B" w:rsidRPr="007C5F59" w:rsidRDefault="0061232B" w:rsidP="00E84BAD">
            <w:pPr>
              <w:autoSpaceDN w:val="0"/>
              <w:spacing w:before="40" w:after="0" w:line="264" w:lineRule="auto"/>
              <w:rPr>
                <w:rFonts w:cstheme="minorHAnsi"/>
                <w:b/>
                <w:sz w:val="18"/>
                <w:szCs w:val="18"/>
              </w:rPr>
            </w:pPr>
            <w:r w:rsidRPr="007C5F59">
              <w:rPr>
                <w:rFonts w:cstheme="minorHAnsi"/>
                <w:b/>
                <w:sz w:val="18"/>
                <w:szCs w:val="18"/>
              </w:rPr>
              <w:t>Outcome/Output</w:t>
            </w:r>
          </w:p>
        </w:tc>
        <w:tc>
          <w:tcPr>
            <w:tcW w:w="555"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61232B" w:rsidRPr="007C5F59" w:rsidRDefault="0061232B" w:rsidP="00E84BAD">
            <w:pPr>
              <w:autoSpaceDN w:val="0"/>
              <w:spacing w:before="40" w:after="0" w:line="264" w:lineRule="auto"/>
              <w:rPr>
                <w:rFonts w:cstheme="minorHAnsi"/>
                <w:b/>
                <w:sz w:val="18"/>
                <w:szCs w:val="18"/>
              </w:rPr>
            </w:pPr>
            <w:r w:rsidRPr="007C5F59">
              <w:rPr>
                <w:rFonts w:cstheme="minorHAnsi"/>
                <w:b/>
                <w:sz w:val="18"/>
                <w:szCs w:val="18"/>
              </w:rPr>
              <w:t>Baseline in 2010</w:t>
            </w:r>
          </w:p>
        </w:tc>
        <w:tc>
          <w:tcPr>
            <w:tcW w:w="1229"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61232B" w:rsidRPr="007C5F59" w:rsidRDefault="0061232B" w:rsidP="00E84BAD">
            <w:pPr>
              <w:autoSpaceDN w:val="0"/>
              <w:spacing w:before="40" w:after="0" w:line="264" w:lineRule="auto"/>
              <w:rPr>
                <w:rFonts w:cstheme="minorHAnsi"/>
                <w:b/>
                <w:sz w:val="18"/>
                <w:szCs w:val="18"/>
              </w:rPr>
            </w:pPr>
            <w:r w:rsidRPr="007C5F59">
              <w:rPr>
                <w:rFonts w:cstheme="minorHAnsi"/>
                <w:b/>
                <w:sz w:val="18"/>
                <w:szCs w:val="18"/>
              </w:rPr>
              <w:t>2010-2013 Targets</w:t>
            </w:r>
          </w:p>
        </w:tc>
        <w:tc>
          <w:tcPr>
            <w:tcW w:w="1800"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61232B" w:rsidRPr="007C5F59" w:rsidRDefault="0061232B" w:rsidP="00E84BAD">
            <w:pPr>
              <w:autoSpaceDN w:val="0"/>
              <w:spacing w:before="40" w:after="0" w:line="264" w:lineRule="auto"/>
              <w:rPr>
                <w:rFonts w:cstheme="minorHAnsi"/>
                <w:b/>
                <w:sz w:val="18"/>
                <w:szCs w:val="18"/>
              </w:rPr>
            </w:pPr>
            <w:r w:rsidRPr="007C5F59">
              <w:rPr>
                <w:rFonts w:cstheme="minorHAnsi"/>
                <w:b/>
                <w:sz w:val="18"/>
                <w:szCs w:val="18"/>
              </w:rPr>
              <w:t>Achievement at the end of project (2013)</w:t>
            </w:r>
          </w:p>
        </w:tc>
        <w:tc>
          <w:tcPr>
            <w:tcW w:w="62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61232B" w:rsidRPr="007C5F59" w:rsidRDefault="0061232B" w:rsidP="00E84BAD">
            <w:pPr>
              <w:autoSpaceDN w:val="0"/>
              <w:spacing w:before="40" w:after="0" w:line="264" w:lineRule="auto"/>
              <w:rPr>
                <w:rFonts w:cstheme="minorHAnsi"/>
                <w:b/>
                <w:sz w:val="18"/>
                <w:szCs w:val="18"/>
              </w:rPr>
            </w:pPr>
            <w:r w:rsidRPr="007C5F59">
              <w:rPr>
                <w:rFonts w:cstheme="minorHAnsi"/>
                <w:b/>
                <w:sz w:val="18"/>
                <w:szCs w:val="18"/>
              </w:rPr>
              <w:t>Remar</w:t>
            </w:r>
            <w:r>
              <w:rPr>
                <w:rFonts w:cstheme="minorHAnsi"/>
                <w:b/>
                <w:sz w:val="18"/>
                <w:szCs w:val="18"/>
              </w:rPr>
              <w:t>k</w:t>
            </w:r>
            <w:r w:rsidRPr="007C5F59">
              <w:rPr>
                <w:rFonts w:cstheme="minorHAnsi"/>
                <w:b/>
                <w:sz w:val="18"/>
                <w:szCs w:val="18"/>
              </w:rPr>
              <w:t>s/Gap</w:t>
            </w:r>
          </w:p>
        </w:tc>
      </w:tr>
      <w:tr w:rsidR="0061232B" w:rsidRPr="007C5F59" w:rsidTr="00E84BAD">
        <w:trPr>
          <w:trHeight w:val="85"/>
          <w:tblHeader/>
        </w:trPr>
        <w:tc>
          <w:tcPr>
            <w:tcW w:w="78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1232B" w:rsidRPr="007C5F59" w:rsidRDefault="0061232B" w:rsidP="00E84BAD">
            <w:pPr>
              <w:spacing w:after="0" w:line="240" w:lineRule="auto"/>
              <w:rPr>
                <w:rFonts w:cstheme="minorHAnsi"/>
                <w:i/>
                <w:sz w:val="18"/>
                <w:szCs w:val="18"/>
              </w:rPr>
            </w:pPr>
            <w:r w:rsidRPr="007C5F59">
              <w:rPr>
                <w:rFonts w:cstheme="minorHAnsi"/>
                <w:sz w:val="18"/>
                <w:szCs w:val="18"/>
                <w:u w:val="single"/>
              </w:rPr>
              <w:t>Program Title:</w:t>
            </w:r>
          </w:p>
          <w:p w:rsidR="0061232B" w:rsidRPr="007C5F59" w:rsidRDefault="0061232B" w:rsidP="00E84BAD">
            <w:pPr>
              <w:spacing w:after="0" w:line="240" w:lineRule="auto"/>
              <w:rPr>
                <w:rFonts w:cstheme="minorHAnsi"/>
                <w:i/>
                <w:sz w:val="18"/>
                <w:szCs w:val="18"/>
              </w:rPr>
            </w:pPr>
            <w:r w:rsidRPr="007C5F59">
              <w:rPr>
                <w:rFonts w:cstheme="minorHAnsi"/>
                <w:i/>
                <w:sz w:val="18"/>
                <w:szCs w:val="18"/>
              </w:rPr>
              <w:t>Poverty Environment Climate Mainstreaming</w:t>
            </w:r>
          </w:p>
          <w:p w:rsidR="0061232B" w:rsidRPr="007C5F59" w:rsidRDefault="0061232B" w:rsidP="00E84BAD">
            <w:pPr>
              <w:spacing w:after="0" w:line="240" w:lineRule="auto"/>
              <w:rPr>
                <w:rFonts w:cstheme="minorHAnsi"/>
                <w:i/>
                <w:sz w:val="18"/>
                <w:szCs w:val="18"/>
              </w:rPr>
            </w:pPr>
            <w:r w:rsidRPr="007C5F59">
              <w:rPr>
                <w:rFonts w:cstheme="minorHAnsi"/>
                <w:i/>
                <w:sz w:val="18"/>
                <w:szCs w:val="18"/>
              </w:rPr>
              <w:t xml:space="preserve">(PECM) </w:t>
            </w:r>
            <w:r w:rsidRPr="007C5F59">
              <w:rPr>
                <w:rFonts w:cstheme="minorHAnsi"/>
                <w:sz w:val="18"/>
                <w:szCs w:val="18"/>
              </w:rPr>
              <w:t>(July 2010-September 2013)</w:t>
            </w:r>
          </w:p>
        </w:tc>
        <w:tc>
          <w:tcPr>
            <w:tcW w:w="55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1232B" w:rsidRPr="007C5F59" w:rsidRDefault="0061232B" w:rsidP="00E84BAD">
            <w:pPr>
              <w:autoSpaceDN w:val="0"/>
              <w:spacing w:before="40" w:after="0" w:line="264" w:lineRule="auto"/>
              <w:rPr>
                <w:rFonts w:cstheme="minorHAnsi"/>
                <w:b/>
                <w:sz w:val="18"/>
                <w:szCs w:val="18"/>
              </w:rPr>
            </w:pPr>
          </w:p>
        </w:tc>
        <w:tc>
          <w:tcPr>
            <w:tcW w:w="1229"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1232B" w:rsidRPr="007C5F59" w:rsidRDefault="0061232B" w:rsidP="00E84BAD">
            <w:pPr>
              <w:autoSpaceDN w:val="0"/>
              <w:spacing w:before="40" w:after="0" w:line="264" w:lineRule="auto"/>
              <w:rPr>
                <w:rFonts w:cstheme="minorHAnsi"/>
                <w:b/>
                <w:sz w:val="18"/>
                <w:szCs w:val="18"/>
              </w:rPr>
            </w:pPr>
          </w:p>
        </w:tc>
        <w:tc>
          <w:tcPr>
            <w:tcW w:w="180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1232B" w:rsidRPr="007C5F59" w:rsidRDefault="0061232B" w:rsidP="00E84BAD">
            <w:pPr>
              <w:autoSpaceDN w:val="0"/>
              <w:spacing w:before="40" w:after="0" w:line="264" w:lineRule="auto"/>
              <w:rPr>
                <w:rFonts w:cstheme="minorHAnsi"/>
                <w:b/>
                <w:sz w:val="18"/>
                <w:szCs w:val="18"/>
              </w:rPr>
            </w:pPr>
          </w:p>
        </w:tc>
        <w:tc>
          <w:tcPr>
            <w:tcW w:w="62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1232B" w:rsidRPr="007C5F59" w:rsidRDefault="0061232B" w:rsidP="00E84BAD">
            <w:pPr>
              <w:autoSpaceDN w:val="0"/>
              <w:spacing w:before="40" w:after="0" w:line="264" w:lineRule="auto"/>
              <w:rPr>
                <w:rFonts w:cstheme="minorHAnsi"/>
                <w:b/>
                <w:sz w:val="18"/>
                <w:szCs w:val="18"/>
              </w:rPr>
            </w:pPr>
          </w:p>
        </w:tc>
      </w:tr>
      <w:tr w:rsidR="0061232B" w:rsidRPr="007C5F59" w:rsidTr="00E84BAD">
        <w:trPr>
          <w:trHeight w:val="352"/>
        </w:trPr>
        <w:tc>
          <w:tcPr>
            <w:tcW w:w="5000" w:type="pct"/>
            <w:gridSpan w:val="6"/>
            <w:tcBorders>
              <w:top w:val="single" w:sz="4" w:space="0" w:color="auto"/>
              <w:left w:val="single" w:sz="4" w:space="0" w:color="auto"/>
              <w:right w:val="single" w:sz="4" w:space="0" w:color="auto"/>
            </w:tcBorders>
            <w:shd w:val="clear" w:color="auto" w:fill="E5B8B7"/>
            <w:hideMark/>
          </w:tcPr>
          <w:p w:rsidR="0061232B" w:rsidRPr="007C5F59" w:rsidRDefault="0061232B" w:rsidP="00E84BAD">
            <w:pPr>
              <w:autoSpaceDE w:val="0"/>
              <w:autoSpaceDN w:val="0"/>
              <w:adjustRightInd w:val="0"/>
              <w:spacing w:after="0"/>
              <w:rPr>
                <w:rFonts w:cstheme="minorHAnsi"/>
                <w:b/>
                <w:sz w:val="18"/>
                <w:szCs w:val="18"/>
              </w:rPr>
            </w:pPr>
            <w:r w:rsidRPr="007C5F59">
              <w:rPr>
                <w:rFonts w:cstheme="minorHAnsi"/>
                <w:b/>
                <w:sz w:val="18"/>
                <w:szCs w:val="18"/>
              </w:rPr>
              <w:t>Outcome 1: Support the integration of climate change and environmental considerations into national development planning and budgeting processes</w:t>
            </w:r>
          </w:p>
        </w:tc>
      </w:tr>
      <w:tr w:rsidR="0061232B" w:rsidRPr="007C5F59" w:rsidTr="00E84BAD">
        <w:trPr>
          <w:trHeight w:val="368"/>
        </w:trPr>
        <w:tc>
          <w:tcPr>
            <w:tcW w:w="789"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E w:val="0"/>
              <w:autoSpaceDN w:val="0"/>
              <w:adjustRightInd w:val="0"/>
              <w:spacing w:after="0"/>
              <w:rPr>
                <w:rFonts w:cstheme="minorHAnsi"/>
                <w:bCs/>
                <w:color w:val="0F243E"/>
                <w:sz w:val="18"/>
                <w:szCs w:val="18"/>
              </w:rPr>
            </w:pPr>
            <w:r w:rsidRPr="007C5F59">
              <w:rPr>
                <w:rFonts w:cstheme="minorHAnsi"/>
                <w:b/>
                <w:color w:val="0F243E"/>
                <w:sz w:val="18"/>
                <w:szCs w:val="18"/>
              </w:rPr>
              <w:lastRenderedPageBreak/>
              <w:t>Output 1.1:</w:t>
            </w:r>
            <w:r w:rsidRPr="007C5F59">
              <w:rPr>
                <w:rFonts w:cstheme="minorHAnsi"/>
                <w:color w:val="0F243E"/>
                <w:sz w:val="18"/>
                <w:szCs w:val="18"/>
              </w:rPr>
              <w:t xml:space="preserve"> Social and economic analysis of climate change on </w:t>
            </w:r>
            <w:r>
              <w:rPr>
                <w:rFonts w:cstheme="minorHAnsi"/>
                <w:color w:val="0F243E"/>
                <w:sz w:val="18"/>
                <w:szCs w:val="18"/>
              </w:rPr>
              <w:t>k</w:t>
            </w:r>
            <w:r w:rsidRPr="007C5F59">
              <w:rPr>
                <w:rFonts w:cstheme="minorHAnsi"/>
                <w:color w:val="0F243E"/>
                <w:sz w:val="18"/>
                <w:szCs w:val="18"/>
              </w:rPr>
              <w:t>ey development priorities</w:t>
            </w:r>
          </w:p>
          <w:p w:rsidR="0061232B" w:rsidRPr="007C5F59" w:rsidRDefault="0061232B" w:rsidP="00E84BAD">
            <w:pPr>
              <w:autoSpaceDN w:val="0"/>
              <w:spacing w:after="0"/>
              <w:ind w:left="-18"/>
              <w:rPr>
                <w:rFonts w:cstheme="minorHAnsi"/>
                <w:sz w:val="18"/>
                <w:szCs w:val="18"/>
              </w:rPr>
            </w:pPr>
            <w:r w:rsidRPr="007C5F59">
              <w:rPr>
                <w:rFonts w:cstheme="minorHAnsi"/>
                <w:color w:val="0F243E"/>
                <w:sz w:val="18"/>
                <w:szCs w:val="18"/>
              </w:rPr>
              <w:t>(e.g. agriculture, water, transport, gender and poverty status) developed and disseminated.</w:t>
            </w:r>
          </w:p>
        </w:tc>
        <w:tc>
          <w:tcPr>
            <w:tcW w:w="555"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N w:val="0"/>
              <w:spacing w:after="0"/>
              <w:rPr>
                <w:rFonts w:cstheme="minorHAnsi"/>
                <w:sz w:val="18"/>
                <w:szCs w:val="18"/>
              </w:rPr>
            </w:pPr>
            <w:r w:rsidRPr="007C5F59">
              <w:rPr>
                <w:rFonts w:cstheme="minorHAnsi"/>
                <w:sz w:val="18"/>
                <w:szCs w:val="18"/>
              </w:rPr>
              <w:t>Socio-Economic Study Team not exist</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E w:val="0"/>
              <w:autoSpaceDN w:val="0"/>
              <w:adjustRightInd w:val="0"/>
              <w:spacing w:after="0"/>
              <w:rPr>
                <w:rFonts w:cstheme="minorHAnsi"/>
                <w:sz w:val="18"/>
                <w:szCs w:val="18"/>
              </w:rPr>
            </w:pPr>
            <w:r w:rsidRPr="007C5F59">
              <w:rPr>
                <w:rFonts w:cstheme="minorHAnsi"/>
                <w:sz w:val="18"/>
                <w:szCs w:val="18"/>
                <w:u w:val="single"/>
              </w:rPr>
              <w:t>Year 1 (2010 &amp; 11):</w:t>
            </w:r>
            <w:r w:rsidRPr="007C5F59">
              <w:rPr>
                <w:rFonts w:cstheme="minorHAnsi"/>
                <w:sz w:val="18"/>
                <w:szCs w:val="18"/>
              </w:rPr>
              <w:t xml:space="preserve"> (1) Socio-Economic</w:t>
            </w:r>
          </w:p>
          <w:p w:rsidR="0061232B" w:rsidRPr="007C5F59" w:rsidRDefault="0061232B" w:rsidP="00E84BAD">
            <w:pPr>
              <w:autoSpaceDE w:val="0"/>
              <w:autoSpaceDN w:val="0"/>
              <w:adjustRightInd w:val="0"/>
              <w:spacing w:after="0"/>
              <w:rPr>
                <w:rFonts w:cstheme="minorHAnsi"/>
                <w:sz w:val="18"/>
                <w:szCs w:val="18"/>
              </w:rPr>
            </w:pPr>
            <w:r w:rsidRPr="007C5F59">
              <w:rPr>
                <w:rFonts w:cstheme="minorHAnsi"/>
                <w:sz w:val="18"/>
                <w:szCs w:val="18"/>
              </w:rPr>
              <w:t>Study Team (SEST) established, (2)</w:t>
            </w:r>
          </w:p>
          <w:p w:rsidR="0061232B" w:rsidRPr="007C5F59" w:rsidRDefault="0061232B" w:rsidP="00E84BAD">
            <w:pPr>
              <w:autoSpaceDE w:val="0"/>
              <w:autoSpaceDN w:val="0"/>
              <w:adjustRightInd w:val="0"/>
              <w:spacing w:after="0"/>
              <w:rPr>
                <w:rFonts w:cstheme="minorHAnsi"/>
                <w:sz w:val="18"/>
                <w:szCs w:val="18"/>
              </w:rPr>
            </w:pPr>
            <w:r w:rsidRPr="007C5F59">
              <w:rPr>
                <w:rFonts w:cstheme="minorHAnsi"/>
                <w:sz w:val="18"/>
                <w:szCs w:val="18"/>
              </w:rPr>
              <w:t>mapping exercise underta</w:t>
            </w:r>
            <w:r>
              <w:rPr>
                <w:rFonts w:cstheme="minorHAnsi"/>
                <w:sz w:val="18"/>
                <w:szCs w:val="18"/>
              </w:rPr>
              <w:t>k</w:t>
            </w:r>
            <w:r w:rsidRPr="007C5F59">
              <w:rPr>
                <w:rFonts w:cstheme="minorHAnsi"/>
                <w:sz w:val="18"/>
                <w:szCs w:val="18"/>
              </w:rPr>
              <w:t>en, and (3)</w:t>
            </w:r>
          </w:p>
          <w:p w:rsidR="0061232B" w:rsidRPr="007C5F59" w:rsidRDefault="0061232B" w:rsidP="00E84BAD">
            <w:pPr>
              <w:autoSpaceDE w:val="0"/>
              <w:autoSpaceDN w:val="0"/>
              <w:adjustRightInd w:val="0"/>
              <w:spacing w:after="0"/>
              <w:rPr>
                <w:rFonts w:cstheme="minorHAnsi"/>
                <w:sz w:val="18"/>
                <w:szCs w:val="18"/>
              </w:rPr>
            </w:pPr>
            <w:r w:rsidRPr="007C5F59">
              <w:rPr>
                <w:rFonts w:cstheme="minorHAnsi"/>
                <w:sz w:val="18"/>
                <w:szCs w:val="18"/>
              </w:rPr>
              <w:t>preliminary analysis of PEC Nexus in the ADP developed.</w:t>
            </w:r>
          </w:p>
          <w:p w:rsidR="0061232B" w:rsidRPr="007C5F59" w:rsidRDefault="0061232B" w:rsidP="00E84BAD">
            <w:pPr>
              <w:autoSpaceDE w:val="0"/>
              <w:autoSpaceDN w:val="0"/>
              <w:adjustRightInd w:val="0"/>
              <w:spacing w:after="0"/>
              <w:rPr>
                <w:rFonts w:cstheme="minorHAnsi"/>
                <w:sz w:val="18"/>
                <w:szCs w:val="18"/>
              </w:rPr>
            </w:pPr>
          </w:p>
          <w:p w:rsidR="0061232B" w:rsidRPr="007C5F59" w:rsidRDefault="0061232B" w:rsidP="00E84BAD">
            <w:pPr>
              <w:autoSpaceDE w:val="0"/>
              <w:autoSpaceDN w:val="0"/>
              <w:adjustRightInd w:val="0"/>
              <w:spacing w:after="0"/>
              <w:rPr>
                <w:rFonts w:cstheme="minorHAnsi"/>
                <w:sz w:val="18"/>
                <w:szCs w:val="18"/>
              </w:rPr>
            </w:pPr>
            <w:r w:rsidRPr="007C5F59">
              <w:rPr>
                <w:rFonts w:cstheme="minorHAnsi"/>
                <w:sz w:val="18"/>
                <w:szCs w:val="18"/>
                <w:u w:val="single"/>
              </w:rPr>
              <w:t>Year 2 (2012):</w:t>
            </w:r>
            <w:r w:rsidRPr="007C5F59">
              <w:rPr>
                <w:rFonts w:cstheme="minorHAnsi"/>
                <w:sz w:val="18"/>
                <w:szCs w:val="18"/>
              </w:rPr>
              <w:t xml:space="preserve"> Socio-Economic Study</w:t>
            </w:r>
          </w:p>
          <w:p w:rsidR="0061232B" w:rsidRPr="007C5F59" w:rsidRDefault="0061232B" w:rsidP="00E84BAD">
            <w:pPr>
              <w:autoSpaceDE w:val="0"/>
              <w:autoSpaceDN w:val="0"/>
              <w:adjustRightInd w:val="0"/>
              <w:spacing w:after="0"/>
              <w:rPr>
                <w:rFonts w:cstheme="minorHAnsi"/>
                <w:sz w:val="18"/>
                <w:szCs w:val="18"/>
              </w:rPr>
            </w:pPr>
            <w:r w:rsidRPr="007C5F59">
              <w:rPr>
                <w:rFonts w:cstheme="minorHAnsi"/>
                <w:sz w:val="18"/>
                <w:szCs w:val="18"/>
              </w:rPr>
              <w:t xml:space="preserve">reports in four selected areas developed and disseminated to </w:t>
            </w:r>
            <w:r>
              <w:rPr>
                <w:rFonts w:cstheme="minorHAnsi"/>
                <w:sz w:val="18"/>
                <w:szCs w:val="18"/>
              </w:rPr>
              <w:t>k</w:t>
            </w:r>
            <w:r w:rsidRPr="007C5F59">
              <w:rPr>
                <w:rFonts w:cstheme="minorHAnsi"/>
                <w:sz w:val="18"/>
                <w:szCs w:val="18"/>
              </w:rPr>
              <w:t>ey planning and development sta</w:t>
            </w:r>
            <w:r>
              <w:rPr>
                <w:rFonts w:cstheme="minorHAnsi"/>
                <w:sz w:val="18"/>
                <w:szCs w:val="18"/>
              </w:rPr>
              <w:t>k</w:t>
            </w:r>
            <w:r w:rsidRPr="007C5F59">
              <w:rPr>
                <w:rFonts w:cstheme="minorHAnsi"/>
                <w:sz w:val="18"/>
                <w:szCs w:val="18"/>
              </w:rPr>
              <w:t>eholders.</w:t>
            </w:r>
          </w:p>
          <w:p w:rsidR="0061232B" w:rsidRPr="007C5F59" w:rsidRDefault="0061232B" w:rsidP="00E84BAD">
            <w:pPr>
              <w:autoSpaceDE w:val="0"/>
              <w:autoSpaceDN w:val="0"/>
              <w:adjustRightInd w:val="0"/>
              <w:spacing w:after="0"/>
              <w:rPr>
                <w:rFonts w:cstheme="minorHAnsi"/>
                <w:sz w:val="18"/>
                <w:szCs w:val="18"/>
              </w:rPr>
            </w:pPr>
          </w:p>
          <w:p w:rsidR="0061232B" w:rsidRPr="007C5F59" w:rsidRDefault="0061232B" w:rsidP="00E84BAD">
            <w:pPr>
              <w:autoSpaceDE w:val="0"/>
              <w:autoSpaceDN w:val="0"/>
              <w:adjustRightInd w:val="0"/>
              <w:spacing w:after="0"/>
              <w:rPr>
                <w:rFonts w:cstheme="minorHAnsi"/>
                <w:sz w:val="18"/>
                <w:szCs w:val="18"/>
              </w:rPr>
            </w:pPr>
            <w:r w:rsidRPr="007C5F59">
              <w:rPr>
                <w:rFonts w:cstheme="minorHAnsi"/>
                <w:sz w:val="18"/>
                <w:szCs w:val="18"/>
                <w:u w:val="single"/>
              </w:rPr>
              <w:t>Year 3 (2013):</w:t>
            </w:r>
            <w:r w:rsidRPr="007C5F59">
              <w:rPr>
                <w:rFonts w:cstheme="minorHAnsi"/>
                <w:sz w:val="18"/>
                <w:szCs w:val="18"/>
              </w:rPr>
              <w:t xml:space="preserve"> Socio-Economic Analysis</w:t>
            </w:r>
          </w:p>
          <w:p w:rsidR="0061232B" w:rsidRPr="007C5F59" w:rsidRDefault="0061232B" w:rsidP="00E84BAD">
            <w:pPr>
              <w:autoSpaceDE w:val="0"/>
              <w:autoSpaceDN w:val="0"/>
              <w:adjustRightInd w:val="0"/>
              <w:spacing w:after="0"/>
              <w:rPr>
                <w:rFonts w:cstheme="minorHAnsi"/>
                <w:sz w:val="18"/>
                <w:szCs w:val="18"/>
              </w:rPr>
            </w:pPr>
            <w:r w:rsidRPr="007C5F59">
              <w:rPr>
                <w:rFonts w:cstheme="minorHAnsi"/>
                <w:sz w:val="18"/>
                <w:szCs w:val="18"/>
              </w:rPr>
              <w:t xml:space="preserve">reports in four selected areas developed and disseminated to </w:t>
            </w:r>
            <w:r>
              <w:rPr>
                <w:rFonts w:cstheme="minorHAnsi"/>
                <w:sz w:val="18"/>
                <w:szCs w:val="18"/>
              </w:rPr>
              <w:t>k</w:t>
            </w:r>
            <w:r w:rsidRPr="007C5F59">
              <w:rPr>
                <w:rFonts w:cstheme="minorHAnsi"/>
                <w:sz w:val="18"/>
                <w:szCs w:val="18"/>
              </w:rPr>
              <w:t>ey planning and development sta</w:t>
            </w:r>
            <w:r>
              <w:rPr>
                <w:rFonts w:cstheme="minorHAnsi"/>
                <w:sz w:val="18"/>
                <w:szCs w:val="18"/>
              </w:rPr>
              <w:t>k</w:t>
            </w:r>
            <w:r w:rsidRPr="007C5F59">
              <w:rPr>
                <w:rFonts w:cstheme="minorHAnsi"/>
                <w:sz w:val="18"/>
                <w:szCs w:val="18"/>
              </w:rPr>
              <w:t>eholders.</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1E161B">
            <w:pPr>
              <w:numPr>
                <w:ilvl w:val="0"/>
                <w:numId w:val="59"/>
              </w:numPr>
              <w:autoSpaceDE w:val="0"/>
              <w:autoSpaceDN w:val="0"/>
              <w:adjustRightInd w:val="0"/>
              <w:spacing w:after="0" w:line="240" w:lineRule="auto"/>
              <w:ind w:left="162" w:hanging="178"/>
              <w:rPr>
                <w:rFonts w:cstheme="minorHAnsi"/>
                <w:bCs/>
                <w:sz w:val="18"/>
                <w:szCs w:val="18"/>
              </w:rPr>
            </w:pPr>
            <w:r w:rsidRPr="007C5F59">
              <w:rPr>
                <w:rFonts w:cstheme="minorHAnsi"/>
                <w:sz w:val="18"/>
                <w:szCs w:val="18"/>
              </w:rPr>
              <w:t>Socio-Economic Study Team (SEST) established and functional</w:t>
            </w:r>
          </w:p>
          <w:p w:rsidR="0061232B" w:rsidRPr="007C5F59" w:rsidRDefault="0061232B" w:rsidP="00E84BAD">
            <w:pPr>
              <w:autoSpaceDE w:val="0"/>
              <w:autoSpaceDN w:val="0"/>
              <w:adjustRightInd w:val="0"/>
              <w:spacing w:after="0"/>
              <w:ind w:left="162" w:hanging="178"/>
              <w:rPr>
                <w:rFonts w:cstheme="minorHAnsi"/>
                <w:bCs/>
                <w:sz w:val="18"/>
                <w:szCs w:val="18"/>
              </w:rPr>
            </w:pPr>
          </w:p>
          <w:p w:rsidR="0061232B" w:rsidRPr="007C5F59" w:rsidRDefault="0061232B" w:rsidP="001E161B">
            <w:pPr>
              <w:numPr>
                <w:ilvl w:val="0"/>
                <w:numId w:val="59"/>
              </w:numPr>
              <w:autoSpaceDE w:val="0"/>
              <w:autoSpaceDN w:val="0"/>
              <w:adjustRightInd w:val="0"/>
              <w:spacing w:after="0" w:line="240" w:lineRule="auto"/>
              <w:ind w:left="162" w:hanging="178"/>
              <w:rPr>
                <w:rFonts w:cstheme="minorHAnsi"/>
                <w:bCs/>
                <w:sz w:val="18"/>
                <w:szCs w:val="18"/>
              </w:rPr>
            </w:pPr>
            <w:r w:rsidRPr="007C5F59">
              <w:rPr>
                <w:rFonts w:cstheme="minorHAnsi"/>
                <w:sz w:val="18"/>
                <w:szCs w:val="18"/>
              </w:rPr>
              <w:t xml:space="preserve">Existence of Socio-Economic Study (Case Project Analysis from PEC Lens) report of climate change on </w:t>
            </w:r>
            <w:r>
              <w:rPr>
                <w:rFonts w:cstheme="minorHAnsi"/>
                <w:sz w:val="18"/>
                <w:szCs w:val="18"/>
              </w:rPr>
              <w:t>k</w:t>
            </w:r>
            <w:r w:rsidRPr="007C5F59">
              <w:rPr>
                <w:rFonts w:cstheme="minorHAnsi"/>
                <w:sz w:val="18"/>
                <w:szCs w:val="18"/>
              </w:rPr>
              <w:t>ey development priorities</w:t>
            </w:r>
          </w:p>
          <w:p w:rsidR="0061232B" w:rsidRPr="007C5F59" w:rsidRDefault="0061232B" w:rsidP="00E84BAD">
            <w:pPr>
              <w:autoSpaceDE w:val="0"/>
              <w:autoSpaceDN w:val="0"/>
              <w:adjustRightInd w:val="0"/>
              <w:spacing w:after="0"/>
              <w:ind w:left="162" w:hanging="178"/>
              <w:rPr>
                <w:rFonts w:cstheme="minorHAnsi"/>
                <w:bCs/>
                <w:sz w:val="18"/>
                <w:szCs w:val="18"/>
              </w:rPr>
            </w:pPr>
          </w:p>
          <w:p w:rsidR="0061232B" w:rsidRPr="007C5F59" w:rsidRDefault="0061232B" w:rsidP="001E161B">
            <w:pPr>
              <w:numPr>
                <w:ilvl w:val="0"/>
                <w:numId w:val="59"/>
              </w:numPr>
              <w:autoSpaceDE w:val="0"/>
              <w:autoSpaceDN w:val="0"/>
              <w:adjustRightInd w:val="0"/>
              <w:spacing w:after="0" w:line="240" w:lineRule="auto"/>
              <w:ind w:left="162" w:hanging="178"/>
              <w:rPr>
                <w:rFonts w:cstheme="minorHAnsi"/>
                <w:bCs/>
                <w:sz w:val="18"/>
                <w:szCs w:val="18"/>
              </w:rPr>
            </w:pPr>
            <w:r w:rsidRPr="007C5F59">
              <w:rPr>
                <w:rFonts w:cstheme="minorHAnsi"/>
                <w:sz w:val="18"/>
                <w:szCs w:val="18"/>
              </w:rPr>
              <w:t>(1) PECD nexus analysis completed for 22 selected case projects from ADP (2) Case project analysis on two selected projects from ADP has been completed through two field visits to the project site by case project team members from different sector of planning commission and agency</w:t>
            </w:r>
          </w:p>
          <w:p w:rsidR="0061232B" w:rsidRPr="007C5F59" w:rsidRDefault="0061232B" w:rsidP="00E84BAD">
            <w:pPr>
              <w:autoSpaceDE w:val="0"/>
              <w:autoSpaceDN w:val="0"/>
              <w:adjustRightInd w:val="0"/>
              <w:spacing w:after="0"/>
              <w:ind w:left="162" w:hanging="178"/>
              <w:rPr>
                <w:rFonts w:cstheme="minorHAnsi"/>
                <w:bCs/>
                <w:sz w:val="18"/>
                <w:szCs w:val="18"/>
              </w:rPr>
            </w:pPr>
          </w:p>
          <w:p w:rsidR="0061232B" w:rsidRPr="007C5F59" w:rsidRDefault="0061232B" w:rsidP="001E161B">
            <w:pPr>
              <w:numPr>
                <w:ilvl w:val="0"/>
                <w:numId w:val="59"/>
              </w:numPr>
              <w:autoSpaceDE w:val="0"/>
              <w:autoSpaceDN w:val="0"/>
              <w:adjustRightInd w:val="0"/>
              <w:spacing w:after="0" w:line="240" w:lineRule="auto"/>
              <w:ind w:left="162" w:hanging="178"/>
              <w:rPr>
                <w:rFonts w:cstheme="minorHAnsi"/>
                <w:bCs/>
                <w:sz w:val="18"/>
                <w:szCs w:val="18"/>
              </w:rPr>
            </w:pPr>
            <w:r w:rsidRPr="007C5F59">
              <w:rPr>
                <w:rFonts w:cstheme="minorHAnsi"/>
                <w:sz w:val="18"/>
                <w:szCs w:val="18"/>
              </w:rPr>
              <w:t xml:space="preserve">Number of events where results of the analysis are presented to </w:t>
            </w:r>
            <w:r>
              <w:rPr>
                <w:rFonts w:cstheme="minorHAnsi"/>
                <w:sz w:val="18"/>
                <w:szCs w:val="18"/>
              </w:rPr>
              <w:t>k</w:t>
            </w:r>
            <w:r w:rsidRPr="007C5F59">
              <w:rPr>
                <w:rFonts w:cstheme="minorHAnsi"/>
                <w:sz w:val="18"/>
                <w:szCs w:val="18"/>
              </w:rPr>
              <w:t>ey planning and development sta</w:t>
            </w:r>
            <w:r>
              <w:rPr>
                <w:rFonts w:cstheme="minorHAnsi"/>
                <w:sz w:val="18"/>
                <w:szCs w:val="18"/>
              </w:rPr>
              <w:t>k</w:t>
            </w:r>
            <w:r w:rsidRPr="007C5F59">
              <w:rPr>
                <w:rFonts w:cstheme="minorHAnsi"/>
                <w:sz w:val="18"/>
                <w:szCs w:val="18"/>
              </w:rPr>
              <w:t>eholders</w:t>
            </w:r>
          </w:p>
          <w:p w:rsidR="0061232B" w:rsidRPr="007C5F59" w:rsidRDefault="0061232B" w:rsidP="00E84BAD">
            <w:pPr>
              <w:autoSpaceDE w:val="0"/>
              <w:autoSpaceDN w:val="0"/>
              <w:adjustRightInd w:val="0"/>
              <w:spacing w:after="0"/>
              <w:ind w:left="162" w:hanging="178"/>
              <w:rPr>
                <w:rFonts w:cstheme="minorHAnsi"/>
                <w:bCs/>
                <w:sz w:val="18"/>
                <w:szCs w:val="18"/>
              </w:rPr>
            </w:pPr>
          </w:p>
          <w:p w:rsidR="0061232B" w:rsidRPr="00E41408" w:rsidRDefault="0061232B" w:rsidP="001E161B">
            <w:pPr>
              <w:numPr>
                <w:ilvl w:val="0"/>
                <w:numId w:val="59"/>
              </w:numPr>
              <w:autoSpaceDE w:val="0"/>
              <w:autoSpaceDN w:val="0"/>
              <w:adjustRightInd w:val="0"/>
              <w:spacing w:after="0" w:line="240" w:lineRule="auto"/>
              <w:ind w:left="162" w:hanging="178"/>
              <w:rPr>
                <w:rFonts w:cstheme="minorHAnsi"/>
                <w:bCs/>
                <w:sz w:val="18"/>
                <w:szCs w:val="18"/>
              </w:rPr>
            </w:pPr>
            <w:r w:rsidRPr="007C5F59">
              <w:rPr>
                <w:rFonts w:cstheme="minorHAnsi"/>
                <w:sz w:val="18"/>
                <w:szCs w:val="18"/>
              </w:rPr>
              <w:t>12 feedbac</w:t>
            </w:r>
            <w:r>
              <w:rPr>
                <w:rFonts w:cstheme="minorHAnsi"/>
                <w:sz w:val="18"/>
                <w:szCs w:val="18"/>
              </w:rPr>
              <w:t>k</w:t>
            </w:r>
            <w:r w:rsidRPr="007C5F59">
              <w:rPr>
                <w:rFonts w:cstheme="minorHAnsi"/>
                <w:sz w:val="18"/>
                <w:szCs w:val="18"/>
              </w:rPr>
              <w:t xml:space="preserve"> reports to the concerned project team have been disbursed and 2 of them positively replied and agreed to incorporate PEC Nexus issues in the revised DPP</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spacing w:after="0"/>
              <w:rPr>
                <w:rFonts w:cstheme="minorHAnsi"/>
                <w:i/>
                <w:sz w:val="18"/>
                <w:szCs w:val="18"/>
              </w:rPr>
            </w:pPr>
            <w:r w:rsidRPr="007C5F59">
              <w:rPr>
                <w:rFonts w:cstheme="minorHAnsi"/>
                <w:b/>
                <w:i/>
                <w:noProof/>
                <w:sz w:val="18"/>
                <w:szCs w:val="18"/>
                <w:lang w:eastAsia="en-GB"/>
              </w:rPr>
              <w:t>Fully achieved</w:t>
            </w:r>
          </w:p>
        </w:tc>
      </w:tr>
      <w:tr w:rsidR="0061232B" w:rsidRPr="007C5F59" w:rsidTr="00E84BAD">
        <w:trPr>
          <w:trHeight w:val="350"/>
        </w:trPr>
        <w:tc>
          <w:tcPr>
            <w:tcW w:w="789"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E w:val="0"/>
              <w:autoSpaceDN w:val="0"/>
              <w:adjustRightInd w:val="0"/>
              <w:spacing w:after="0"/>
              <w:rPr>
                <w:rFonts w:cstheme="minorHAnsi"/>
                <w:bCs/>
                <w:color w:val="0F243E"/>
                <w:sz w:val="18"/>
                <w:szCs w:val="18"/>
              </w:rPr>
            </w:pPr>
            <w:r w:rsidRPr="007C5F59">
              <w:rPr>
                <w:rFonts w:cstheme="minorHAnsi"/>
                <w:b/>
                <w:color w:val="0F243E"/>
                <w:sz w:val="18"/>
                <w:szCs w:val="18"/>
              </w:rPr>
              <w:t>Output 1.2</w:t>
            </w:r>
            <w:r w:rsidRPr="007C5F59">
              <w:rPr>
                <w:rFonts w:cstheme="minorHAnsi"/>
                <w:color w:val="0F243E"/>
                <w:sz w:val="18"/>
                <w:szCs w:val="18"/>
              </w:rPr>
              <w:t xml:space="preserve">: Poverty-Environment- Climate (PEC) issues integrated into </w:t>
            </w:r>
            <w:r>
              <w:rPr>
                <w:rFonts w:cstheme="minorHAnsi"/>
                <w:color w:val="0F243E"/>
                <w:sz w:val="18"/>
                <w:szCs w:val="18"/>
              </w:rPr>
              <w:t>k</w:t>
            </w:r>
            <w:r w:rsidRPr="007C5F59">
              <w:rPr>
                <w:rFonts w:cstheme="minorHAnsi"/>
                <w:color w:val="0F243E"/>
                <w:sz w:val="18"/>
                <w:szCs w:val="18"/>
              </w:rPr>
              <w:t>ey national and sectoral planning documents.</w:t>
            </w:r>
          </w:p>
          <w:p w:rsidR="0061232B" w:rsidRPr="007C5F59" w:rsidRDefault="0061232B" w:rsidP="00E84BAD">
            <w:pPr>
              <w:spacing w:after="0"/>
              <w:rPr>
                <w:rFonts w:cstheme="minorHAnsi"/>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PEC issues not comprehensively</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integrated into existing national and</w:t>
            </w:r>
          </w:p>
          <w:p w:rsidR="0061232B" w:rsidRPr="007C5F59" w:rsidRDefault="0061232B" w:rsidP="00E84BAD">
            <w:pPr>
              <w:autoSpaceDN w:val="0"/>
              <w:spacing w:after="0"/>
              <w:rPr>
                <w:rFonts w:cstheme="minorHAnsi"/>
                <w:sz w:val="18"/>
                <w:szCs w:val="18"/>
              </w:rPr>
            </w:pPr>
            <w:r w:rsidRPr="007C5F59">
              <w:rPr>
                <w:rFonts w:cstheme="minorHAnsi"/>
                <w:sz w:val="18"/>
                <w:szCs w:val="18"/>
              </w:rPr>
              <w:t>sectoral planning documents</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u w:val="single"/>
              </w:rPr>
              <w:t>Year 1 (2010 &amp; 11):</w:t>
            </w:r>
            <w:r w:rsidRPr="007C5F59">
              <w:rPr>
                <w:rFonts w:cstheme="minorHAnsi"/>
                <w:sz w:val="18"/>
                <w:szCs w:val="18"/>
              </w:rPr>
              <w:t xml:space="preserve"> (1) Entry point for</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mainstreaming identified and technical</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briefs developed and disseminated</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targeting specific entry points of</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selected national and sectoral planning</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processes.</w:t>
            </w:r>
          </w:p>
          <w:p w:rsidR="0061232B" w:rsidRPr="007C5F59" w:rsidRDefault="0061232B" w:rsidP="00E84BAD">
            <w:pPr>
              <w:autoSpaceDE w:val="0"/>
              <w:autoSpaceDN w:val="0"/>
              <w:adjustRightInd w:val="0"/>
              <w:spacing w:after="0"/>
              <w:rPr>
                <w:rFonts w:cstheme="minorHAnsi"/>
                <w:bCs/>
                <w:sz w:val="18"/>
                <w:szCs w:val="18"/>
              </w:rPr>
            </w:pP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u w:val="single"/>
              </w:rPr>
              <w:t>Year 2 (2012):</w:t>
            </w:r>
            <w:r w:rsidRPr="007C5F59">
              <w:rPr>
                <w:rFonts w:cstheme="minorHAnsi"/>
                <w:sz w:val="18"/>
                <w:szCs w:val="18"/>
              </w:rPr>
              <w:t xml:space="preserve"> Technical briefs</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developed and disseminated targeting</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specific entry points of selected</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national and sectoral planning</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processes.</w:t>
            </w:r>
          </w:p>
          <w:p w:rsidR="0061232B" w:rsidRPr="007C5F59" w:rsidRDefault="0061232B" w:rsidP="00E84BAD">
            <w:pPr>
              <w:autoSpaceDE w:val="0"/>
              <w:autoSpaceDN w:val="0"/>
              <w:adjustRightInd w:val="0"/>
              <w:spacing w:after="0"/>
              <w:rPr>
                <w:rFonts w:cstheme="minorHAnsi"/>
                <w:bCs/>
                <w:sz w:val="18"/>
                <w:szCs w:val="18"/>
              </w:rPr>
            </w:pP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u w:val="single"/>
              </w:rPr>
              <w:t>Year 3 (2013):</w:t>
            </w:r>
            <w:r w:rsidRPr="007C5F59">
              <w:rPr>
                <w:rFonts w:cstheme="minorHAnsi"/>
                <w:sz w:val="18"/>
                <w:szCs w:val="18"/>
              </w:rPr>
              <w:t xml:space="preserve"> At least three national</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and one sectoral policies integrated</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lastRenderedPageBreak/>
              <w:t>poverty-environment-climate lin</w:t>
            </w:r>
            <w:r>
              <w:rPr>
                <w:rFonts w:cstheme="minorHAnsi"/>
                <w:sz w:val="18"/>
                <w:szCs w:val="18"/>
              </w:rPr>
              <w:t>k</w:t>
            </w:r>
            <w:r w:rsidRPr="007C5F59">
              <w:rPr>
                <w:rFonts w:cstheme="minorHAnsi"/>
                <w:sz w:val="18"/>
                <w:szCs w:val="18"/>
              </w:rPr>
              <w:t>ages</w:t>
            </w:r>
          </w:p>
          <w:p w:rsidR="0061232B" w:rsidRPr="005C175E" w:rsidRDefault="0061232B" w:rsidP="00E84BAD">
            <w:pPr>
              <w:autoSpaceDE w:val="0"/>
              <w:autoSpaceDN w:val="0"/>
              <w:adjustRightInd w:val="0"/>
              <w:spacing w:after="0"/>
              <w:rPr>
                <w:rFonts w:cstheme="minorHAnsi"/>
                <w:bCs/>
                <w:sz w:val="18"/>
                <w:szCs w:val="18"/>
              </w:rPr>
            </w:pPr>
            <w:r w:rsidRPr="007C5F59">
              <w:rPr>
                <w:rFonts w:cstheme="minorHAnsi"/>
                <w:sz w:val="18"/>
                <w:szCs w:val="18"/>
              </w:rPr>
              <w:t>through policy advocacy using the results of the analysis.</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1E161B">
            <w:pPr>
              <w:numPr>
                <w:ilvl w:val="0"/>
                <w:numId w:val="60"/>
              </w:numPr>
              <w:autoSpaceDE w:val="0"/>
              <w:autoSpaceDN w:val="0"/>
              <w:adjustRightInd w:val="0"/>
              <w:spacing w:after="0" w:line="240" w:lineRule="auto"/>
              <w:ind w:left="162" w:hanging="181"/>
              <w:rPr>
                <w:rFonts w:cstheme="minorHAnsi"/>
                <w:bCs/>
                <w:sz w:val="18"/>
                <w:szCs w:val="18"/>
              </w:rPr>
            </w:pPr>
            <w:r w:rsidRPr="007C5F59">
              <w:rPr>
                <w:rFonts w:cstheme="minorHAnsi"/>
                <w:sz w:val="18"/>
                <w:szCs w:val="18"/>
              </w:rPr>
              <w:lastRenderedPageBreak/>
              <w:t>Technical brief has been provided to incorporate PEC Nexus issues in the draft DPP and TPP format, Delta Plan 2100.</w:t>
            </w:r>
          </w:p>
          <w:p w:rsidR="0061232B" w:rsidRPr="007C5F59" w:rsidRDefault="0061232B" w:rsidP="00E84BAD">
            <w:pPr>
              <w:autoSpaceDE w:val="0"/>
              <w:autoSpaceDN w:val="0"/>
              <w:adjustRightInd w:val="0"/>
              <w:spacing w:after="0"/>
              <w:ind w:left="162" w:hanging="181"/>
              <w:rPr>
                <w:rFonts w:cstheme="minorHAnsi"/>
                <w:bCs/>
                <w:sz w:val="18"/>
                <w:szCs w:val="18"/>
              </w:rPr>
            </w:pPr>
          </w:p>
          <w:p w:rsidR="0061232B" w:rsidRPr="007C5F59" w:rsidRDefault="0061232B" w:rsidP="001E161B">
            <w:pPr>
              <w:numPr>
                <w:ilvl w:val="0"/>
                <w:numId w:val="60"/>
              </w:numPr>
              <w:autoSpaceDE w:val="0"/>
              <w:autoSpaceDN w:val="0"/>
              <w:adjustRightInd w:val="0"/>
              <w:spacing w:after="0" w:line="240" w:lineRule="auto"/>
              <w:ind w:left="162" w:hanging="181"/>
              <w:rPr>
                <w:rFonts w:cstheme="minorHAnsi"/>
                <w:bCs/>
                <w:sz w:val="18"/>
                <w:szCs w:val="18"/>
              </w:rPr>
            </w:pPr>
            <w:r w:rsidRPr="007C5F59">
              <w:rPr>
                <w:rFonts w:cstheme="minorHAnsi"/>
                <w:sz w:val="18"/>
                <w:szCs w:val="18"/>
              </w:rPr>
              <w:t>PEC Nexus related four (04) clauses have been addressed in the ADP Guideline (2012-13).</w:t>
            </w:r>
          </w:p>
          <w:p w:rsidR="0061232B" w:rsidRPr="007C5F59" w:rsidRDefault="0061232B" w:rsidP="00E84BAD">
            <w:pPr>
              <w:autoSpaceDE w:val="0"/>
              <w:autoSpaceDN w:val="0"/>
              <w:adjustRightInd w:val="0"/>
              <w:spacing w:after="0"/>
              <w:ind w:left="162" w:hanging="181"/>
              <w:rPr>
                <w:rFonts w:cstheme="minorHAnsi"/>
                <w:bCs/>
                <w:sz w:val="18"/>
                <w:szCs w:val="18"/>
              </w:rPr>
            </w:pPr>
          </w:p>
          <w:p w:rsidR="0061232B" w:rsidRPr="007C5F59" w:rsidRDefault="0061232B" w:rsidP="001E161B">
            <w:pPr>
              <w:numPr>
                <w:ilvl w:val="0"/>
                <w:numId w:val="60"/>
              </w:numPr>
              <w:autoSpaceDE w:val="0"/>
              <w:autoSpaceDN w:val="0"/>
              <w:adjustRightInd w:val="0"/>
              <w:spacing w:after="0" w:line="240" w:lineRule="auto"/>
              <w:ind w:left="162" w:hanging="181"/>
              <w:rPr>
                <w:rFonts w:cstheme="minorHAnsi"/>
                <w:bCs/>
                <w:sz w:val="18"/>
                <w:szCs w:val="18"/>
              </w:rPr>
            </w:pPr>
            <w:r w:rsidRPr="007C5F59">
              <w:rPr>
                <w:rFonts w:cstheme="minorHAnsi"/>
                <w:sz w:val="18"/>
                <w:szCs w:val="18"/>
              </w:rPr>
              <w:t>3 sub-output of national agricultural programme incorporated PEC Nexus issues.</w:t>
            </w:r>
          </w:p>
          <w:p w:rsidR="0061232B" w:rsidRPr="007C5F59" w:rsidRDefault="0061232B" w:rsidP="00E84BAD">
            <w:pPr>
              <w:autoSpaceDE w:val="0"/>
              <w:autoSpaceDN w:val="0"/>
              <w:adjustRightInd w:val="0"/>
              <w:spacing w:after="0"/>
              <w:ind w:left="162" w:hanging="181"/>
              <w:rPr>
                <w:rFonts w:cstheme="minorHAnsi"/>
                <w:bCs/>
                <w:sz w:val="18"/>
                <w:szCs w:val="18"/>
              </w:rPr>
            </w:pPr>
          </w:p>
          <w:p w:rsidR="0061232B" w:rsidRPr="007C5F59" w:rsidRDefault="0061232B" w:rsidP="001E161B">
            <w:pPr>
              <w:numPr>
                <w:ilvl w:val="0"/>
                <w:numId w:val="60"/>
              </w:numPr>
              <w:autoSpaceDE w:val="0"/>
              <w:autoSpaceDN w:val="0"/>
              <w:adjustRightInd w:val="0"/>
              <w:spacing w:after="0" w:line="240" w:lineRule="auto"/>
              <w:ind w:left="162" w:hanging="181"/>
              <w:rPr>
                <w:rFonts w:cstheme="minorHAnsi"/>
                <w:bCs/>
                <w:sz w:val="18"/>
                <w:szCs w:val="18"/>
              </w:rPr>
            </w:pPr>
            <w:r w:rsidRPr="007C5F59">
              <w:rPr>
                <w:rFonts w:cstheme="minorHAnsi"/>
                <w:sz w:val="18"/>
                <w:szCs w:val="18"/>
              </w:rPr>
              <w:t>PECD nexus issues integrated into Monitoring and Evaluation (M&amp;E) framewor</w:t>
            </w:r>
            <w:r>
              <w:rPr>
                <w:rFonts w:cstheme="minorHAnsi"/>
                <w:sz w:val="18"/>
                <w:szCs w:val="18"/>
              </w:rPr>
              <w:t>k</w:t>
            </w:r>
            <w:r w:rsidRPr="007C5F59">
              <w:rPr>
                <w:rFonts w:cstheme="minorHAnsi"/>
                <w:sz w:val="18"/>
                <w:szCs w:val="18"/>
              </w:rPr>
              <w:t xml:space="preserve"> of 6th Five Year Plan, National Perspective Plan (in English and Bangla) and National Sustainable Development Strategy</w:t>
            </w:r>
            <w:r w:rsidRPr="007C5F59">
              <w:rPr>
                <w:rFonts w:cstheme="minorHAnsi"/>
                <w:noProof/>
                <w:sz w:val="18"/>
                <w:szCs w:val="18"/>
                <w:lang w:eastAsia="en-GB"/>
              </w:rPr>
              <w:t xml:space="preserve"> (2010-21), the Country Investment Plan for the Agriculture Sector (2011) and the Annual Development Programme (ADP) Guidelines.</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spacing w:after="0"/>
              <w:rPr>
                <w:rFonts w:cstheme="minorHAnsi"/>
                <w:i/>
                <w:sz w:val="18"/>
                <w:szCs w:val="18"/>
              </w:rPr>
            </w:pPr>
            <w:r w:rsidRPr="007C5F59">
              <w:rPr>
                <w:rFonts w:cstheme="minorHAnsi"/>
                <w:b/>
                <w:i/>
                <w:noProof/>
                <w:sz w:val="18"/>
                <w:szCs w:val="18"/>
                <w:lang w:eastAsia="en-GB"/>
              </w:rPr>
              <w:t>Fully achieved</w:t>
            </w:r>
          </w:p>
        </w:tc>
      </w:tr>
      <w:tr w:rsidR="0061232B" w:rsidRPr="007C5F59" w:rsidTr="00E84BAD">
        <w:trPr>
          <w:trHeight w:val="350"/>
        </w:trPr>
        <w:tc>
          <w:tcPr>
            <w:tcW w:w="789"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E w:val="0"/>
              <w:autoSpaceDN w:val="0"/>
              <w:adjustRightInd w:val="0"/>
              <w:spacing w:after="0"/>
              <w:rPr>
                <w:rFonts w:cstheme="minorHAnsi"/>
                <w:bCs/>
                <w:color w:val="0F243E"/>
                <w:sz w:val="18"/>
                <w:szCs w:val="18"/>
              </w:rPr>
            </w:pPr>
            <w:r w:rsidRPr="007C5F59">
              <w:rPr>
                <w:rFonts w:cstheme="minorHAnsi"/>
                <w:b/>
                <w:color w:val="0F243E"/>
                <w:sz w:val="18"/>
                <w:szCs w:val="18"/>
              </w:rPr>
              <w:lastRenderedPageBreak/>
              <w:t>Output 1.3</w:t>
            </w:r>
            <w:r w:rsidRPr="007C5F59">
              <w:rPr>
                <w:rFonts w:cstheme="minorHAnsi"/>
                <w:color w:val="0F243E"/>
                <w:sz w:val="18"/>
                <w:szCs w:val="18"/>
              </w:rPr>
              <w:t xml:space="preserve">: National level training, advocacy and </w:t>
            </w:r>
            <w:r>
              <w:rPr>
                <w:rFonts w:cstheme="minorHAnsi"/>
                <w:color w:val="0F243E"/>
                <w:sz w:val="18"/>
                <w:szCs w:val="18"/>
              </w:rPr>
              <w:t>k</w:t>
            </w:r>
            <w:r w:rsidRPr="007C5F59">
              <w:rPr>
                <w:rFonts w:cstheme="minorHAnsi"/>
                <w:color w:val="0F243E"/>
                <w:sz w:val="18"/>
                <w:szCs w:val="18"/>
              </w:rPr>
              <w:t>nowledge management on PEC</w:t>
            </w:r>
          </w:p>
          <w:p w:rsidR="0061232B" w:rsidRPr="007C5F59" w:rsidRDefault="0061232B" w:rsidP="00E84BAD">
            <w:pPr>
              <w:autoSpaceDE w:val="0"/>
              <w:autoSpaceDN w:val="0"/>
              <w:adjustRightInd w:val="0"/>
              <w:spacing w:after="0"/>
              <w:rPr>
                <w:rFonts w:cstheme="minorHAnsi"/>
                <w:bCs/>
                <w:color w:val="0F243E"/>
                <w:sz w:val="18"/>
                <w:szCs w:val="18"/>
              </w:rPr>
            </w:pPr>
            <w:r w:rsidRPr="007C5F59">
              <w:rPr>
                <w:rFonts w:cstheme="minorHAnsi"/>
                <w:color w:val="0F243E"/>
                <w:sz w:val="18"/>
                <w:szCs w:val="18"/>
              </w:rPr>
              <w:t>mainstreaming improved through dissemination of analysis and findings (building on lessons</w:t>
            </w:r>
          </w:p>
          <w:p w:rsidR="0061232B" w:rsidRPr="007C5F59" w:rsidRDefault="0061232B" w:rsidP="00E84BAD">
            <w:pPr>
              <w:spacing w:after="0"/>
              <w:rPr>
                <w:rFonts w:cstheme="minorHAnsi"/>
                <w:sz w:val="18"/>
                <w:szCs w:val="18"/>
              </w:rPr>
            </w:pPr>
            <w:r w:rsidRPr="007C5F59">
              <w:rPr>
                <w:rFonts w:cstheme="minorHAnsi"/>
                <w:color w:val="0F243E"/>
                <w:sz w:val="18"/>
                <w:szCs w:val="18"/>
              </w:rPr>
              <w:t>from national level analysis and field level up-scaling).</w:t>
            </w:r>
          </w:p>
        </w:tc>
        <w:tc>
          <w:tcPr>
            <w:tcW w:w="555"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Planning Commission and other</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relevant development agencies have</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limited capacity to integrate PEC</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measures into national planning and</w:t>
            </w:r>
          </w:p>
          <w:p w:rsidR="0061232B" w:rsidRPr="007C5F59" w:rsidRDefault="0061232B" w:rsidP="00E84BAD">
            <w:pPr>
              <w:autoSpaceDN w:val="0"/>
              <w:spacing w:after="0"/>
              <w:rPr>
                <w:rFonts w:cstheme="minorHAnsi"/>
                <w:sz w:val="18"/>
                <w:szCs w:val="18"/>
              </w:rPr>
            </w:pPr>
            <w:r w:rsidRPr="007C5F59">
              <w:rPr>
                <w:rFonts w:cstheme="minorHAnsi"/>
                <w:sz w:val="18"/>
                <w:szCs w:val="18"/>
              </w:rPr>
              <w:t>budgeting processes</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u w:val="single"/>
              </w:rPr>
              <w:t>Year 1 (2010 &amp; 11):</w:t>
            </w:r>
            <w:r w:rsidRPr="007C5F59">
              <w:rPr>
                <w:rFonts w:cstheme="minorHAnsi"/>
                <w:sz w:val="18"/>
                <w:szCs w:val="18"/>
              </w:rPr>
              <w:t xml:space="preserve"> Training needs</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assessed, course outline developed, PEC Nexus curriculum developed and a pilot training of 24 planning and development sta</w:t>
            </w:r>
            <w:r>
              <w:rPr>
                <w:rFonts w:cstheme="minorHAnsi"/>
                <w:sz w:val="18"/>
                <w:szCs w:val="18"/>
              </w:rPr>
              <w:t>k</w:t>
            </w:r>
            <w:r w:rsidRPr="007C5F59">
              <w:rPr>
                <w:rFonts w:cstheme="minorHAnsi"/>
                <w:sz w:val="18"/>
                <w:szCs w:val="18"/>
              </w:rPr>
              <w:t>eholders conducted</w:t>
            </w:r>
          </w:p>
          <w:p w:rsidR="0061232B" w:rsidRPr="007C5F59" w:rsidRDefault="0061232B" w:rsidP="00E84BAD">
            <w:pPr>
              <w:autoSpaceDE w:val="0"/>
              <w:autoSpaceDN w:val="0"/>
              <w:adjustRightInd w:val="0"/>
              <w:spacing w:after="0"/>
              <w:rPr>
                <w:rFonts w:cstheme="minorHAnsi"/>
                <w:bCs/>
                <w:sz w:val="18"/>
                <w:szCs w:val="18"/>
              </w:rPr>
            </w:pP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u w:val="single"/>
              </w:rPr>
              <w:t>Year 2 (2012):</w:t>
            </w:r>
            <w:r w:rsidRPr="007C5F59">
              <w:rPr>
                <w:rFonts w:cstheme="minorHAnsi"/>
                <w:sz w:val="18"/>
                <w:szCs w:val="18"/>
              </w:rPr>
              <w:t xml:space="preserve"> Poverty-Environment Climate networ</w:t>
            </w:r>
            <w:r>
              <w:rPr>
                <w:rFonts w:cstheme="minorHAnsi"/>
                <w:sz w:val="18"/>
                <w:szCs w:val="18"/>
              </w:rPr>
              <w:t>k</w:t>
            </w:r>
            <w:r w:rsidRPr="007C5F59">
              <w:rPr>
                <w:rFonts w:cstheme="minorHAnsi"/>
                <w:sz w:val="18"/>
                <w:szCs w:val="18"/>
              </w:rPr>
              <w:t xml:space="preserve"> established, PEC Nexus curriculum developed and training provided to at least 140 planning and development sta</w:t>
            </w:r>
            <w:r>
              <w:rPr>
                <w:rFonts w:cstheme="minorHAnsi"/>
                <w:sz w:val="18"/>
                <w:szCs w:val="18"/>
              </w:rPr>
              <w:t>k</w:t>
            </w:r>
            <w:r w:rsidRPr="007C5F59">
              <w:rPr>
                <w:rFonts w:cstheme="minorHAnsi"/>
                <w:sz w:val="18"/>
                <w:szCs w:val="18"/>
              </w:rPr>
              <w:t>eholder</w:t>
            </w:r>
          </w:p>
          <w:p w:rsidR="0061232B" w:rsidRPr="007C5F59" w:rsidRDefault="0061232B" w:rsidP="00E84BAD">
            <w:pPr>
              <w:autoSpaceDE w:val="0"/>
              <w:autoSpaceDN w:val="0"/>
              <w:adjustRightInd w:val="0"/>
              <w:spacing w:after="0"/>
              <w:rPr>
                <w:rFonts w:cstheme="minorHAnsi"/>
                <w:bCs/>
                <w:sz w:val="18"/>
                <w:szCs w:val="18"/>
              </w:rPr>
            </w:pPr>
          </w:p>
          <w:p w:rsidR="0061232B" w:rsidRPr="007C5F59" w:rsidRDefault="0061232B" w:rsidP="00E84BAD">
            <w:pPr>
              <w:autoSpaceDE w:val="0"/>
              <w:autoSpaceDN w:val="0"/>
              <w:adjustRightInd w:val="0"/>
              <w:spacing w:after="0"/>
              <w:rPr>
                <w:rFonts w:cstheme="minorHAnsi"/>
                <w:sz w:val="18"/>
                <w:szCs w:val="18"/>
              </w:rPr>
            </w:pPr>
            <w:r w:rsidRPr="007C5F59">
              <w:rPr>
                <w:rFonts w:cstheme="minorHAnsi"/>
                <w:sz w:val="18"/>
                <w:szCs w:val="18"/>
                <w:u w:val="single"/>
              </w:rPr>
              <w:t>Year 3 (2013):</w:t>
            </w:r>
            <w:r w:rsidRPr="007C5F59">
              <w:rPr>
                <w:rFonts w:cstheme="minorHAnsi"/>
                <w:sz w:val="18"/>
                <w:szCs w:val="18"/>
              </w:rPr>
              <w:t xml:space="preserve"> At least 3 training wor</w:t>
            </w:r>
            <w:r>
              <w:rPr>
                <w:rFonts w:cstheme="minorHAnsi"/>
                <w:sz w:val="18"/>
                <w:szCs w:val="18"/>
              </w:rPr>
              <w:t>k</w:t>
            </w:r>
            <w:r w:rsidRPr="007C5F59">
              <w:rPr>
                <w:rFonts w:cstheme="minorHAnsi"/>
                <w:sz w:val="18"/>
                <w:szCs w:val="18"/>
              </w:rPr>
              <w:t>shops delivered with gender balanced participation and training provided to at least 60 planning and development sta</w:t>
            </w:r>
            <w:r>
              <w:rPr>
                <w:rFonts w:cstheme="minorHAnsi"/>
                <w:sz w:val="18"/>
                <w:szCs w:val="18"/>
              </w:rPr>
              <w:t>k</w:t>
            </w:r>
            <w:r w:rsidRPr="007C5F59">
              <w:rPr>
                <w:rFonts w:cstheme="minorHAnsi"/>
                <w:sz w:val="18"/>
                <w:szCs w:val="18"/>
              </w:rPr>
              <w:t>eholders</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1E161B">
            <w:pPr>
              <w:numPr>
                <w:ilvl w:val="0"/>
                <w:numId w:val="61"/>
              </w:numPr>
              <w:autoSpaceDE w:val="0"/>
              <w:autoSpaceDN w:val="0"/>
              <w:adjustRightInd w:val="0"/>
              <w:spacing w:after="0" w:line="240" w:lineRule="auto"/>
              <w:ind w:left="162" w:hanging="180"/>
              <w:rPr>
                <w:rFonts w:cstheme="minorHAnsi"/>
                <w:bCs/>
                <w:sz w:val="18"/>
                <w:szCs w:val="18"/>
              </w:rPr>
            </w:pPr>
            <w:r w:rsidRPr="007C5F59">
              <w:rPr>
                <w:rFonts w:cstheme="minorHAnsi"/>
                <w:sz w:val="18"/>
                <w:szCs w:val="18"/>
              </w:rPr>
              <w:t xml:space="preserve">CDMP has prepared a Memorandum of Understanding (MoU) to continue PECD nexus training in 2013 to train 200 public sector professionals from 4 </w:t>
            </w:r>
            <w:r>
              <w:rPr>
                <w:rFonts w:cstheme="minorHAnsi"/>
                <w:sz w:val="18"/>
                <w:szCs w:val="18"/>
              </w:rPr>
              <w:t>k</w:t>
            </w:r>
            <w:r w:rsidRPr="007C5F59">
              <w:rPr>
                <w:rFonts w:cstheme="minorHAnsi"/>
                <w:sz w:val="18"/>
                <w:szCs w:val="18"/>
              </w:rPr>
              <w:t>ey agencies: LGED, BWDB, DAE, and Roads and Highways. (2) PECM Training Impact Assessment conducted to examine achievements of training programme and identify improvements (3) Capacity Development Strategy developed for NPC on mainstreaming PEC nexus into national planning and budgeting, which has been submitted to GED for adoption.</w:t>
            </w:r>
          </w:p>
          <w:p w:rsidR="0061232B" w:rsidRPr="007C5F59" w:rsidRDefault="0061232B" w:rsidP="00E84BAD">
            <w:pPr>
              <w:autoSpaceDE w:val="0"/>
              <w:autoSpaceDN w:val="0"/>
              <w:adjustRightInd w:val="0"/>
              <w:spacing w:after="0"/>
              <w:ind w:left="162" w:hanging="180"/>
              <w:rPr>
                <w:rFonts w:cstheme="minorHAnsi"/>
                <w:bCs/>
                <w:sz w:val="18"/>
                <w:szCs w:val="18"/>
              </w:rPr>
            </w:pPr>
          </w:p>
          <w:p w:rsidR="0061232B" w:rsidRPr="007C5F59" w:rsidRDefault="0061232B" w:rsidP="001E161B">
            <w:pPr>
              <w:numPr>
                <w:ilvl w:val="0"/>
                <w:numId w:val="61"/>
              </w:numPr>
              <w:autoSpaceDE w:val="0"/>
              <w:autoSpaceDN w:val="0"/>
              <w:adjustRightInd w:val="0"/>
              <w:spacing w:after="0" w:line="240" w:lineRule="auto"/>
              <w:ind w:left="162" w:hanging="180"/>
              <w:rPr>
                <w:rFonts w:cstheme="minorHAnsi"/>
                <w:bCs/>
                <w:sz w:val="18"/>
                <w:szCs w:val="18"/>
              </w:rPr>
            </w:pPr>
            <w:r w:rsidRPr="007C5F59">
              <w:rPr>
                <w:rFonts w:cstheme="minorHAnsi"/>
                <w:sz w:val="18"/>
                <w:szCs w:val="18"/>
              </w:rPr>
              <w:t>Networ</w:t>
            </w:r>
            <w:r>
              <w:rPr>
                <w:rFonts w:cstheme="minorHAnsi"/>
                <w:sz w:val="18"/>
                <w:szCs w:val="18"/>
              </w:rPr>
              <w:t>k</w:t>
            </w:r>
            <w:r w:rsidRPr="007C5F59">
              <w:rPr>
                <w:rFonts w:cstheme="minorHAnsi"/>
                <w:sz w:val="18"/>
                <w:szCs w:val="18"/>
              </w:rPr>
              <w:t xml:space="preserve"> has been functional and online platform created for sharing information among different members attended in the training sessions.</w:t>
            </w:r>
          </w:p>
          <w:p w:rsidR="0061232B" w:rsidRPr="007C5F59" w:rsidRDefault="0061232B" w:rsidP="00E84BAD">
            <w:pPr>
              <w:autoSpaceDE w:val="0"/>
              <w:autoSpaceDN w:val="0"/>
              <w:adjustRightInd w:val="0"/>
              <w:spacing w:after="0"/>
              <w:ind w:left="162" w:hanging="180"/>
              <w:rPr>
                <w:rFonts w:cstheme="minorHAnsi"/>
                <w:bCs/>
                <w:sz w:val="18"/>
                <w:szCs w:val="18"/>
              </w:rPr>
            </w:pPr>
          </w:p>
          <w:p w:rsidR="0061232B" w:rsidRPr="00E41408" w:rsidRDefault="0061232B" w:rsidP="001E161B">
            <w:pPr>
              <w:numPr>
                <w:ilvl w:val="0"/>
                <w:numId w:val="61"/>
              </w:numPr>
              <w:autoSpaceDE w:val="0"/>
              <w:autoSpaceDN w:val="0"/>
              <w:adjustRightInd w:val="0"/>
              <w:spacing w:after="0" w:line="240" w:lineRule="auto"/>
              <w:ind w:left="162" w:hanging="180"/>
              <w:rPr>
                <w:rFonts w:cstheme="minorHAnsi"/>
                <w:bCs/>
                <w:sz w:val="18"/>
                <w:szCs w:val="18"/>
              </w:rPr>
            </w:pPr>
            <w:r w:rsidRPr="007C5F59">
              <w:rPr>
                <w:rFonts w:cstheme="minorHAnsi"/>
                <w:sz w:val="18"/>
                <w:szCs w:val="18"/>
              </w:rPr>
              <w:t>(1) PECD good practices identified from the selected case projects and documented regularly. (2) Scoping study completed on Resource Mapping of BhutiarBeel to identify gaps in existing wetland management practices and ways to promote sustainable natural resource management.</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61232B" w:rsidRPr="007C5F59" w:rsidRDefault="0061232B" w:rsidP="00E84BAD">
            <w:pPr>
              <w:autoSpaceDN w:val="0"/>
              <w:spacing w:after="0"/>
              <w:rPr>
                <w:rFonts w:cstheme="minorHAnsi"/>
                <w:b/>
                <w:i/>
                <w:noProof/>
                <w:sz w:val="18"/>
                <w:szCs w:val="18"/>
                <w:lang w:eastAsia="en-GB"/>
              </w:rPr>
            </w:pPr>
            <w:r w:rsidRPr="007C5F59">
              <w:rPr>
                <w:rFonts w:cstheme="minorHAnsi"/>
                <w:b/>
                <w:i/>
                <w:noProof/>
                <w:sz w:val="18"/>
                <w:szCs w:val="18"/>
                <w:lang w:eastAsia="en-GB"/>
              </w:rPr>
              <w:t>Largely achieved</w:t>
            </w:r>
          </w:p>
          <w:p w:rsidR="0061232B" w:rsidRPr="007C5F59" w:rsidRDefault="0061232B" w:rsidP="00E84BAD">
            <w:pPr>
              <w:autoSpaceDN w:val="0"/>
              <w:spacing w:after="0"/>
              <w:rPr>
                <w:rFonts w:cstheme="minorHAnsi"/>
                <w:b/>
                <w:i/>
                <w:noProof/>
                <w:sz w:val="18"/>
                <w:szCs w:val="18"/>
                <w:lang w:eastAsia="en-GB"/>
              </w:rPr>
            </w:pPr>
          </w:p>
          <w:p w:rsidR="0061232B" w:rsidRPr="007C5F59" w:rsidRDefault="0061232B" w:rsidP="00E84BAD">
            <w:pPr>
              <w:autoSpaceDN w:val="0"/>
              <w:spacing w:after="0"/>
              <w:ind w:left="-20"/>
              <w:rPr>
                <w:rFonts w:cstheme="minorHAnsi"/>
                <w:sz w:val="18"/>
                <w:szCs w:val="18"/>
              </w:rPr>
            </w:pPr>
            <w:r w:rsidRPr="007C5F59">
              <w:rPr>
                <w:rFonts w:cstheme="minorHAnsi"/>
                <w:sz w:val="18"/>
                <w:szCs w:val="18"/>
              </w:rPr>
              <w:t xml:space="preserve">-No significant achievement in south-south learning and women trained in PEC mainstreaming. The training is being continued by CDMP and SSIP projects.  </w:t>
            </w:r>
          </w:p>
        </w:tc>
      </w:tr>
      <w:tr w:rsidR="0061232B" w:rsidRPr="007C5F59" w:rsidTr="00E84BAD">
        <w:trPr>
          <w:trHeight w:val="34"/>
        </w:trPr>
        <w:tc>
          <w:tcPr>
            <w:tcW w:w="789"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E w:val="0"/>
              <w:autoSpaceDN w:val="0"/>
              <w:adjustRightInd w:val="0"/>
              <w:spacing w:after="0"/>
              <w:rPr>
                <w:rFonts w:cstheme="minorHAnsi"/>
                <w:sz w:val="18"/>
                <w:szCs w:val="18"/>
              </w:rPr>
            </w:pPr>
            <w:r w:rsidRPr="007C5F59">
              <w:rPr>
                <w:rFonts w:cstheme="minorHAnsi"/>
                <w:b/>
                <w:color w:val="0F243E"/>
                <w:sz w:val="18"/>
                <w:szCs w:val="18"/>
              </w:rPr>
              <w:t>Output 1.4</w:t>
            </w:r>
            <w:r w:rsidRPr="007C5F59">
              <w:rPr>
                <w:rFonts w:cstheme="minorHAnsi"/>
                <w:color w:val="0F243E"/>
                <w:sz w:val="18"/>
                <w:szCs w:val="18"/>
              </w:rPr>
              <w:t>: Development Project Proforma (DPP) revised to include PEC issues in development planning and appraisal processes.</w:t>
            </w:r>
          </w:p>
        </w:tc>
        <w:tc>
          <w:tcPr>
            <w:tcW w:w="555"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Planning Commission and other relevant development agencies have</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limited capacity to integrate PEC</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measures into national planning and</w:t>
            </w:r>
          </w:p>
          <w:p w:rsidR="0061232B" w:rsidRPr="00E41408" w:rsidRDefault="0061232B" w:rsidP="00E84BAD">
            <w:pPr>
              <w:autoSpaceDN w:val="0"/>
              <w:spacing w:after="0"/>
              <w:rPr>
                <w:rFonts w:cstheme="minorHAnsi"/>
                <w:bCs/>
                <w:sz w:val="18"/>
                <w:szCs w:val="18"/>
              </w:rPr>
            </w:pPr>
            <w:r w:rsidRPr="007C5F59">
              <w:rPr>
                <w:rFonts w:cstheme="minorHAnsi"/>
                <w:sz w:val="18"/>
                <w:szCs w:val="18"/>
              </w:rPr>
              <w:t>budgeting processes</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u w:val="single"/>
              </w:rPr>
              <w:t>Year 1 (2010 &amp; 11):</w:t>
            </w:r>
            <w:r w:rsidRPr="007C5F59">
              <w:rPr>
                <w:rFonts w:cstheme="minorHAnsi"/>
                <w:sz w:val="18"/>
                <w:szCs w:val="18"/>
              </w:rPr>
              <w:t xml:space="preserve"> Current DPP reviewed with recommendations through</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Consultations</w:t>
            </w:r>
          </w:p>
          <w:p w:rsidR="0061232B" w:rsidRPr="007C5F59" w:rsidRDefault="0061232B" w:rsidP="00E84BAD">
            <w:pPr>
              <w:autoSpaceDE w:val="0"/>
              <w:autoSpaceDN w:val="0"/>
              <w:adjustRightInd w:val="0"/>
              <w:spacing w:after="0"/>
              <w:rPr>
                <w:rFonts w:cstheme="minorHAnsi"/>
                <w:bCs/>
                <w:sz w:val="18"/>
                <w:szCs w:val="18"/>
              </w:rPr>
            </w:pPr>
          </w:p>
          <w:p w:rsidR="0061232B" w:rsidRPr="007C5F59" w:rsidRDefault="0061232B" w:rsidP="00E84BAD">
            <w:pPr>
              <w:autoSpaceDE w:val="0"/>
              <w:autoSpaceDN w:val="0"/>
              <w:adjustRightInd w:val="0"/>
              <w:spacing w:after="0"/>
              <w:rPr>
                <w:rFonts w:cstheme="minorHAnsi"/>
                <w:sz w:val="18"/>
                <w:szCs w:val="18"/>
              </w:rPr>
            </w:pPr>
            <w:r w:rsidRPr="007C5F59">
              <w:rPr>
                <w:rFonts w:cstheme="minorHAnsi"/>
                <w:sz w:val="18"/>
                <w:szCs w:val="18"/>
                <w:u w:val="single"/>
              </w:rPr>
              <w:t>Year 2 &amp; 3(2012 &amp; 2013):</w:t>
            </w:r>
            <w:r w:rsidRPr="007C5F59">
              <w:rPr>
                <w:rFonts w:cstheme="minorHAnsi"/>
                <w:sz w:val="18"/>
                <w:szCs w:val="18"/>
              </w:rPr>
              <w:t xml:space="preserve"> Revised DPP and developed guidelines approved by the Government</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1E161B">
            <w:pPr>
              <w:numPr>
                <w:ilvl w:val="0"/>
                <w:numId w:val="62"/>
              </w:numPr>
              <w:autoSpaceDE w:val="0"/>
              <w:autoSpaceDN w:val="0"/>
              <w:adjustRightInd w:val="0"/>
              <w:spacing w:after="0" w:line="240" w:lineRule="auto"/>
              <w:ind w:left="162" w:hanging="180"/>
              <w:rPr>
                <w:rFonts w:cstheme="minorHAnsi"/>
                <w:bCs/>
                <w:sz w:val="18"/>
                <w:szCs w:val="18"/>
              </w:rPr>
            </w:pPr>
            <w:r w:rsidRPr="007C5F59">
              <w:rPr>
                <w:rFonts w:cstheme="minorHAnsi"/>
                <w:sz w:val="18"/>
                <w:szCs w:val="18"/>
              </w:rPr>
              <w:t>DPP and TPP format and guideline published by Planning Division addressed PEC Nexus issues provided by PECM Project, (2) Manual of Instruction for preparation of PECD inclusive DPP and TPP developed with a curriculum to follow, (3) Final Draft Indicator Framewor</w:t>
            </w:r>
            <w:r>
              <w:rPr>
                <w:rFonts w:cstheme="minorHAnsi"/>
                <w:sz w:val="18"/>
                <w:szCs w:val="18"/>
              </w:rPr>
              <w:t>k</w:t>
            </w:r>
            <w:r w:rsidRPr="007C5F59">
              <w:rPr>
                <w:rFonts w:cstheme="minorHAnsi"/>
                <w:sz w:val="18"/>
                <w:szCs w:val="18"/>
              </w:rPr>
              <w:t xml:space="preserve"> for Pro-poor, Environmental Friendly, Low Emission, and Climate Resilient Development has been prepared accommodating all recommendations from the consultation wor</w:t>
            </w:r>
            <w:r>
              <w:rPr>
                <w:rFonts w:cstheme="minorHAnsi"/>
                <w:sz w:val="18"/>
                <w:szCs w:val="18"/>
              </w:rPr>
              <w:t>k</w:t>
            </w:r>
            <w:r w:rsidRPr="007C5F59">
              <w:rPr>
                <w:rFonts w:cstheme="minorHAnsi"/>
                <w:sz w:val="18"/>
                <w:szCs w:val="18"/>
              </w:rPr>
              <w:t>shop.</w:t>
            </w:r>
          </w:p>
          <w:p w:rsidR="0061232B" w:rsidRPr="007C5F59" w:rsidRDefault="0061232B" w:rsidP="00E84BAD">
            <w:pPr>
              <w:autoSpaceDE w:val="0"/>
              <w:autoSpaceDN w:val="0"/>
              <w:adjustRightInd w:val="0"/>
              <w:spacing w:after="0"/>
              <w:ind w:left="162" w:hanging="180"/>
              <w:rPr>
                <w:rFonts w:cstheme="minorHAnsi"/>
                <w:bCs/>
                <w:sz w:val="18"/>
                <w:szCs w:val="18"/>
              </w:rPr>
            </w:pPr>
          </w:p>
          <w:p w:rsidR="0061232B" w:rsidRPr="007C5F59" w:rsidRDefault="0061232B" w:rsidP="001E161B">
            <w:pPr>
              <w:numPr>
                <w:ilvl w:val="0"/>
                <w:numId w:val="62"/>
              </w:numPr>
              <w:autoSpaceDE w:val="0"/>
              <w:autoSpaceDN w:val="0"/>
              <w:adjustRightInd w:val="0"/>
              <w:spacing w:after="0" w:line="240" w:lineRule="auto"/>
              <w:ind w:left="162" w:hanging="180"/>
              <w:rPr>
                <w:rFonts w:cstheme="minorHAnsi"/>
                <w:sz w:val="18"/>
                <w:szCs w:val="18"/>
              </w:rPr>
            </w:pPr>
            <w:r w:rsidRPr="007C5F59">
              <w:rPr>
                <w:rFonts w:cstheme="minorHAnsi"/>
                <w:sz w:val="18"/>
                <w:szCs w:val="18"/>
              </w:rPr>
              <w:t>07 recommendations for DPP and one  recommendation for TPP format has been addressed in the final DPP and TPP format and guideline published by Planning Division.</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61232B" w:rsidRPr="007C5F59" w:rsidRDefault="0061232B" w:rsidP="00E84BAD">
            <w:pPr>
              <w:autoSpaceDN w:val="0"/>
              <w:spacing w:after="0"/>
              <w:rPr>
                <w:rFonts w:cstheme="minorHAnsi"/>
                <w:sz w:val="18"/>
                <w:szCs w:val="18"/>
              </w:rPr>
            </w:pPr>
            <w:r w:rsidRPr="007C5F59">
              <w:rPr>
                <w:rFonts w:cstheme="minorHAnsi"/>
                <w:b/>
                <w:i/>
                <w:noProof/>
                <w:sz w:val="18"/>
                <w:szCs w:val="18"/>
                <w:lang w:eastAsia="en-GB"/>
              </w:rPr>
              <w:t>Ffully achieved</w:t>
            </w:r>
          </w:p>
        </w:tc>
      </w:tr>
      <w:tr w:rsidR="0061232B" w:rsidRPr="007C5F59" w:rsidTr="00E84BAD">
        <w:trPr>
          <w:trHeight w:val="34"/>
        </w:trPr>
        <w:tc>
          <w:tcPr>
            <w:tcW w:w="789"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E w:val="0"/>
              <w:autoSpaceDN w:val="0"/>
              <w:adjustRightInd w:val="0"/>
              <w:spacing w:after="0"/>
              <w:rPr>
                <w:rFonts w:cstheme="minorHAnsi"/>
                <w:bCs/>
                <w:color w:val="0F243E"/>
                <w:sz w:val="18"/>
                <w:szCs w:val="18"/>
              </w:rPr>
            </w:pPr>
            <w:r w:rsidRPr="007C5F59">
              <w:rPr>
                <w:rFonts w:cstheme="minorHAnsi"/>
                <w:b/>
                <w:color w:val="0F243E"/>
                <w:sz w:val="18"/>
                <w:szCs w:val="18"/>
              </w:rPr>
              <w:lastRenderedPageBreak/>
              <w:t>Output 1.5</w:t>
            </w:r>
            <w:r w:rsidRPr="007C5F59">
              <w:rPr>
                <w:rFonts w:cstheme="minorHAnsi"/>
                <w:color w:val="0F243E"/>
                <w:sz w:val="18"/>
                <w:szCs w:val="18"/>
              </w:rPr>
              <w:t>: Current development budget (annual development programme: ADP) improved</w:t>
            </w:r>
          </w:p>
          <w:p w:rsidR="0061232B" w:rsidRPr="007C5F59" w:rsidRDefault="0061232B" w:rsidP="00E84BAD">
            <w:pPr>
              <w:spacing w:after="0"/>
              <w:rPr>
                <w:rFonts w:cstheme="minorHAnsi"/>
                <w:sz w:val="18"/>
                <w:szCs w:val="18"/>
              </w:rPr>
            </w:pPr>
            <w:r w:rsidRPr="007C5F59">
              <w:rPr>
                <w:rFonts w:cstheme="minorHAnsi"/>
                <w:color w:val="0F243E"/>
                <w:sz w:val="18"/>
                <w:szCs w:val="18"/>
              </w:rPr>
              <w:t>to ensure adequate investment in PECM related purposes.</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Current development budget does not ensure adequate investment in</w:t>
            </w:r>
          </w:p>
          <w:p w:rsidR="0061232B" w:rsidRPr="007C5F59" w:rsidRDefault="0061232B" w:rsidP="00E84BAD">
            <w:pPr>
              <w:autoSpaceDN w:val="0"/>
              <w:spacing w:after="0"/>
              <w:rPr>
                <w:rFonts w:cstheme="minorHAnsi"/>
                <w:sz w:val="18"/>
                <w:szCs w:val="18"/>
              </w:rPr>
            </w:pPr>
            <w:r w:rsidRPr="007C5F59">
              <w:rPr>
                <w:rFonts w:cstheme="minorHAnsi"/>
                <w:sz w:val="18"/>
                <w:szCs w:val="18"/>
              </w:rPr>
              <w:t>PEC issues</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tcPr>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u w:val="single"/>
              </w:rPr>
              <w:t>Year 1 (2010 &amp; 11):</w:t>
            </w:r>
            <w:r w:rsidRPr="007C5F59">
              <w:rPr>
                <w:rFonts w:cstheme="minorHAnsi"/>
                <w:sz w:val="18"/>
                <w:szCs w:val="18"/>
              </w:rPr>
              <w:t xml:space="preserve"> Current development budget system reviewed</w:t>
            </w:r>
          </w:p>
          <w:p w:rsidR="0061232B" w:rsidRPr="007C5F59" w:rsidRDefault="0061232B" w:rsidP="00E84BAD">
            <w:pPr>
              <w:autoSpaceDE w:val="0"/>
              <w:autoSpaceDN w:val="0"/>
              <w:adjustRightInd w:val="0"/>
              <w:spacing w:after="0"/>
              <w:rPr>
                <w:rFonts w:cstheme="minorHAnsi"/>
                <w:bCs/>
                <w:sz w:val="18"/>
                <w:szCs w:val="18"/>
              </w:rPr>
            </w:pP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u w:val="single"/>
              </w:rPr>
              <w:t>Year 2 (2012):</w:t>
            </w:r>
            <w:r w:rsidRPr="007C5F59">
              <w:rPr>
                <w:rFonts w:cstheme="minorHAnsi"/>
                <w:sz w:val="18"/>
                <w:szCs w:val="18"/>
              </w:rPr>
              <w:t xml:space="preserve"> Measures and financing</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needs for PECM purposes identified</w:t>
            </w:r>
          </w:p>
          <w:p w:rsidR="0061232B" w:rsidRPr="007C5F59" w:rsidRDefault="0061232B" w:rsidP="00E84BAD">
            <w:pPr>
              <w:autoSpaceDE w:val="0"/>
              <w:autoSpaceDN w:val="0"/>
              <w:adjustRightInd w:val="0"/>
              <w:spacing w:after="0"/>
              <w:rPr>
                <w:rFonts w:cstheme="minorHAnsi"/>
                <w:bCs/>
                <w:sz w:val="18"/>
                <w:szCs w:val="18"/>
              </w:rPr>
            </w:pP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u w:val="single"/>
              </w:rPr>
              <w:t>Year 3 (2013):</w:t>
            </w:r>
            <w:r w:rsidRPr="007C5F59">
              <w:rPr>
                <w:rFonts w:cstheme="minorHAnsi"/>
                <w:sz w:val="18"/>
                <w:szCs w:val="18"/>
              </w:rPr>
              <w:t xml:space="preserve"> Development project</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proposals for PECM purposes approved</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in the ADP with an appropriate</w:t>
            </w:r>
          </w:p>
          <w:p w:rsidR="0061232B" w:rsidRPr="007C5F59" w:rsidRDefault="0061232B" w:rsidP="00E84BAD">
            <w:pPr>
              <w:autoSpaceDN w:val="0"/>
              <w:spacing w:after="0"/>
              <w:rPr>
                <w:rFonts w:cstheme="minorHAnsi"/>
                <w:sz w:val="18"/>
                <w:szCs w:val="18"/>
              </w:rPr>
            </w:pPr>
            <w:r w:rsidRPr="007C5F59">
              <w:rPr>
                <w:rFonts w:cstheme="minorHAnsi"/>
                <w:sz w:val="18"/>
                <w:szCs w:val="18"/>
              </w:rPr>
              <w:t>monitoring and review mechanism</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61232B" w:rsidRPr="007C5F59" w:rsidRDefault="0061232B" w:rsidP="001E161B">
            <w:pPr>
              <w:numPr>
                <w:ilvl w:val="0"/>
                <w:numId w:val="63"/>
              </w:numPr>
              <w:autoSpaceDE w:val="0"/>
              <w:autoSpaceDN w:val="0"/>
              <w:adjustRightInd w:val="0"/>
              <w:spacing w:after="0" w:line="240" w:lineRule="auto"/>
              <w:ind w:left="162" w:hanging="180"/>
              <w:rPr>
                <w:rFonts w:cstheme="minorHAnsi"/>
                <w:sz w:val="18"/>
                <w:szCs w:val="18"/>
              </w:rPr>
            </w:pPr>
            <w:r w:rsidRPr="007C5F59">
              <w:rPr>
                <w:rFonts w:cstheme="minorHAnsi"/>
                <w:sz w:val="18"/>
                <w:szCs w:val="18"/>
              </w:rPr>
              <w:t>Current ADP reviewed to ensure adequate investment into PEC issues</w:t>
            </w:r>
          </w:p>
          <w:p w:rsidR="0061232B" w:rsidRPr="007C5F59" w:rsidRDefault="0061232B" w:rsidP="00E84BAD">
            <w:pPr>
              <w:autoSpaceDE w:val="0"/>
              <w:autoSpaceDN w:val="0"/>
              <w:adjustRightInd w:val="0"/>
              <w:spacing w:after="0"/>
              <w:ind w:left="162"/>
              <w:rPr>
                <w:rFonts w:cstheme="minorHAnsi"/>
                <w:sz w:val="18"/>
                <w:szCs w:val="18"/>
              </w:rPr>
            </w:pPr>
          </w:p>
          <w:p w:rsidR="0061232B" w:rsidRPr="007C5F59" w:rsidRDefault="0061232B" w:rsidP="001E161B">
            <w:pPr>
              <w:numPr>
                <w:ilvl w:val="0"/>
                <w:numId w:val="63"/>
              </w:numPr>
              <w:autoSpaceDE w:val="0"/>
              <w:autoSpaceDN w:val="0"/>
              <w:adjustRightInd w:val="0"/>
              <w:spacing w:after="0" w:line="240" w:lineRule="auto"/>
              <w:ind w:left="162" w:hanging="180"/>
              <w:rPr>
                <w:rFonts w:cstheme="minorHAnsi"/>
                <w:bCs/>
                <w:sz w:val="18"/>
                <w:szCs w:val="18"/>
              </w:rPr>
            </w:pPr>
            <w:r w:rsidRPr="007C5F59">
              <w:rPr>
                <w:rFonts w:cstheme="minorHAnsi"/>
                <w:sz w:val="18"/>
                <w:szCs w:val="18"/>
              </w:rPr>
              <w:t>Climate Public Expenditure and Institutional Review (CPEIR)</w:t>
            </w:r>
          </w:p>
          <w:p w:rsidR="0061232B" w:rsidRPr="007C5F59" w:rsidRDefault="0061232B" w:rsidP="00E84BAD">
            <w:pPr>
              <w:autoSpaceDE w:val="0"/>
              <w:autoSpaceDN w:val="0"/>
              <w:adjustRightInd w:val="0"/>
              <w:spacing w:after="0"/>
              <w:ind w:left="162"/>
              <w:rPr>
                <w:rFonts w:cstheme="minorHAnsi"/>
                <w:bCs/>
                <w:sz w:val="18"/>
                <w:szCs w:val="18"/>
              </w:rPr>
            </w:pPr>
            <w:r w:rsidRPr="007C5F59">
              <w:rPr>
                <w:rFonts w:cstheme="minorHAnsi"/>
                <w:sz w:val="18"/>
                <w:szCs w:val="18"/>
              </w:rPr>
              <w:t>Completed</w:t>
            </w:r>
          </w:p>
          <w:p w:rsidR="0061232B" w:rsidRPr="007C5F59" w:rsidRDefault="0061232B" w:rsidP="00E84BAD">
            <w:pPr>
              <w:autoSpaceDE w:val="0"/>
              <w:autoSpaceDN w:val="0"/>
              <w:adjustRightInd w:val="0"/>
              <w:spacing w:after="0"/>
              <w:rPr>
                <w:rFonts w:cstheme="minorHAnsi"/>
                <w:sz w:val="18"/>
                <w:szCs w:val="18"/>
              </w:rPr>
            </w:pPr>
          </w:p>
          <w:p w:rsidR="0061232B" w:rsidRPr="007C5F59" w:rsidRDefault="0061232B" w:rsidP="001E161B">
            <w:pPr>
              <w:numPr>
                <w:ilvl w:val="0"/>
                <w:numId w:val="63"/>
              </w:numPr>
              <w:autoSpaceDE w:val="0"/>
              <w:autoSpaceDN w:val="0"/>
              <w:adjustRightInd w:val="0"/>
              <w:spacing w:after="0" w:line="240" w:lineRule="auto"/>
              <w:ind w:left="162" w:hanging="180"/>
              <w:rPr>
                <w:rFonts w:cstheme="minorHAnsi"/>
                <w:sz w:val="18"/>
                <w:szCs w:val="18"/>
              </w:rPr>
            </w:pPr>
            <w:r w:rsidRPr="007C5F59">
              <w:rPr>
                <w:rFonts w:cstheme="minorHAnsi"/>
                <w:sz w:val="18"/>
                <w:szCs w:val="18"/>
              </w:rPr>
              <w:t>GED is implementing Local Climate Fiscal Framewor</w:t>
            </w:r>
            <w:r>
              <w:rPr>
                <w:rFonts w:cstheme="minorHAnsi"/>
                <w:sz w:val="18"/>
                <w:szCs w:val="18"/>
              </w:rPr>
              <w:t>k</w:t>
            </w:r>
            <w:r w:rsidRPr="007C5F59">
              <w:rPr>
                <w:rFonts w:cstheme="minorHAnsi"/>
                <w:sz w:val="18"/>
                <w:szCs w:val="18"/>
              </w:rPr>
              <w:t xml:space="preserve"> (LCFF) through forming study team consisting member from relevant ministries and agencies.</w:t>
            </w:r>
          </w:p>
          <w:p w:rsidR="0061232B" w:rsidRPr="007C5F59" w:rsidRDefault="0061232B" w:rsidP="00E84BAD">
            <w:pPr>
              <w:autoSpaceDE w:val="0"/>
              <w:autoSpaceDN w:val="0"/>
              <w:adjustRightInd w:val="0"/>
              <w:spacing w:after="0"/>
              <w:rPr>
                <w:rFonts w:cstheme="minorHAnsi"/>
                <w:sz w:val="18"/>
                <w:szCs w:val="18"/>
              </w:rPr>
            </w:pPr>
          </w:p>
          <w:p w:rsidR="0061232B" w:rsidRPr="007C5F59" w:rsidRDefault="0061232B" w:rsidP="001E161B">
            <w:pPr>
              <w:numPr>
                <w:ilvl w:val="0"/>
                <w:numId w:val="63"/>
              </w:numPr>
              <w:autoSpaceDE w:val="0"/>
              <w:autoSpaceDN w:val="0"/>
              <w:adjustRightInd w:val="0"/>
              <w:spacing w:after="0" w:line="240" w:lineRule="auto"/>
              <w:ind w:left="162" w:hanging="180"/>
              <w:rPr>
                <w:rFonts w:cstheme="minorHAnsi"/>
                <w:sz w:val="18"/>
                <w:szCs w:val="18"/>
              </w:rPr>
            </w:pPr>
            <w:r w:rsidRPr="007C5F59">
              <w:rPr>
                <w:rFonts w:cstheme="minorHAnsi"/>
                <w:sz w:val="18"/>
                <w:szCs w:val="18"/>
              </w:rPr>
              <w:t xml:space="preserve">National CFF completed and approved by Finance Division. </w:t>
            </w:r>
          </w:p>
          <w:p w:rsidR="0061232B" w:rsidRPr="007C5F59" w:rsidRDefault="0061232B" w:rsidP="00E84BAD">
            <w:pPr>
              <w:autoSpaceDE w:val="0"/>
              <w:autoSpaceDN w:val="0"/>
              <w:adjustRightInd w:val="0"/>
              <w:spacing w:after="0"/>
              <w:rPr>
                <w:rFonts w:cstheme="minorHAnsi"/>
                <w:sz w:val="18"/>
                <w:szCs w:val="18"/>
              </w:rPr>
            </w:pPr>
          </w:p>
          <w:p w:rsidR="0061232B" w:rsidRPr="00E41408" w:rsidRDefault="0061232B" w:rsidP="001E161B">
            <w:pPr>
              <w:numPr>
                <w:ilvl w:val="0"/>
                <w:numId w:val="63"/>
              </w:numPr>
              <w:autoSpaceDE w:val="0"/>
              <w:autoSpaceDN w:val="0"/>
              <w:adjustRightInd w:val="0"/>
              <w:spacing w:after="0" w:line="240" w:lineRule="auto"/>
              <w:ind w:left="162" w:hanging="180"/>
              <w:rPr>
                <w:rFonts w:cstheme="minorHAnsi"/>
                <w:sz w:val="18"/>
                <w:szCs w:val="18"/>
              </w:rPr>
            </w:pPr>
            <w:r w:rsidRPr="007C5F59">
              <w:rPr>
                <w:rFonts w:cstheme="minorHAnsi"/>
                <w:sz w:val="18"/>
                <w:szCs w:val="18"/>
              </w:rPr>
              <w:t>Eight (08) Local level CFFs piloted in selected Unions of Bangladesh to produce eight (08) comprehensive local CFFs on managing climate finance and expenditure by LG.</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N w:val="0"/>
              <w:spacing w:after="0"/>
              <w:rPr>
                <w:rFonts w:cstheme="minorHAnsi"/>
                <w:sz w:val="18"/>
                <w:szCs w:val="18"/>
              </w:rPr>
            </w:pPr>
            <w:r w:rsidRPr="007C5F59">
              <w:rPr>
                <w:rFonts w:cstheme="minorHAnsi"/>
                <w:b/>
                <w:i/>
                <w:noProof/>
                <w:sz w:val="18"/>
                <w:szCs w:val="18"/>
                <w:lang w:eastAsia="en-GB"/>
              </w:rPr>
              <w:t>Fully achieved</w:t>
            </w:r>
          </w:p>
        </w:tc>
      </w:tr>
      <w:tr w:rsidR="0061232B" w:rsidRPr="007C5F59" w:rsidTr="00E84BAD">
        <w:trPr>
          <w:trHeight w:val="34"/>
        </w:trPr>
        <w:tc>
          <w:tcPr>
            <w:tcW w:w="789"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E w:val="0"/>
              <w:autoSpaceDN w:val="0"/>
              <w:adjustRightInd w:val="0"/>
              <w:spacing w:after="0"/>
              <w:rPr>
                <w:rFonts w:cstheme="minorHAnsi"/>
                <w:color w:val="0F243E"/>
                <w:sz w:val="18"/>
                <w:szCs w:val="18"/>
              </w:rPr>
            </w:pPr>
            <w:r w:rsidRPr="007C5F59">
              <w:rPr>
                <w:rFonts w:cstheme="minorHAnsi"/>
                <w:b/>
                <w:color w:val="0F243E"/>
                <w:sz w:val="18"/>
                <w:szCs w:val="18"/>
              </w:rPr>
              <w:t>Output 1.6</w:t>
            </w:r>
            <w:r w:rsidRPr="007C5F59">
              <w:rPr>
                <w:rFonts w:cstheme="minorHAnsi"/>
                <w:color w:val="0F243E"/>
                <w:sz w:val="18"/>
                <w:szCs w:val="18"/>
              </w:rPr>
              <w:t>: Planning Commission strengthened to institutionalize climate mainstreaming process.</w:t>
            </w:r>
          </w:p>
        </w:tc>
        <w:tc>
          <w:tcPr>
            <w:tcW w:w="555"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Planning Commission has limited</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capacity to institutionalize PEC</w:t>
            </w:r>
          </w:p>
          <w:p w:rsidR="0061232B" w:rsidRPr="007C5F59" w:rsidRDefault="0061232B" w:rsidP="00E84BAD">
            <w:pPr>
              <w:autoSpaceDN w:val="0"/>
              <w:spacing w:after="0"/>
              <w:rPr>
                <w:rFonts w:cstheme="minorHAnsi"/>
                <w:sz w:val="18"/>
                <w:szCs w:val="18"/>
              </w:rPr>
            </w:pPr>
            <w:r w:rsidRPr="007C5F59">
              <w:rPr>
                <w:rFonts w:cstheme="minorHAnsi"/>
                <w:sz w:val="18"/>
                <w:szCs w:val="18"/>
              </w:rPr>
              <w:t>mainstreaming process</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u w:val="single"/>
              </w:rPr>
              <w:t>Year 1 (2010 &amp; 11):</w:t>
            </w:r>
            <w:r w:rsidRPr="007C5F59">
              <w:rPr>
                <w:rFonts w:cstheme="minorHAnsi"/>
                <w:sz w:val="18"/>
                <w:szCs w:val="18"/>
              </w:rPr>
              <w:t xml:space="preserve"> Needs and resources</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assessed for the Planning Commission to</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institutionalize climate mainstreaming</w:t>
            </w:r>
          </w:p>
          <w:p w:rsidR="0061232B" w:rsidRPr="007C5F59" w:rsidRDefault="0061232B" w:rsidP="00E84BAD">
            <w:pPr>
              <w:autoSpaceDE w:val="0"/>
              <w:autoSpaceDN w:val="0"/>
              <w:adjustRightInd w:val="0"/>
              <w:spacing w:after="0"/>
              <w:rPr>
                <w:rFonts w:cstheme="minorHAnsi"/>
                <w:bCs/>
                <w:sz w:val="18"/>
                <w:szCs w:val="18"/>
              </w:rPr>
            </w:pP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u w:val="single"/>
              </w:rPr>
              <w:t>Year 2 (2012):</w:t>
            </w:r>
            <w:r w:rsidRPr="007C5F59">
              <w:rPr>
                <w:rFonts w:cstheme="minorHAnsi"/>
                <w:sz w:val="18"/>
                <w:szCs w:val="18"/>
              </w:rPr>
              <w:t xml:space="preserve"> Brief action plan on</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institutionalizing climate mainstreaming</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developed and approved/ mandate &amp;</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function identified/ staffing requirement</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identified / existing expertise identified</w:t>
            </w:r>
          </w:p>
          <w:p w:rsidR="0061232B" w:rsidRPr="007C5F59" w:rsidRDefault="0061232B" w:rsidP="00E84BAD">
            <w:pPr>
              <w:autoSpaceDE w:val="0"/>
              <w:autoSpaceDN w:val="0"/>
              <w:adjustRightInd w:val="0"/>
              <w:spacing w:after="0"/>
              <w:rPr>
                <w:rFonts w:cstheme="minorHAnsi"/>
                <w:bCs/>
                <w:sz w:val="18"/>
                <w:szCs w:val="18"/>
              </w:rPr>
            </w:pP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u w:val="single"/>
              </w:rPr>
              <w:t>Year 3 (2013):</w:t>
            </w:r>
            <w:r w:rsidRPr="007C5F59">
              <w:rPr>
                <w:rFonts w:cstheme="minorHAnsi"/>
                <w:sz w:val="18"/>
                <w:szCs w:val="18"/>
              </w:rPr>
              <w:t xml:space="preserve"> Planning Commission is</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better able to mainstream climate change</w:t>
            </w:r>
          </w:p>
          <w:p w:rsidR="0061232B" w:rsidRPr="007C5F59" w:rsidRDefault="0061232B" w:rsidP="00E84BAD">
            <w:pPr>
              <w:autoSpaceDN w:val="0"/>
              <w:spacing w:after="0"/>
              <w:rPr>
                <w:rFonts w:cstheme="minorHAnsi"/>
                <w:bCs/>
                <w:sz w:val="18"/>
                <w:szCs w:val="18"/>
              </w:rPr>
            </w:pPr>
            <w:r w:rsidRPr="007C5F59">
              <w:rPr>
                <w:rFonts w:cstheme="minorHAnsi"/>
                <w:sz w:val="18"/>
                <w:szCs w:val="18"/>
              </w:rPr>
              <w:t>across sectors.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61232B" w:rsidRPr="007C5F59" w:rsidRDefault="0061232B" w:rsidP="001E161B">
            <w:pPr>
              <w:numPr>
                <w:ilvl w:val="0"/>
                <w:numId w:val="64"/>
              </w:numPr>
              <w:autoSpaceDE w:val="0"/>
              <w:autoSpaceDN w:val="0"/>
              <w:adjustRightInd w:val="0"/>
              <w:spacing w:after="0" w:line="240" w:lineRule="auto"/>
              <w:ind w:left="162" w:hanging="180"/>
              <w:rPr>
                <w:rFonts w:cstheme="minorHAnsi"/>
                <w:bCs/>
                <w:sz w:val="18"/>
                <w:szCs w:val="18"/>
              </w:rPr>
            </w:pPr>
            <w:r w:rsidRPr="007C5F59">
              <w:rPr>
                <w:rFonts w:cstheme="minorHAnsi"/>
                <w:sz w:val="18"/>
                <w:szCs w:val="18"/>
              </w:rPr>
              <w:t>Capacity Development Strategy developed for NPC on mainstreaming PEC nexus into national planning and budgeting, which has been submitted to GED for adoption.</w:t>
            </w:r>
          </w:p>
          <w:p w:rsidR="0061232B" w:rsidRPr="007C5F59" w:rsidRDefault="0061232B" w:rsidP="00E84BAD">
            <w:pPr>
              <w:autoSpaceDE w:val="0"/>
              <w:autoSpaceDN w:val="0"/>
              <w:adjustRightInd w:val="0"/>
              <w:spacing w:after="0"/>
              <w:ind w:left="162"/>
              <w:rPr>
                <w:rFonts w:cstheme="minorHAnsi"/>
                <w:bCs/>
                <w:sz w:val="18"/>
                <w:szCs w:val="18"/>
              </w:rPr>
            </w:pPr>
          </w:p>
          <w:p w:rsidR="0061232B" w:rsidRPr="007C5F59" w:rsidRDefault="0061232B" w:rsidP="001E161B">
            <w:pPr>
              <w:numPr>
                <w:ilvl w:val="0"/>
                <w:numId w:val="64"/>
              </w:numPr>
              <w:autoSpaceDE w:val="0"/>
              <w:autoSpaceDN w:val="0"/>
              <w:adjustRightInd w:val="0"/>
              <w:spacing w:after="0" w:line="240" w:lineRule="auto"/>
              <w:ind w:left="162" w:hanging="180"/>
              <w:rPr>
                <w:rFonts w:cstheme="minorHAnsi"/>
                <w:bCs/>
                <w:sz w:val="18"/>
                <w:szCs w:val="18"/>
              </w:rPr>
            </w:pPr>
            <w:r w:rsidRPr="007C5F59">
              <w:rPr>
                <w:rFonts w:cstheme="minorHAnsi"/>
                <w:sz w:val="18"/>
                <w:szCs w:val="18"/>
              </w:rPr>
              <w:t>Draft Institutional Architecture has been developed</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N w:val="0"/>
              <w:spacing w:after="0"/>
              <w:rPr>
                <w:rFonts w:cstheme="minorHAnsi"/>
                <w:b/>
                <w:noProof/>
                <w:sz w:val="18"/>
                <w:szCs w:val="18"/>
                <w:lang w:eastAsia="en-GB"/>
              </w:rPr>
            </w:pPr>
            <w:r w:rsidRPr="007C5F59">
              <w:rPr>
                <w:rFonts w:cstheme="minorHAnsi"/>
                <w:b/>
                <w:noProof/>
                <w:sz w:val="18"/>
                <w:szCs w:val="18"/>
                <w:lang w:eastAsia="en-GB"/>
              </w:rPr>
              <w:t>Partly achieved</w:t>
            </w:r>
          </w:p>
          <w:p w:rsidR="0061232B" w:rsidRPr="007C5F59" w:rsidRDefault="0061232B" w:rsidP="00E84BAD">
            <w:pPr>
              <w:autoSpaceDN w:val="0"/>
              <w:spacing w:after="0"/>
              <w:rPr>
                <w:rFonts w:cstheme="minorHAnsi"/>
                <w:b/>
                <w:noProof/>
                <w:sz w:val="18"/>
                <w:szCs w:val="18"/>
                <w:lang w:eastAsia="en-GB"/>
              </w:rPr>
            </w:pP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 Institutional</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Arrangements for GED,</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Planning Commission for PEC</w:t>
            </w:r>
          </w:p>
          <w:p w:rsidR="0061232B" w:rsidRPr="007C5F59" w:rsidRDefault="0061232B" w:rsidP="00E84BAD">
            <w:pPr>
              <w:autoSpaceDN w:val="0"/>
              <w:spacing w:after="0"/>
              <w:rPr>
                <w:rFonts w:cstheme="minorHAnsi"/>
                <w:sz w:val="18"/>
                <w:szCs w:val="18"/>
              </w:rPr>
            </w:pPr>
            <w:r w:rsidRPr="007C5F59">
              <w:rPr>
                <w:rFonts w:cstheme="minorHAnsi"/>
                <w:sz w:val="18"/>
                <w:szCs w:val="18"/>
              </w:rPr>
              <w:t>Mainstreaming yet not started</w:t>
            </w:r>
          </w:p>
        </w:tc>
      </w:tr>
      <w:tr w:rsidR="0061232B" w:rsidRPr="007C5F59" w:rsidTr="00E84BAD">
        <w:trPr>
          <w:trHeight w:val="55"/>
        </w:trPr>
        <w:tc>
          <w:tcPr>
            <w:tcW w:w="5000" w:type="pct"/>
            <w:gridSpan w:val="6"/>
            <w:tcBorders>
              <w:top w:val="single" w:sz="4" w:space="0" w:color="auto"/>
              <w:left w:val="single" w:sz="4" w:space="0" w:color="auto"/>
              <w:bottom w:val="single" w:sz="4" w:space="0" w:color="auto"/>
              <w:right w:val="single" w:sz="4" w:space="0" w:color="auto"/>
            </w:tcBorders>
            <w:shd w:val="clear" w:color="auto" w:fill="E5B8B7"/>
            <w:hideMark/>
          </w:tcPr>
          <w:p w:rsidR="0061232B" w:rsidRPr="007C5F59" w:rsidRDefault="0061232B" w:rsidP="00E84BAD">
            <w:pPr>
              <w:autoSpaceDN w:val="0"/>
              <w:spacing w:after="0"/>
              <w:rPr>
                <w:rFonts w:cstheme="minorHAnsi"/>
                <w:sz w:val="18"/>
                <w:szCs w:val="18"/>
              </w:rPr>
            </w:pPr>
            <w:r w:rsidRPr="007C5F59">
              <w:rPr>
                <w:rFonts w:cstheme="minorHAnsi"/>
                <w:b/>
                <w:sz w:val="18"/>
                <w:szCs w:val="18"/>
              </w:rPr>
              <w:t>Outcome 2 : Enhance UN’s country assistance to provide effective support towards climate-resilient poverty reduction efforts</w:t>
            </w:r>
          </w:p>
        </w:tc>
      </w:tr>
      <w:tr w:rsidR="0061232B" w:rsidRPr="007C5F59" w:rsidTr="00E84BAD">
        <w:trPr>
          <w:trHeight w:val="440"/>
        </w:trPr>
        <w:tc>
          <w:tcPr>
            <w:tcW w:w="789"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spacing w:after="0"/>
              <w:rPr>
                <w:rFonts w:cstheme="minorHAnsi"/>
                <w:sz w:val="18"/>
                <w:szCs w:val="18"/>
              </w:rPr>
            </w:pPr>
            <w:r w:rsidRPr="007C5F59">
              <w:rPr>
                <w:rFonts w:cstheme="minorHAnsi"/>
                <w:b/>
                <w:color w:val="0F243E"/>
                <w:sz w:val="18"/>
                <w:szCs w:val="18"/>
              </w:rPr>
              <w:t>Output 2.1</w:t>
            </w:r>
            <w:r w:rsidRPr="007C5F59">
              <w:rPr>
                <w:rFonts w:cstheme="minorHAnsi"/>
                <w:color w:val="0F243E"/>
                <w:sz w:val="18"/>
                <w:szCs w:val="18"/>
              </w:rPr>
              <w:t>: Poverty-environment-climate lin</w:t>
            </w:r>
            <w:r>
              <w:rPr>
                <w:rFonts w:cstheme="minorHAnsi"/>
                <w:color w:val="0F243E"/>
                <w:sz w:val="18"/>
                <w:szCs w:val="18"/>
              </w:rPr>
              <w:t>k</w:t>
            </w:r>
            <w:r w:rsidRPr="007C5F59">
              <w:rPr>
                <w:rFonts w:cstheme="minorHAnsi"/>
                <w:color w:val="0F243E"/>
                <w:sz w:val="18"/>
                <w:szCs w:val="18"/>
              </w:rPr>
              <w:t xml:space="preserve">ages mainstreamed into </w:t>
            </w:r>
            <w:r w:rsidRPr="007C5F59">
              <w:rPr>
                <w:rFonts w:cstheme="minorHAnsi"/>
                <w:color w:val="0F243E"/>
                <w:sz w:val="18"/>
                <w:szCs w:val="18"/>
              </w:rPr>
              <w:lastRenderedPageBreak/>
              <w:t>UNDP programme.</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lastRenderedPageBreak/>
              <w:t>Absence of coordination mechanism</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lastRenderedPageBreak/>
              <w:t>for integration of PEC synergies in</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UNDP Project/ Programme Planning</w:t>
            </w:r>
          </w:p>
          <w:p w:rsidR="0061232B" w:rsidRPr="007C5F59" w:rsidRDefault="0061232B" w:rsidP="00E84BAD">
            <w:pPr>
              <w:autoSpaceDN w:val="0"/>
              <w:spacing w:after="0"/>
              <w:rPr>
                <w:rFonts w:cstheme="minorHAnsi"/>
                <w:sz w:val="18"/>
                <w:szCs w:val="18"/>
              </w:rPr>
            </w:pPr>
            <w:r w:rsidRPr="007C5F59">
              <w:rPr>
                <w:rFonts w:cstheme="minorHAnsi"/>
                <w:sz w:val="18"/>
                <w:szCs w:val="18"/>
              </w:rPr>
              <w:t>and Implementation Process</w:t>
            </w:r>
          </w:p>
        </w:tc>
        <w:tc>
          <w:tcPr>
            <w:tcW w:w="1220"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u w:val="single"/>
              </w:rPr>
              <w:lastRenderedPageBreak/>
              <w:t>Year 1 (2010 &amp; 11):</w:t>
            </w:r>
            <w:r w:rsidRPr="007C5F59">
              <w:rPr>
                <w:rFonts w:cstheme="minorHAnsi"/>
                <w:sz w:val="18"/>
                <w:szCs w:val="18"/>
              </w:rPr>
              <w:t xml:space="preserve"> (1) Coordination gaps</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in PEC mainstreaming within UNDP</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programmes identified, (2) Appropriate</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lastRenderedPageBreak/>
              <w:t>coordination mechanism developed and</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operational, (3) At least three relevant</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UNDP programmes identified and joint and complementary activities underta</w:t>
            </w:r>
            <w:r>
              <w:rPr>
                <w:rFonts w:cstheme="minorHAnsi"/>
                <w:sz w:val="18"/>
                <w:szCs w:val="18"/>
              </w:rPr>
              <w:t>k</w:t>
            </w:r>
            <w:r w:rsidRPr="007C5F59">
              <w:rPr>
                <w:rFonts w:cstheme="minorHAnsi"/>
                <w:sz w:val="18"/>
                <w:szCs w:val="18"/>
              </w:rPr>
              <w:t>en</w:t>
            </w:r>
          </w:p>
          <w:p w:rsidR="0061232B" w:rsidRPr="007C5F59" w:rsidRDefault="0061232B" w:rsidP="00E84BAD">
            <w:pPr>
              <w:autoSpaceDE w:val="0"/>
              <w:autoSpaceDN w:val="0"/>
              <w:adjustRightInd w:val="0"/>
              <w:spacing w:after="0"/>
              <w:rPr>
                <w:rFonts w:cstheme="minorHAnsi"/>
                <w:bCs/>
                <w:sz w:val="18"/>
                <w:szCs w:val="18"/>
              </w:rPr>
            </w:pP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u w:val="single"/>
              </w:rPr>
              <w:t>Year 2 (2012):</w:t>
            </w:r>
            <w:r w:rsidRPr="007C5F59">
              <w:rPr>
                <w:rFonts w:cstheme="minorHAnsi"/>
                <w:sz w:val="18"/>
                <w:szCs w:val="18"/>
              </w:rPr>
              <w:t xml:space="preserve"> Joint and complementary activities underta</w:t>
            </w:r>
            <w:r>
              <w:rPr>
                <w:rFonts w:cstheme="minorHAnsi"/>
                <w:sz w:val="18"/>
                <w:szCs w:val="18"/>
              </w:rPr>
              <w:t>k</w:t>
            </w:r>
            <w:r w:rsidRPr="007C5F59">
              <w:rPr>
                <w:rFonts w:cstheme="minorHAnsi"/>
                <w:sz w:val="18"/>
                <w:szCs w:val="18"/>
              </w:rPr>
              <w:t>en with selected UNDP's programme/ projects.</w:t>
            </w:r>
          </w:p>
          <w:p w:rsidR="0061232B" w:rsidRPr="007C5F59" w:rsidRDefault="0061232B" w:rsidP="00E84BAD">
            <w:pPr>
              <w:autoSpaceDE w:val="0"/>
              <w:autoSpaceDN w:val="0"/>
              <w:adjustRightInd w:val="0"/>
              <w:spacing w:after="0"/>
              <w:rPr>
                <w:rFonts w:cstheme="minorHAnsi"/>
                <w:bCs/>
                <w:sz w:val="18"/>
                <w:szCs w:val="18"/>
              </w:rPr>
            </w:pP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u w:val="single"/>
              </w:rPr>
              <w:t>Year 3 (2013):</w:t>
            </w:r>
            <w:r w:rsidRPr="007C5F59">
              <w:rPr>
                <w:rFonts w:cstheme="minorHAnsi"/>
                <w:sz w:val="18"/>
                <w:szCs w:val="18"/>
              </w:rPr>
              <w:t xml:space="preserve"> Joint and complementary</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activities underta</w:t>
            </w:r>
            <w:r>
              <w:rPr>
                <w:rFonts w:cstheme="minorHAnsi"/>
                <w:sz w:val="18"/>
                <w:szCs w:val="18"/>
              </w:rPr>
              <w:t>k</w:t>
            </w:r>
            <w:r w:rsidRPr="007C5F59">
              <w:rPr>
                <w:rFonts w:cstheme="minorHAnsi"/>
                <w:sz w:val="18"/>
                <w:szCs w:val="18"/>
              </w:rPr>
              <w:t>en with selected UNDP's programme / projects</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1E161B">
            <w:pPr>
              <w:numPr>
                <w:ilvl w:val="0"/>
                <w:numId w:val="65"/>
              </w:numPr>
              <w:autoSpaceDE w:val="0"/>
              <w:autoSpaceDN w:val="0"/>
              <w:adjustRightInd w:val="0"/>
              <w:spacing w:after="0" w:line="240" w:lineRule="auto"/>
              <w:ind w:left="162" w:hanging="180"/>
              <w:rPr>
                <w:rFonts w:cstheme="minorHAnsi"/>
                <w:sz w:val="18"/>
                <w:szCs w:val="18"/>
              </w:rPr>
            </w:pPr>
            <w:r w:rsidRPr="007C5F59">
              <w:rPr>
                <w:rFonts w:cstheme="minorHAnsi"/>
                <w:sz w:val="18"/>
                <w:szCs w:val="18"/>
              </w:rPr>
              <w:lastRenderedPageBreak/>
              <w:t>Joint initiative of Local Climate Fiscal Framewor</w:t>
            </w:r>
            <w:r>
              <w:rPr>
                <w:rFonts w:cstheme="minorHAnsi"/>
                <w:sz w:val="18"/>
                <w:szCs w:val="18"/>
              </w:rPr>
              <w:t>k</w:t>
            </w:r>
            <w:r w:rsidRPr="007C5F59">
              <w:rPr>
                <w:rFonts w:cstheme="minorHAnsi"/>
                <w:sz w:val="18"/>
                <w:szCs w:val="18"/>
              </w:rPr>
              <w:t xml:space="preserve"> is implementing by Union Parishad Governance Project (UPGP) and Upazilla Governance Project (UZGP). </w:t>
            </w:r>
          </w:p>
          <w:p w:rsidR="0061232B" w:rsidRPr="007C5F59" w:rsidRDefault="0061232B" w:rsidP="00E84BAD">
            <w:pPr>
              <w:autoSpaceDE w:val="0"/>
              <w:autoSpaceDN w:val="0"/>
              <w:adjustRightInd w:val="0"/>
              <w:spacing w:after="0"/>
              <w:ind w:left="162"/>
              <w:rPr>
                <w:rFonts w:cstheme="minorHAnsi"/>
                <w:sz w:val="18"/>
                <w:szCs w:val="18"/>
              </w:rPr>
            </w:pPr>
          </w:p>
          <w:p w:rsidR="0061232B" w:rsidRPr="007C5F59" w:rsidRDefault="0061232B" w:rsidP="001E161B">
            <w:pPr>
              <w:numPr>
                <w:ilvl w:val="0"/>
                <w:numId w:val="65"/>
              </w:numPr>
              <w:autoSpaceDE w:val="0"/>
              <w:autoSpaceDN w:val="0"/>
              <w:adjustRightInd w:val="0"/>
              <w:spacing w:after="0" w:line="240" w:lineRule="auto"/>
              <w:ind w:left="162" w:hanging="180"/>
              <w:rPr>
                <w:rFonts w:cstheme="minorHAnsi"/>
                <w:sz w:val="18"/>
                <w:szCs w:val="18"/>
              </w:rPr>
            </w:pPr>
            <w:r w:rsidRPr="007C5F59">
              <w:rPr>
                <w:rFonts w:cstheme="minorHAnsi"/>
                <w:sz w:val="18"/>
                <w:szCs w:val="18"/>
              </w:rPr>
              <w:t>CDMP agreed to support training of 200 planning professionals for PECD Nexus inclusive project design and submitted a MoU for signing agreement with GED.</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61232B" w:rsidRPr="007C5F59" w:rsidRDefault="0061232B" w:rsidP="00E84BAD">
            <w:pPr>
              <w:autoSpaceDN w:val="0"/>
              <w:spacing w:after="0"/>
              <w:rPr>
                <w:rFonts w:cstheme="minorHAnsi"/>
                <w:b/>
                <w:i/>
                <w:noProof/>
                <w:sz w:val="18"/>
                <w:szCs w:val="18"/>
                <w:lang w:eastAsia="en-GB"/>
              </w:rPr>
            </w:pPr>
            <w:r w:rsidRPr="007C5F59">
              <w:rPr>
                <w:rFonts w:cstheme="minorHAnsi"/>
                <w:b/>
                <w:i/>
                <w:noProof/>
                <w:sz w:val="18"/>
                <w:szCs w:val="18"/>
                <w:lang w:eastAsia="en-GB"/>
              </w:rPr>
              <w:lastRenderedPageBreak/>
              <w:t>Partly achieved</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 xml:space="preserve">- Coordination mechanism in UNDP </w:t>
            </w:r>
            <w:r w:rsidRPr="007C5F59">
              <w:rPr>
                <w:rFonts w:cstheme="minorHAnsi"/>
                <w:sz w:val="18"/>
                <w:szCs w:val="18"/>
              </w:rPr>
              <w:lastRenderedPageBreak/>
              <w:t>project/ programme planning and</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implementation process for effective</w:t>
            </w:r>
          </w:p>
          <w:p w:rsidR="0061232B" w:rsidRPr="007C5F59" w:rsidRDefault="0061232B" w:rsidP="00E84BAD">
            <w:pPr>
              <w:autoSpaceDN w:val="0"/>
              <w:spacing w:after="0"/>
              <w:rPr>
                <w:rFonts w:cstheme="minorHAnsi"/>
                <w:sz w:val="18"/>
                <w:szCs w:val="18"/>
              </w:rPr>
            </w:pPr>
            <w:r w:rsidRPr="007C5F59">
              <w:rPr>
                <w:rFonts w:cstheme="minorHAnsi"/>
                <w:sz w:val="18"/>
                <w:szCs w:val="18"/>
              </w:rPr>
              <w:t>PEC mainstreaming yet not achieved</w:t>
            </w:r>
          </w:p>
        </w:tc>
      </w:tr>
      <w:tr w:rsidR="0061232B" w:rsidRPr="007C5F59" w:rsidTr="00E84BAD">
        <w:trPr>
          <w:trHeight w:val="440"/>
        </w:trPr>
        <w:tc>
          <w:tcPr>
            <w:tcW w:w="789"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E w:val="0"/>
              <w:autoSpaceDN w:val="0"/>
              <w:adjustRightInd w:val="0"/>
              <w:spacing w:after="0"/>
              <w:rPr>
                <w:rFonts w:cstheme="minorHAnsi"/>
                <w:bCs/>
                <w:color w:val="0F243E"/>
                <w:sz w:val="18"/>
                <w:szCs w:val="18"/>
              </w:rPr>
            </w:pPr>
            <w:r w:rsidRPr="007C5F59">
              <w:rPr>
                <w:rFonts w:cstheme="minorHAnsi"/>
                <w:b/>
                <w:color w:val="0F243E"/>
                <w:sz w:val="18"/>
                <w:szCs w:val="18"/>
              </w:rPr>
              <w:lastRenderedPageBreak/>
              <w:t>Output 2.2:</w:t>
            </w:r>
            <w:r w:rsidRPr="007C5F59">
              <w:rPr>
                <w:rFonts w:cstheme="minorHAnsi"/>
                <w:color w:val="0F243E"/>
                <w:sz w:val="18"/>
                <w:szCs w:val="18"/>
              </w:rPr>
              <w:t xml:space="preserve"> Development partners aware and engaged in supporting PEC mainstreaming at</w:t>
            </w:r>
          </w:p>
          <w:p w:rsidR="0061232B" w:rsidRPr="007C5F59" w:rsidRDefault="0061232B" w:rsidP="00E84BAD">
            <w:pPr>
              <w:spacing w:after="0"/>
              <w:rPr>
                <w:rFonts w:cstheme="minorHAnsi"/>
                <w:sz w:val="18"/>
                <w:szCs w:val="18"/>
              </w:rPr>
            </w:pPr>
            <w:r w:rsidRPr="007C5F59">
              <w:rPr>
                <w:rFonts w:cstheme="minorHAnsi"/>
                <w:color w:val="0F243E"/>
                <w:sz w:val="18"/>
                <w:szCs w:val="18"/>
              </w:rPr>
              <w:t>national and sub-national level.</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Development partners do not</w:t>
            </w:r>
          </w:p>
          <w:p w:rsidR="0061232B" w:rsidRPr="007C5F59" w:rsidRDefault="0061232B" w:rsidP="00E84BAD">
            <w:pPr>
              <w:autoSpaceDE w:val="0"/>
              <w:autoSpaceDN w:val="0"/>
              <w:adjustRightInd w:val="0"/>
              <w:spacing w:after="0"/>
              <w:rPr>
                <w:rFonts w:cstheme="minorHAnsi"/>
                <w:bCs/>
                <w:sz w:val="18"/>
                <w:szCs w:val="18"/>
              </w:rPr>
            </w:pPr>
            <w:r w:rsidRPr="007C5F59">
              <w:rPr>
                <w:rFonts w:cstheme="minorHAnsi"/>
                <w:sz w:val="18"/>
                <w:szCs w:val="18"/>
              </w:rPr>
              <w:t>effectively fund PEC mainstreaming</w:t>
            </w:r>
          </w:p>
          <w:p w:rsidR="0061232B" w:rsidRPr="007C5F59" w:rsidRDefault="0061232B" w:rsidP="00E84BAD">
            <w:pPr>
              <w:autoSpaceDN w:val="0"/>
              <w:spacing w:after="0"/>
              <w:rPr>
                <w:rFonts w:cstheme="minorHAnsi"/>
                <w:sz w:val="18"/>
                <w:szCs w:val="18"/>
              </w:rPr>
            </w:pPr>
            <w:r w:rsidRPr="007C5F59">
              <w:rPr>
                <w:rFonts w:cstheme="minorHAnsi"/>
                <w:sz w:val="18"/>
                <w:szCs w:val="18"/>
              </w:rPr>
              <w:t>wor</w:t>
            </w:r>
            <w:r>
              <w:rPr>
                <w:rFonts w:cstheme="minorHAnsi"/>
                <w:sz w:val="18"/>
                <w:szCs w:val="18"/>
              </w:rPr>
              <w:t>k</w:t>
            </w:r>
          </w:p>
        </w:tc>
        <w:tc>
          <w:tcPr>
            <w:tcW w:w="1220"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E84BAD">
            <w:pPr>
              <w:autoSpaceDE w:val="0"/>
              <w:autoSpaceDN w:val="0"/>
              <w:adjustRightInd w:val="0"/>
              <w:spacing w:after="0"/>
              <w:rPr>
                <w:rFonts w:cstheme="minorHAnsi"/>
                <w:sz w:val="18"/>
                <w:szCs w:val="18"/>
              </w:rPr>
            </w:pPr>
            <w:r w:rsidRPr="007C5F59">
              <w:rPr>
                <w:rFonts w:cstheme="minorHAnsi"/>
                <w:sz w:val="18"/>
                <w:szCs w:val="18"/>
              </w:rPr>
              <w:t xml:space="preserve">Year 1-3 (2010 - 13): Increasing number of </w:t>
            </w:r>
            <w:r>
              <w:rPr>
                <w:rFonts w:cstheme="minorHAnsi"/>
                <w:sz w:val="18"/>
                <w:szCs w:val="18"/>
              </w:rPr>
              <w:t>k</w:t>
            </w:r>
            <w:r w:rsidRPr="007C5F59">
              <w:rPr>
                <w:rFonts w:cstheme="minorHAnsi"/>
                <w:sz w:val="18"/>
                <w:szCs w:val="18"/>
              </w:rPr>
              <w:t>ey development partners engaged in the next phase of PECM programme</w:t>
            </w: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61232B" w:rsidRPr="007C5F59" w:rsidRDefault="0061232B" w:rsidP="001E161B">
            <w:pPr>
              <w:numPr>
                <w:ilvl w:val="0"/>
                <w:numId w:val="66"/>
              </w:numPr>
              <w:autoSpaceDE w:val="0"/>
              <w:autoSpaceDN w:val="0"/>
              <w:adjustRightInd w:val="0"/>
              <w:spacing w:after="0" w:line="240" w:lineRule="auto"/>
              <w:ind w:left="162" w:hanging="180"/>
              <w:rPr>
                <w:rFonts w:cstheme="minorHAnsi"/>
                <w:bCs/>
                <w:sz w:val="18"/>
                <w:szCs w:val="18"/>
              </w:rPr>
            </w:pPr>
            <w:r w:rsidRPr="007C5F59">
              <w:rPr>
                <w:rFonts w:cstheme="minorHAnsi"/>
                <w:sz w:val="18"/>
                <w:szCs w:val="18"/>
              </w:rPr>
              <w:t>Number of activities/ initiatives /events underta</w:t>
            </w:r>
            <w:r>
              <w:rPr>
                <w:rFonts w:cstheme="minorHAnsi"/>
                <w:sz w:val="18"/>
                <w:szCs w:val="18"/>
              </w:rPr>
              <w:t>k</w:t>
            </w:r>
            <w:r w:rsidRPr="007C5F59">
              <w:rPr>
                <w:rFonts w:cstheme="minorHAnsi"/>
                <w:sz w:val="18"/>
                <w:szCs w:val="18"/>
              </w:rPr>
              <w:t>en to support collaboration and follow-up on PEC mainstreaming in Bangladesh</w:t>
            </w:r>
          </w:p>
          <w:p w:rsidR="0061232B" w:rsidRPr="007C5F59" w:rsidRDefault="0061232B" w:rsidP="00E84BAD">
            <w:pPr>
              <w:autoSpaceDE w:val="0"/>
              <w:autoSpaceDN w:val="0"/>
              <w:adjustRightInd w:val="0"/>
              <w:spacing w:after="0"/>
              <w:ind w:left="162"/>
              <w:rPr>
                <w:rFonts w:cstheme="minorHAnsi"/>
                <w:bCs/>
                <w:sz w:val="18"/>
                <w:szCs w:val="18"/>
              </w:rPr>
            </w:pPr>
          </w:p>
          <w:p w:rsidR="0061232B" w:rsidRPr="007C5F59" w:rsidRDefault="0061232B" w:rsidP="001E161B">
            <w:pPr>
              <w:numPr>
                <w:ilvl w:val="0"/>
                <w:numId w:val="66"/>
              </w:numPr>
              <w:autoSpaceDE w:val="0"/>
              <w:autoSpaceDN w:val="0"/>
              <w:adjustRightInd w:val="0"/>
              <w:spacing w:after="0" w:line="240" w:lineRule="auto"/>
              <w:ind w:left="162" w:hanging="180"/>
              <w:rPr>
                <w:rFonts w:cstheme="minorHAnsi"/>
                <w:sz w:val="18"/>
                <w:szCs w:val="18"/>
              </w:rPr>
            </w:pPr>
            <w:r w:rsidRPr="007C5F59">
              <w:rPr>
                <w:rFonts w:cstheme="minorHAnsi"/>
                <w:sz w:val="18"/>
                <w:szCs w:val="18"/>
              </w:rPr>
              <w:t>Project supported disbursing CPEIR study, Perspective Plan and Sixth Five Year Plan.</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61232B" w:rsidRPr="007C5F59" w:rsidRDefault="0061232B" w:rsidP="00E84BAD">
            <w:pPr>
              <w:autoSpaceDN w:val="0"/>
              <w:spacing w:after="0"/>
              <w:rPr>
                <w:rFonts w:cstheme="minorHAnsi"/>
                <w:b/>
                <w:i/>
                <w:noProof/>
                <w:sz w:val="18"/>
                <w:szCs w:val="18"/>
                <w:lang w:eastAsia="en-GB"/>
              </w:rPr>
            </w:pPr>
            <w:r w:rsidRPr="007C5F59">
              <w:rPr>
                <w:rFonts w:cstheme="minorHAnsi"/>
                <w:b/>
                <w:i/>
                <w:noProof/>
                <w:sz w:val="18"/>
                <w:szCs w:val="18"/>
                <w:lang w:eastAsia="en-GB"/>
              </w:rPr>
              <w:t>Partly achieved.</w:t>
            </w:r>
          </w:p>
          <w:p w:rsidR="0061232B" w:rsidRPr="007C5F59" w:rsidRDefault="0061232B" w:rsidP="00E84BAD">
            <w:pPr>
              <w:autoSpaceDN w:val="0"/>
              <w:spacing w:after="0"/>
              <w:rPr>
                <w:rFonts w:cstheme="minorHAnsi"/>
                <w:sz w:val="18"/>
                <w:szCs w:val="18"/>
              </w:rPr>
            </w:pPr>
            <w:r w:rsidRPr="007C5F59">
              <w:rPr>
                <w:rFonts w:cstheme="minorHAnsi"/>
                <w:sz w:val="18"/>
                <w:szCs w:val="18"/>
              </w:rPr>
              <w:t>Three follow on projects are developed from PECM experiences: SSIP (by Planning Commission), IBFCR (Finance Division), and Local Resilience Programme (Local Government Division)</w:t>
            </w:r>
          </w:p>
        </w:tc>
      </w:tr>
    </w:tbl>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Default="0061232B" w:rsidP="009F468D">
      <w:pPr>
        <w:spacing w:after="0" w:line="240" w:lineRule="auto"/>
        <w:rPr>
          <w:rFonts w:cs="Calibri"/>
          <w:sz w:val="18"/>
          <w:szCs w:val="18"/>
        </w:rPr>
      </w:pPr>
    </w:p>
    <w:p w:rsidR="0061232B" w:rsidRPr="00524F49" w:rsidRDefault="0061232B" w:rsidP="009F468D">
      <w:pPr>
        <w:spacing w:after="0" w:line="240" w:lineRule="auto"/>
        <w:rPr>
          <w:rFonts w:cs="Calibri"/>
          <w:sz w:val="18"/>
          <w:szCs w:val="18"/>
        </w:rPr>
        <w:sectPr w:rsidR="0061232B" w:rsidRPr="00524F49" w:rsidSect="0061232B">
          <w:pgSz w:w="15840" w:h="12240" w:orient="landscape"/>
          <w:pgMar w:top="1440" w:right="1440" w:bottom="1440" w:left="1440" w:header="706" w:footer="706" w:gutter="0"/>
          <w:cols w:space="708"/>
          <w:docGrid w:linePitch="360"/>
        </w:sectPr>
      </w:pPr>
    </w:p>
    <w:p w:rsidR="0061232B" w:rsidRDefault="0061232B" w:rsidP="0061232B">
      <w:pPr>
        <w:spacing w:after="0" w:line="240" w:lineRule="auto"/>
        <w:jc w:val="center"/>
        <w:rPr>
          <w:rFonts w:cs="Calibri"/>
          <w:b/>
        </w:rPr>
      </w:pPr>
      <w:r>
        <w:rPr>
          <w:rFonts w:cs="Calibri"/>
          <w:b/>
        </w:rPr>
        <w:lastRenderedPageBreak/>
        <w:t>Annex XVI: Recommendations for Refinement of CPD Indicators</w:t>
      </w:r>
    </w:p>
    <w:p w:rsidR="0061232B" w:rsidRDefault="0061232B" w:rsidP="0061232B">
      <w:pPr>
        <w:spacing w:after="0" w:line="240" w:lineRule="auto"/>
        <w:jc w:val="center"/>
        <w:rPr>
          <w:rFonts w:cs="Calibri"/>
          <w:b/>
        </w:rPr>
      </w:pPr>
    </w:p>
    <w:p w:rsidR="0061232B" w:rsidRDefault="00B652A0" w:rsidP="0061232B">
      <w:pPr>
        <w:spacing w:after="0" w:line="240" w:lineRule="auto"/>
        <w:rPr>
          <w:rFonts w:cs="Calibri"/>
          <w:b/>
        </w:rPr>
      </w:pPr>
      <w:r>
        <w:rPr>
          <w:rFonts w:cs="Calibri"/>
          <w:b/>
          <w:noProof/>
          <w:lang w:val="en-US" w:eastAsia="en-US"/>
        </w:rPr>
        <mc:AlternateContent>
          <mc:Choice Requires="wps">
            <w:drawing>
              <wp:anchor distT="0" distB="0" distL="114300" distR="114300" simplePos="0" relativeHeight="251670528" behindDoc="0" locked="0" layoutInCell="1" allowOverlap="1">
                <wp:simplePos x="0" y="0"/>
                <wp:positionH relativeFrom="column">
                  <wp:align>center</wp:align>
                </wp:positionH>
                <wp:positionV relativeFrom="paragraph">
                  <wp:posOffset>15240</wp:posOffset>
                </wp:positionV>
                <wp:extent cx="5450840" cy="6024880"/>
                <wp:effectExtent l="19050" t="19050" r="16510" b="139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6024880"/>
                        </a:xfrm>
                        <a:prstGeom prst="rect">
                          <a:avLst/>
                        </a:prstGeom>
                        <a:solidFill>
                          <a:schemeClr val="accent6">
                            <a:lumMod val="20000"/>
                            <a:lumOff val="80000"/>
                          </a:schemeClr>
                        </a:solidFill>
                        <a:ln w="28575">
                          <a:solidFill>
                            <a:srgbClr val="000000"/>
                          </a:solidFill>
                          <a:miter lim="800000"/>
                          <a:headEnd/>
                          <a:tailEnd/>
                        </a:ln>
                      </wps:spPr>
                      <wps:txbx>
                        <w:txbxContent>
                          <w:p w:rsidR="00EA3B8B" w:rsidRPr="003700BD" w:rsidRDefault="00EA3B8B" w:rsidP="0061232B">
                            <w:pPr>
                              <w:spacing w:after="0" w:line="240" w:lineRule="auto"/>
                              <w:jc w:val="center"/>
                              <w:rPr>
                                <w:b/>
                                <w:sz w:val="24"/>
                              </w:rPr>
                            </w:pPr>
                            <w:r w:rsidRPr="003700BD">
                              <w:rPr>
                                <w:b/>
                                <w:sz w:val="24"/>
                              </w:rPr>
                              <w:t>Proposed CPD Indicators</w:t>
                            </w:r>
                          </w:p>
                          <w:p w:rsidR="00EA3B8B" w:rsidRDefault="00EA3B8B" w:rsidP="0061232B">
                            <w:pPr>
                              <w:spacing w:after="0" w:line="240" w:lineRule="auto"/>
                              <w:jc w:val="center"/>
                            </w:pPr>
                          </w:p>
                          <w:p w:rsidR="00EA3B8B" w:rsidRPr="0059267E" w:rsidRDefault="00EA3B8B" w:rsidP="0061232B">
                            <w:pPr>
                              <w:spacing w:after="0" w:line="240" w:lineRule="auto"/>
                              <w:jc w:val="both"/>
                            </w:pPr>
                            <w:r w:rsidRPr="0059267E">
                              <w:t>The Evaluators highly recommend that further refinement of ind</w:t>
                            </w:r>
                            <w:r>
                              <w:t xml:space="preserve">icators for measuring progress </w:t>
                            </w:r>
                            <w:r w:rsidRPr="0059267E">
                              <w:t>towards CDP 2012-16 Outcome 3.1 is required. Changes in syste</w:t>
                            </w:r>
                            <w:r>
                              <w:t xml:space="preserve">m or community resilience with </w:t>
                            </w:r>
                            <w:r w:rsidRPr="0059267E">
                              <w:t>respect to ris</w:t>
                            </w:r>
                            <w:r>
                              <w:t>k</w:t>
                            </w:r>
                            <w:r w:rsidRPr="0059267E">
                              <w:t xml:space="preserve"> adaptation should focus not only on recovering pot</w:t>
                            </w:r>
                            <w:r>
                              <w:t xml:space="preserve">ential loss from disasters but </w:t>
                            </w:r>
                            <w:r w:rsidRPr="0059267E">
                              <w:t>also the addition of inherent capacity to withstand stress, sho</w:t>
                            </w:r>
                            <w:r>
                              <w:t xml:space="preserve">cks, and disaster impacts. The </w:t>
                            </w:r>
                            <w:r w:rsidRPr="0059267E">
                              <w:t>evaluators’ specific recommendations are as follows:</w:t>
                            </w:r>
                          </w:p>
                          <w:p w:rsidR="00EA3B8B" w:rsidRPr="0059267E" w:rsidRDefault="00EA3B8B" w:rsidP="0061232B">
                            <w:pPr>
                              <w:spacing w:after="0" w:line="240" w:lineRule="auto"/>
                              <w:jc w:val="both"/>
                            </w:pPr>
                          </w:p>
                          <w:p w:rsidR="00EA3B8B" w:rsidRDefault="00EA3B8B" w:rsidP="0061232B">
                            <w:pPr>
                              <w:spacing w:after="0" w:line="240" w:lineRule="auto"/>
                              <w:jc w:val="both"/>
                            </w:pPr>
                            <w:r w:rsidRPr="0059267E">
                              <w:tab/>
                            </w:r>
                            <w:r w:rsidRPr="00FA3D59">
                              <w:rPr>
                                <w:b/>
                                <w:bCs/>
                                <w:i/>
                                <w:iCs/>
                              </w:rPr>
                              <w:t>Outcome 3.1:</w:t>
                            </w:r>
                            <w:r w:rsidRPr="0059267E">
                              <w:t xml:space="preserve"> “…by 2016, populations vulnerable to climate change and natural </w:t>
                            </w:r>
                            <w:r w:rsidRPr="0059267E">
                              <w:tab/>
                              <w:t xml:space="preserve">disasters have </w:t>
                            </w:r>
                            <w:r w:rsidRPr="0059267E">
                              <w:tab/>
                              <w:t>become more resilient to adapt to ris</w:t>
                            </w:r>
                            <w:r>
                              <w:t>k</w:t>
                            </w:r>
                            <w:r w:rsidRPr="0059267E">
                              <w:t>s.”</w:t>
                            </w:r>
                          </w:p>
                          <w:p w:rsidR="00EA3B8B" w:rsidRPr="0059267E" w:rsidRDefault="00EA3B8B" w:rsidP="0061232B">
                            <w:pPr>
                              <w:spacing w:after="0" w:line="240" w:lineRule="auto"/>
                              <w:jc w:val="both"/>
                            </w:pPr>
                          </w:p>
                          <w:p w:rsidR="00EA3B8B" w:rsidRPr="0059267E" w:rsidRDefault="00EA3B8B" w:rsidP="0061232B">
                            <w:pPr>
                              <w:spacing w:after="0" w:line="240" w:lineRule="auto"/>
                              <w:jc w:val="both"/>
                            </w:pPr>
                            <w:r w:rsidRPr="0059267E">
                              <w:tab/>
                            </w:r>
                            <w:r w:rsidRPr="00FA3D59">
                              <w:rPr>
                                <w:b/>
                                <w:bCs/>
                                <w:i/>
                                <w:iCs/>
                              </w:rPr>
                              <w:t>Proposed indicator for refinement</w:t>
                            </w:r>
                            <w:r w:rsidRPr="0059267E">
                              <w:rPr>
                                <w:bCs/>
                                <w:i/>
                                <w:iCs/>
                              </w:rPr>
                              <w:t>:</w:t>
                            </w:r>
                            <w:r>
                              <w:rPr>
                                <w:bCs/>
                                <w:i/>
                                <w:iCs/>
                              </w:rPr>
                              <w:t xml:space="preserve"> </w:t>
                            </w:r>
                            <w:r w:rsidRPr="0059267E">
                              <w:t>Changes in the percenta</w:t>
                            </w:r>
                            <w:r>
                              <w:t xml:space="preserve">ge of total funds delivered by </w:t>
                            </w:r>
                            <w:r w:rsidRPr="0059267E">
                              <w:t>national budgets over 5 years to climate and disaster ris</w:t>
                            </w:r>
                            <w:r>
                              <w:t>k</w:t>
                            </w:r>
                            <w:r w:rsidRPr="0059267E">
                              <w:t xml:space="preserve"> r</w:t>
                            </w:r>
                            <w:r>
                              <w:t xml:space="preserve">eduction and their effect upon </w:t>
                            </w:r>
                            <w:r w:rsidRPr="0059267E">
                              <w:t>economic losses and fatalities. This indicator should be compl</w:t>
                            </w:r>
                            <w:r>
                              <w:t xml:space="preserve">emented by counting numbers of </w:t>
                            </w:r>
                            <w:r w:rsidRPr="0059267E">
                              <w:t>union-institutionalized disaster and climate ris</w:t>
                            </w:r>
                            <w:r>
                              <w:t>k</w:t>
                            </w:r>
                            <w:r w:rsidRPr="0059267E">
                              <w:t xml:space="preserve"> mana</w:t>
                            </w:r>
                            <w:r>
                              <w:t xml:space="preserve">gement plans supported by UNDP </w:t>
                            </w:r>
                            <w:r w:rsidRPr="0059267E">
                              <w:t>interventions.</w:t>
                            </w:r>
                          </w:p>
                          <w:p w:rsidR="00EA3B8B" w:rsidRPr="0059267E" w:rsidRDefault="00EA3B8B" w:rsidP="0061232B">
                            <w:pPr>
                              <w:spacing w:after="0" w:line="240" w:lineRule="auto"/>
                              <w:jc w:val="both"/>
                            </w:pPr>
                          </w:p>
                          <w:p w:rsidR="00EA3B8B" w:rsidRDefault="00EA3B8B" w:rsidP="0061232B">
                            <w:pPr>
                              <w:spacing w:after="0" w:line="240" w:lineRule="auto"/>
                              <w:jc w:val="both"/>
                            </w:pPr>
                            <w:r w:rsidRPr="0059267E">
                              <w:tab/>
                            </w:r>
                            <w:r w:rsidRPr="00FA3D59">
                              <w:rPr>
                                <w:b/>
                                <w:bCs/>
                                <w:i/>
                                <w:iCs/>
                              </w:rPr>
                              <w:t>Outcome 3.2(1):</w:t>
                            </w:r>
                            <w:r w:rsidRPr="0059267E">
                              <w:t xml:space="preserve"> “…by 2016, vulnerable populations benefi</w:t>
                            </w:r>
                            <w:r>
                              <w:t xml:space="preserve">t from better natural resource </w:t>
                            </w:r>
                            <w:r w:rsidRPr="0059267E">
                              <w:t>management.”</w:t>
                            </w:r>
                          </w:p>
                          <w:p w:rsidR="00EA3B8B" w:rsidRPr="0059267E" w:rsidRDefault="00EA3B8B" w:rsidP="0061232B">
                            <w:pPr>
                              <w:spacing w:after="0" w:line="240" w:lineRule="auto"/>
                              <w:jc w:val="both"/>
                            </w:pPr>
                          </w:p>
                          <w:p w:rsidR="00EA3B8B" w:rsidRPr="0059267E" w:rsidRDefault="00EA3B8B" w:rsidP="0061232B">
                            <w:pPr>
                              <w:spacing w:after="0" w:line="240" w:lineRule="auto"/>
                              <w:jc w:val="both"/>
                            </w:pPr>
                            <w:r w:rsidRPr="0059267E">
                              <w:tab/>
                            </w:r>
                            <w:r w:rsidRPr="00FA3D59">
                              <w:rPr>
                                <w:b/>
                                <w:bCs/>
                                <w:i/>
                                <w:iCs/>
                              </w:rPr>
                              <w:t>Proposed indicator for refinement</w:t>
                            </w:r>
                            <w:r w:rsidRPr="0059267E">
                              <w:rPr>
                                <w:bCs/>
                                <w:i/>
                                <w:iCs/>
                              </w:rPr>
                              <w:t>:</w:t>
                            </w:r>
                            <w:r w:rsidRPr="0059267E">
                              <w:t xml:space="preserve"> Number of government</w:t>
                            </w:r>
                            <w:r>
                              <w:t xml:space="preserve"> policies, strategies or plans </w:t>
                            </w:r>
                            <w:r w:rsidRPr="0059267E">
                              <w:t>approved in support of sustainable management of nat</w:t>
                            </w:r>
                            <w:r>
                              <w:t xml:space="preserve">ural resources. This should be </w:t>
                            </w:r>
                            <w:r w:rsidRPr="0059267E">
                              <w:t>complemented by counting number of marginal addition of unions</w:t>
                            </w:r>
                            <w:r>
                              <w:t xml:space="preserve"> and additional beneficiaries/ </w:t>
                            </w:r>
                            <w:r w:rsidRPr="0059267E">
                              <w:t>population served by the UNDP interventions in the area of natural resource management.</w:t>
                            </w:r>
                          </w:p>
                          <w:p w:rsidR="00EA3B8B" w:rsidRPr="0059267E" w:rsidRDefault="00EA3B8B" w:rsidP="0061232B">
                            <w:pPr>
                              <w:spacing w:after="0" w:line="240" w:lineRule="auto"/>
                              <w:jc w:val="both"/>
                            </w:pPr>
                          </w:p>
                          <w:p w:rsidR="00EA3B8B" w:rsidRDefault="00EA3B8B" w:rsidP="0061232B">
                            <w:pPr>
                              <w:spacing w:after="0" w:line="240" w:lineRule="auto"/>
                              <w:jc w:val="both"/>
                            </w:pPr>
                            <w:r w:rsidRPr="0059267E">
                              <w:tab/>
                            </w:r>
                            <w:r w:rsidRPr="00FA3D59">
                              <w:rPr>
                                <w:b/>
                                <w:bCs/>
                                <w:i/>
                                <w:iCs/>
                              </w:rPr>
                              <w:t>Outcome 3.2(2):</w:t>
                            </w:r>
                            <w:r w:rsidRPr="0059267E">
                              <w:rPr>
                                <w:bCs/>
                                <w:i/>
                                <w:iCs/>
                              </w:rPr>
                              <w:t xml:space="preserve"> “…</w:t>
                            </w:r>
                            <w:r w:rsidRPr="0059267E">
                              <w:t>by 2016, vulnerable populations benefit fr</w:t>
                            </w:r>
                            <w:r>
                              <w:t xml:space="preserve">om better access to low-carbon </w:t>
                            </w:r>
                            <w:r w:rsidRPr="0059267E">
                              <w:t>energy.”</w:t>
                            </w:r>
                          </w:p>
                          <w:p w:rsidR="00EA3B8B" w:rsidRPr="0059267E" w:rsidRDefault="00EA3B8B" w:rsidP="0061232B">
                            <w:pPr>
                              <w:spacing w:after="0" w:line="240" w:lineRule="auto"/>
                              <w:jc w:val="both"/>
                            </w:pPr>
                          </w:p>
                          <w:p w:rsidR="00EA3B8B" w:rsidRPr="0059267E" w:rsidRDefault="00EA3B8B" w:rsidP="0061232B">
                            <w:pPr>
                              <w:spacing w:after="0" w:line="240" w:lineRule="auto"/>
                              <w:jc w:val="both"/>
                            </w:pPr>
                            <w:r w:rsidRPr="0059267E">
                              <w:tab/>
                            </w:r>
                            <w:r w:rsidRPr="00FA3D59">
                              <w:rPr>
                                <w:b/>
                                <w:bCs/>
                                <w:i/>
                                <w:iCs/>
                              </w:rPr>
                              <w:t>Proposed indicator for refinement</w:t>
                            </w:r>
                            <w:r w:rsidRPr="0059267E">
                              <w:rPr>
                                <w:bCs/>
                                <w:i/>
                                <w:iCs/>
                              </w:rPr>
                              <w:t xml:space="preserve">: </w:t>
                            </w:r>
                            <w:r w:rsidRPr="0059267E">
                              <w:t>electricity generated and delivered in numbe</w:t>
                            </w:r>
                            <w:r>
                              <w:t xml:space="preserve">rs of </w:t>
                            </w:r>
                            <w:r w:rsidRPr="0059267E">
                              <w:t>households (for energy savings: measurement of equivalents o</w:t>
                            </w:r>
                            <w:r>
                              <w:t xml:space="preserve">f household energy consumption </w:t>
                            </w:r>
                            <w:r w:rsidRPr="0059267E">
                              <w:t xml:space="preserve">e.g.100,000 for BRESL; for renewable energy: number of </w:t>
                            </w:r>
                            <w:r>
                              <w:t xml:space="preserve">households that have purchased </w:t>
                            </w:r>
                            <w:r w:rsidRPr="0059267E">
                              <w:t>renewable energy equipment).</w:t>
                            </w:r>
                          </w:p>
                          <w:p w:rsidR="00EA3B8B" w:rsidRPr="0059267E" w:rsidRDefault="00EA3B8B" w:rsidP="0061232B">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93" type="#_x0000_t202" style="position:absolute;margin-left:0;margin-top:1.2pt;width:429.2pt;height:474.4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ndTwIAAJgEAAAOAAAAZHJzL2Uyb0RvYy54bWysVNtu2zAMfR+wfxD0vtrJkjYz4hRdug4D&#10;ugvQ7gMYWY6FSaImKbG7ry8lJ1m6vQ17MSSSOrycQy+vB6PZXvqg0NZ8clFyJq3ARtltzb8/3r1Z&#10;cBYi2AY0WlnzJxn49er1q2XvKjnFDnUjPSMQG6re1byL0VVFEUQnDYQLdNKSs0VvINLVb4vGQ0/o&#10;RhfTsrwsevSN8yhkCGS9HZ18lfHbVor4tW2DjEzXnGqL+evzd5O+xWoJ1daD65Q4lAH/UIUBZSnp&#10;CeoWIrCdV39BGSU8BmzjhUBTYNsqIXMP1M2k/KObhw6czL3QcII7jSn8P1jxZf/NM9XUnIiyYIii&#10;RzlE9h4HNkvT6V2oKOjBUVgcyEws506Du0fxIzCL6w7sVt54j30noaHqJullcfZ0xAkJZNN/xobS&#10;wC5iBhpab9LoaBiM0ImlpxMzqRRBxvlsXi5m5BLkuyyns8Uic1dAdXzufIgfJRqWDjX3RH2Gh/19&#10;iKkcqI4hKVtArZo7pXW+JLnJtfZsDyQUEELaeJmf652hekc7Ca48SIbMJKzRvDiaKUUWbkLKCV8k&#10;0Zb1NZ8u5lfzjPzCGfx2c8qf8MZECfG8UKMirYtWhvg6BUGVxv7BNlnMEZQez/RY2wMPafQjCXHY&#10;DJnwtyd+N9g8ETMex/WgdaZDh/4XZz2tRs3Dzx14yZn+ZIndd5NZoiLmy2x+NaWLP/dszj1gBUHV&#10;PHI2Htdx3L+d82rbUaZRTxZvSBGtylwl6YxVHeon+eeJHlY17df5PUf9/qGsngEAAP//AwBQSwME&#10;FAAGAAgAAAAhAKy8oh/fAAAABgEAAA8AAABkcnMvZG93bnJldi54bWxMj09Lw0AQxe+C32EZwZvd&#10;JFqJMZtSSixC6aFVweMmO25C90/Ibtr47R1PepvHe7z3m3I1W8POOIbeOwHpIgGGrvWqd1rA+9vL&#10;XQ4sROmUNN6hgG8MsKqur0pZKH9xBzwfo2ZU4kIhBXQxDgXnoe3QyrDwAzryvvxoZSQ5aq5GeaFy&#10;a3iWJI/cyt7RQicH3HTYno6TFXAwp/t6v9vUTT196O32U6e717UQtzfz+hlYxDn+heEXn9ChIqbG&#10;T04FZgTQI1FA9gCMzHyZ09EIeFqmGfCq5P/xqx8AAAD//wMAUEsBAi0AFAAGAAgAAAAhALaDOJL+&#10;AAAA4QEAABMAAAAAAAAAAAAAAAAAAAAAAFtDb250ZW50X1R5cGVzXS54bWxQSwECLQAUAAYACAAA&#10;ACEAOP0h/9YAAACUAQAACwAAAAAAAAAAAAAAAAAvAQAAX3JlbHMvLnJlbHNQSwECLQAUAAYACAAA&#10;ACEArfQZ3U8CAACYBAAADgAAAAAAAAAAAAAAAAAuAgAAZHJzL2Uyb0RvYy54bWxQSwECLQAUAAYA&#10;CAAAACEArLyiH98AAAAGAQAADwAAAAAAAAAAAAAAAACpBAAAZHJzL2Rvd25yZXYueG1sUEsFBgAA&#10;AAAEAAQA8wAAALUFAAAAAA==&#10;" fillcolor="#fde9d9 [665]" strokeweight="2.25pt">
                <v:textbox>
                  <w:txbxContent>
                    <w:p w:rsidR="00EA3B8B" w:rsidRPr="003700BD" w:rsidRDefault="00EA3B8B" w:rsidP="0061232B">
                      <w:pPr>
                        <w:spacing w:after="0" w:line="240" w:lineRule="auto"/>
                        <w:jc w:val="center"/>
                        <w:rPr>
                          <w:b/>
                          <w:sz w:val="24"/>
                        </w:rPr>
                      </w:pPr>
                      <w:r w:rsidRPr="003700BD">
                        <w:rPr>
                          <w:b/>
                          <w:sz w:val="24"/>
                        </w:rPr>
                        <w:t>Proposed CPD Indicators</w:t>
                      </w:r>
                    </w:p>
                    <w:p w:rsidR="00EA3B8B" w:rsidRDefault="00EA3B8B" w:rsidP="0061232B">
                      <w:pPr>
                        <w:spacing w:after="0" w:line="240" w:lineRule="auto"/>
                        <w:jc w:val="center"/>
                      </w:pPr>
                    </w:p>
                    <w:p w:rsidR="00EA3B8B" w:rsidRPr="0059267E" w:rsidRDefault="00EA3B8B" w:rsidP="0061232B">
                      <w:pPr>
                        <w:spacing w:after="0" w:line="240" w:lineRule="auto"/>
                        <w:jc w:val="both"/>
                      </w:pPr>
                      <w:r w:rsidRPr="0059267E">
                        <w:t>The Evaluators highly recommend that further refinement of ind</w:t>
                      </w:r>
                      <w:r>
                        <w:t xml:space="preserve">icators for measuring progress </w:t>
                      </w:r>
                      <w:r w:rsidRPr="0059267E">
                        <w:t>towards CDP 2012-16 Outcome 3.1 is required. Changes in syste</w:t>
                      </w:r>
                      <w:r>
                        <w:t xml:space="preserve">m or community resilience with </w:t>
                      </w:r>
                      <w:r w:rsidRPr="0059267E">
                        <w:t>respect to ris</w:t>
                      </w:r>
                      <w:r>
                        <w:t>k</w:t>
                      </w:r>
                      <w:r w:rsidRPr="0059267E">
                        <w:t xml:space="preserve"> adaptation should focus not only on recovering pot</w:t>
                      </w:r>
                      <w:r>
                        <w:t xml:space="preserve">ential loss from disasters but </w:t>
                      </w:r>
                      <w:r w:rsidRPr="0059267E">
                        <w:t>also the addition of inherent capacity to withstand stress, sho</w:t>
                      </w:r>
                      <w:r>
                        <w:t xml:space="preserve">cks, and disaster impacts. The </w:t>
                      </w:r>
                      <w:r w:rsidRPr="0059267E">
                        <w:t>evaluators’ specific recommendations are as follows:</w:t>
                      </w:r>
                    </w:p>
                    <w:p w:rsidR="00EA3B8B" w:rsidRPr="0059267E" w:rsidRDefault="00EA3B8B" w:rsidP="0061232B">
                      <w:pPr>
                        <w:spacing w:after="0" w:line="240" w:lineRule="auto"/>
                        <w:jc w:val="both"/>
                      </w:pPr>
                    </w:p>
                    <w:p w:rsidR="00EA3B8B" w:rsidRDefault="00EA3B8B" w:rsidP="0061232B">
                      <w:pPr>
                        <w:spacing w:after="0" w:line="240" w:lineRule="auto"/>
                        <w:jc w:val="both"/>
                      </w:pPr>
                      <w:r w:rsidRPr="0059267E">
                        <w:tab/>
                      </w:r>
                      <w:r w:rsidRPr="00FA3D59">
                        <w:rPr>
                          <w:b/>
                          <w:bCs/>
                          <w:i/>
                          <w:iCs/>
                        </w:rPr>
                        <w:t>Outcome 3.1:</w:t>
                      </w:r>
                      <w:r w:rsidRPr="0059267E">
                        <w:t xml:space="preserve"> “…by 2016, populations vulnerable to climate change and natural </w:t>
                      </w:r>
                      <w:r w:rsidRPr="0059267E">
                        <w:tab/>
                        <w:t xml:space="preserve">disasters have </w:t>
                      </w:r>
                      <w:r w:rsidRPr="0059267E">
                        <w:tab/>
                        <w:t>become more resilient to adapt to ris</w:t>
                      </w:r>
                      <w:r>
                        <w:t>k</w:t>
                      </w:r>
                      <w:r w:rsidRPr="0059267E">
                        <w:t>s.”</w:t>
                      </w:r>
                    </w:p>
                    <w:p w:rsidR="00EA3B8B" w:rsidRPr="0059267E" w:rsidRDefault="00EA3B8B" w:rsidP="0061232B">
                      <w:pPr>
                        <w:spacing w:after="0" w:line="240" w:lineRule="auto"/>
                        <w:jc w:val="both"/>
                      </w:pPr>
                    </w:p>
                    <w:p w:rsidR="00EA3B8B" w:rsidRPr="0059267E" w:rsidRDefault="00EA3B8B" w:rsidP="0061232B">
                      <w:pPr>
                        <w:spacing w:after="0" w:line="240" w:lineRule="auto"/>
                        <w:jc w:val="both"/>
                      </w:pPr>
                      <w:r w:rsidRPr="0059267E">
                        <w:tab/>
                      </w:r>
                      <w:r w:rsidRPr="00FA3D59">
                        <w:rPr>
                          <w:b/>
                          <w:bCs/>
                          <w:i/>
                          <w:iCs/>
                        </w:rPr>
                        <w:t>Proposed indicator for refinement</w:t>
                      </w:r>
                      <w:r w:rsidRPr="0059267E">
                        <w:rPr>
                          <w:bCs/>
                          <w:i/>
                          <w:iCs/>
                        </w:rPr>
                        <w:t>:</w:t>
                      </w:r>
                      <w:r>
                        <w:rPr>
                          <w:bCs/>
                          <w:i/>
                          <w:iCs/>
                        </w:rPr>
                        <w:t xml:space="preserve"> </w:t>
                      </w:r>
                      <w:r w:rsidRPr="0059267E">
                        <w:t>Changes in the percenta</w:t>
                      </w:r>
                      <w:r>
                        <w:t xml:space="preserve">ge of total funds delivered by </w:t>
                      </w:r>
                      <w:r w:rsidRPr="0059267E">
                        <w:t>national budgets over 5 years to climate and disaster ris</w:t>
                      </w:r>
                      <w:r>
                        <w:t>k</w:t>
                      </w:r>
                      <w:r w:rsidRPr="0059267E">
                        <w:t xml:space="preserve"> r</w:t>
                      </w:r>
                      <w:r>
                        <w:t xml:space="preserve">eduction and their effect upon </w:t>
                      </w:r>
                      <w:r w:rsidRPr="0059267E">
                        <w:t>economic losses and fatalities. This indicator should be compl</w:t>
                      </w:r>
                      <w:r>
                        <w:t xml:space="preserve">emented by counting numbers of </w:t>
                      </w:r>
                      <w:r w:rsidRPr="0059267E">
                        <w:t>union-institutionalized disaster and climate ris</w:t>
                      </w:r>
                      <w:r>
                        <w:t>k</w:t>
                      </w:r>
                      <w:r w:rsidRPr="0059267E">
                        <w:t xml:space="preserve"> mana</w:t>
                      </w:r>
                      <w:r>
                        <w:t xml:space="preserve">gement plans supported by UNDP </w:t>
                      </w:r>
                      <w:r w:rsidRPr="0059267E">
                        <w:t>interventions.</w:t>
                      </w:r>
                    </w:p>
                    <w:p w:rsidR="00EA3B8B" w:rsidRPr="0059267E" w:rsidRDefault="00EA3B8B" w:rsidP="0061232B">
                      <w:pPr>
                        <w:spacing w:after="0" w:line="240" w:lineRule="auto"/>
                        <w:jc w:val="both"/>
                      </w:pPr>
                    </w:p>
                    <w:p w:rsidR="00EA3B8B" w:rsidRDefault="00EA3B8B" w:rsidP="0061232B">
                      <w:pPr>
                        <w:spacing w:after="0" w:line="240" w:lineRule="auto"/>
                        <w:jc w:val="both"/>
                      </w:pPr>
                      <w:r w:rsidRPr="0059267E">
                        <w:tab/>
                      </w:r>
                      <w:r w:rsidRPr="00FA3D59">
                        <w:rPr>
                          <w:b/>
                          <w:bCs/>
                          <w:i/>
                          <w:iCs/>
                        </w:rPr>
                        <w:t>Outcome 3.2(1):</w:t>
                      </w:r>
                      <w:r w:rsidRPr="0059267E">
                        <w:t xml:space="preserve"> “…by 2016, vulnerable populations benefi</w:t>
                      </w:r>
                      <w:r>
                        <w:t xml:space="preserve">t from better natural resource </w:t>
                      </w:r>
                      <w:r w:rsidRPr="0059267E">
                        <w:t>management.”</w:t>
                      </w:r>
                    </w:p>
                    <w:p w:rsidR="00EA3B8B" w:rsidRPr="0059267E" w:rsidRDefault="00EA3B8B" w:rsidP="0061232B">
                      <w:pPr>
                        <w:spacing w:after="0" w:line="240" w:lineRule="auto"/>
                        <w:jc w:val="both"/>
                      </w:pPr>
                    </w:p>
                    <w:p w:rsidR="00EA3B8B" w:rsidRPr="0059267E" w:rsidRDefault="00EA3B8B" w:rsidP="0061232B">
                      <w:pPr>
                        <w:spacing w:after="0" w:line="240" w:lineRule="auto"/>
                        <w:jc w:val="both"/>
                      </w:pPr>
                      <w:r w:rsidRPr="0059267E">
                        <w:tab/>
                      </w:r>
                      <w:r w:rsidRPr="00FA3D59">
                        <w:rPr>
                          <w:b/>
                          <w:bCs/>
                          <w:i/>
                          <w:iCs/>
                        </w:rPr>
                        <w:t>Proposed indicator for refinement</w:t>
                      </w:r>
                      <w:r w:rsidRPr="0059267E">
                        <w:rPr>
                          <w:bCs/>
                          <w:i/>
                          <w:iCs/>
                        </w:rPr>
                        <w:t>:</w:t>
                      </w:r>
                      <w:r w:rsidRPr="0059267E">
                        <w:t xml:space="preserve"> Number of government</w:t>
                      </w:r>
                      <w:r>
                        <w:t xml:space="preserve"> policies, strategies or plans </w:t>
                      </w:r>
                      <w:r w:rsidRPr="0059267E">
                        <w:t>approved in support of sustainable management of nat</w:t>
                      </w:r>
                      <w:r>
                        <w:t xml:space="preserve">ural resources. This should be </w:t>
                      </w:r>
                      <w:r w:rsidRPr="0059267E">
                        <w:t>complemented by counting number of marginal addition of unions</w:t>
                      </w:r>
                      <w:r>
                        <w:t xml:space="preserve"> and additional beneficiaries/ </w:t>
                      </w:r>
                      <w:r w:rsidRPr="0059267E">
                        <w:t>population served by the UNDP interventions in the area of natural resource management.</w:t>
                      </w:r>
                    </w:p>
                    <w:p w:rsidR="00EA3B8B" w:rsidRPr="0059267E" w:rsidRDefault="00EA3B8B" w:rsidP="0061232B">
                      <w:pPr>
                        <w:spacing w:after="0" w:line="240" w:lineRule="auto"/>
                        <w:jc w:val="both"/>
                      </w:pPr>
                    </w:p>
                    <w:p w:rsidR="00EA3B8B" w:rsidRDefault="00EA3B8B" w:rsidP="0061232B">
                      <w:pPr>
                        <w:spacing w:after="0" w:line="240" w:lineRule="auto"/>
                        <w:jc w:val="both"/>
                      </w:pPr>
                      <w:r w:rsidRPr="0059267E">
                        <w:tab/>
                      </w:r>
                      <w:r w:rsidRPr="00FA3D59">
                        <w:rPr>
                          <w:b/>
                          <w:bCs/>
                          <w:i/>
                          <w:iCs/>
                        </w:rPr>
                        <w:t>Outcome 3.2(2):</w:t>
                      </w:r>
                      <w:r w:rsidRPr="0059267E">
                        <w:rPr>
                          <w:bCs/>
                          <w:i/>
                          <w:iCs/>
                        </w:rPr>
                        <w:t xml:space="preserve"> “…</w:t>
                      </w:r>
                      <w:r w:rsidRPr="0059267E">
                        <w:t>by 2016, vulnerable populations benefit fr</w:t>
                      </w:r>
                      <w:r>
                        <w:t xml:space="preserve">om better access to low-carbon </w:t>
                      </w:r>
                      <w:r w:rsidRPr="0059267E">
                        <w:t>energy.”</w:t>
                      </w:r>
                    </w:p>
                    <w:p w:rsidR="00EA3B8B" w:rsidRPr="0059267E" w:rsidRDefault="00EA3B8B" w:rsidP="0061232B">
                      <w:pPr>
                        <w:spacing w:after="0" w:line="240" w:lineRule="auto"/>
                        <w:jc w:val="both"/>
                      </w:pPr>
                    </w:p>
                    <w:p w:rsidR="00EA3B8B" w:rsidRPr="0059267E" w:rsidRDefault="00EA3B8B" w:rsidP="0061232B">
                      <w:pPr>
                        <w:spacing w:after="0" w:line="240" w:lineRule="auto"/>
                        <w:jc w:val="both"/>
                      </w:pPr>
                      <w:r w:rsidRPr="0059267E">
                        <w:tab/>
                      </w:r>
                      <w:r w:rsidRPr="00FA3D59">
                        <w:rPr>
                          <w:b/>
                          <w:bCs/>
                          <w:i/>
                          <w:iCs/>
                        </w:rPr>
                        <w:t>Proposed indicator for refinement</w:t>
                      </w:r>
                      <w:r w:rsidRPr="0059267E">
                        <w:rPr>
                          <w:bCs/>
                          <w:i/>
                          <w:iCs/>
                        </w:rPr>
                        <w:t xml:space="preserve">: </w:t>
                      </w:r>
                      <w:r w:rsidRPr="0059267E">
                        <w:t>electricity generated and delivered in numbe</w:t>
                      </w:r>
                      <w:r>
                        <w:t xml:space="preserve">rs of </w:t>
                      </w:r>
                      <w:r w:rsidRPr="0059267E">
                        <w:t>households (for energy savings: measurement of equivalents o</w:t>
                      </w:r>
                      <w:r>
                        <w:t xml:space="preserve">f household energy consumption </w:t>
                      </w:r>
                      <w:r w:rsidRPr="0059267E">
                        <w:t xml:space="preserve">e.g.100,000 for BRESL; for renewable energy: number of </w:t>
                      </w:r>
                      <w:r>
                        <w:t xml:space="preserve">households that have purchased </w:t>
                      </w:r>
                      <w:r w:rsidRPr="0059267E">
                        <w:t>renewable energy equipment).</w:t>
                      </w:r>
                    </w:p>
                    <w:p w:rsidR="00EA3B8B" w:rsidRPr="0059267E" w:rsidRDefault="00EA3B8B" w:rsidP="0061232B">
                      <w:pPr>
                        <w:jc w:val="both"/>
                      </w:pPr>
                    </w:p>
                  </w:txbxContent>
                </v:textbox>
              </v:shape>
            </w:pict>
          </mc:Fallback>
        </mc:AlternateContent>
      </w:r>
    </w:p>
    <w:p w:rsidR="0061232B" w:rsidRPr="00DA52ED" w:rsidRDefault="0061232B" w:rsidP="0061232B">
      <w:pPr>
        <w:rPr>
          <w:rFonts w:cs="Calibri"/>
        </w:rPr>
      </w:pPr>
    </w:p>
    <w:p w:rsidR="0061232B" w:rsidRPr="00DA52ED" w:rsidRDefault="0061232B" w:rsidP="0061232B">
      <w:pPr>
        <w:rPr>
          <w:rFonts w:cs="Calibri"/>
        </w:rPr>
      </w:pPr>
    </w:p>
    <w:p w:rsidR="0061232B" w:rsidRPr="00DA52ED" w:rsidRDefault="0061232B" w:rsidP="0061232B">
      <w:pPr>
        <w:rPr>
          <w:rFonts w:cs="Calibri"/>
        </w:rPr>
      </w:pPr>
    </w:p>
    <w:p w:rsidR="0061232B" w:rsidRPr="00DA52ED" w:rsidRDefault="0061232B" w:rsidP="0061232B">
      <w:pPr>
        <w:rPr>
          <w:rFonts w:cs="Calibri"/>
        </w:rPr>
      </w:pPr>
    </w:p>
    <w:p w:rsidR="0061232B" w:rsidRPr="00DA52ED" w:rsidRDefault="0061232B" w:rsidP="0061232B">
      <w:pPr>
        <w:rPr>
          <w:rFonts w:cs="Calibri"/>
        </w:rPr>
      </w:pPr>
    </w:p>
    <w:p w:rsidR="0061232B" w:rsidRPr="00DA52ED" w:rsidRDefault="0061232B" w:rsidP="0061232B">
      <w:pPr>
        <w:rPr>
          <w:rFonts w:cs="Calibri"/>
        </w:rPr>
      </w:pPr>
    </w:p>
    <w:p w:rsidR="0061232B" w:rsidRPr="00DA52ED" w:rsidRDefault="0061232B" w:rsidP="0061232B">
      <w:pPr>
        <w:rPr>
          <w:rFonts w:cs="Calibri"/>
        </w:rPr>
      </w:pPr>
    </w:p>
    <w:p w:rsidR="0061232B" w:rsidRPr="00DA52ED" w:rsidRDefault="0061232B" w:rsidP="0061232B">
      <w:pPr>
        <w:rPr>
          <w:rFonts w:cs="Calibri"/>
        </w:rPr>
      </w:pPr>
    </w:p>
    <w:p w:rsidR="0061232B" w:rsidRPr="00DA52ED" w:rsidRDefault="0061232B" w:rsidP="0061232B">
      <w:pPr>
        <w:rPr>
          <w:rFonts w:cs="Calibri"/>
        </w:rPr>
      </w:pPr>
    </w:p>
    <w:p w:rsidR="0061232B" w:rsidRPr="00DA52ED" w:rsidRDefault="0061232B" w:rsidP="0061232B">
      <w:pPr>
        <w:rPr>
          <w:rFonts w:cs="Calibri"/>
        </w:rPr>
      </w:pPr>
    </w:p>
    <w:p w:rsidR="0061232B" w:rsidRPr="00DA52ED" w:rsidRDefault="0061232B" w:rsidP="0061232B">
      <w:pPr>
        <w:rPr>
          <w:rFonts w:cs="Calibri"/>
        </w:rPr>
      </w:pPr>
    </w:p>
    <w:p w:rsidR="0061232B" w:rsidRPr="00DA52ED" w:rsidRDefault="0061232B" w:rsidP="0061232B">
      <w:pPr>
        <w:rPr>
          <w:rFonts w:cs="Calibri"/>
        </w:rPr>
      </w:pPr>
    </w:p>
    <w:p w:rsidR="0061232B" w:rsidRPr="00DA52ED" w:rsidRDefault="0061232B" w:rsidP="0061232B">
      <w:pPr>
        <w:rPr>
          <w:rFonts w:cs="Calibri"/>
        </w:rPr>
      </w:pPr>
    </w:p>
    <w:p w:rsidR="0061232B" w:rsidRPr="00DA52ED" w:rsidRDefault="0061232B" w:rsidP="0061232B">
      <w:pPr>
        <w:rPr>
          <w:rFonts w:cs="Calibri"/>
        </w:rPr>
      </w:pPr>
    </w:p>
    <w:p w:rsidR="0061232B" w:rsidRPr="00DA52ED" w:rsidRDefault="0061232B" w:rsidP="0061232B">
      <w:pPr>
        <w:rPr>
          <w:rFonts w:cs="Calibri"/>
        </w:rPr>
      </w:pPr>
    </w:p>
    <w:p w:rsidR="0061232B" w:rsidRPr="00DA52ED" w:rsidRDefault="0061232B" w:rsidP="0061232B">
      <w:pPr>
        <w:rPr>
          <w:rFonts w:cs="Calibri"/>
        </w:rPr>
      </w:pPr>
    </w:p>
    <w:p w:rsidR="0061232B" w:rsidRPr="00DA52ED" w:rsidRDefault="0061232B" w:rsidP="0061232B">
      <w:pPr>
        <w:rPr>
          <w:rFonts w:cs="Calibri"/>
        </w:rPr>
      </w:pPr>
    </w:p>
    <w:p w:rsidR="0061232B" w:rsidRPr="00DA52ED" w:rsidRDefault="0061232B" w:rsidP="0061232B">
      <w:pPr>
        <w:rPr>
          <w:rFonts w:cs="Calibri"/>
        </w:rPr>
      </w:pPr>
    </w:p>
    <w:p w:rsidR="0061232B" w:rsidRDefault="0061232B" w:rsidP="0061232B">
      <w:pPr>
        <w:rPr>
          <w:rFonts w:cs="Calibri"/>
        </w:rPr>
      </w:pPr>
    </w:p>
    <w:p w:rsidR="0061232B" w:rsidRDefault="0061232B" w:rsidP="0061232B">
      <w:pPr>
        <w:tabs>
          <w:tab w:val="left" w:pos="3675"/>
        </w:tabs>
        <w:rPr>
          <w:rFonts w:cs="Calibri"/>
        </w:rPr>
      </w:pPr>
      <w:r>
        <w:rPr>
          <w:rFonts w:cs="Calibri"/>
        </w:rPr>
        <w:tab/>
      </w:r>
    </w:p>
    <w:p w:rsidR="0061232B" w:rsidRDefault="0061232B" w:rsidP="0061232B">
      <w:pPr>
        <w:tabs>
          <w:tab w:val="left" w:pos="3675"/>
        </w:tabs>
        <w:rPr>
          <w:rFonts w:cs="Calibri"/>
        </w:rPr>
      </w:pPr>
    </w:p>
    <w:p w:rsidR="0061232B" w:rsidRDefault="0061232B" w:rsidP="0061232B">
      <w:pPr>
        <w:tabs>
          <w:tab w:val="left" w:pos="3675"/>
        </w:tabs>
        <w:rPr>
          <w:rFonts w:cs="Calibri"/>
        </w:rPr>
      </w:pPr>
    </w:p>
    <w:p w:rsidR="0061232B" w:rsidRDefault="0061232B" w:rsidP="0061232B">
      <w:pPr>
        <w:tabs>
          <w:tab w:val="left" w:pos="3675"/>
        </w:tabs>
        <w:rPr>
          <w:rFonts w:cs="Calibri"/>
        </w:rPr>
      </w:pPr>
    </w:p>
    <w:p w:rsidR="0061232B" w:rsidRDefault="0061232B" w:rsidP="0061232B">
      <w:pPr>
        <w:tabs>
          <w:tab w:val="left" w:pos="3675"/>
        </w:tabs>
        <w:rPr>
          <w:rFonts w:cs="Calibri"/>
        </w:rPr>
      </w:pPr>
    </w:p>
    <w:p w:rsidR="0061232B" w:rsidRPr="00FB23FE" w:rsidRDefault="0061232B" w:rsidP="0061232B">
      <w:pPr>
        <w:spacing w:after="0" w:line="240" w:lineRule="auto"/>
        <w:jc w:val="center"/>
        <w:rPr>
          <w:rFonts w:cs="Calibri"/>
          <w:b/>
        </w:rPr>
      </w:pPr>
      <w:r>
        <w:rPr>
          <w:rFonts w:cs="Calibri"/>
          <w:b/>
          <w:noProof/>
          <w:lang w:val="en-US" w:eastAsia="en-US"/>
        </w:rPr>
        <w:lastRenderedPageBreak/>
        <w:drawing>
          <wp:anchor distT="0" distB="0" distL="114300" distR="114300" simplePos="0" relativeHeight="251671552" behindDoc="1" locked="0" layoutInCell="1" allowOverlap="1">
            <wp:simplePos x="0" y="0"/>
            <wp:positionH relativeFrom="column">
              <wp:posOffset>5343525</wp:posOffset>
            </wp:positionH>
            <wp:positionV relativeFrom="paragraph">
              <wp:posOffset>-381000</wp:posOffset>
            </wp:positionV>
            <wp:extent cx="514350" cy="1019175"/>
            <wp:effectExtent l="19050" t="0" r="0" b="0"/>
            <wp:wrapTight wrapText="bothSides">
              <wp:wrapPolygon edited="0">
                <wp:start x="-800" y="0"/>
                <wp:lineTo x="-800" y="21398"/>
                <wp:lineTo x="21600" y="21398"/>
                <wp:lineTo x="21600" y="0"/>
                <wp:lineTo x="-800" y="0"/>
              </wp:wrapPolygon>
            </wp:wrapTight>
            <wp:docPr id="7"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srcRect/>
                    <a:stretch>
                      <a:fillRect/>
                    </a:stretch>
                  </pic:blipFill>
                  <pic:spPr bwMode="auto">
                    <a:xfrm>
                      <a:off x="0" y="0"/>
                      <a:ext cx="514350" cy="1019175"/>
                    </a:xfrm>
                    <a:prstGeom prst="rect">
                      <a:avLst/>
                    </a:prstGeom>
                    <a:noFill/>
                    <a:ln w="9525">
                      <a:noFill/>
                      <a:miter lim="800000"/>
                      <a:headEnd/>
                      <a:tailEnd/>
                    </a:ln>
                  </pic:spPr>
                </pic:pic>
              </a:graphicData>
            </a:graphic>
          </wp:anchor>
        </w:drawing>
      </w:r>
      <w:r>
        <w:rPr>
          <w:rFonts w:cs="Calibri"/>
          <w:b/>
        </w:rPr>
        <w:t xml:space="preserve">Annex XVII: </w:t>
      </w:r>
      <w:r w:rsidRPr="00FB23FE">
        <w:rPr>
          <w:rFonts w:cs="Calibri"/>
          <w:b/>
        </w:rPr>
        <w:t>Terms of Reference (TOR)</w:t>
      </w:r>
    </w:p>
    <w:p w:rsidR="0061232B" w:rsidRDefault="0061232B" w:rsidP="0061232B">
      <w:pPr>
        <w:spacing w:after="0" w:line="240" w:lineRule="auto"/>
        <w:jc w:val="center"/>
        <w:rPr>
          <w:rFonts w:cs="Calibri"/>
          <w:b/>
        </w:rPr>
      </w:pPr>
    </w:p>
    <w:p w:rsidR="0061232B" w:rsidRDefault="0061232B" w:rsidP="0061232B">
      <w:pPr>
        <w:spacing w:after="0" w:line="240" w:lineRule="auto"/>
        <w:jc w:val="center"/>
        <w:rPr>
          <w:rFonts w:cs="Calibri"/>
          <w:b/>
        </w:rPr>
      </w:pPr>
    </w:p>
    <w:p w:rsidR="0061232B" w:rsidRPr="00FB23FE" w:rsidRDefault="0061232B" w:rsidP="0061232B">
      <w:pPr>
        <w:spacing w:after="0" w:line="240" w:lineRule="auto"/>
        <w:rPr>
          <w:rFonts w:cs="Calibri"/>
          <w:b/>
        </w:rPr>
      </w:pPr>
    </w:p>
    <w:p w:rsidR="0061232B" w:rsidRPr="00FB23FE" w:rsidRDefault="0061232B" w:rsidP="0061232B">
      <w:pPr>
        <w:spacing w:after="0" w:line="240" w:lineRule="auto"/>
        <w:rPr>
          <w:rFonts w:cs="Calibri"/>
          <w:b/>
        </w:rPr>
      </w:pPr>
    </w:p>
    <w:p w:rsidR="0061232B" w:rsidRPr="00FB23FE" w:rsidRDefault="0061232B" w:rsidP="0061232B">
      <w:pPr>
        <w:spacing w:after="0" w:line="240" w:lineRule="auto"/>
        <w:rPr>
          <w:rFonts w:cs="Calibri"/>
        </w:rPr>
      </w:pPr>
      <w:r w:rsidRPr="00FB23FE">
        <w:rPr>
          <w:rFonts w:cs="Calibri"/>
          <w:b/>
        </w:rPr>
        <w:t>Practice Area:</w:t>
      </w:r>
      <w:r w:rsidRPr="00FB23FE">
        <w:rPr>
          <w:rFonts w:cs="Calibri"/>
        </w:rPr>
        <w:t xml:space="preserve"> Environment and Energy </w:t>
      </w:r>
    </w:p>
    <w:p w:rsidR="0061232B" w:rsidRPr="00FB23FE" w:rsidRDefault="0061232B" w:rsidP="0061232B">
      <w:pPr>
        <w:spacing w:after="0" w:line="240" w:lineRule="auto"/>
        <w:rPr>
          <w:rFonts w:cs="Calibri"/>
        </w:rPr>
      </w:pPr>
      <w:r w:rsidRPr="00FB23FE">
        <w:rPr>
          <w:rFonts w:cs="Calibri"/>
          <w:b/>
        </w:rPr>
        <w:t>Additional Practice Area:</w:t>
      </w:r>
      <w:r w:rsidRPr="00FB23FE">
        <w:rPr>
          <w:rFonts w:cs="Calibri"/>
        </w:rPr>
        <w:t xml:space="preserve"> Crisis Prevention and Recovery</w:t>
      </w:r>
    </w:p>
    <w:p w:rsidR="0061232B" w:rsidRPr="00FB23FE" w:rsidRDefault="0061232B" w:rsidP="0061232B">
      <w:pPr>
        <w:spacing w:after="0" w:line="240" w:lineRule="auto"/>
        <w:rPr>
          <w:rFonts w:cs="Calibri"/>
        </w:rPr>
      </w:pPr>
      <w:r w:rsidRPr="00FB23FE">
        <w:rPr>
          <w:rFonts w:cs="Calibri"/>
          <w:b/>
        </w:rPr>
        <w:t xml:space="preserve">Unit/Cluster/Project: </w:t>
      </w:r>
      <w:r w:rsidRPr="00FB23FE">
        <w:rPr>
          <w:rFonts w:cs="Calibri"/>
        </w:rPr>
        <w:t>CCED Cluster and RRMC</w:t>
      </w:r>
    </w:p>
    <w:p w:rsidR="0061232B" w:rsidRPr="00FB23FE" w:rsidRDefault="0061232B" w:rsidP="0061232B">
      <w:pPr>
        <w:spacing w:after="0" w:line="240" w:lineRule="auto"/>
        <w:rPr>
          <w:rFonts w:cs="Calibri"/>
          <w:b/>
        </w:rPr>
      </w:pPr>
    </w:p>
    <w:p w:rsidR="0061232B" w:rsidRPr="00FB23FE" w:rsidRDefault="0061232B" w:rsidP="0061232B">
      <w:pPr>
        <w:spacing w:after="0" w:line="240" w:lineRule="auto"/>
        <w:rPr>
          <w:rFonts w:cs="Calibri"/>
        </w:rPr>
      </w:pPr>
      <w:r w:rsidRPr="00FB23FE">
        <w:rPr>
          <w:rFonts w:cs="Calibri"/>
          <w:b/>
        </w:rPr>
        <w:t>Bac</w:t>
      </w:r>
      <w:r>
        <w:rPr>
          <w:rFonts w:cs="Calibri"/>
          <w:b/>
        </w:rPr>
        <w:t>k</w:t>
      </w:r>
      <w:r w:rsidRPr="00FB23FE">
        <w:rPr>
          <w:rFonts w:cs="Calibri"/>
          <w:b/>
        </w:rPr>
        <w:t>ground:</w:t>
      </w:r>
    </w:p>
    <w:p w:rsidR="0061232B" w:rsidRPr="00FB23FE" w:rsidRDefault="0061232B" w:rsidP="0061232B">
      <w:pPr>
        <w:spacing w:after="0" w:line="240" w:lineRule="auto"/>
        <w:rPr>
          <w:rFonts w:cs="Calibri"/>
        </w:rPr>
      </w:pPr>
    </w:p>
    <w:p w:rsidR="0061232B" w:rsidRPr="00FB23FE" w:rsidRDefault="0061232B" w:rsidP="0061232B">
      <w:pPr>
        <w:tabs>
          <w:tab w:val="left" w:pos="360"/>
        </w:tabs>
        <w:spacing w:after="0" w:line="240" w:lineRule="auto"/>
        <w:jc w:val="both"/>
        <w:rPr>
          <w:rFonts w:cs="Calibri"/>
        </w:rPr>
      </w:pPr>
      <w:r w:rsidRPr="00FB23FE">
        <w:rPr>
          <w:rFonts w:cs="Calibri"/>
          <w:spacing w:val="-1"/>
          <w:lang w:val="en-GB"/>
        </w:rPr>
        <w:t xml:space="preserve">UNDP Bangladesh </w:t>
      </w:r>
      <w:r w:rsidRPr="00FB23FE">
        <w:rPr>
          <w:rFonts w:cs="Calibri"/>
          <w:b/>
          <w:spacing w:val="-1"/>
          <w:lang w:val="en-GB"/>
        </w:rPr>
        <w:t>Country Programme Document</w:t>
      </w:r>
      <w:r w:rsidRPr="00FB23FE">
        <w:rPr>
          <w:rFonts w:cs="Calibri"/>
          <w:spacing w:val="-1"/>
          <w:lang w:val="en-GB"/>
        </w:rPr>
        <w:t xml:space="preserve"> (CPD) 2012-2016</w:t>
      </w:r>
      <w:r w:rsidRPr="00FB23FE">
        <w:rPr>
          <w:rStyle w:val="FootnoteReference"/>
          <w:rFonts w:cs="Calibri"/>
          <w:spacing w:val="-1"/>
          <w:lang w:val="en-GB"/>
        </w:rPr>
        <w:footnoteReference w:id="102"/>
      </w:r>
      <w:r w:rsidRPr="00FB23FE">
        <w:rPr>
          <w:rFonts w:cs="Calibri"/>
          <w:spacing w:val="-1"/>
          <w:lang w:val="en-GB"/>
        </w:rPr>
        <w:t xml:space="preserve"> responds to the Government’s development priorities and vision of attaining middle income country status by 2021, as stated in the Outline Perspective Pl</w:t>
      </w:r>
      <w:r w:rsidRPr="00FB23FE">
        <w:rPr>
          <w:rFonts w:cs="Calibri"/>
        </w:rPr>
        <w:t>an 2010-2021 and ongoing Sixth Five Year Plan (2011-2015). The present CPD focuses on three areas: (a) democratic governance and human rights; (b) pro-poor growth with equity; and (c) climate change, environment, disaster ris</w:t>
      </w:r>
      <w:r>
        <w:rPr>
          <w:rFonts w:cs="Calibri"/>
        </w:rPr>
        <w:t>k</w:t>
      </w:r>
      <w:r w:rsidRPr="00FB23FE">
        <w:rPr>
          <w:rFonts w:cs="Calibri"/>
        </w:rPr>
        <w:t xml:space="preserve"> reduction and response. </w:t>
      </w:r>
    </w:p>
    <w:p w:rsidR="0061232B" w:rsidRPr="00FB23FE" w:rsidRDefault="0061232B" w:rsidP="0061232B">
      <w:pPr>
        <w:tabs>
          <w:tab w:val="left" w:pos="360"/>
        </w:tabs>
        <w:spacing w:after="0" w:line="240" w:lineRule="auto"/>
        <w:jc w:val="both"/>
        <w:rPr>
          <w:rFonts w:cs="Calibri"/>
        </w:rPr>
      </w:pPr>
    </w:p>
    <w:p w:rsidR="0061232B" w:rsidRPr="00FB23FE" w:rsidRDefault="0061232B" w:rsidP="0061232B">
      <w:pPr>
        <w:tabs>
          <w:tab w:val="left" w:pos="360"/>
        </w:tabs>
        <w:spacing w:after="0" w:line="240" w:lineRule="auto"/>
        <w:jc w:val="both"/>
        <w:rPr>
          <w:rFonts w:cs="Calibri"/>
        </w:rPr>
      </w:pPr>
      <w:r w:rsidRPr="00FB23FE">
        <w:rPr>
          <w:rFonts w:cs="Calibri"/>
        </w:rPr>
        <w:t xml:space="preserve">In line with the Country Programme Evaluation Plan 2012-2016 agreed with the Economic Relation Division of the Ministry of finance, a mid-term outcome evaluation is carried out to assess UNDP’s support towards achieving </w:t>
      </w:r>
      <w:r w:rsidRPr="00FB23FE">
        <w:rPr>
          <w:rFonts w:cs="Calibri"/>
          <w:b/>
        </w:rPr>
        <w:t xml:space="preserve">outcomes 3.1 </w:t>
      </w:r>
      <w:r w:rsidRPr="00FB23FE">
        <w:rPr>
          <w:rFonts w:cs="Calibri"/>
        </w:rPr>
        <w:t>and</w:t>
      </w:r>
      <w:r w:rsidRPr="00FB23FE">
        <w:rPr>
          <w:rFonts w:cs="Calibri"/>
          <w:b/>
        </w:rPr>
        <w:t xml:space="preserve"> 3.2</w:t>
      </w:r>
      <w:r w:rsidRPr="00FB23FE">
        <w:rPr>
          <w:rFonts w:cs="Calibri"/>
        </w:rPr>
        <w:t>:</w:t>
      </w:r>
    </w:p>
    <w:p w:rsidR="0061232B" w:rsidRPr="00FB23FE" w:rsidRDefault="0061232B" w:rsidP="0061232B">
      <w:pPr>
        <w:tabs>
          <w:tab w:val="left" w:pos="360"/>
        </w:tabs>
        <w:spacing w:after="0" w:line="240" w:lineRule="auto"/>
        <w:jc w:val="both"/>
        <w:rPr>
          <w:rFonts w:cs="Calibri"/>
        </w:rPr>
      </w:pPr>
    </w:p>
    <w:p w:rsidR="0061232B" w:rsidRPr="00FB23FE" w:rsidRDefault="0061232B" w:rsidP="0061232B">
      <w:pPr>
        <w:pStyle w:val="ListParagraph"/>
        <w:numPr>
          <w:ilvl w:val="0"/>
          <w:numId w:val="1"/>
        </w:numPr>
        <w:tabs>
          <w:tab w:val="left" w:pos="360"/>
        </w:tabs>
        <w:spacing w:after="0" w:line="240" w:lineRule="auto"/>
        <w:jc w:val="both"/>
        <w:rPr>
          <w:rFonts w:cs="Calibri"/>
        </w:rPr>
      </w:pPr>
      <w:r w:rsidRPr="00FB23FE">
        <w:rPr>
          <w:rFonts w:cs="Calibri"/>
          <w:b/>
          <w:spacing w:val="-1"/>
        </w:rPr>
        <w:t>By 2016, populations vulnerable to climate change and natural disaster have become more resilient to adapt to ris</w:t>
      </w:r>
      <w:r>
        <w:rPr>
          <w:rFonts w:cs="Calibri"/>
          <w:b/>
          <w:spacing w:val="-1"/>
        </w:rPr>
        <w:t>k</w:t>
      </w:r>
      <w:r w:rsidRPr="00FB23FE">
        <w:rPr>
          <w:rFonts w:cs="Calibri"/>
          <w:b/>
          <w:spacing w:val="-1"/>
        </w:rPr>
        <w:t xml:space="preserve">s </w:t>
      </w:r>
      <w:r w:rsidRPr="00FB23FE">
        <w:rPr>
          <w:rFonts w:cs="Calibri"/>
          <w:i/>
          <w:spacing w:val="-1"/>
        </w:rPr>
        <w:t>(Country Programme Outcome 3.1/UNDAF Outcome 5.1)</w:t>
      </w:r>
    </w:p>
    <w:p w:rsidR="0061232B" w:rsidRPr="00FB23FE" w:rsidRDefault="0061232B" w:rsidP="0061232B">
      <w:pPr>
        <w:tabs>
          <w:tab w:val="num" w:pos="360"/>
        </w:tabs>
        <w:autoSpaceDE w:val="0"/>
        <w:autoSpaceDN w:val="0"/>
        <w:adjustRightInd w:val="0"/>
        <w:spacing w:after="0" w:line="240" w:lineRule="auto"/>
        <w:jc w:val="both"/>
        <w:rPr>
          <w:rFonts w:cs="Calibri"/>
          <w:b/>
        </w:rPr>
      </w:pPr>
    </w:p>
    <w:p w:rsidR="0061232B" w:rsidRPr="00FB23FE" w:rsidRDefault="0061232B" w:rsidP="0061232B">
      <w:pPr>
        <w:pStyle w:val="ListParagraph"/>
        <w:numPr>
          <w:ilvl w:val="0"/>
          <w:numId w:val="1"/>
        </w:numPr>
        <w:tabs>
          <w:tab w:val="num" w:pos="360"/>
        </w:tabs>
        <w:autoSpaceDE w:val="0"/>
        <w:autoSpaceDN w:val="0"/>
        <w:adjustRightInd w:val="0"/>
        <w:spacing w:after="0" w:line="240" w:lineRule="auto"/>
        <w:jc w:val="both"/>
        <w:rPr>
          <w:rFonts w:cs="Calibri"/>
          <w:i/>
        </w:rPr>
      </w:pPr>
      <w:r w:rsidRPr="00FB23FE">
        <w:rPr>
          <w:rFonts w:cs="Calibri"/>
          <w:b/>
          <w:spacing w:val="-1"/>
        </w:rPr>
        <w:t>By</w:t>
      </w:r>
      <w:r w:rsidRPr="00FB23FE">
        <w:rPr>
          <w:rFonts w:cs="Calibri"/>
          <w:b/>
          <w:spacing w:val="1"/>
        </w:rPr>
        <w:t>2016,</w:t>
      </w:r>
      <w:r w:rsidRPr="00FB23FE">
        <w:rPr>
          <w:rFonts w:cs="Calibri"/>
          <w:b/>
        </w:rPr>
        <w:t>vulnerable</w:t>
      </w:r>
      <w:r w:rsidRPr="00FB23FE">
        <w:rPr>
          <w:rFonts w:cs="Calibri"/>
          <w:b/>
          <w:spacing w:val="-1"/>
        </w:rPr>
        <w:t>populations</w:t>
      </w:r>
      <w:r w:rsidRPr="00FB23FE">
        <w:rPr>
          <w:rFonts w:cs="Calibri"/>
          <w:b/>
        </w:rPr>
        <w:t>benefitfrom</w:t>
      </w:r>
      <w:r w:rsidRPr="00FB23FE">
        <w:rPr>
          <w:rFonts w:cs="Calibri"/>
          <w:b/>
          <w:spacing w:val="-1"/>
        </w:rPr>
        <w:t>better</w:t>
      </w:r>
      <w:r w:rsidRPr="00FB23FE">
        <w:rPr>
          <w:rFonts w:cs="Calibri"/>
          <w:b/>
        </w:rPr>
        <w:t>naturalresource</w:t>
      </w:r>
      <w:r w:rsidRPr="00FB23FE">
        <w:rPr>
          <w:rFonts w:cs="Calibri"/>
          <w:b/>
          <w:spacing w:val="-1"/>
        </w:rPr>
        <w:t>management</w:t>
      </w:r>
      <w:r w:rsidRPr="00FB23FE">
        <w:rPr>
          <w:rFonts w:cs="Calibri"/>
          <w:b/>
          <w:spacing w:val="2"/>
        </w:rPr>
        <w:t>and</w:t>
      </w:r>
      <w:r w:rsidRPr="00FB23FE">
        <w:rPr>
          <w:rFonts w:cs="Calibri"/>
          <w:b/>
        </w:rPr>
        <w:t>access</w:t>
      </w:r>
      <w:r w:rsidRPr="00FB23FE">
        <w:rPr>
          <w:rFonts w:cs="Calibri"/>
          <w:b/>
          <w:spacing w:val="-1"/>
        </w:rPr>
        <w:t>to</w:t>
      </w:r>
      <w:r w:rsidRPr="00FB23FE">
        <w:rPr>
          <w:rFonts w:cs="Calibri"/>
          <w:b/>
          <w:spacing w:val="1"/>
        </w:rPr>
        <w:t>low</w:t>
      </w:r>
      <w:r w:rsidRPr="00FB23FE">
        <w:rPr>
          <w:rFonts w:cs="Calibri"/>
          <w:b/>
          <w:spacing w:val="-1"/>
        </w:rPr>
        <w:t>carbon</w:t>
      </w:r>
      <w:r w:rsidRPr="00FB23FE">
        <w:rPr>
          <w:rFonts w:cs="Calibri"/>
          <w:b/>
        </w:rPr>
        <w:t xml:space="preserve">energy </w:t>
      </w:r>
      <w:r w:rsidRPr="00FB23FE">
        <w:rPr>
          <w:rFonts w:cs="Calibri"/>
          <w:i/>
        </w:rPr>
        <w:t>(</w:t>
      </w:r>
      <w:r w:rsidRPr="00FB23FE">
        <w:rPr>
          <w:rFonts w:cs="Calibri"/>
          <w:i/>
          <w:spacing w:val="-1"/>
        </w:rPr>
        <w:t>Country</w:t>
      </w:r>
      <w:r w:rsidRPr="00FB23FE">
        <w:rPr>
          <w:rFonts w:cs="Calibri"/>
          <w:i/>
        </w:rPr>
        <w:t>Programme Outcome 3.2/UNDAFOutcome</w:t>
      </w:r>
      <w:r w:rsidRPr="00FB23FE">
        <w:rPr>
          <w:rFonts w:cs="Calibri"/>
          <w:i/>
          <w:spacing w:val="-6"/>
        </w:rPr>
        <w:t xml:space="preserve"> 5.2</w:t>
      </w:r>
      <w:r w:rsidRPr="00FB23FE">
        <w:rPr>
          <w:rFonts w:cs="Calibri"/>
          <w:i/>
        </w:rPr>
        <w:t>)</w:t>
      </w:r>
    </w:p>
    <w:p w:rsidR="0061232B" w:rsidRPr="00FB23FE" w:rsidRDefault="0061232B" w:rsidP="0061232B">
      <w:pPr>
        <w:tabs>
          <w:tab w:val="num" w:pos="360"/>
        </w:tabs>
        <w:autoSpaceDE w:val="0"/>
        <w:autoSpaceDN w:val="0"/>
        <w:adjustRightInd w:val="0"/>
        <w:spacing w:after="0" w:line="240" w:lineRule="auto"/>
        <w:jc w:val="both"/>
        <w:rPr>
          <w:rFonts w:cs="Calibri"/>
        </w:rPr>
      </w:pPr>
    </w:p>
    <w:p w:rsidR="0061232B" w:rsidRPr="00FB23FE" w:rsidRDefault="0061232B" w:rsidP="0061232B">
      <w:pPr>
        <w:tabs>
          <w:tab w:val="num" w:pos="360"/>
        </w:tabs>
        <w:autoSpaceDE w:val="0"/>
        <w:autoSpaceDN w:val="0"/>
        <w:adjustRightInd w:val="0"/>
        <w:spacing w:after="0" w:line="240" w:lineRule="auto"/>
        <w:jc w:val="both"/>
        <w:rPr>
          <w:rFonts w:cs="Calibri"/>
        </w:rPr>
      </w:pPr>
      <w:r w:rsidRPr="00FB23FE">
        <w:rPr>
          <w:rFonts w:cs="Calibri"/>
        </w:rPr>
        <w:t>To the present, Bangladesh remains off-trac</w:t>
      </w:r>
      <w:r>
        <w:rPr>
          <w:rFonts w:cs="Calibri"/>
        </w:rPr>
        <w:t>k</w:t>
      </w:r>
      <w:r w:rsidRPr="00FB23FE">
        <w:rPr>
          <w:rFonts w:cs="Calibri"/>
        </w:rPr>
        <w:t xml:space="preserve"> to meet MDG 7 (environment) with sub-par performance due to deforestation, growth of urban slums, biodiversity loss and pollution. About half of the population is dependent on a rapidly degrading natural resource base, including forests, for their livelihoods and only about 50 per cent of households have access to on-grid energy. Bangladesh’s latest MDG report noted several </w:t>
      </w:r>
      <w:r>
        <w:rPr>
          <w:rFonts w:cs="Calibri"/>
        </w:rPr>
        <w:t>k</w:t>
      </w:r>
      <w:r w:rsidRPr="00FB23FE">
        <w:rPr>
          <w:rFonts w:cs="Calibri"/>
        </w:rPr>
        <w:t>ey challenges, such as efficiently using forest resources, developing water-efficient agricultural practices and establishing proper policies and regulation framewor</w:t>
      </w:r>
      <w:r>
        <w:rPr>
          <w:rFonts w:cs="Calibri"/>
        </w:rPr>
        <w:t>k</w:t>
      </w:r>
      <w:r w:rsidRPr="00FB23FE">
        <w:rPr>
          <w:rFonts w:cs="Calibri"/>
        </w:rPr>
        <w:t>s. These environmental threats, compounded by Bangladesh’s population pressure and institutional capacity constraints, can undermine its development potential as well as reverse recent hard-earned gains.</w:t>
      </w:r>
    </w:p>
    <w:p w:rsidR="0061232B" w:rsidRPr="00FB23FE" w:rsidRDefault="0061232B" w:rsidP="0061232B">
      <w:pPr>
        <w:spacing w:after="0" w:line="240" w:lineRule="auto"/>
        <w:jc w:val="both"/>
        <w:rPr>
          <w:rFonts w:cs="Calibri"/>
        </w:rPr>
      </w:pPr>
    </w:p>
    <w:p w:rsidR="0061232B" w:rsidRPr="00FB23FE" w:rsidRDefault="0061232B" w:rsidP="0061232B">
      <w:pPr>
        <w:spacing w:after="0" w:line="240" w:lineRule="auto"/>
        <w:jc w:val="both"/>
        <w:rPr>
          <w:rFonts w:cs="Calibri"/>
        </w:rPr>
      </w:pPr>
      <w:r w:rsidRPr="00FB23FE">
        <w:rPr>
          <w:rFonts w:cs="Calibri"/>
        </w:rPr>
        <w:t>The geography and topography of Bangladesh ma</w:t>
      </w:r>
      <w:r>
        <w:rPr>
          <w:rFonts w:cs="Calibri"/>
        </w:rPr>
        <w:t>k</w:t>
      </w:r>
      <w:r w:rsidRPr="00FB23FE">
        <w:rPr>
          <w:rFonts w:cs="Calibri"/>
        </w:rPr>
        <w:t>e it one of the most vulnerable countries in the world to natural disasters, which have increased in frequency and severity as a result of the worsening impact of climate change. The poorest are the most severely affected as their adaptive capacity is relative lower. While better disaster preparedness strategies and practices have, over time, reduced the number of deaths, the loss of assets and livelihoods continues to increase (as much as 3 per cent of GDP), with women being most acutely affected. Climate change adaptation (CCA) and disaster ris</w:t>
      </w:r>
      <w:r>
        <w:rPr>
          <w:rFonts w:cs="Calibri"/>
        </w:rPr>
        <w:t>k</w:t>
      </w:r>
      <w:r w:rsidRPr="00FB23FE">
        <w:rPr>
          <w:rFonts w:cs="Calibri"/>
        </w:rPr>
        <w:t xml:space="preserve"> reduction (DRR) are thus critical areas of concern for Bangladesh. UNDP programmes, current and past, continues to establish strong building bloc</w:t>
      </w:r>
      <w:r>
        <w:rPr>
          <w:rFonts w:cs="Calibri"/>
        </w:rPr>
        <w:t>k</w:t>
      </w:r>
      <w:r w:rsidRPr="00FB23FE">
        <w:rPr>
          <w:rFonts w:cs="Calibri"/>
        </w:rPr>
        <w:t xml:space="preserve">s that would go to scale alongside wider adaptation and mitigation efforts in line with the Bangladesh Climate Change Strategy and Action Plan. Under the CPD Outcome 3.1 and </w:t>
      </w:r>
      <w:r w:rsidRPr="00FB23FE">
        <w:rPr>
          <w:rFonts w:cs="Calibri"/>
        </w:rPr>
        <w:lastRenderedPageBreak/>
        <w:t>3.2, UNDP is focusing on developing the capacity of the Government to mainstream the climate-environment-poverty nexus into policy and planning framewor</w:t>
      </w:r>
      <w:r>
        <w:rPr>
          <w:rFonts w:cs="Calibri"/>
        </w:rPr>
        <w:t>k</w:t>
      </w:r>
      <w:r w:rsidRPr="00FB23FE">
        <w:rPr>
          <w:rFonts w:cs="Calibri"/>
        </w:rPr>
        <w:t>s across ministries, while augmenting community-based ris</w:t>
      </w:r>
      <w:r>
        <w:rPr>
          <w:rFonts w:cs="Calibri"/>
        </w:rPr>
        <w:t>k</w:t>
      </w:r>
      <w:r w:rsidRPr="00FB23FE">
        <w:rPr>
          <w:rFonts w:cs="Calibri"/>
        </w:rPr>
        <w:t xml:space="preserve"> reduction and adaptation capacities. By 2013, Bangladesh has achieved notable developments in these outcome areas, including the development of an environment, climate and disaster vulnerability index, which has the capacity to measure the vulnerability and ability of people living in 19 coastal districts to cope with climate change and disaster. Also, Bangladesh has made major progress in promoting green development with policies that ta</w:t>
      </w:r>
      <w:r>
        <w:rPr>
          <w:rFonts w:cs="Calibri"/>
        </w:rPr>
        <w:t>k</w:t>
      </w:r>
      <w:r w:rsidRPr="00FB23FE">
        <w:rPr>
          <w:rFonts w:cs="Calibri"/>
        </w:rPr>
        <w:t>e into consideration the relationship between its national contexts and globally accepted framewor</w:t>
      </w:r>
      <w:r>
        <w:rPr>
          <w:rFonts w:cs="Calibri"/>
        </w:rPr>
        <w:t>k</w:t>
      </w:r>
      <w:r w:rsidRPr="00FB23FE">
        <w:rPr>
          <w:rFonts w:cs="Calibri"/>
        </w:rPr>
        <w:t>s and protocols. UNDP’s long-term advocacy and technical support to the Department of Environment, Ministry of Environment and Forest and Ministry of Industry were critical to achieving many policy successes.</w:t>
      </w:r>
    </w:p>
    <w:p w:rsidR="0061232B" w:rsidRPr="00FB23FE" w:rsidRDefault="0061232B" w:rsidP="0061232B">
      <w:pPr>
        <w:spacing w:after="0" w:line="240" w:lineRule="auto"/>
        <w:jc w:val="both"/>
        <w:rPr>
          <w:rFonts w:cs="Calibri"/>
        </w:rPr>
      </w:pPr>
    </w:p>
    <w:p w:rsidR="0061232B" w:rsidRPr="00FB23FE" w:rsidRDefault="0061232B" w:rsidP="0061232B">
      <w:pPr>
        <w:spacing w:after="0" w:line="240" w:lineRule="auto"/>
        <w:jc w:val="both"/>
        <w:rPr>
          <w:rFonts w:cs="Calibri"/>
        </w:rPr>
      </w:pPr>
      <w:r w:rsidRPr="00FB23FE">
        <w:rPr>
          <w:rFonts w:cs="Calibri"/>
        </w:rPr>
        <w:t xml:space="preserve">The </w:t>
      </w:r>
      <w:r w:rsidRPr="00FB23FE">
        <w:rPr>
          <w:rFonts w:cs="Calibri"/>
          <w:b/>
        </w:rPr>
        <w:t>estimated resource envelope</w:t>
      </w:r>
      <w:r w:rsidRPr="00FB23FE">
        <w:rPr>
          <w:rFonts w:cs="Calibri"/>
        </w:rPr>
        <w:t xml:space="preserve"> for the UNDP Bangladesh Country Programme 2012-2016 is </w:t>
      </w:r>
      <w:r w:rsidRPr="00FB23FE">
        <w:rPr>
          <w:rFonts w:cs="Calibri"/>
          <w:b/>
        </w:rPr>
        <w:t>US$ 553.6</w:t>
      </w:r>
      <w:r w:rsidRPr="00FB23FE">
        <w:rPr>
          <w:rFonts w:cs="Calibri"/>
        </w:rPr>
        <w:t xml:space="preserve"> million, where indicative budgets of the Outcome 3.1 and 3.2 comprise </w:t>
      </w:r>
      <w:r w:rsidRPr="00FB23FE">
        <w:rPr>
          <w:rFonts w:cs="Calibri"/>
          <w:b/>
        </w:rPr>
        <w:t>25.9%</w:t>
      </w:r>
      <w:r w:rsidRPr="00FB23FE">
        <w:rPr>
          <w:rFonts w:cs="Calibri"/>
        </w:rPr>
        <w:t xml:space="preserve"> (US$ 143.6 million) of the overall CPD envelop. Till July 2014, the Outcome 3.1 and 3.2 altogether have mobilized </w:t>
      </w:r>
      <w:r w:rsidRPr="00FB23FE">
        <w:rPr>
          <w:rFonts w:cs="Calibri"/>
          <w:b/>
        </w:rPr>
        <w:t>78.0%</w:t>
      </w:r>
      <w:r w:rsidRPr="00FB23FE">
        <w:rPr>
          <w:rFonts w:cs="Calibri"/>
        </w:rPr>
        <w:t xml:space="preserve"> (US$ 112 million) of its planned budget from UNDP core resources as well as from its development partners.</w:t>
      </w:r>
    </w:p>
    <w:p w:rsidR="0061232B" w:rsidRPr="00FB23FE" w:rsidRDefault="0061232B" w:rsidP="0061232B">
      <w:pPr>
        <w:spacing w:after="0" w:line="240" w:lineRule="auto"/>
        <w:rPr>
          <w:rFonts w:cs="Calibri"/>
        </w:rPr>
      </w:pPr>
    </w:p>
    <w:p w:rsidR="0061232B" w:rsidRPr="00FB23FE" w:rsidRDefault="0061232B" w:rsidP="0061232B">
      <w:pPr>
        <w:spacing w:after="0" w:line="240" w:lineRule="auto"/>
        <w:rPr>
          <w:rFonts w:cs="Calibri"/>
        </w:rPr>
      </w:pPr>
      <w:r w:rsidRPr="00FB23FE">
        <w:rPr>
          <w:rFonts w:cs="Calibri"/>
          <w:b/>
        </w:rPr>
        <w:t>Objectives:</w:t>
      </w:r>
    </w:p>
    <w:p w:rsidR="0061232B" w:rsidRPr="00FB23FE" w:rsidRDefault="0061232B" w:rsidP="0061232B">
      <w:pPr>
        <w:spacing w:after="0" w:line="240" w:lineRule="auto"/>
        <w:jc w:val="both"/>
        <w:rPr>
          <w:rFonts w:cs="Calibri"/>
        </w:rPr>
      </w:pPr>
    </w:p>
    <w:p w:rsidR="0061232B" w:rsidRPr="00FB23FE" w:rsidRDefault="0061232B" w:rsidP="0061232B">
      <w:pPr>
        <w:tabs>
          <w:tab w:val="left" w:pos="360"/>
        </w:tabs>
        <w:suppressAutoHyphens/>
        <w:overflowPunct w:val="0"/>
        <w:autoSpaceDE w:val="0"/>
        <w:autoSpaceDN w:val="0"/>
        <w:adjustRightInd w:val="0"/>
        <w:spacing w:after="0" w:line="240" w:lineRule="auto"/>
        <w:jc w:val="both"/>
        <w:textAlignment w:val="baseline"/>
        <w:rPr>
          <w:rFonts w:cs="Calibri"/>
          <w:b/>
        </w:rPr>
      </w:pPr>
      <w:r w:rsidRPr="00FB23FE">
        <w:rPr>
          <w:rFonts w:cs="Calibri"/>
          <w:b/>
        </w:rPr>
        <w:t>Evaluation Purpose:</w:t>
      </w:r>
    </w:p>
    <w:p w:rsidR="0061232B" w:rsidRPr="00FB23FE" w:rsidRDefault="0061232B" w:rsidP="0061232B">
      <w:pPr>
        <w:tabs>
          <w:tab w:val="left" w:pos="1170"/>
        </w:tabs>
        <w:spacing w:after="0" w:line="240" w:lineRule="auto"/>
        <w:jc w:val="both"/>
        <w:rPr>
          <w:rFonts w:cs="Calibri"/>
          <w:i/>
          <w:caps/>
        </w:rPr>
      </w:pPr>
      <w:r w:rsidRPr="00FB23FE">
        <w:rPr>
          <w:rFonts w:cs="Calibri"/>
          <w:i/>
          <w:caps/>
        </w:rPr>
        <w:tab/>
      </w:r>
    </w:p>
    <w:p w:rsidR="0061232B" w:rsidRPr="00FB23FE" w:rsidRDefault="0061232B" w:rsidP="0061232B">
      <w:pPr>
        <w:tabs>
          <w:tab w:val="left" w:pos="360"/>
        </w:tabs>
        <w:spacing w:after="0" w:line="240" w:lineRule="auto"/>
        <w:jc w:val="both"/>
        <w:rPr>
          <w:rFonts w:cs="Calibri"/>
        </w:rPr>
      </w:pPr>
      <w:r w:rsidRPr="00FB23FE">
        <w:rPr>
          <w:rFonts w:cs="Calibri"/>
          <w:i/>
          <w:caps/>
        </w:rPr>
        <w:t xml:space="preserve">purpose: </w:t>
      </w:r>
      <w:r w:rsidRPr="00FB23FE">
        <w:rPr>
          <w:rFonts w:cs="Calibri"/>
        </w:rPr>
        <w:t xml:space="preserve">The purpose of this mid-term outcome evaluation is to </w:t>
      </w:r>
      <w:r w:rsidRPr="00FB23FE">
        <w:rPr>
          <w:rFonts w:cs="Calibri"/>
          <w:b/>
        </w:rPr>
        <w:t>ta</w:t>
      </w:r>
      <w:r>
        <w:rPr>
          <w:rFonts w:cs="Calibri"/>
          <w:b/>
        </w:rPr>
        <w:t>k</w:t>
      </w:r>
      <w:r w:rsidRPr="00FB23FE">
        <w:rPr>
          <w:rFonts w:cs="Calibri"/>
          <w:b/>
        </w:rPr>
        <w:t>e stoc</w:t>
      </w:r>
      <w:r>
        <w:rPr>
          <w:rFonts w:cs="Calibri"/>
          <w:b/>
        </w:rPr>
        <w:t>k</w:t>
      </w:r>
      <w:r w:rsidRPr="00FB23FE">
        <w:rPr>
          <w:rFonts w:cs="Calibri"/>
          <w:b/>
        </w:rPr>
        <w:t xml:space="preserve"> of achievements to date, document lessons learned and propose ways to correct the course of intervention for the next two years of the country programme cycle</w:t>
      </w:r>
      <w:r w:rsidRPr="00FB23FE">
        <w:rPr>
          <w:rFonts w:cs="Calibri"/>
        </w:rPr>
        <w:t xml:space="preserve">. </w:t>
      </w:r>
    </w:p>
    <w:p w:rsidR="0061232B" w:rsidRPr="00FB23FE" w:rsidRDefault="0061232B" w:rsidP="0061232B">
      <w:pPr>
        <w:tabs>
          <w:tab w:val="left" w:pos="360"/>
        </w:tabs>
        <w:spacing w:after="0" w:line="240" w:lineRule="auto"/>
        <w:jc w:val="both"/>
        <w:rPr>
          <w:rFonts w:cs="Calibri"/>
        </w:rPr>
      </w:pPr>
    </w:p>
    <w:p w:rsidR="0061232B" w:rsidRPr="00FB23FE" w:rsidRDefault="0061232B" w:rsidP="0061232B">
      <w:pPr>
        <w:tabs>
          <w:tab w:val="left" w:pos="360"/>
        </w:tabs>
        <w:spacing w:after="0" w:line="240" w:lineRule="auto"/>
        <w:jc w:val="both"/>
        <w:rPr>
          <w:rFonts w:cs="Calibri"/>
        </w:rPr>
      </w:pPr>
      <w:r w:rsidRPr="00FB23FE">
        <w:rPr>
          <w:rFonts w:cs="Calibri"/>
          <w:i/>
          <w:caps/>
        </w:rPr>
        <w:t xml:space="preserve">TIMING: </w:t>
      </w:r>
      <w:r w:rsidRPr="00FB23FE">
        <w:rPr>
          <w:rFonts w:cs="Calibri"/>
        </w:rPr>
        <w:t xml:space="preserve">The mid-term evaluation is conducted in the </w:t>
      </w:r>
      <w:r w:rsidRPr="00FB23FE">
        <w:rPr>
          <w:rFonts w:cs="Calibri"/>
          <w:b/>
        </w:rPr>
        <w:t>second half of 2014</w:t>
      </w:r>
      <w:r w:rsidRPr="00FB23FE">
        <w:rPr>
          <w:rFonts w:cs="Calibri"/>
        </w:rPr>
        <w:t xml:space="preserve"> because it is the penultimate year to the MDG deadline, and the midway point of the 2012–2016 CPD/UNDAF. The timing is in line with the CPD/UNDAF Evaluation Plan 2012-2016, which foresees that UNDP Bangladesh underta</w:t>
      </w:r>
      <w:r>
        <w:rPr>
          <w:rFonts w:cs="Calibri"/>
        </w:rPr>
        <w:t>k</w:t>
      </w:r>
      <w:r w:rsidRPr="00FB23FE">
        <w:rPr>
          <w:rFonts w:cs="Calibri"/>
        </w:rPr>
        <w:t xml:space="preserve">es a mid-term outcome evaluation on the CPD Outcome 3.1 and 3.2 in 2014. The timing of the evaluation also ensures that evaluation results will be </w:t>
      </w:r>
      <w:r>
        <w:rPr>
          <w:rFonts w:cs="Calibri"/>
        </w:rPr>
        <w:t>k</w:t>
      </w:r>
      <w:r w:rsidRPr="00FB23FE">
        <w:rPr>
          <w:rFonts w:cs="Calibri"/>
        </w:rPr>
        <w:t>ey input into the UNDAF mid-term review scheduled for early 2015.</w:t>
      </w:r>
    </w:p>
    <w:p w:rsidR="0061232B" w:rsidRPr="00FB23FE" w:rsidRDefault="0061232B" w:rsidP="0061232B">
      <w:pPr>
        <w:tabs>
          <w:tab w:val="left" w:pos="360"/>
        </w:tabs>
        <w:spacing w:after="0" w:line="240" w:lineRule="auto"/>
        <w:jc w:val="both"/>
        <w:rPr>
          <w:rFonts w:cs="Calibri"/>
        </w:rPr>
      </w:pPr>
    </w:p>
    <w:p w:rsidR="0061232B" w:rsidRDefault="0061232B" w:rsidP="0061232B">
      <w:pPr>
        <w:tabs>
          <w:tab w:val="left" w:pos="360"/>
        </w:tabs>
        <w:spacing w:after="0" w:line="240" w:lineRule="auto"/>
        <w:jc w:val="both"/>
        <w:rPr>
          <w:rFonts w:cs="Calibri"/>
        </w:rPr>
      </w:pPr>
      <w:r w:rsidRPr="00FB23FE">
        <w:rPr>
          <w:rFonts w:cs="Calibri"/>
          <w:i/>
          <w:caps/>
        </w:rPr>
        <w:t xml:space="preserve">utilization: </w:t>
      </w:r>
      <w:r w:rsidRPr="00FB23FE">
        <w:rPr>
          <w:rFonts w:cs="Calibri"/>
        </w:rPr>
        <w:t xml:space="preserve">The evaluation results are to be utilized by not only UNDP Bangladesh but also by the government partners as well as other </w:t>
      </w:r>
      <w:r>
        <w:rPr>
          <w:rFonts w:cs="Calibri"/>
        </w:rPr>
        <w:t>k</w:t>
      </w:r>
      <w:r w:rsidRPr="00FB23FE">
        <w:rPr>
          <w:rFonts w:cs="Calibri"/>
        </w:rPr>
        <w:t xml:space="preserve">ey development partners/donors. They will also become critical inputs to the </w:t>
      </w:r>
      <w:r w:rsidRPr="00FB23FE">
        <w:rPr>
          <w:rFonts w:cs="Calibri"/>
          <w:b/>
        </w:rPr>
        <w:t>UNDAF mid-term review</w:t>
      </w:r>
      <w:r w:rsidRPr="00FB23FE">
        <w:rPr>
          <w:rFonts w:cs="Calibri"/>
        </w:rPr>
        <w:t xml:space="preserve"> scheduled in early 2015, where UNDP acts as lead agency in four UNDAF pillars and these outcomes contribute directly to UNDAF Pillar 5.  The mid-term outcome evaluation also aims to </w:t>
      </w:r>
      <w:r w:rsidRPr="00FB23FE">
        <w:rPr>
          <w:rFonts w:cs="Calibri"/>
          <w:b/>
        </w:rPr>
        <w:t>identify which UNDP approaches have wor</w:t>
      </w:r>
      <w:r>
        <w:rPr>
          <w:rFonts w:cs="Calibri"/>
          <w:b/>
        </w:rPr>
        <w:t>k</w:t>
      </w:r>
      <w:r w:rsidRPr="00FB23FE">
        <w:rPr>
          <w:rFonts w:cs="Calibri"/>
          <w:b/>
        </w:rPr>
        <w:t>ed well</w:t>
      </w:r>
      <w:r w:rsidRPr="00FB23FE">
        <w:rPr>
          <w:rFonts w:cs="Calibri"/>
        </w:rPr>
        <w:t xml:space="preserve"> and which have faced challenges, use lessons learned to improve future initiatives and generate </w:t>
      </w:r>
      <w:r>
        <w:rPr>
          <w:rFonts w:cs="Calibri"/>
        </w:rPr>
        <w:t>k</w:t>
      </w:r>
      <w:r w:rsidRPr="00FB23FE">
        <w:rPr>
          <w:rFonts w:cs="Calibri"/>
        </w:rPr>
        <w:t>nowledge for wider use at all levels (corporate, regional and country) and serve as a means of quality assurance and hold UNDP accountable for the resources invested in its wor</w:t>
      </w:r>
      <w:r>
        <w:rPr>
          <w:rFonts w:cs="Calibri"/>
        </w:rPr>
        <w:t>k</w:t>
      </w:r>
      <w:r w:rsidRPr="00FB23FE">
        <w:rPr>
          <w:rFonts w:cs="Calibri"/>
        </w:rPr>
        <w:t xml:space="preserve"> as well as for its national partners and sta</w:t>
      </w:r>
      <w:r>
        <w:rPr>
          <w:rFonts w:cs="Calibri"/>
        </w:rPr>
        <w:t>k</w:t>
      </w:r>
      <w:r w:rsidRPr="00FB23FE">
        <w:rPr>
          <w:rFonts w:cs="Calibri"/>
        </w:rPr>
        <w:t>eholders. Notably, the evaluation will become critical inputs for the alignment of UNDP’s new Strategic Plan (SP) 2014-2017</w:t>
      </w:r>
      <w:r w:rsidRPr="00FB23FE">
        <w:rPr>
          <w:rStyle w:val="FootnoteReference"/>
          <w:rFonts w:cs="Calibri"/>
        </w:rPr>
        <w:footnoteReference w:id="103"/>
      </w:r>
      <w:r w:rsidRPr="00FB23FE">
        <w:rPr>
          <w:rFonts w:cs="Calibri"/>
        </w:rPr>
        <w:t>. Following the evaluation conclusions and recommendations pertinent to UNDP, UNDP Bangladesh will prepare a management response and implement follow-up actions through the UNDP Evaluation Resource Centre (ERC).</w:t>
      </w:r>
    </w:p>
    <w:p w:rsidR="0061232B" w:rsidRPr="00FB23FE" w:rsidRDefault="0061232B" w:rsidP="0061232B">
      <w:pPr>
        <w:spacing w:after="0" w:line="240" w:lineRule="auto"/>
        <w:rPr>
          <w:rFonts w:cs="Calibri"/>
        </w:rPr>
      </w:pPr>
      <w:r w:rsidRPr="00FB23FE">
        <w:rPr>
          <w:rFonts w:cs="Calibri"/>
          <w:b/>
        </w:rPr>
        <w:lastRenderedPageBreak/>
        <w:t>Scope of wor</w:t>
      </w:r>
      <w:r>
        <w:rPr>
          <w:rFonts w:cs="Calibri"/>
          <w:b/>
        </w:rPr>
        <w:t>k</w:t>
      </w:r>
      <w:r w:rsidRPr="00FB23FE">
        <w:rPr>
          <w:rFonts w:cs="Calibri"/>
          <w:b/>
        </w:rPr>
        <w:t>:</w:t>
      </w:r>
    </w:p>
    <w:p w:rsidR="0061232B" w:rsidRPr="00FB23FE" w:rsidRDefault="0061232B" w:rsidP="0061232B">
      <w:pPr>
        <w:spacing w:after="0" w:line="240" w:lineRule="auto"/>
        <w:rPr>
          <w:rFonts w:cs="Calibri"/>
        </w:rPr>
      </w:pPr>
    </w:p>
    <w:p w:rsidR="0061232B" w:rsidRPr="00FB23FE" w:rsidRDefault="0061232B" w:rsidP="0061232B">
      <w:pPr>
        <w:tabs>
          <w:tab w:val="left" w:pos="360"/>
        </w:tabs>
        <w:suppressAutoHyphens/>
        <w:overflowPunct w:val="0"/>
        <w:autoSpaceDE w:val="0"/>
        <w:autoSpaceDN w:val="0"/>
        <w:adjustRightInd w:val="0"/>
        <w:spacing w:after="0" w:line="240" w:lineRule="auto"/>
        <w:jc w:val="both"/>
        <w:textAlignment w:val="baseline"/>
        <w:rPr>
          <w:rFonts w:cs="Calibri"/>
          <w:b/>
        </w:rPr>
      </w:pPr>
      <w:r w:rsidRPr="00FB23FE">
        <w:rPr>
          <w:rFonts w:cs="Calibri"/>
          <w:b/>
        </w:rPr>
        <w:t>1. Evaluation Objectives and Scope</w:t>
      </w:r>
    </w:p>
    <w:p w:rsidR="0061232B" w:rsidRPr="00FB23FE" w:rsidRDefault="0061232B" w:rsidP="0061232B">
      <w:pPr>
        <w:tabs>
          <w:tab w:val="left" w:pos="360"/>
        </w:tabs>
        <w:suppressAutoHyphens/>
        <w:overflowPunct w:val="0"/>
        <w:autoSpaceDE w:val="0"/>
        <w:autoSpaceDN w:val="0"/>
        <w:adjustRightInd w:val="0"/>
        <w:spacing w:after="0" w:line="240" w:lineRule="auto"/>
        <w:jc w:val="both"/>
        <w:textAlignment w:val="baseline"/>
        <w:rPr>
          <w:rFonts w:cs="Calibri"/>
          <w:b/>
          <w:color w:val="0000FF"/>
        </w:rPr>
      </w:pPr>
    </w:p>
    <w:p w:rsidR="0061232B" w:rsidRPr="00FB23FE" w:rsidRDefault="0061232B" w:rsidP="0061232B">
      <w:pPr>
        <w:spacing w:after="0" w:line="240" w:lineRule="auto"/>
        <w:jc w:val="both"/>
        <w:rPr>
          <w:rFonts w:cs="Calibri"/>
        </w:rPr>
      </w:pPr>
      <w:r w:rsidRPr="00FB23FE">
        <w:rPr>
          <w:rFonts w:cs="Calibri"/>
          <w:i/>
          <w:caps/>
        </w:rPr>
        <w:t>Objectives:</w:t>
      </w:r>
      <w:r w:rsidRPr="00FB23FE">
        <w:rPr>
          <w:rFonts w:cs="Calibri"/>
        </w:rPr>
        <w:t xml:space="preserve">The mid-term outcome evaluation will primarily assist UNDP Bangladesh in assessing its effectiveness in </w:t>
      </w:r>
      <w:r w:rsidRPr="00FB23FE">
        <w:rPr>
          <w:rFonts w:cs="Calibri"/>
          <w:b/>
        </w:rPr>
        <w:t>progressing towards the outcomes</w:t>
      </w:r>
      <w:r w:rsidRPr="00FB23FE">
        <w:rPr>
          <w:rFonts w:cs="Calibri"/>
        </w:rPr>
        <w:t>. The evaluation will assess if populations vulnerable to climate change and natural disasters are now more resilient to adapt to ris</w:t>
      </w:r>
      <w:r>
        <w:rPr>
          <w:rFonts w:cs="Calibri"/>
        </w:rPr>
        <w:t>k</w:t>
      </w:r>
      <w:r w:rsidRPr="00FB23FE">
        <w:rPr>
          <w:rFonts w:cs="Calibri"/>
        </w:rPr>
        <w:t>s compared to before 2012. The evaluation will also assess to what extent vulnerable populations now benefit from better natural resource management and access to low carbon energy compared to before 2012. This includes an assessment on the causal lin</w:t>
      </w:r>
      <w:r>
        <w:rPr>
          <w:rFonts w:cs="Calibri"/>
        </w:rPr>
        <w:t>k</w:t>
      </w:r>
      <w:r w:rsidRPr="00FB23FE">
        <w:rPr>
          <w:rFonts w:cs="Calibri"/>
        </w:rPr>
        <w:t>age if and/or by which outputs contribute to the achievement of the outcomes and the extent to which the planned outcome has been achieved and li</w:t>
      </w:r>
      <w:r>
        <w:rPr>
          <w:rFonts w:cs="Calibri"/>
        </w:rPr>
        <w:t>k</w:t>
      </w:r>
      <w:r w:rsidRPr="00FB23FE">
        <w:rPr>
          <w:rFonts w:cs="Calibri"/>
        </w:rPr>
        <w:t>ely to be achieved by the end of 2016. It will assess both negative and positive factors that facilitate and/or hinder the progress in achieving the outcome including the external environment, wea</w:t>
      </w:r>
      <w:r>
        <w:rPr>
          <w:rFonts w:cs="Calibri"/>
        </w:rPr>
        <w:t>k</w:t>
      </w:r>
      <w:r w:rsidRPr="00FB23FE">
        <w:rPr>
          <w:rFonts w:cs="Calibri"/>
        </w:rPr>
        <w:t xml:space="preserve">nesses in design, management and resources. In addition, the evaluation will assess the </w:t>
      </w:r>
      <w:r w:rsidRPr="00FB23FE">
        <w:rPr>
          <w:rFonts w:cs="Calibri"/>
          <w:b/>
        </w:rPr>
        <w:t xml:space="preserve">relevance, efficiency, effectiveness </w:t>
      </w:r>
      <w:r w:rsidRPr="00FB23FE">
        <w:rPr>
          <w:rFonts w:cs="Calibri"/>
        </w:rPr>
        <w:t>and potential</w:t>
      </w:r>
      <w:r w:rsidRPr="00FB23FE">
        <w:rPr>
          <w:rFonts w:cs="Calibri"/>
          <w:b/>
        </w:rPr>
        <w:t xml:space="preserve"> sustainability</w:t>
      </w:r>
      <w:r w:rsidRPr="00FB23FE">
        <w:rPr>
          <w:rFonts w:cs="Calibri"/>
        </w:rPr>
        <w:t xml:space="preserve"> of UNDP’s interventions on resilience to climate change and natural disasters and on the benefit from natural resource management and access to low carbon energy.</w:t>
      </w:r>
    </w:p>
    <w:p w:rsidR="0061232B" w:rsidRPr="00FB23FE" w:rsidRDefault="0061232B" w:rsidP="0061232B">
      <w:pPr>
        <w:spacing w:after="0" w:line="240" w:lineRule="auto"/>
        <w:jc w:val="both"/>
        <w:rPr>
          <w:rFonts w:cs="Calibri"/>
        </w:rPr>
      </w:pPr>
    </w:p>
    <w:p w:rsidR="0061232B" w:rsidRPr="00FB23FE" w:rsidRDefault="0061232B" w:rsidP="0061232B">
      <w:pPr>
        <w:spacing w:after="0" w:line="240" w:lineRule="auto"/>
        <w:jc w:val="both"/>
        <w:rPr>
          <w:rFonts w:cs="Calibri"/>
        </w:rPr>
      </w:pPr>
      <w:r w:rsidRPr="00FB23FE">
        <w:rPr>
          <w:rFonts w:cs="Calibri"/>
          <w:i/>
          <w:caps/>
        </w:rPr>
        <w:t xml:space="preserve">sCOPE: </w:t>
      </w:r>
      <w:r w:rsidRPr="00FB23FE">
        <w:rPr>
          <w:rFonts w:cs="Calibri"/>
        </w:rPr>
        <w:t xml:space="preserve">The mid-term outcome evaluation covers a time span from </w:t>
      </w:r>
      <w:r w:rsidRPr="00FB23FE">
        <w:rPr>
          <w:rFonts w:cs="Calibri"/>
          <w:b/>
        </w:rPr>
        <w:t xml:space="preserve">January 2012 - </w:t>
      </w:r>
      <w:r w:rsidRPr="00FB23FE">
        <w:rPr>
          <w:rFonts w:cs="Calibri"/>
        </w:rPr>
        <w:t>the beginning of the CPD cycle - up to the outset of the evaluation. While the programmes/projects which are at policy level and/or with global compliance has a nation-wide coverage, project sites include socio-economically bac</w:t>
      </w:r>
      <w:r>
        <w:rPr>
          <w:rFonts w:cs="Calibri"/>
        </w:rPr>
        <w:t>k</w:t>
      </w:r>
      <w:r w:rsidRPr="00FB23FE">
        <w:rPr>
          <w:rFonts w:cs="Calibri"/>
        </w:rPr>
        <w:t xml:space="preserve">ward and disaster vulnerable </w:t>
      </w:r>
      <w:r w:rsidRPr="00FB23FE">
        <w:rPr>
          <w:rFonts w:cs="Calibri"/>
          <w:b/>
        </w:rPr>
        <w:t>geographic areas</w:t>
      </w:r>
      <w:r w:rsidRPr="00FB23FE">
        <w:rPr>
          <w:rFonts w:cs="Calibri"/>
        </w:rPr>
        <w:t xml:space="preserve"> (cyclone, flood and drought-prone) districts for the field visit and data collection will be identified and selected given the available time for site visits and in consultation with the Climate Change, Environment and Disaster (CCED) Cluster of UNDP Bangladesh. While there have been 18 programmes/projects implemented under the outcome 3.1 and 3.2 during the CPD cycle, this evaluation focuses on </w:t>
      </w:r>
      <w:r>
        <w:rPr>
          <w:rFonts w:cs="Calibri"/>
          <w:b/>
        </w:rPr>
        <w:t>k</w:t>
      </w:r>
      <w:r w:rsidRPr="00FB23FE">
        <w:rPr>
          <w:rFonts w:cs="Calibri"/>
          <w:b/>
        </w:rPr>
        <w:t>ey programmes and projects</w:t>
      </w:r>
      <w:r w:rsidRPr="00FB23FE">
        <w:rPr>
          <w:rFonts w:cs="Calibri"/>
        </w:rPr>
        <w:t xml:space="preserve"> which contributed directly to achieving the outcomes. This includes projects and programmes that started prior to 2012 but continued into 2012 and beyond. The </w:t>
      </w:r>
      <w:r w:rsidRPr="00FB23FE">
        <w:rPr>
          <w:rFonts w:cs="Calibri"/>
          <w:b/>
        </w:rPr>
        <w:t>primary sta</w:t>
      </w:r>
      <w:r>
        <w:rPr>
          <w:rFonts w:cs="Calibri"/>
          <w:b/>
        </w:rPr>
        <w:t>k</w:t>
      </w:r>
      <w:r w:rsidRPr="00FB23FE">
        <w:rPr>
          <w:rFonts w:cs="Calibri"/>
          <w:b/>
        </w:rPr>
        <w:t>eholders</w:t>
      </w:r>
      <w:r w:rsidRPr="00FB23FE">
        <w:rPr>
          <w:rFonts w:cs="Calibri"/>
        </w:rPr>
        <w:t xml:space="preserve"> include government institutes directly involved with project implementation: Ministry of Disaster Management &amp; Relief, Ministry of Environment &amp; Forests, Ministry of Power &amp; Mineral Resources, Ministry of Agriculture, Ministry of Water Resources, Ministry of Land, Ministry of Fisheries and Livestoc</w:t>
      </w:r>
      <w:r>
        <w:rPr>
          <w:rFonts w:cs="Calibri"/>
        </w:rPr>
        <w:t>k</w:t>
      </w:r>
      <w:r w:rsidRPr="00FB23FE">
        <w:rPr>
          <w:rFonts w:cs="Calibri"/>
        </w:rPr>
        <w:t>, Ministry of Industries, Forest Department in the Chittagong Hill Tracts (CHT). Other constituencies include private bric</w:t>
      </w:r>
      <w:r>
        <w:rPr>
          <w:rFonts w:cs="Calibri"/>
        </w:rPr>
        <w:t>k</w:t>
      </w:r>
      <w:r w:rsidRPr="00FB23FE">
        <w:rPr>
          <w:rFonts w:cs="Calibri"/>
        </w:rPr>
        <w:t xml:space="preserve"> and pharmaceutical sectors, civil society organizations, academia and direct beneficiaries such as ethnic minorities.</w:t>
      </w:r>
    </w:p>
    <w:p w:rsidR="0061232B" w:rsidRPr="00FB23FE" w:rsidRDefault="0061232B" w:rsidP="0061232B">
      <w:pPr>
        <w:tabs>
          <w:tab w:val="num" w:pos="360"/>
        </w:tabs>
        <w:autoSpaceDE w:val="0"/>
        <w:autoSpaceDN w:val="0"/>
        <w:adjustRightInd w:val="0"/>
        <w:spacing w:after="0" w:line="240" w:lineRule="auto"/>
        <w:jc w:val="both"/>
        <w:rPr>
          <w:rFonts w:cs="Calibri"/>
        </w:rPr>
      </w:pPr>
    </w:p>
    <w:p w:rsidR="0061232B" w:rsidRPr="00FB23FE" w:rsidRDefault="0061232B" w:rsidP="0061232B">
      <w:pPr>
        <w:tabs>
          <w:tab w:val="left" w:pos="360"/>
        </w:tabs>
        <w:suppressAutoHyphens/>
        <w:overflowPunct w:val="0"/>
        <w:autoSpaceDE w:val="0"/>
        <w:autoSpaceDN w:val="0"/>
        <w:adjustRightInd w:val="0"/>
        <w:spacing w:after="0" w:line="240" w:lineRule="auto"/>
        <w:jc w:val="both"/>
        <w:textAlignment w:val="baseline"/>
        <w:rPr>
          <w:rFonts w:cs="Calibri"/>
          <w:b/>
        </w:rPr>
      </w:pPr>
      <w:r w:rsidRPr="00FB23FE">
        <w:rPr>
          <w:rFonts w:cs="Calibri"/>
          <w:b/>
        </w:rPr>
        <w:t xml:space="preserve">2. Evaluation Questions </w:t>
      </w:r>
    </w:p>
    <w:p w:rsidR="0061232B" w:rsidRPr="00FB23FE" w:rsidRDefault="0061232B" w:rsidP="0061232B">
      <w:pPr>
        <w:tabs>
          <w:tab w:val="num" w:pos="360"/>
        </w:tabs>
        <w:autoSpaceDE w:val="0"/>
        <w:autoSpaceDN w:val="0"/>
        <w:adjustRightInd w:val="0"/>
        <w:spacing w:after="0" w:line="240" w:lineRule="auto"/>
        <w:jc w:val="both"/>
        <w:rPr>
          <w:rFonts w:cs="Calibri"/>
        </w:rPr>
      </w:pPr>
    </w:p>
    <w:p w:rsidR="0061232B" w:rsidRPr="00FB23FE" w:rsidRDefault="0061232B" w:rsidP="0061232B">
      <w:pPr>
        <w:spacing w:after="0" w:line="240" w:lineRule="auto"/>
        <w:jc w:val="both"/>
        <w:rPr>
          <w:rFonts w:cs="Calibri"/>
        </w:rPr>
      </w:pPr>
      <w:r w:rsidRPr="00FB23FE">
        <w:rPr>
          <w:rFonts w:cs="Calibri"/>
        </w:rPr>
        <w:t>The following evaluation questions help define the information that the evaluation will generate. The evaluation questions are formulated and clustered to address the primary evaluation criteria</w:t>
      </w:r>
      <w:r w:rsidRPr="00FB23FE">
        <w:rPr>
          <w:rStyle w:val="FootnoteReference"/>
          <w:rFonts w:cs="Calibri"/>
        </w:rPr>
        <w:footnoteReference w:id="104"/>
      </w:r>
      <w:r w:rsidRPr="00FB23FE">
        <w:rPr>
          <w:rFonts w:cs="Calibri"/>
        </w:rPr>
        <w:t xml:space="preserve"> and the effectiveness criteria will be weighted most from other criteria in this evaluation to demonstrate how UNDP initiatives have or have not contributed to the achievement of the outcome. The evaluation questions may be adjusted upon consultations and discussions with the programme cluster during the inception phase.</w:t>
      </w:r>
    </w:p>
    <w:p w:rsidR="0061232B" w:rsidRPr="00FB23FE" w:rsidRDefault="0061232B" w:rsidP="0061232B">
      <w:pPr>
        <w:spacing w:after="0" w:line="240" w:lineRule="auto"/>
        <w:jc w:val="both"/>
        <w:rPr>
          <w:rFonts w:cs="Calibri"/>
        </w:rPr>
      </w:pPr>
    </w:p>
    <w:p w:rsidR="0061232B" w:rsidRPr="00FB23FE" w:rsidRDefault="0061232B" w:rsidP="0061232B">
      <w:pPr>
        <w:spacing w:after="0" w:line="240" w:lineRule="auto"/>
        <w:jc w:val="both"/>
        <w:rPr>
          <w:rFonts w:cs="Calibri"/>
        </w:rPr>
      </w:pPr>
      <w:r w:rsidRPr="00FB23FE">
        <w:rPr>
          <w:rFonts w:cs="Calibri"/>
          <w:i/>
        </w:rPr>
        <w:t>Country Programm</w:t>
      </w:r>
      <w:r>
        <w:rPr>
          <w:rFonts w:cs="Calibri"/>
          <w:i/>
        </w:rPr>
        <w:t>e Outcome 3.1/UNDAF Outcome 5.1</w:t>
      </w:r>
    </w:p>
    <w:p w:rsidR="0061232B" w:rsidRPr="00FB23FE" w:rsidRDefault="0061232B" w:rsidP="0061232B">
      <w:pPr>
        <w:spacing w:after="0" w:line="240" w:lineRule="auto"/>
        <w:jc w:val="both"/>
        <w:rPr>
          <w:rFonts w:cs="Calibri"/>
          <w:b/>
        </w:rPr>
      </w:pPr>
      <w:r w:rsidRPr="00FB23FE">
        <w:rPr>
          <w:rFonts w:cs="Calibri"/>
          <w:b/>
        </w:rPr>
        <w:t>By 2016, populations vulnerable to climate change and natural disaster have become more resilient to adapt to ris</w:t>
      </w:r>
      <w:r>
        <w:rPr>
          <w:rFonts w:cs="Calibri"/>
          <w:b/>
        </w:rPr>
        <w:t>k</w:t>
      </w:r>
      <w:r w:rsidRPr="00FB23FE">
        <w:rPr>
          <w:rFonts w:cs="Calibri"/>
          <w:b/>
        </w:rPr>
        <w:t xml:space="preserve">s </w:t>
      </w:r>
    </w:p>
    <w:p w:rsidR="0061232B" w:rsidRPr="00FB23FE" w:rsidRDefault="0061232B" w:rsidP="0061232B">
      <w:pPr>
        <w:spacing w:after="0" w:line="240" w:lineRule="auto"/>
        <w:jc w:val="both"/>
        <w:rPr>
          <w:rFonts w:cs="Calibri"/>
        </w:rPr>
      </w:pPr>
    </w:p>
    <w:p w:rsidR="0061232B" w:rsidRPr="00FB23FE" w:rsidRDefault="0061232B" w:rsidP="0061232B">
      <w:pPr>
        <w:spacing w:after="0" w:line="240" w:lineRule="auto"/>
        <w:jc w:val="both"/>
        <w:rPr>
          <w:rFonts w:cs="Calibri"/>
        </w:rPr>
      </w:pPr>
      <w:r w:rsidRPr="00FB23FE">
        <w:rPr>
          <w:rFonts w:cs="Calibri"/>
        </w:rPr>
        <w:t>The outcome formulation contains different elements. That is why the outcome formulation needs to answer evaluation questions from at least two perspectives:</w:t>
      </w:r>
    </w:p>
    <w:p w:rsidR="0061232B" w:rsidRPr="00FB23FE" w:rsidRDefault="0061232B" w:rsidP="001E161B">
      <w:pPr>
        <w:pStyle w:val="ListParagraph"/>
        <w:numPr>
          <w:ilvl w:val="0"/>
          <w:numId w:val="33"/>
        </w:numPr>
        <w:spacing w:after="0" w:line="240" w:lineRule="auto"/>
        <w:jc w:val="both"/>
        <w:rPr>
          <w:rFonts w:cs="Calibri"/>
        </w:rPr>
      </w:pPr>
      <w:r w:rsidRPr="00FB23FE">
        <w:rPr>
          <w:rFonts w:cs="Calibri"/>
        </w:rPr>
        <w:t>resilience  related to ris</w:t>
      </w:r>
      <w:r>
        <w:rPr>
          <w:rFonts w:cs="Calibri"/>
        </w:rPr>
        <w:t>k</w:t>
      </w:r>
      <w:r w:rsidRPr="00FB23FE">
        <w:rPr>
          <w:rFonts w:cs="Calibri"/>
        </w:rPr>
        <w:t xml:space="preserve">s from </w:t>
      </w:r>
      <w:r w:rsidRPr="00FB23FE">
        <w:rPr>
          <w:rFonts w:cs="Calibri"/>
          <w:i/>
        </w:rPr>
        <w:t>climate change</w:t>
      </w:r>
    </w:p>
    <w:p w:rsidR="0061232B" w:rsidRPr="00FB23FE" w:rsidRDefault="0061232B" w:rsidP="001E161B">
      <w:pPr>
        <w:pStyle w:val="ListParagraph"/>
        <w:numPr>
          <w:ilvl w:val="0"/>
          <w:numId w:val="33"/>
        </w:numPr>
        <w:spacing w:after="0" w:line="240" w:lineRule="auto"/>
        <w:jc w:val="both"/>
        <w:rPr>
          <w:rFonts w:cs="Calibri"/>
        </w:rPr>
      </w:pPr>
      <w:r w:rsidRPr="00FB23FE">
        <w:rPr>
          <w:rFonts w:cs="Calibri"/>
        </w:rPr>
        <w:t>resilience  related to ris</w:t>
      </w:r>
      <w:r>
        <w:rPr>
          <w:rFonts w:cs="Calibri"/>
        </w:rPr>
        <w:t>k</w:t>
      </w:r>
      <w:r w:rsidRPr="00FB23FE">
        <w:rPr>
          <w:rFonts w:cs="Calibri"/>
        </w:rPr>
        <w:t xml:space="preserve">s from </w:t>
      </w:r>
      <w:r w:rsidRPr="00FB23FE">
        <w:rPr>
          <w:rFonts w:cs="Calibri"/>
          <w:i/>
        </w:rPr>
        <w:t>natural disaster</w:t>
      </w:r>
    </w:p>
    <w:p w:rsidR="0061232B" w:rsidRPr="00FB23FE" w:rsidRDefault="0061232B" w:rsidP="0061232B">
      <w:pPr>
        <w:spacing w:after="0" w:line="240" w:lineRule="auto"/>
        <w:jc w:val="both"/>
        <w:rPr>
          <w:rFonts w:cs="Calibri"/>
          <w:i/>
        </w:rPr>
      </w:pPr>
    </w:p>
    <w:p w:rsidR="0061232B" w:rsidRPr="00FB23FE" w:rsidRDefault="0061232B" w:rsidP="0061232B">
      <w:pPr>
        <w:spacing w:after="0" w:line="240" w:lineRule="auto"/>
        <w:jc w:val="both"/>
        <w:rPr>
          <w:rFonts w:cs="Calibri"/>
        </w:rPr>
      </w:pPr>
      <w:r w:rsidRPr="00FB23FE">
        <w:rPr>
          <w:rFonts w:cs="Calibri"/>
          <w:i/>
        </w:rPr>
        <w:t>Relevance of UNDP's involvement and approach:</w:t>
      </w:r>
    </w:p>
    <w:p w:rsidR="0061232B" w:rsidRPr="00FB23FE" w:rsidRDefault="0061232B" w:rsidP="001E161B">
      <w:pPr>
        <w:pStyle w:val="Listenabsatz1"/>
        <w:numPr>
          <w:ilvl w:val="0"/>
          <w:numId w:val="32"/>
        </w:numPr>
        <w:spacing w:after="0" w:line="240" w:lineRule="auto"/>
        <w:ind w:left="714" w:hanging="357"/>
        <w:jc w:val="both"/>
        <w:rPr>
          <w:rFonts w:cs="Calibri"/>
          <w:b/>
          <w:szCs w:val="22"/>
        </w:rPr>
      </w:pPr>
      <w:r w:rsidRPr="00FB23FE">
        <w:rPr>
          <w:rFonts w:cs="Calibri"/>
          <w:b/>
          <w:szCs w:val="22"/>
        </w:rPr>
        <w:t xml:space="preserve">To what extent are UNDP's </w:t>
      </w:r>
      <w:r>
        <w:rPr>
          <w:rFonts w:cs="Calibri"/>
          <w:b/>
          <w:szCs w:val="22"/>
        </w:rPr>
        <w:t>k</w:t>
      </w:r>
      <w:r w:rsidRPr="00FB23FE">
        <w:rPr>
          <w:rFonts w:cs="Calibri"/>
          <w:b/>
          <w:szCs w:val="22"/>
        </w:rPr>
        <w:t xml:space="preserve">ey programmes/projects </w:t>
      </w:r>
      <w:r w:rsidRPr="00FB23FE">
        <w:rPr>
          <w:rFonts w:cs="Calibri"/>
          <w:b/>
          <w:i/>
          <w:szCs w:val="22"/>
        </w:rPr>
        <w:t>relevant</w:t>
      </w:r>
      <w:r w:rsidRPr="00FB23FE">
        <w:rPr>
          <w:rFonts w:cs="Calibri"/>
          <w:b/>
          <w:szCs w:val="22"/>
        </w:rPr>
        <w:t xml:space="preserve"> to ma</w:t>
      </w:r>
      <w:r>
        <w:rPr>
          <w:rFonts w:cs="Calibri"/>
          <w:b/>
          <w:szCs w:val="22"/>
        </w:rPr>
        <w:t>k</w:t>
      </w:r>
      <w:r w:rsidRPr="00FB23FE">
        <w:rPr>
          <w:rFonts w:cs="Calibri"/>
          <w:b/>
          <w:szCs w:val="22"/>
        </w:rPr>
        <w:t>e vulnerable populations more resilient to the ris</w:t>
      </w:r>
      <w:r>
        <w:rPr>
          <w:rFonts w:cs="Calibri"/>
          <w:b/>
          <w:szCs w:val="22"/>
        </w:rPr>
        <w:t>k</w:t>
      </w:r>
      <w:r w:rsidRPr="00FB23FE">
        <w:rPr>
          <w:rFonts w:cs="Calibri"/>
          <w:b/>
          <w:szCs w:val="22"/>
        </w:rPr>
        <w:t>s of climate change and natural disasters?</w:t>
      </w:r>
    </w:p>
    <w:p w:rsidR="0061232B" w:rsidRPr="00FB23FE" w:rsidRDefault="0061232B" w:rsidP="001E161B">
      <w:pPr>
        <w:pStyle w:val="Listenabsatz1"/>
        <w:numPr>
          <w:ilvl w:val="0"/>
          <w:numId w:val="32"/>
        </w:numPr>
        <w:spacing w:after="0" w:line="240" w:lineRule="auto"/>
        <w:ind w:left="714" w:hanging="357"/>
        <w:jc w:val="both"/>
        <w:rPr>
          <w:rFonts w:cs="Calibri"/>
          <w:b/>
          <w:szCs w:val="22"/>
        </w:rPr>
      </w:pPr>
    </w:p>
    <w:p w:rsidR="0061232B" w:rsidRPr="00FB23FE" w:rsidRDefault="0061232B" w:rsidP="0061232B">
      <w:pPr>
        <w:spacing w:after="0" w:line="240" w:lineRule="auto"/>
        <w:jc w:val="both"/>
        <w:rPr>
          <w:rFonts w:cs="Calibri"/>
        </w:rPr>
      </w:pPr>
      <w:r w:rsidRPr="00FB23FE">
        <w:rPr>
          <w:rFonts w:cs="Calibri"/>
          <w:i/>
        </w:rPr>
        <w:t>Effectiveness in contributing to the achievement of the outcome:</w:t>
      </w:r>
    </w:p>
    <w:p w:rsidR="0061232B" w:rsidRPr="00FB23FE" w:rsidRDefault="0061232B" w:rsidP="001E161B">
      <w:pPr>
        <w:pStyle w:val="Listenabsatz1"/>
        <w:numPr>
          <w:ilvl w:val="0"/>
          <w:numId w:val="32"/>
        </w:numPr>
        <w:spacing w:after="0" w:line="240" w:lineRule="auto"/>
        <w:ind w:left="714" w:hanging="357"/>
        <w:jc w:val="both"/>
        <w:rPr>
          <w:rFonts w:cs="Calibri"/>
          <w:b/>
          <w:szCs w:val="22"/>
        </w:rPr>
      </w:pPr>
      <w:r w:rsidRPr="00FB23FE">
        <w:rPr>
          <w:rFonts w:cs="Calibri"/>
          <w:b/>
          <w:szCs w:val="22"/>
        </w:rPr>
        <w:t>Compared to 2011, are vulnerable populations now more resilient against climate change?</w:t>
      </w:r>
    </w:p>
    <w:p w:rsidR="0061232B" w:rsidRPr="00FB23FE" w:rsidRDefault="0061232B" w:rsidP="001E161B">
      <w:pPr>
        <w:pStyle w:val="Listenabsatz1"/>
        <w:numPr>
          <w:ilvl w:val="0"/>
          <w:numId w:val="32"/>
        </w:numPr>
        <w:spacing w:after="0" w:line="240" w:lineRule="auto"/>
        <w:ind w:left="714" w:hanging="357"/>
        <w:jc w:val="both"/>
        <w:rPr>
          <w:rFonts w:cs="Calibri"/>
          <w:b/>
          <w:szCs w:val="22"/>
        </w:rPr>
      </w:pPr>
      <w:r w:rsidRPr="00FB23FE">
        <w:rPr>
          <w:rFonts w:cs="Calibri"/>
          <w:b/>
          <w:szCs w:val="22"/>
        </w:rPr>
        <w:t>Compared to 2011, are vulnerable populations now more resilient against natural disasters?</w:t>
      </w:r>
    </w:p>
    <w:p w:rsidR="0061232B" w:rsidRPr="00FB23FE" w:rsidRDefault="0061232B" w:rsidP="001E161B">
      <w:pPr>
        <w:pStyle w:val="Listenabsatz1"/>
        <w:numPr>
          <w:ilvl w:val="0"/>
          <w:numId w:val="32"/>
        </w:numPr>
        <w:spacing w:after="0" w:line="240" w:lineRule="auto"/>
        <w:ind w:left="714" w:hanging="357"/>
        <w:jc w:val="both"/>
        <w:rPr>
          <w:rFonts w:cs="Calibri"/>
          <w:b/>
          <w:spacing w:val="-1"/>
          <w:szCs w:val="22"/>
          <w:lang w:val="en-GB"/>
        </w:rPr>
      </w:pPr>
      <w:r w:rsidRPr="00FB23FE">
        <w:rPr>
          <w:rFonts w:cs="Calibri"/>
          <w:b/>
          <w:spacing w:val="-1"/>
          <w:szCs w:val="22"/>
          <w:lang w:val="en-GB"/>
        </w:rPr>
        <w:t xml:space="preserve">To </w:t>
      </w:r>
      <w:r w:rsidRPr="00FB23FE">
        <w:rPr>
          <w:rFonts w:cs="Calibri"/>
          <w:b/>
          <w:szCs w:val="22"/>
        </w:rPr>
        <w:t>what</w:t>
      </w:r>
      <w:r w:rsidRPr="00FB23FE">
        <w:rPr>
          <w:rFonts w:cs="Calibri"/>
          <w:b/>
          <w:spacing w:val="-1"/>
          <w:szCs w:val="22"/>
          <w:lang w:val="en-GB"/>
        </w:rPr>
        <w:t xml:space="preserve"> extent are these changes due to UNDP's interventions?</w:t>
      </w:r>
    </w:p>
    <w:p w:rsidR="0061232B" w:rsidRPr="00FB23FE" w:rsidRDefault="0061232B" w:rsidP="0061232B">
      <w:pPr>
        <w:spacing w:after="0" w:line="240" w:lineRule="auto"/>
        <w:jc w:val="both"/>
        <w:rPr>
          <w:rFonts w:cs="Calibri"/>
        </w:rPr>
      </w:pPr>
    </w:p>
    <w:p w:rsidR="0061232B" w:rsidRPr="00FB23FE" w:rsidRDefault="0061232B" w:rsidP="0061232B">
      <w:pPr>
        <w:spacing w:after="0" w:line="240" w:lineRule="auto"/>
        <w:jc w:val="both"/>
        <w:rPr>
          <w:rFonts w:cs="Calibri"/>
          <w:i/>
        </w:rPr>
      </w:pPr>
      <w:r w:rsidRPr="00FB23FE">
        <w:rPr>
          <w:rFonts w:cs="Calibri"/>
          <w:i/>
        </w:rPr>
        <w:t>Efficiency in delivering outputs:</w:t>
      </w:r>
    </w:p>
    <w:p w:rsidR="0061232B" w:rsidRPr="00FB23FE" w:rsidRDefault="0061232B" w:rsidP="001E161B">
      <w:pPr>
        <w:pStyle w:val="Listenabsatz1"/>
        <w:numPr>
          <w:ilvl w:val="0"/>
          <w:numId w:val="32"/>
        </w:numPr>
        <w:spacing w:after="0" w:line="240" w:lineRule="auto"/>
        <w:ind w:left="714" w:hanging="357"/>
        <w:jc w:val="both"/>
        <w:rPr>
          <w:rFonts w:cs="Calibri"/>
          <w:b/>
          <w:szCs w:val="22"/>
        </w:rPr>
      </w:pPr>
      <w:r w:rsidRPr="00FB23FE">
        <w:rPr>
          <w:rFonts w:cs="Calibri"/>
          <w:b/>
          <w:szCs w:val="22"/>
        </w:rPr>
        <w:t>To what extent were the relevant programme/project outputs delivered in time and in good quality?</w:t>
      </w:r>
    </w:p>
    <w:p w:rsidR="0061232B" w:rsidRPr="00FB23FE" w:rsidRDefault="0061232B" w:rsidP="001E161B">
      <w:pPr>
        <w:pStyle w:val="Listenabsatz1"/>
        <w:numPr>
          <w:ilvl w:val="0"/>
          <w:numId w:val="32"/>
        </w:numPr>
        <w:spacing w:after="0" w:line="240" w:lineRule="auto"/>
        <w:ind w:left="714" w:hanging="357"/>
        <w:jc w:val="both"/>
        <w:rPr>
          <w:rFonts w:cs="Calibri"/>
          <w:b/>
          <w:szCs w:val="22"/>
        </w:rPr>
      </w:pPr>
      <w:r w:rsidRPr="00FB23FE">
        <w:rPr>
          <w:rFonts w:cs="Calibri"/>
          <w:b/>
          <w:szCs w:val="22"/>
        </w:rPr>
        <w:t>To what extent did UNDP ensure value for money?</w:t>
      </w:r>
    </w:p>
    <w:p w:rsidR="0061232B" w:rsidRPr="00FB23FE" w:rsidRDefault="0061232B" w:rsidP="001E161B">
      <w:pPr>
        <w:pStyle w:val="Listenabsatz1"/>
        <w:numPr>
          <w:ilvl w:val="0"/>
          <w:numId w:val="32"/>
        </w:numPr>
        <w:spacing w:after="0" w:line="240" w:lineRule="auto"/>
        <w:ind w:left="714" w:hanging="357"/>
        <w:jc w:val="both"/>
        <w:rPr>
          <w:rFonts w:cs="Calibri"/>
          <w:b/>
          <w:szCs w:val="22"/>
        </w:rPr>
      </w:pPr>
      <w:r w:rsidRPr="00FB23FE">
        <w:rPr>
          <w:rFonts w:cs="Calibri"/>
          <w:b/>
          <w:szCs w:val="22"/>
        </w:rPr>
        <w:t>Has there been any duplication of efforts among UNDP’s own interventions and interventions delivered by other organizations or entities in contributing to the outcome?</w:t>
      </w:r>
    </w:p>
    <w:p w:rsidR="0061232B" w:rsidRPr="00FB23FE" w:rsidRDefault="0061232B" w:rsidP="0061232B">
      <w:pPr>
        <w:spacing w:after="0" w:line="240" w:lineRule="auto"/>
        <w:jc w:val="both"/>
        <w:rPr>
          <w:rFonts w:cs="Calibri"/>
        </w:rPr>
      </w:pPr>
    </w:p>
    <w:p w:rsidR="0061232B" w:rsidRPr="00FB23FE" w:rsidRDefault="0061232B" w:rsidP="0061232B">
      <w:pPr>
        <w:spacing w:after="0" w:line="240" w:lineRule="auto"/>
        <w:jc w:val="both"/>
        <w:rPr>
          <w:rFonts w:cs="Calibri"/>
          <w:i/>
        </w:rPr>
      </w:pPr>
      <w:r w:rsidRPr="00FB23FE">
        <w:rPr>
          <w:rFonts w:cs="Calibri"/>
          <w:i/>
        </w:rPr>
        <w:t>Sustainability of the outcome:</w:t>
      </w:r>
    </w:p>
    <w:p w:rsidR="0061232B" w:rsidRPr="00FB23FE" w:rsidRDefault="0061232B" w:rsidP="001E161B">
      <w:pPr>
        <w:pStyle w:val="Listenabsatz1"/>
        <w:numPr>
          <w:ilvl w:val="0"/>
          <w:numId w:val="32"/>
        </w:numPr>
        <w:spacing w:after="0" w:line="240" w:lineRule="auto"/>
        <w:ind w:left="714" w:hanging="357"/>
        <w:jc w:val="both"/>
        <w:rPr>
          <w:rFonts w:cs="Calibri"/>
          <w:b/>
          <w:szCs w:val="22"/>
        </w:rPr>
      </w:pPr>
      <w:r w:rsidRPr="00FB23FE">
        <w:rPr>
          <w:rFonts w:cs="Calibri"/>
          <w:b/>
          <w:szCs w:val="22"/>
        </w:rPr>
        <w:t xml:space="preserve">What indications are there that the outcome will be sustained </w:t>
      </w:r>
      <w:r w:rsidRPr="00FB23FE">
        <w:rPr>
          <w:rFonts w:eastAsia="Calibri" w:cs="Calibri"/>
          <w:b/>
          <w:szCs w:val="22"/>
          <w:lang w:eastAsia="en-US"/>
        </w:rPr>
        <w:t>after external funding ends</w:t>
      </w:r>
      <w:r w:rsidRPr="00FB23FE">
        <w:rPr>
          <w:rFonts w:cs="Calibri"/>
          <w:b/>
          <w:szCs w:val="22"/>
        </w:rPr>
        <w:t>?</w:t>
      </w:r>
    </w:p>
    <w:p w:rsidR="0061232B" w:rsidRPr="00FB23FE" w:rsidRDefault="0061232B" w:rsidP="0061232B">
      <w:pPr>
        <w:pStyle w:val="Listenabsatz1"/>
        <w:spacing w:after="0" w:line="240" w:lineRule="auto"/>
        <w:ind w:left="0"/>
        <w:jc w:val="both"/>
        <w:rPr>
          <w:rFonts w:cs="Calibri"/>
          <w:b/>
          <w:szCs w:val="22"/>
        </w:rPr>
      </w:pPr>
    </w:p>
    <w:p w:rsidR="0061232B" w:rsidRPr="00FB23FE" w:rsidRDefault="0061232B" w:rsidP="0061232B">
      <w:pPr>
        <w:autoSpaceDE w:val="0"/>
        <w:autoSpaceDN w:val="0"/>
        <w:adjustRightInd w:val="0"/>
        <w:spacing w:after="0" w:line="240" w:lineRule="auto"/>
        <w:jc w:val="both"/>
        <w:rPr>
          <w:rFonts w:cs="Calibri"/>
          <w:i/>
        </w:rPr>
      </w:pPr>
      <w:r w:rsidRPr="00FB23FE">
        <w:rPr>
          <w:rFonts w:cs="Calibri"/>
          <w:i/>
        </w:rPr>
        <w:t>Country Programme Outcome 3.2/UNDAF Outcome 5.2</w:t>
      </w:r>
    </w:p>
    <w:p w:rsidR="0061232B" w:rsidRPr="00FB23FE" w:rsidRDefault="0061232B" w:rsidP="0061232B">
      <w:pPr>
        <w:autoSpaceDE w:val="0"/>
        <w:autoSpaceDN w:val="0"/>
        <w:adjustRightInd w:val="0"/>
        <w:spacing w:after="0" w:line="240" w:lineRule="auto"/>
        <w:jc w:val="both"/>
        <w:rPr>
          <w:rFonts w:cs="Calibri"/>
          <w:i/>
        </w:rPr>
      </w:pPr>
      <w:r w:rsidRPr="00FB23FE">
        <w:rPr>
          <w:rFonts w:cs="Calibri"/>
          <w:b/>
        </w:rPr>
        <w:t>By 2016, vulnerable populations benefit from better natural resource management and access to low carbon energy</w:t>
      </w:r>
    </w:p>
    <w:p w:rsidR="0061232B" w:rsidRPr="00FB23FE" w:rsidRDefault="0061232B" w:rsidP="0061232B">
      <w:pPr>
        <w:autoSpaceDE w:val="0"/>
        <w:autoSpaceDN w:val="0"/>
        <w:adjustRightInd w:val="0"/>
        <w:spacing w:after="0" w:line="240" w:lineRule="auto"/>
        <w:jc w:val="both"/>
        <w:rPr>
          <w:rFonts w:cs="Calibri"/>
        </w:rPr>
      </w:pPr>
    </w:p>
    <w:p w:rsidR="0061232B" w:rsidRPr="00FB23FE" w:rsidRDefault="0061232B" w:rsidP="0061232B">
      <w:pPr>
        <w:spacing w:after="0" w:line="240" w:lineRule="auto"/>
        <w:jc w:val="both"/>
        <w:rPr>
          <w:rFonts w:cs="Calibri"/>
        </w:rPr>
      </w:pPr>
      <w:r w:rsidRPr="00FB23FE">
        <w:rPr>
          <w:rFonts w:cs="Calibri"/>
        </w:rPr>
        <w:t>The outcome formulation contains different elements. That is why the outcome formulation needs to answer evaluation questions from at least two perspectives:</w:t>
      </w:r>
    </w:p>
    <w:p w:rsidR="0061232B" w:rsidRPr="00FB23FE" w:rsidRDefault="0061232B" w:rsidP="001E161B">
      <w:pPr>
        <w:pStyle w:val="ListParagraph"/>
        <w:numPr>
          <w:ilvl w:val="0"/>
          <w:numId w:val="33"/>
        </w:numPr>
        <w:spacing w:after="0" w:line="240" w:lineRule="auto"/>
        <w:jc w:val="both"/>
        <w:rPr>
          <w:rFonts w:cs="Calibri"/>
        </w:rPr>
      </w:pPr>
      <w:r w:rsidRPr="00FB23FE">
        <w:rPr>
          <w:rFonts w:cs="Calibri"/>
        </w:rPr>
        <w:t xml:space="preserve">better </w:t>
      </w:r>
      <w:r w:rsidRPr="00FB23FE">
        <w:rPr>
          <w:rFonts w:cs="Calibri"/>
          <w:i/>
        </w:rPr>
        <w:t>natural resource management</w:t>
      </w:r>
    </w:p>
    <w:p w:rsidR="0061232B" w:rsidRPr="00FB23FE" w:rsidRDefault="0061232B" w:rsidP="001E161B">
      <w:pPr>
        <w:pStyle w:val="ListParagraph"/>
        <w:numPr>
          <w:ilvl w:val="0"/>
          <w:numId w:val="33"/>
        </w:numPr>
        <w:spacing w:after="0" w:line="240" w:lineRule="auto"/>
        <w:jc w:val="both"/>
        <w:rPr>
          <w:rFonts w:cs="Calibri"/>
        </w:rPr>
      </w:pPr>
      <w:r w:rsidRPr="00FB23FE">
        <w:rPr>
          <w:rFonts w:cs="Calibri"/>
        </w:rPr>
        <w:t xml:space="preserve">better </w:t>
      </w:r>
      <w:r w:rsidRPr="00FB23FE">
        <w:rPr>
          <w:rFonts w:cs="Calibri"/>
          <w:i/>
        </w:rPr>
        <w:t>access to low carbon energy</w:t>
      </w:r>
    </w:p>
    <w:p w:rsidR="0061232B" w:rsidRPr="00FB23FE" w:rsidRDefault="0061232B" w:rsidP="0061232B">
      <w:pPr>
        <w:spacing w:after="0" w:line="240" w:lineRule="auto"/>
        <w:jc w:val="both"/>
        <w:rPr>
          <w:rFonts w:cs="Calibri"/>
          <w:i/>
        </w:rPr>
      </w:pPr>
    </w:p>
    <w:p w:rsidR="0061232B" w:rsidRPr="00FB23FE" w:rsidRDefault="0061232B" w:rsidP="0061232B">
      <w:pPr>
        <w:spacing w:after="0" w:line="240" w:lineRule="auto"/>
        <w:jc w:val="both"/>
        <w:rPr>
          <w:rFonts w:cs="Calibri"/>
        </w:rPr>
      </w:pPr>
      <w:r w:rsidRPr="00FB23FE">
        <w:rPr>
          <w:rFonts w:cs="Calibri"/>
          <w:i/>
        </w:rPr>
        <w:t>Relevance of UNDP's involvement and approach:</w:t>
      </w:r>
    </w:p>
    <w:p w:rsidR="0061232B" w:rsidRDefault="0061232B" w:rsidP="001E161B">
      <w:pPr>
        <w:pStyle w:val="Listenabsatz1"/>
        <w:numPr>
          <w:ilvl w:val="0"/>
          <w:numId w:val="32"/>
        </w:numPr>
        <w:spacing w:after="0" w:line="240" w:lineRule="auto"/>
        <w:ind w:left="714" w:hanging="357"/>
        <w:jc w:val="both"/>
        <w:rPr>
          <w:rFonts w:cs="Calibri"/>
          <w:b/>
          <w:szCs w:val="22"/>
        </w:rPr>
      </w:pPr>
      <w:r w:rsidRPr="00FB23FE">
        <w:rPr>
          <w:rFonts w:cs="Calibri"/>
          <w:b/>
          <w:szCs w:val="22"/>
        </w:rPr>
        <w:t xml:space="preserve">To what extent are UNDP's </w:t>
      </w:r>
      <w:r>
        <w:rPr>
          <w:rFonts w:cs="Calibri"/>
          <w:b/>
          <w:szCs w:val="22"/>
        </w:rPr>
        <w:t>k</w:t>
      </w:r>
      <w:r w:rsidRPr="00FB23FE">
        <w:rPr>
          <w:rFonts w:cs="Calibri"/>
          <w:b/>
          <w:szCs w:val="22"/>
        </w:rPr>
        <w:t xml:space="preserve">ey programmes/projects </w:t>
      </w:r>
      <w:r w:rsidRPr="00FB23FE">
        <w:rPr>
          <w:rFonts w:cs="Calibri"/>
          <w:b/>
          <w:i/>
          <w:szCs w:val="22"/>
        </w:rPr>
        <w:t>relevant</w:t>
      </w:r>
      <w:r w:rsidRPr="00FB23FE">
        <w:rPr>
          <w:rFonts w:cs="Calibri"/>
          <w:b/>
          <w:szCs w:val="22"/>
        </w:rPr>
        <w:t xml:space="preserve"> to increase benefits from better natural resource management and access to low carbon energy?</w:t>
      </w:r>
    </w:p>
    <w:p w:rsidR="0061232B" w:rsidRDefault="0061232B" w:rsidP="0061232B">
      <w:pPr>
        <w:pStyle w:val="Listenabsatz1"/>
        <w:spacing w:after="0" w:line="240" w:lineRule="auto"/>
        <w:ind w:left="714"/>
        <w:jc w:val="both"/>
        <w:rPr>
          <w:rFonts w:cs="Calibri"/>
          <w:b/>
          <w:szCs w:val="22"/>
        </w:rPr>
      </w:pPr>
    </w:p>
    <w:p w:rsidR="0061232B" w:rsidRPr="00FB23FE" w:rsidRDefault="0061232B" w:rsidP="0061232B">
      <w:pPr>
        <w:spacing w:after="0" w:line="240" w:lineRule="auto"/>
        <w:jc w:val="both"/>
        <w:rPr>
          <w:rFonts w:cs="Calibri"/>
        </w:rPr>
      </w:pPr>
      <w:r w:rsidRPr="00FB23FE">
        <w:rPr>
          <w:rFonts w:cs="Calibri"/>
          <w:i/>
        </w:rPr>
        <w:t>Effectiveness in contributing to the achievement of the outcome:</w:t>
      </w:r>
    </w:p>
    <w:p w:rsidR="0061232B" w:rsidRPr="00FB23FE" w:rsidRDefault="0061232B" w:rsidP="001E161B">
      <w:pPr>
        <w:pStyle w:val="Listenabsatz1"/>
        <w:numPr>
          <w:ilvl w:val="0"/>
          <w:numId w:val="32"/>
        </w:numPr>
        <w:spacing w:after="0" w:line="240" w:lineRule="auto"/>
        <w:ind w:left="714" w:hanging="357"/>
        <w:jc w:val="both"/>
        <w:rPr>
          <w:rFonts w:cs="Calibri"/>
          <w:b/>
          <w:szCs w:val="22"/>
        </w:rPr>
      </w:pPr>
      <w:r w:rsidRPr="00FB23FE">
        <w:rPr>
          <w:rFonts w:cs="Calibri"/>
          <w:b/>
          <w:szCs w:val="22"/>
        </w:rPr>
        <w:t xml:space="preserve">Compared to 2011, to what extent do vulnerable populations now benefit more from better natural resource management? </w:t>
      </w:r>
    </w:p>
    <w:p w:rsidR="0061232B" w:rsidRPr="00FB23FE" w:rsidRDefault="0061232B" w:rsidP="001E161B">
      <w:pPr>
        <w:pStyle w:val="Listenabsatz1"/>
        <w:numPr>
          <w:ilvl w:val="0"/>
          <w:numId w:val="32"/>
        </w:numPr>
        <w:spacing w:after="0" w:line="240" w:lineRule="auto"/>
        <w:ind w:left="714" w:hanging="357"/>
        <w:jc w:val="both"/>
        <w:rPr>
          <w:rFonts w:cs="Calibri"/>
          <w:b/>
          <w:szCs w:val="22"/>
        </w:rPr>
      </w:pPr>
      <w:r w:rsidRPr="00FB23FE">
        <w:rPr>
          <w:rFonts w:cs="Calibri"/>
          <w:b/>
          <w:szCs w:val="22"/>
        </w:rPr>
        <w:t xml:space="preserve">Compared to 2011, to what extent do vulnerable populations now benefit from better access to low carbon energy? </w:t>
      </w:r>
    </w:p>
    <w:p w:rsidR="0061232B" w:rsidRPr="00FB23FE" w:rsidRDefault="0061232B" w:rsidP="001E161B">
      <w:pPr>
        <w:pStyle w:val="Listenabsatz1"/>
        <w:numPr>
          <w:ilvl w:val="0"/>
          <w:numId w:val="32"/>
        </w:numPr>
        <w:spacing w:after="0" w:line="240" w:lineRule="auto"/>
        <w:ind w:left="714" w:hanging="357"/>
        <w:jc w:val="both"/>
        <w:rPr>
          <w:rFonts w:cs="Calibri"/>
          <w:b/>
          <w:spacing w:val="-1"/>
          <w:szCs w:val="22"/>
          <w:lang w:val="en-GB"/>
        </w:rPr>
      </w:pPr>
      <w:r w:rsidRPr="00FB23FE">
        <w:rPr>
          <w:rFonts w:cs="Calibri"/>
          <w:b/>
          <w:spacing w:val="-1"/>
          <w:szCs w:val="22"/>
          <w:lang w:val="en-GB"/>
        </w:rPr>
        <w:lastRenderedPageBreak/>
        <w:t xml:space="preserve">To </w:t>
      </w:r>
      <w:r w:rsidRPr="00FB23FE">
        <w:rPr>
          <w:rFonts w:cs="Calibri"/>
          <w:b/>
          <w:szCs w:val="22"/>
        </w:rPr>
        <w:t>what</w:t>
      </w:r>
      <w:r w:rsidRPr="00FB23FE">
        <w:rPr>
          <w:rFonts w:cs="Calibri"/>
          <w:b/>
          <w:spacing w:val="-1"/>
          <w:szCs w:val="22"/>
          <w:lang w:val="en-GB"/>
        </w:rPr>
        <w:t xml:space="preserve"> extent are these changes due to UNDP's interventions?</w:t>
      </w:r>
    </w:p>
    <w:p w:rsidR="0061232B" w:rsidRPr="00FB23FE" w:rsidRDefault="0061232B" w:rsidP="0061232B">
      <w:pPr>
        <w:spacing w:after="0" w:line="240" w:lineRule="auto"/>
        <w:jc w:val="both"/>
        <w:rPr>
          <w:rFonts w:cs="Calibri"/>
        </w:rPr>
      </w:pPr>
    </w:p>
    <w:p w:rsidR="0061232B" w:rsidRPr="00FB23FE" w:rsidRDefault="0061232B" w:rsidP="0061232B">
      <w:pPr>
        <w:spacing w:after="0" w:line="240" w:lineRule="auto"/>
        <w:jc w:val="both"/>
        <w:rPr>
          <w:rFonts w:cs="Calibri"/>
          <w:i/>
        </w:rPr>
      </w:pPr>
      <w:r w:rsidRPr="00FB23FE">
        <w:rPr>
          <w:rFonts w:cs="Calibri"/>
          <w:i/>
        </w:rPr>
        <w:t>Efficiency in delivering outputs:</w:t>
      </w:r>
    </w:p>
    <w:p w:rsidR="0061232B" w:rsidRPr="00FB23FE" w:rsidRDefault="0061232B" w:rsidP="001E161B">
      <w:pPr>
        <w:pStyle w:val="Listenabsatz1"/>
        <w:numPr>
          <w:ilvl w:val="0"/>
          <w:numId w:val="32"/>
        </w:numPr>
        <w:spacing w:after="0" w:line="240" w:lineRule="auto"/>
        <w:ind w:left="714" w:hanging="357"/>
        <w:jc w:val="both"/>
        <w:rPr>
          <w:rFonts w:cs="Calibri"/>
          <w:b/>
          <w:szCs w:val="22"/>
        </w:rPr>
      </w:pPr>
      <w:r w:rsidRPr="00FB23FE">
        <w:rPr>
          <w:rFonts w:cs="Calibri"/>
          <w:b/>
          <w:szCs w:val="22"/>
        </w:rPr>
        <w:t>To what extent were the relevant programme/project outputs delivered in time and in good quality?</w:t>
      </w:r>
    </w:p>
    <w:p w:rsidR="0061232B" w:rsidRPr="00FB23FE" w:rsidRDefault="0061232B" w:rsidP="001E161B">
      <w:pPr>
        <w:pStyle w:val="Listenabsatz1"/>
        <w:numPr>
          <w:ilvl w:val="0"/>
          <w:numId w:val="32"/>
        </w:numPr>
        <w:spacing w:after="0" w:line="240" w:lineRule="auto"/>
        <w:ind w:left="714" w:hanging="357"/>
        <w:jc w:val="both"/>
        <w:rPr>
          <w:rFonts w:cs="Calibri"/>
          <w:b/>
          <w:szCs w:val="22"/>
        </w:rPr>
      </w:pPr>
      <w:r w:rsidRPr="00FB23FE">
        <w:rPr>
          <w:rFonts w:cs="Calibri"/>
          <w:b/>
          <w:szCs w:val="22"/>
        </w:rPr>
        <w:t>To what extent did UNDP ensure value for money?</w:t>
      </w:r>
    </w:p>
    <w:p w:rsidR="0061232B" w:rsidRPr="00FB23FE" w:rsidRDefault="0061232B" w:rsidP="001E161B">
      <w:pPr>
        <w:pStyle w:val="Listenabsatz1"/>
        <w:numPr>
          <w:ilvl w:val="0"/>
          <w:numId w:val="32"/>
        </w:numPr>
        <w:spacing w:after="0" w:line="240" w:lineRule="auto"/>
        <w:ind w:left="714" w:hanging="357"/>
        <w:jc w:val="both"/>
        <w:rPr>
          <w:rFonts w:cs="Calibri"/>
          <w:b/>
          <w:szCs w:val="22"/>
        </w:rPr>
      </w:pPr>
      <w:r w:rsidRPr="00FB23FE">
        <w:rPr>
          <w:rFonts w:cs="Calibri"/>
          <w:b/>
          <w:szCs w:val="22"/>
        </w:rPr>
        <w:t>Has there been any duplication of efforts among UNDP’s own interventions and interventions delivered by other organizations or entities in contributing to the outcome?</w:t>
      </w:r>
    </w:p>
    <w:p w:rsidR="0061232B" w:rsidRPr="00FB23FE" w:rsidRDefault="0061232B" w:rsidP="0061232B">
      <w:pPr>
        <w:spacing w:after="0" w:line="240" w:lineRule="auto"/>
        <w:jc w:val="both"/>
        <w:rPr>
          <w:rFonts w:cs="Calibri"/>
        </w:rPr>
      </w:pPr>
    </w:p>
    <w:p w:rsidR="0061232B" w:rsidRPr="00FB23FE" w:rsidRDefault="0061232B" w:rsidP="0061232B">
      <w:pPr>
        <w:spacing w:after="0" w:line="240" w:lineRule="auto"/>
        <w:jc w:val="both"/>
        <w:rPr>
          <w:rFonts w:cs="Calibri"/>
          <w:i/>
        </w:rPr>
      </w:pPr>
      <w:r w:rsidRPr="00FB23FE">
        <w:rPr>
          <w:rFonts w:cs="Calibri"/>
          <w:i/>
        </w:rPr>
        <w:t>Sustainability of the outcome:</w:t>
      </w:r>
    </w:p>
    <w:p w:rsidR="0061232B" w:rsidRPr="00FB23FE" w:rsidRDefault="0061232B" w:rsidP="001E161B">
      <w:pPr>
        <w:pStyle w:val="Listenabsatz1"/>
        <w:numPr>
          <w:ilvl w:val="0"/>
          <w:numId w:val="32"/>
        </w:numPr>
        <w:spacing w:after="0" w:line="240" w:lineRule="auto"/>
        <w:ind w:left="714" w:hanging="357"/>
        <w:jc w:val="both"/>
        <w:rPr>
          <w:rFonts w:cs="Calibri"/>
          <w:b/>
          <w:szCs w:val="22"/>
        </w:rPr>
      </w:pPr>
      <w:r w:rsidRPr="00FB23FE">
        <w:rPr>
          <w:rFonts w:cs="Calibri"/>
          <w:b/>
          <w:szCs w:val="22"/>
        </w:rPr>
        <w:t xml:space="preserve">What indications are there that the outcome will be sustained </w:t>
      </w:r>
      <w:r w:rsidRPr="00FB23FE">
        <w:rPr>
          <w:rFonts w:eastAsia="Calibri" w:cs="Calibri"/>
          <w:b/>
          <w:szCs w:val="22"/>
          <w:lang w:eastAsia="en-US"/>
        </w:rPr>
        <w:t>after external funding ends</w:t>
      </w:r>
      <w:r w:rsidRPr="00FB23FE">
        <w:rPr>
          <w:rFonts w:cs="Calibri"/>
          <w:b/>
          <w:szCs w:val="22"/>
        </w:rPr>
        <w:t xml:space="preserve">? </w:t>
      </w:r>
    </w:p>
    <w:p w:rsidR="0061232B" w:rsidRPr="00FB23FE" w:rsidRDefault="0061232B" w:rsidP="0061232B">
      <w:pPr>
        <w:spacing w:after="0" w:line="240" w:lineRule="auto"/>
        <w:jc w:val="both"/>
        <w:rPr>
          <w:rFonts w:cs="Calibri"/>
        </w:rPr>
      </w:pPr>
    </w:p>
    <w:p w:rsidR="0061232B" w:rsidRPr="00FB23FE" w:rsidRDefault="0061232B" w:rsidP="0061232B">
      <w:pPr>
        <w:spacing w:after="0" w:line="240" w:lineRule="auto"/>
        <w:jc w:val="both"/>
        <w:rPr>
          <w:rFonts w:cs="Calibri"/>
        </w:rPr>
      </w:pPr>
      <w:r w:rsidRPr="00FB23FE">
        <w:rPr>
          <w:rFonts w:cs="Calibri"/>
        </w:rPr>
        <w:t xml:space="preserve">In addition, the evaluation should also consider if and how UNDP promoted </w:t>
      </w:r>
      <w:r w:rsidRPr="00FB23FE">
        <w:rPr>
          <w:rFonts w:cs="Calibri"/>
          <w:b/>
        </w:rPr>
        <w:t>gender equality, human rights</w:t>
      </w:r>
      <w:r w:rsidRPr="00FB23FE">
        <w:rPr>
          <w:rFonts w:cs="Calibri"/>
        </w:rPr>
        <w:t xml:space="preserve"> and </w:t>
      </w:r>
      <w:r w:rsidRPr="00FB23FE">
        <w:rPr>
          <w:rFonts w:cs="Calibri"/>
          <w:b/>
        </w:rPr>
        <w:t>human development</w:t>
      </w:r>
      <w:r w:rsidRPr="00FB23FE">
        <w:rPr>
          <w:rFonts w:cs="Calibri"/>
        </w:rPr>
        <w:t xml:space="preserve"> in the delivery of outputs.</w:t>
      </w:r>
    </w:p>
    <w:p w:rsidR="0061232B" w:rsidRPr="00FB23FE" w:rsidRDefault="0061232B" w:rsidP="0061232B">
      <w:pPr>
        <w:spacing w:after="0" w:line="240" w:lineRule="auto"/>
        <w:jc w:val="both"/>
        <w:rPr>
          <w:rFonts w:cs="Calibri"/>
        </w:rPr>
      </w:pPr>
    </w:p>
    <w:p w:rsidR="0061232B" w:rsidRPr="00FB23FE" w:rsidRDefault="0061232B" w:rsidP="0061232B">
      <w:pPr>
        <w:tabs>
          <w:tab w:val="left" w:pos="360"/>
        </w:tabs>
        <w:suppressAutoHyphens/>
        <w:overflowPunct w:val="0"/>
        <w:autoSpaceDE w:val="0"/>
        <w:autoSpaceDN w:val="0"/>
        <w:adjustRightInd w:val="0"/>
        <w:spacing w:after="0" w:line="240" w:lineRule="auto"/>
        <w:jc w:val="both"/>
        <w:textAlignment w:val="baseline"/>
        <w:rPr>
          <w:rFonts w:cs="Calibri"/>
          <w:b/>
        </w:rPr>
      </w:pPr>
      <w:r w:rsidRPr="00FB23FE">
        <w:rPr>
          <w:rFonts w:cs="Calibri"/>
          <w:b/>
        </w:rPr>
        <w:t xml:space="preserve">3. Methodology </w:t>
      </w:r>
    </w:p>
    <w:p w:rsidR="0061232B" w:rsidRPr="00FB23FE" w:rsidRDefault="0061232B" w:rsidP="0061232B">
      <w:pPr>
        <w:spacing w:after="0" w:line="240" w:lineRule="auto"/>
        <w:jc w:val="both"/>
        <w:rPr>
          <w:rFonts w:cs="Calibri"/>
        </w:rPr>
      </w:pPr>
    </w:p>
    <w:p w:rsidR="0061232B" w:rsidRPr="00FB23FE" w:rsidRDefault="0061232B" w:rsidP="0061232B">
      <w:pPr>
        <w:spacing w:after="0" w:line="240" w:lineRule="auto"/>
        <w:jc w:val="both"/>
        <w:rPr>
          <w:rFonts w:cs="Calibri"/>
        </w:rPr>
      </w:pPr>
      <w:r w:rsidRPr="00FB23FE">
        <w:rPr>
          <w:rFonts w:cs="Calibri"/>
        </w:rPr>
        <w:t xml:space="preserve">The suggested approach and method for conducting this evaluation is to use a </w:t>
      </w:r>
      <w:r w:rsidRPr="00FB23FE">
        <w:rPr>
          <w:rFonts w:cs="Calibri"/>
          <w:b/>
        </w:rPr>
        <w:t>multi-level, mixed-method approach</w:t>
      </w:r>
      <w:r w:rsidRPr="00FB23FE">
        <w:rPr>
          <w:rStyle w:val="FootnoteReference"/>
          <w:rFonts w:cs="Calibri"/>
          <w:b/>
        </w:rPr>
        <w:footnoteReference w:id="105"/>
      </w:r>
      <w:r w:rsidRPr="00FB23FE">
        <w:rPr>
          <w:rFonts w:cs="Calibri"/>
          <w:b/>
        </w:rPr>
        <w:t xml:space="preserve">. </w:t>
      </w:r>
      <w:r w:rsidRPr="00FB23FE">
        <w:rPr>
          <w:rFonts w:cs="Calibri"/>
        </w:rPr>
        <w:t xml:space="preserve">This includescollecting both </w:t>
      </w:r>
      <w:r w:rsidRPr="00FB23FE">
        <w:rPr>
          <w:rFonts w:cs="Calibri"/>
          <w:b/>
        </w:rPr>
        <w:t>quantitative and qualitative data sets</w:t>
      </w:r>
      <w:r w:rsidRPr="00FB23FE">
        <w:rPr>
          <w:rFonts w:cs="Calibri"/>
        </w:rPr>
        <w:t xml:space="preserve"> on multiple levels that will need to be validated and triangulated. The overall guidance on evaluation methodologies is found in the UNDP Handboo</w:t>
      </w:r>
      <w:r>
        <w:rPr>
          <w:rFonts w:cs="Calibri"/>
        </w:rPr>
        <w:t>k</w:t>
      </w:r>
      <w:r w:rsidRPr="00FB23FE">
        <w:rPr>
          <w:rFonts w:cs="Calibri"/>
        </w:rPr>
        <w:t xml:space="preserve"> on Planning, Monitoring and Evaluating for Development Results.</w:t>
      </w:r>
    </w:p>
    <w:p w:rsidR="0061232B" w:rsidRPr="00FB23FE" w:rsidRDefault="0061232B" w:rsidP="0061232B">
      <w:pPr>
        <w:spacing w:after="0" w:line="240" w:lineRule="auto"/>
        <w:jc w:val="both"/>
        <w:rPr>
          <w:rFonts w:cs="Calibri"/>
        </w:rPr>
      </w:pPr>
    </w:p>
    <w:p w:rsidR="0061232B" w:rsidRPr="00FB23FE" w:rsidRDefault="0061232B" w:rsidP="0061232B">
      <w:pPr>
        <w:spacing w:after="0" w:line="240" w:lineRule="auto"/>
        <w:jc w:val="both"/>
        <w:rPr>
          <w:rFonts w:cs="Calibri"/>
        </w:rPr>
      </w:pPr>
      <w:r w:rsidRPr="00FB23FE">
        <w:rPr>
          <w:rFonts w:cs="Calibri"/>
        </w:rPr>
        <w:t xml:space="preserve">It is for the evaluation team to examine and determine the </w:t>
      </w:r>
      <w:r w:rsidRPr="00FB23FE">
        <w:rPr>
          <w:rFonts w:cs="Calibri"/>
          <w:b/>
        </w:rPr>
        <w:t>specific design and methods</w:t>
      </w:r>
      <w:r w:rsidRPr="00FB23FE">
        <w:rPr>
          <w:rFonts w:cs="Calibri"/>
        </w:rPr>
        <w:t xml:space="preserve"> for this mid-term outcome evaluation during the initial inception period in close consultation with the programme Cluster. During the inception phase, the evaluation team will elaborate a detailed methodology how to </w:t>
      </w:r>
      <w:r w:rsidRPr="00FB23FE">
        <w:rPr>
          <w:rFonts w:cs="Calibri"/>
          <w:b/>
        </w:rPr>
        <w:t>answer each evaluation question</w:t>
      </w:r>
      <w:r w:rsidRPr="00FB23FE">
        <w:rPr>
          <w:rFonts w:cs="Calibri"/>
        </w:rPr>
        <w:t xml:space="preserve">. </w:t>
      </w:r>
    </w:p>
    <w:p w:rsidR="0061232B" w:rsidRPr="00FB23FE" w:rsidRDefault="0061232B" w:rsidP="0061232B">
      <w:pPr>
        <w:spacing w:after="0" w:line="240" w:lineRule="auto"/>
        <w:jc w:val="both"/>
        <w:rPr>
          <w:rFonts w:cs="Calibri"/>
        </w:rPr>
      </w:pPr>
    </w:p>
    <w:p w:rsidR="0061232B" w:rsidRPr="00FB23FE" w:rsidRDefault="0061232B" w:rsidP="0061232B">
      <w:pPr>
        <w:spacing w:after="0" w:line="240" w:lineRule="auto"/>
        <w:jc w:val="both"/>
        <w:rPr>
          <w:rFonts w:cs="Calibri"/>
        </w:rPr>
      </w:pPr>
      <w:r w:rsidRPr="00FB23FE">
        <w:rPr>
          <w:rFonts w:cs="Calibri"/>
        </w:rPr>
        <w:t>The following data collection methods and analysis should be applied, but not limited to:</w:t>
      </w:r>
    </w:p>
    <w:p w:rsidR="0061232B" w:rsidRPr="00FB23FE" w:rsidRDefault="0061232B" w:rsidP="001E161B">
      <w:pPr>
        <w:pStyle w:val="Listenabsatz1"/>
        <w:numPr>
          <w:ilvl w:val="0"/>
          <w:numId w:val="32"/>
        </w:numPr>
        <w:spacing w:after="0" w:line="240" w:lineRule="auto"/>
        <w:jc w:val="both"/>
        <w:rPr>
          <w:rFonts w:cs="Calibri"/>
          <w:szCs w:val="22"/>
        </w:rPr>
      </w:pPr>
      <w:r w:rsidRPr="00FB23FE">
        <w:rPr>
          <w:rFonts w:cs="Calibri"/>
          <w:b/>
          <w:szCs w:val="22"/>
        </w:rPr>
        <w:t>Des</w:t>
      </w:r>
      <w:r>
        <w:rPr>
          <w:rFonts w:cs="Calibri"/>
          <w:b/>
          <w:szCs w:val="22"/>
        </w:rPr>
        <w:t>k</w:t>
      </w:r>
      <w:r w:rsidRPr="00FB23FE">
        <w:rPr>
          <w:rFonts w:cs="Calibri"/>
          <w:b/>
          <w:szCs w:val="22"/>
        </w:rPr>
        <w:t xml:space="preserve"> reviews</w:t>
      </w:r>
      <w:r w:rsidRPr="00FB23FE">
        <w:rPr>
          <w:rFonts w:cs="Calibri"/>
          <w:szCs w:val="22"/>
        </w:rPr>
        <w:t xml:space="preserve"> of relevant documents (CPD, UNDAF, relevant project documents, reports of relevant flagship projects, project surveys, studies relating to the country context and situation, evaluation reports, etc.) </w:t>
      </w:r>
    </w:p>
    <w:p w:rsidR="0061232B" w:rsidRPr="00FB23FE" w:rsidRDefault="0061232B" w:rsidP="001E161B">
      <w:pPr>
        <w:pStyle w:val="Listenabsatz1"/>
        <w:numPr>
          <w:ilvl w:val="0"/>
          <w:numId w:val="32"/>
        </w:numPr>
        <w:spacing w:after="0" w:line="240" w:lineRule="auto"/>
        <w:jc w:val="both"/>
        <w:rPr>
          <w:rFonts w:cs="Calibri"/>
          <w:szCs w:val="22"/>
        </w:rPr>
      </w:pPr>
      <w:r>
        <w:rPr>
          <w:rFonts w:cs="Calibri"/>
          <w:b/>
          <w:szCs w:val="22"/>
        </w:rPr>
        <w:t>K</w:t>
      </w:r>
      <w:r w:rsidRPr="00FB23FE">
        <w:rPr>
          <w:rFonts w:cs="Calibri"/>
          <w:b/>
          <w:szCs w:val="22"/>
        </w:rPr>
        <w:t>ey informant interviews</w:t>
      </w:r>
      <w:r w:rsidRPr="00FB23FE">
        <w:rPr>
          <w:rFonts w:cs="Calibri"/>
          <w:szCs w:val="22"/>
        </w:rPr>
        <w:t xml:space="preserve"> and/or </w:t>
      </w:r>
      <w:r w:rsidRPr="00FB23FE">
        <w:rPr>
          <w:rFonts w:cs="Calibri"/>
          <w:b/>
          <w:szCs w:val="22"/>
        </w:rPr>
        <w:t>focus group discussions</w:t>
      </w:r>
      <w:r w:rsidRPr="00FB23FE">
        <w:rPr>
          <w:rFonts w:cs="Calibri"/>
          <w:szCs w:val="22"/>
        </w:rPr>
        <w:t xml:space="preserve"> with beneficiaries or representatives of beneficiaries, government partners both at the central and local levels; development partners/donors including bilateral and multilateral partners (</w:t>
      </w:r>
      <w:hyperlink r:id="rId23" w:history="1">
        <w:r w:rsidRPr="00FB23FE">
          <w:rPr>
            <w:rFonts w:cs="Calibri"/>
            <w:szCs w:val="22"/>
          </w:rPr>
          <w:t>AusAid</w:t>
        </w:r>
      </w:hyperlink>
      <w:r w:rsidRPr="00FB23FE">
        <w:rPr>
          <w:rFonts w:cs="Calibri"/>
          <w:szCs w:val="22"/>
        </w:rPr>
        <w:t xml:space="preserve">, </w:t>
      </w:r>
      <w:hyperlink r:id="rId24" w:history="1">
        <w:r w:rsidRPr="00FB23FE">
          <w:rPr>
            <w:rFonts w:cs="Calibri"/>
            <w:szCs w:val="22"/>
          </w:rPr>
          <w:t>DFID</w:t>
        </w:r>
      </w:hyperlink>
      <w:r w:rsidRPr="00FB23FE">
        <w:rPr>
          <w:rFonts w:cs="Calibri"/>
          <w:szCs w:val="22"/>
        </w:rPr>
        <w:t xml:space="preserve">, </w:t>
      </w:r>
      <w:hyperlink r:id="rId25" w:history="1">
        <w:r w:rsidRPr="00FB23FE">
          <w:rPr>
            <w:rFonts w:cs="Calibri"/>
            <w:szCs w:val="22"/>
          </w:rPr>
          <w:t>European Union</w:t>
        </w:r>
      </w:hyperlink>
      <w:r w:rsidRPr="00FB23FE">
        <w:rPr>
          <w:rFonts w:cs="Calibri"/>
          <w:szCs w:val="22"/>
        </w:rPr>
        <w:t xml:space="preserve">, </w:t>
      </w:r>
      <w:hyperlink r:id="rId26" w:history="1">
        <w:r w:rsidRPr="00FB23FE">
          <w:rPr>
            <w:rFonts w:cs="Calibri"/>
            <w:szCs w:val="22"/>
          </w:rPr>
          <w:t>Norwegian Embassy</w:t>
        </w:r>
      </w:hyperlink>
      <w:r w:rsidRPr="00FB23FE">
        <w:rPr>
          <w:rFonts w:cs="Calibri"/>
          <w:szCs w:val="22"/>
        </w:rPr>
        <w:t xml:space="preserve">, </w:t>
      </w:r>
      <w:hyperlink r:id="rId27" w:history="1">
        <w:r w:rsidRPr="00FB23FE">
          <w:rPr>
            <w:rFonts w:cs="Calibri"/>
            <w:bCs/>
            <w:szCs w:val="22"/>
          </w:rPr>
          <w:t>Sida</w:t>
        </w:r>
      </w:hyperlink>
      <w:r w:rsidRPr="00FB23FE">
        <w:rPr>
          <w:rFonts w:cs="Calibri"/>
          <w:szCs w:val="22"/>
        </w:rPr>
        <w:t>); other UN agencies, NGOs, and CSOs wor</w:t>
      </w:r>
      <w:r>
        <w:rPr>
          <w:rFonts w:cs="Calibri"/>
          <w:szCs w:val="22"/>
        </w:rPr>
        <w:t>k</w:t>
      </w:r>
      <w:r w:rsidRPr="00FB23FE">
        <w:rPr>
          <w:rFonts w:cs="Calibri"/>
          <w:szCs w:val="22"/>
        </w:rPr>
        <w:t xml:space="preserve">ing to contribute to the same outcome; UNDP Country Office’s senior management, programme, and project staff, etc. The selection of interview partners should follow a deliberate </w:t>
      </w:r>
      <w:r w:rsidRPr="00FB23FE">
        <w:rPr>
          <w:rFonts w:cs="Calibri"/>
          <w:i/>
          <w:szCs w:val="22"/>
        </w:rPr>
        <w:t>purposive sampling</w:t>
      </w:r>
      <w:r w:rsidRPr="00FB23FE">
        <w:rPr>
          <w:rFonts w:cs="Calibri"/>
          <w:szCs w:val="22"/>
        </w:rPr>
        <w:t xml:space="preserve"> strategy.</w:t>
      </w:r>
    </w:p>
    <w:p w:rsidR="0061232B" w:rsidRPr="00FB23FE" w:rsidRDefault="0061232B" w:rsidP="001E161B">
      <w:pPr>
        <w:pStyle w:val="Listenabsatz1"/>
        <w:numPr>
          <w:ilvl w:val="0"/>
          <w:numId w:val="32"/>
        </w:numPr>
        <w:spacing w:after="0" w:line="240" w:lineRule="auto"/>
        <w:jc w:val="both"/>
        <w:rPr>
          <w:rFonts w:cs="Calibri"/>
          <w:szCs w:val="22"/>
        </w:rPr>
      </w:pPr>
      <w:r w:rsidRPr="00FB23FE">
        <w:rPr>
          <w:rFonts w:cs="Calibri"/>
          <w:b/>
          <w:szCs w:val="22"/>
        </w:rPr>
        <w:t>Direct observations</w:t>
      </w:r>
      <w:r w:rsidRPr="00FB23FE">
        <w:rPr>
          <w:rFonts w:cs="Calibri"/>
          <w:szCs w:val="22"/>
        </w:rPr>
        <w:t xml:space="preserve"> during visits to national implementing  partners and field visits</w:t>
      </w:r>
    </w:p>
    <w:p w:rsidR="0061232B" w:rsidRPr="00FB23FE" w:rsidRDefault="0061232B" w:rsidP="001E161B">
      <w:pPr>
        <w:pStyle w:val="Listenabsatz1"/>
        <w:numPr>
          <w:ilvl w:val="0"/>
          <w:numId w:val="32"/>
        </w:numPr>
        <w:spacing w:after="0" w:line="240" w:lineRule="auto"/>
        <w:jc w:val="both"/>
        <w:rPr>
          <w:rFonts w:cs="Calibri"/>
          <w:szCs w:val="22"/>
        </w:rPr>
      </w:pPr>
      <w:r w:rsidRPr="00FB23FE">
        <w:rPr>
          <w:rFonts w:cs="Calibri"/>
          <w:b/>
          <w:szCs w:val="22"/>
        </w:rPr>
        <w:t>Gap analysis and review</w:t>
      </w:r>
      <w:r w:rsidRPr="00FB23FE">
        <w:rPr>
          <w:rFonts w:cs="Calibri"/>
          <w:szCs w:val="22"/>
        </w:rPr>
        <w:t xml:space="preserve"> of national statistics as well as administrative and survey data collected by the programmes/projects and other sta</w:t>
      </w:r>
      <w:r>
        <w:rPr>
          <w:rFonts w:cs="Calibri"/>
          <w:szCs w:val="22"/>
        </w:rPr>
        <w:t>k</w:t>
      </w:r>
      <w:r w:rsidRPr="00FB23FE">
        <w:rPr>
          <w:rFonts w:cs="Calibri"/>
          <w:szCs w:val="22"/>
        </w:rPr>
        <w:t>eholders, including the CPD outcome indicators and the new corporate Strategic Plan</w:t>
      </w:r>
      <w:r w:rsidRPr="00FB23FE">
        <w:rPr>
          <w:rStyle w:val="FootnoteReference"/>
          <w:rFonts w:cs="Calibri"/>
          <w:szCs w:val="22"/>
        </w:rPr>
        <w:footnoteReference w:id="106"/>
      </w:r>
      <w:r w:rsidRPr="00FB23FE">
        <w:rPr>
          <w:rFonts w:cs="Calibri"/>
          <w:szCs w:val="22"/>
        </w:rPr>
        <w:t xml:space="preserve"> (SP) 2014-2017 indicators; </w:t>
      </w:r>
      <w:r w:rsidRPr="00FB23FE">
        <w:rPr>
          <w:rFonts w:cs="Calibri"/>
          <w:szCs w:val="22"/>
          <w:lang w:eastAsia="en-US"/>
        </w:rPr>
        <w:t xml:space="preserve">data and information from the </w:t>
      </w:r>
      <w:hyperlink r:id="rId28" w:history="1">
        <w:r w:rsidRPr="00FB23FE">
          <w:rPr>
            <w:rFonts w:cs="Calibri"/>
            <w:szCs w:val="22"/>
            <w:lang w:eastAsia="en-US"/>
          </w:rPr>
          <w:t xml:space="preserve">4W </w:t>
        </w:r>
        <w:r w:rsidRPr="00FB23FE">
          <w:rPr>
            <w:rFonts w:cs="Calibri"/>
            <w:szCs w:val="22"/>
            <w:lang w:eastAsia="en-US"/>
          </w:rPr>
          <w:lastRenderedPageBreak/>
          <w:t>Database</w:t>
        </w:r>
      </w:hyperlink>
      <w:r w:rsidRPr="00FB23FE">
        <w:rPr>
          <w:rFonts w:cs="Calibri"/>
          <w:szCs w:val="22"/>
          <w:lang w:eastAsia="en-US"/>
        </w:rPr>
        <w:t xml:space="preserve">, the </w:t>
      </w:r>
      <w:hyperlink r:id="rId29" w:history="1">
        <w:r w:rsidRPr="00FB23FE">
          <w:rPr>
            <w:rFonts w:cs="Calibri"/>
            <w:szCs w:val="22"/>
            <w:lang w:eastAsia="en-US"/>
          </w:rPr>
          <w:t xml:space="preserve">DMIC Portal, </w:t>
        </w:r>
      </w:hyperlink>
      <w:hyperlink r:id="rId30" w:history="1">
        <w:r w:rsidRPr="00FB23FE">
          <w:rPr>
            <w:rFonts w:cs="Calibri"/>
            <w:szCs w:val="22"/>
          </w:rPr>
          <w:t>Cyclone shelter DB</w:t>
        </w:r>
      </w:hyperlink>
      <w:r w:rsidRPr="00FB23FE">
        <w:rPr>
          <w:rFonts w:cs="Calibri"/>
          <w:szCs w:val="22"/>
        </w:rPr>
        <w:t xml:space="preserve">, </w:t>
      </w:r>
      <w:hyperlink r:id="rId31" w:history="1">
        <w:r w:rsidRPr="00FB23FE">
          <w:rPr>
            <w:rFonts w:cs="Calibri"/>
            <w:szCs w:val="22"/>
          </w:rPr>
          <w:t>Union Fact sheet</w:t>
        </w:r>
      </w:hyperlink>
      <w:r w:rsidRPr="00FB23FE">
        <w:rPr>
          <w:rFonts w:cs="Calibri"/>
          <w:szCs w:val="22"/>
        </w:rPr>
        <w:t xml:space="preserve">s, </w:t>
      </w:r>
      <w:hyperlink r:id="rId32" w:history="1">
        <w:r w:rsidRPr="00FB23FE">
          <w:rPr>
            <w:rFonts w:cs="Calibri"/>
            <w:szCs w:val="22"/>
          </w:rPr>
          <w:t>Inundation Map</w:t>
        </w:r>
      </w:hyperlink>
      <w:r w:rsidRPr="00FB23FE">
        <w:rPr>
          <w:rFonts w:cs="Calibri"/>
          <w:szCs w:val="22"/>
        </w:rPr>
        <w:t xml:space="preserve">s, </w:t>
      </w:r>
      <w:hyperlink r:id="rId33" w:history="1">
        <w:r w:rsidRPr="00FB23FE">
          <w:rPr>
            <w:rFonts w:cs="Calibri"/>
            <w:szCs w:val="22"/>
          </w:rPr>
          <w:t>CDMP Ris</w:t>
        </w:r>
        <w:r>
          <w:rPr>
            <w:rFonts w:cs="Calibri"/>
            <w:szCs w:val="22"/>
          </w:rPr>
          <w:t>k</w:t>
        </w:r>
        <w:r w:rsidRPr="00FB23FE">
          <w:rPr>
            <w:rFonts w:cs="Calibri"/>
            <w:szCs w:val="22"/>
          </w:rPr>
          <w:t xml:space="preserve"> Management Information</w:t>
        </w:r>
      </w:hyperlink>
      <w:r w:rsidRPr="00FB23FE">
        <w:rPr>
          <w:rFonts w:cs="Calibri"/>
          <w:szCs w:val="22"/>
        </w:rPr>
        <w:t>; review of the Profitability &amp; Replication Study on HH</w:t>
      </w:r>
      <w:r>
        <w:rPr>
          <w:rFonts w:cs="Calibri"/>
          <w:szCs w:val="22"/>
        </w:rPr>
        <w:t>K</w:t>
      </w:r>
      <w:r w:rsidRPr="00FB23FE">
        <w:rPr>
          <w:rFonts w:cs="Calibri"/>
          <w:szCs w:val="22"/>
        </w:rPr>
        <w:t xml:space="preserve"> Demo Plants, UNDP 2013. The evaluation team is expected to review existing data sets from programmes/projects and the national statistics relevant to this outcome evaluation, and identify what/where the gaps exist for the CO in aggregating the data and monitoring the CPD and the Strategic Plan indicators for the rest of the monitoring cycles (till 2016 for the CPD and 2017 for the Strategic Plan).  </w:t>
      </w:r>
    </w:p>
    <w:p w:rsidR="0061232B" w:rsidRPr="00FB23FE" w:rsidRDefault="0061232B" w:rsidP="001E161B">
      <w:pPr>
        <w:pStyle w:val="Listenabsatz1"/>
        <w:numPr>
          <w:ilvl w:val="0"/>
          <w:numId w:val="32"/>
        </w:numPr>
        <w:spacing w:after="0" w:line="240" w:lineRule="auto"/>
        <w:rPr>
          <w:rFonts w:cs="Calibri"/>
          <w:szCs w:val="22"/>
        </w:rPr>
      </w:pPr>
      <w:r w:rsidRPr="00FB23FE">
        <w:rPr>
          <w:rFonts w:cs="Calibri"/>
          <w:b/>
          <w:szCs w:val="22"/>
        </w:rPr>
        <w:t>International indices and databases</w:t>
      </w:r>
      <w:r w:rsidRPr="00FB23FE">
        <w:rPr>
          <w:rFonts w:cs="Calibri"/>
          <w:szCs w:val="22"/>
        </w:rPr>
        <w:t xml:space="preserve"> on resilience in case of climate change and natural disasters in Bangladesh </w:t>
      </w:r>
    </w:p>
    <w:p w:rsidR="0061232B" w:rsidRPr="00FB23FE" w:rsidRDefault="0061232B" w:rsidP="001E161B">
      <w:pPr>
        <w:pStyle w:val="Listenabsatz1"/>
        <w:numPr>
          <w:ilvl w:val="0"/>
          <w:numId w:val="32"/>
        </w:numPr>
        <w:spacing w:after="0" w:line="240" w:lineRule="auto"/>
        <w:rPr>
          <w:rFonts w:cs="Calibri"/>
          <w:szCs w:val="22"/>
        </w:rPr>
      </w:pPr>
      <w:r w:rsidRPr="00FB23FE">
        <w:rPr>
          <w:rFonts w:cs="Calibri"/>
          <w:szCs w:val="22"/>
        </w:rPr>
        <w:t>Quantitative analysis of</w:t>
      </w:r>
      <w:r w:rsidRPr="00FB23FE">
        <w:rPr>
          <w:rFonts w:cs="Calibri"/>
          <w:b/>
          <w:szCs w:val="22"/>
        </w:rPr>
        <w:t xml:space="preserve"> budgets and expenditure reports</w:t>
      </w:r>
      <w:r w:rsidRPr="00FB23FE">
        <w:rPr>
          <w:rFonts w:cs="Calibri"/>
          <w:szCs w:val="22"/>
        </w:rPr>
        <w:t xml:space="preserve"> in ATLAS and project reports</w:t>
      </w:r>
    </w:p>
    <w:p w:rsidR="0061232B" w:rsidRPr="00FB23FE" w:rsidRDefault="0061232B" w:rsidP="001E161B">
      <w:pPr>
        <w:pStyle w:val="Listenabsatz1"/>
        <w:numPr>
          <w:ilvl w:val="0"/>
          <w:numId w:val="32"/>
        </w:numPr>
        <w:spacing w:after="0" w:line="240" w:lineRule="auto"/>
        <w:rPr>
          <w:rFonts w:cs="Calibri"/>
          <w:szCs w:val="22"/>
        </w:rPr>
      </w:pPr>
      <w:r w:rsidRPr="00FB23FE">
        <w:rPr>
          <w:rFonts w:cs="Calibri"/>
          <w:szCs w:val="22"/>
        </w:rPr>
        <w:t xml:space="preserve">Administration of </w:t>
      </w:r>
      <w:r w:rsidRPr="00FB23FE">
        <w:rPr>
          <w:rFonts w:cs="Calibri"/>
          <w:b/>
          <w:szCs w:val="22"/>
        </w:rPr>
        <w:t>surveys or questionnaires</w:t>
      </w:r>
      <w:r w:rsidRPr="00FB23FE">
        <w:rPr>
          <w:rFonts w:cs="Calibri"/>
          <w:szCs w:val="22"/>
        </w:rPr>
        <w:t>, as applicable</w:t>
      </w:r>
      <w:r w:rsidRPr="00FB23FE">
        <w:rPr>
          <w:rFonts w:cs="Calibri"/>
          <w:b/>
          <w:szCs w:val="22"/>
        </w:rPr>
        <w:br/>
      </w:r>
    </w:p>
    <w:p w:rsidR="0061232B" w:rsidRPr="00FB23FE" w:rsidRDefault="0061232B" w:rsidP="0061232B">
      <w:pPr>
        <w:spacing w:after="0" w:line="240" w:lineRule="auto"/>
        <w:jc w:val="both"/>
        <w:rPr>
          <w:rFonts w:cs="Calibri"/>
        </w:rPr>
      </w:pPr>
      <w:r w:rsidRPr="00FB23FE">
        <w:rPr>
          <w:rFonts w:cs="Calibri"/>
        </w:rPr>
        <w:t>The data collection methods should be participatory and inclusive of disadvantaged and marginalized populations. Major methodological limitations or limitations based on data collections should be noted in the final evaluation report.</w:t>
      </w:r>
    </w:p>
    <w:p w:rsidR="0061232B" w:rsidRPr="00FB23FE" w:rsidRDefault="0061232B" w:rsidP="0061232B">
      <w:pPr>
        <w:pStyle w:val="ListParagraph"/>
        <w:autoSpaceDE w:val="0"/>
        <w:autoSpaceDN w:val="0"/>
        <w:adjustRightInd w:val="0"/>
        <w:spacing w:after="0" w:line="240" w:lineRule="auto"/>
        <w:jc w:val="both"/>
        <w:rPr>
          <w:rFonts w:cs="Calibri"/>
          <w:color w:val="000000"/>
        </w:rPr>
      </w:pPr>
    </w:p>
    <w:p w:rsidR="0061232B" w:rsidRPr="00FB23FE" w:rsidRDefault="0061232B" w:rsidP="0061232B">
      <w:pPr>
        <w:tabs>
          <w:tab w:val="left" w:pos="360"/>
        </w:tabs>
        <w:suppressAutoHyphens/>
        <w:overflowPunct w:val="0"/>
        <w:autoSpaceDE w:val="0"/>
        <w:autoSpaceDN w:val="0"/>
        <w:adjustRightInd w:val="0"/>
        <w:spacing w:after="0" w:line="240" w:lineRule="auto"/>
        <w:jc w:val="both"/>
        <w:textAlignment w:val="baseline"/>
        <w:rPr>
          <w:rFonts w:cs="Calibri"/>
          <w:b/>
        </w:rPr>
      </w:pPr>
      <w:r w:rsidRPr="00FB23FE">
        <w:rPr>
          <w:rFonts w:cs="Calibri"/>
          <w:b/>
        </w:rPr>
        <w:t>4. Evaluation Team Composition and Required Competencies</w:t>
      </w:r>
    </w:p>
    <w:p w:rsidR="0061232B" w:rsidRPr="00FB23FE" w:rsidRDefault="0061232B" w:rsidP="0061232B">
      <w:pPr>
        <w:autoSpaceDE w:val="0"/>
        <w:autoSpaceDN w:val="0"/>
        <w:adjustRightInd w:val="0"/>
        <w:spacing w:after="0" w:line="240" w:lineRule="auto"/>
        <w:jc w:val="both"/>
        <w:rPr>
          <w:rFonts w:cs="Calibri"/>
          <w:color w:val="000000"/>
        </w:rPr>
      </w:pPr>
    </w:p>
    <w:p w:rsidR="0061232B" w:rsidRPr="00FB23FE" w:rsidRDefault="0061232B" w:rsidP="0061232B">
      <w:pPr>
        <w:autoSpaceDE w:val="0"/>
        <w:autoSpaceDN w:val="0"/>
        <w:adjustRightInd w:val="0"/>
        <w:spacing w:after="0" w:line="240" w:lineRule="auto"/>
        <w:jc w:val="both"/>
        <w:rPr>
          <w:rFonts w:cs="Calibri"/>
          <w:color w:val="000000"/>
        </w:rPr>
      </w:pPr>
      <w:r w:rsidRPr="00FB23FE">
        <w:rPr>
          <w:rFonts w:cs="Calibri"/>
          <w:color w:val="000000"/>
        </w:rPr>
        <w:t xml:space="preserve">The evaluation team will comprise </w:t>
      </w:r>
      <w:r w:rsidRPr="00FB23FE">
        <w:rPr>
          <w:rFonts w:cs="Calibri"/>
          <w:b/>
          <w:color w:val="000000"/>
        </w:rPr>
        <w:t>4 members</w:t>
      </w:r>
      <w:r w:rsidRPr="00FB23FE">
        <w:rPr>
          <w:rFonts w:cs="Calibri"/>
          <w:color w:val="000000"/>
        </w:rPr>
        <w:t xml:space="preserve">: one team leader, two evaluation experts and one data analyst. The presence of an international consultant is deemed desirable given the complexity and sensitivity of some of the issues concerned, and therefore to safeguard independence and impartiality of the evaluation. </w:t>
      </w:r>
    </w:p>
    <w:p w:rsidR="0061232B" w:rsidRPr="00FB23FE" w:rsidRDefault="0061232B" w:rsidP="0061232B">
      <w:pPr>
        <w:spacing w:after="0" w:line="240" w:lineRule="auto"/>
        <w:jc w:val="both"/>
        <w:rPr>
          <w:rFonts w:cs="Calibri"/>
        </w:rPr>
      </w:pPr>
    </w:p>
    <w:p w:rsidR="0061232B" w:rsidRPr="00FB23FE" w:rsidRDefault="0061232B" w:rsidP="0061232B">
      <w:pPr>
        <w:spacing w:after="0" w:line="240" w:lineRule="auto"/>
        <w:jc w:val="both"/>
        <w:rPr>
          <w:rFonts w:cs="Calibri"/>
        </w:rPr>
      </w:pPr>
      <w:r w:rsidRPr="00FB23FE">
        <w:rPr>
          <w:rFonts w:cs="Calibri"/>
          <w:b/>
        </w:rPr>
        <w:t>Supervision and performance evaluation:</w:t>
      </w:r>
    </w:p>
    <w:p w:rsidR="0061232B" w:rsidRPr="00FB23FE" w:rsidRDefault="0061232B" w:rsidP="0061232B">
      <w:pPr>
        <w:spacing w:after="0" w:line="240" w:lineRule="auto"/>
        <w:jc w:val="both"/>
        <w:rPr>
          <w:rFonts w:cs="Calibri"/>
        </w:rPr>
      </w:pPr>
    </w:p>
    <w:p w:rsidR="0061232B" w:rsidRPr="00FB23FE" w:rsidRDefault="0061232B" w:rsidP="0061232B">
      <w:pPr>
        <w:tabs>
          <w:tab w:val="left" w:pos="360"/>
        </w:tabs>
        <w:suppressAutoHyphens/>
        <w:overflowPunct w:val="0"/>
        <w:autoSpaceDE w:val="0"/>
        <w:autoSpaceDN w:val="0"/>
        <w:adjustRightInd w:val="0"/>
        <w:spacing w:after="0" w:line="240" w:lineRule="auto"/>
        <w:jc w:val="both"/>
        <w:textAlignment w:val="baseline"/>
        <w:rPr>
          <w:rFonts w:cs="Calibri"/>
          <w:b/>
        </w:rPr>
      </w:pPr>
      <w:r w:rsidRPr="00FB23FE">
        <w:rPr>
          <w:rFonts w:cs="Calibri"/>
          <w:b/>
        </w:rPr>
        <w:t xml:space="preserve">1. Implementation Arrangement  </w:t>
      </w:r>
    </w:p>
    <w:p w:rsidR="0061232B" w:rsidRPr="00FB23FE" w:rsidRDefault="0061232B" w:rsidP="0061232B">
      <w:pPr>
        <w:spacing w:after="0" w:line="240" w:lineRule="auto"/>
        <w:jc w:val="both"/>
        <w:rPr>
          <w:rFonts w:cs="Calibri"/>
        </w:rPr>
      </w:pPr>
    </w:p>
    <w:p w:rsidR="0061232B" w:rsidRPr="00FB23FE" w:rsidRDefault="0061232B" w:rsidP="0061232B">
      <w:pPr>
        <w:spacing w:after="0" w:line="240" w:lineRule="auto"/>
        <w:jc w:val="both"/>
        <w:rPr>
          <w:rFonts w:cs="Calibri"/>
        </w:rPr>
      </w:pPr>
      <w:r w:rsidRPr="00FB23FE">
        <w:rPr>
          <w:rFonts w:cs="Calibri"/>
        </w:rPr>
        <w:t xml:space="preserve">This evaluation is commissioned by UNDP Bangladesh. The </w:t>
      </w:r>
      <w:r w:rsidRPr="00FB23FE">
        <w:rPr>
          <w:rFonts w:cs="Calibri"/>
          <w:b/>
        </w:rPr>
        <w:t xml:space="preserve">Climate Change, Environment Disaster (CCED)Cluster </w:t>
      </w:r>
      <w:r w:rsidRPr="00FB23FE">
        <w:rPr>
          <w:rFonts w:cs="Calibri"/>
        </w:rPr>
        <w:t xml:space="preserve">in the Country Office will be responsible for coordinating and managing the evaluation throughout the entire process and provide the evaluation team any logistics and administrative support as needed. The </w:t>
      </w:r>
      <w:r w:rsidRPr="00FB23FE">
        <w:rPr>
          <w:rFonts w:cs="Calibri"/>
          <w:b/>
        </w:rPr>
        <w:t>Results and Resource Management Cluster (RRMC)</w:t>
      </w:r>
      <w:r w:rsidRPr="00FB23FE">
        <w:rPr>
          <w:rFonts w:cs="Calibri"/>
        </w:rPr>
        <w:t xml:space="preserve"> will serve as quality assurance to provide overall technical guidance and ensure the corporate compliance of outcome evaluations. In order to guide the evaluation process and assure quality, an </w:t>
      </w:r>
      <w:r w:rsidRPr="00FB23FE">
        <w:rPr>
          <w:rFonts w:cs="Calibri"/>
          <w:b/>
        </w:rPr>
        <w:t>evaluation reference group</w:t>
      </w:r>
      <w:r w:rsidRPr="00FB23FE">
        <w:rPr>
          <w:rFonts w:cs="Calibri"/>
        </w:rPr>
        <w:t xml:space="preserve"> is planned to be formed from approximately five members from the Cluster, the Country Office, </w:t>
      </w:r>
      <w:r>
        <w:rPr>
          <w:rFonts w:cs="Calibri"/>
        </w:rPr>
        <w:t>k</w:t>
      </w:r>
      <w:r w:rsidRPr="00FB23FE">
        <w:rPr>
          <w:rFonts w:cs="Calibri"/>
        </w:rPr>
        <w:t>ey sta</w:t>
      </w:r>
      <w:r>
        <w:rPr>
          <w:rFonts w:cs="Calibri"/>
        </w:rPr>
        <w:t>k</w:t>
      </w:r>
      <w:r w:rsidRPr="00FB23FE">
        <w:rPr>
          <w:rFonts w:cs="Calibri"/>
        </w:rPr>
        <w:t>eholders, the Regional Bureau for Asia and the Pacific or the Independent Evaluation Office, where the members are as</w:t>
      </w:r>
      <w:r>
        <w:rPr>
          <w:rFonts w:cs="Calibri"/>
        </w:rPr>
        <w:t>k</w:t>
      </w:r>
      <w:r w:rsidRPr="00FB23FE">
        <w:rPr>
          <w:rFonts w:cs="Calibri"/>
        </w:rPr>
        <w:t xml:space="preserve">ed to provide inputs on the ToR, selection of consultants, inception report, draft report and the final report. </w:t>
      </w:r>
    </w:p>
    <w:p w:rsidR="0061232B" w:rsidRPr="00FB23FE" w:rsidRDefault="0061232B" w:rsidP="0061232B">
      <w:pPr>
        <w:spacing w:after="0" w:line="240" w:lineRule="auto"/>
        <w:jc w:val="both"/>
        <w:rPr>
          <w:rFonts w:cs="Calibri"/>
        </w:rPr>
      </w:pPr>
    </w:p>
    <w:p w:rsidR="0061232B" w:rsidRDefault="0061232B" w:rsidP="0061232B">
      <w:pPr>
        <w:tabs>
          <w:tab w:val="left" w:pos="360"/>
        </w:tabs>
        <w:suppressAutoHyphens/>
        <w:overflowPunct w:val="0"/>
        <w:autoSpaceDE w:val="0"/>
        <w:autoSpaceDN w:val="0"/>
        <w:adjustRightInd w:val="0"/>
        <w:spacing w:after="0" w:line="240" w:lineRule="auto"/>
        <w:jc w:val="both"/>
        <w:textAlignment w:val="baseline"/>
        <w:rPr>
          <w:rFonts w:cs="Calibri"/>
          <w:b/>
        </w:rPr>
      </w:pPr>
    </w:p>
    <w:p w:rsidR="0061232B" w:rsidRDefault="0061232B" w:rsidP="0061232B">
      <w:pPr>
        <w:tabs>
          <w:tab w:val="left" w:pos="360"/>
        </w:tabs>
        <w:suppressAutoHyphens/>
        <w:overflowPunct w:val="0"/>
        <w:autoSpaceDE w:val="0"/>
        <w:autoSpaceDN w:val="0"/>
        <w:adjustRightInd w:val="0"/>
        <w:spacing w:after="0" w:line="240" w:lineRule="auto"/>
        <w:jc w:val="both"/>
        <w:textAlignment w:val="baseline"/>
        <w:rPr>
          <w:rFonts w:cs="Calibri"/>
          <w:b/>
        </w:rPr>
      </w:pPr>
    </w:p>
    <w:p w:rsidR="0061232B" w:rsidRDefault="0061232B" w:rsidP="0061232B">
      <w:pPr>
        <w:tabs>
          <w:tab w:val="left" w:pos="360"/>
        </w:tabs>
        <w:suppressAutoHyphens/>
        <w:overflowPunct w:val="0"/>
        <w:autoSpaceDE w:val="0"/>
        <w:autoSpaceDN w:val="0"/>
        <w:adjustRightInd w:val="0"/>
        <w:spacing w:after="0" w:line="240" w:lineRule="auto"/>
        <w:jc w:val="both"/>
        <w:textAlignment w:val="baseline"/>
        <w:rPr>
          <w:rFonts w:cs="Calibri"/>
          <w:b/>
        </w:rPr>
      </w:pPr>
    </w:p>
    <w:p w:rsidR="0061232B" w:rsidRDefault="0061232B" w:rsidP="0061232B">
      <w:pPr>
        <w:tabs>
          <w:tab w:val="left" w:pos="360"/>
        </w:tabs>
        <w:suppressAutoHyphens/>
        <w:overflowPunct w:val="0"/>
        <w:autoSpaceDE w:val="0"/>
        <w:autoSpaceDN w:val="0"/>
        <w:adjustRightInd w:val="0"/>
        <w:spacing w:after="0" w:line="240" w:lineRule="auto"/>
        <w:jc w:val="both"/>
        <w:textAlignment w:val="baseline"/>
        <w:rPr>
          <w:rFonts w:cs="Calibri"/>
          <w:b/>
        </w:rPr>
      </w:pPr>
    </w:p>
    <w:p w:rsidR="0061232B" w:rsidRDefault="0061232B" w:rsidP="0061232B">
      <w:pPr>
        <w:tabs>
          <w:tab w:val="left" w:pos="360"/>
        </w:tabs>
        <w:suppressAutoHyphens/>
        <w:overflowPunct w:val="0"/>
        <w:autoSpaceDE w:val="0"/>
        <w:autoSpaceDN w:val="0"/>
        <w:adjustRightInd w:val="0"/>
        <w:spacing w:after="0" w:line="240" w:lineRule="auto"/>
        <w:jc w:val="both"/>
        <w:textAlignment w:val="baseline"/>
        <w:rPr>
          <w:rFonts w:cs="Calibri"/>
          <w:b/>
        </w:rPr>
      </w:pPr>
    </w:p>
    <w:p w:rsidR="0061232B" w:rsidRPr="00FB23FE" w:rsidRDefault="0061232B" w:rsidP="0061232B">
      <w:pPr>
        <w:tabs>
          <w:tab w:val="left" w:pos="360"/>
        </w:tabs>
        <w:suppressAutoHyphens/>
        <w:overflowPunct w:val="0"/>
        <w:autoSpaceDE w:val="0"/>
        <w:autoSpaceDN w:val="0"/>
        <w:adjustRightInd w:val="0"/>
        <w:spacing w:after="0" w:line="240" w:lineRule="auto"/>
        <w:jc w:val="both"/>
        <w:textAlignment w:val="baseline"/>
        <w:rPr>
          <w:rFonts w:cs="Calibri"/>
          <w:b/>
        </w:rPr>
      </w:pPr>
      <w:r w:rsidRPr="00FB23FE">
        <w:rPr>
          <w:rFonts w:cs="Calibri"/>
          <w:b/>
        </w:rPr>
        <w:t xml:space="preserve">2. Evaluation Ethics  </w:t>
      </w:r>
    </w:p>
    <w:p w:rsidR="0061232B" w:rsidRPr="00FB23FE" w:rsidRDefault="0061232B" w:rsidP="0061232B">
      <w:pPr>
        <w:spacing w:after="0" w:line="240" w:lineRule="auto"/>
        <w:jc w:val="both"/>
        <w:rPr>
          <w:rFonts w:cs="Calibri"/>
        </w:rPr>
      </w:pPr>
    </w:p>
    <w:p w:rsidR="0061232B" w:rsidRPr="00FB23FE" w:rsidRDefault="0061232B" w:rsidP="0061232B">
      <w:pPr>
        <w:spacing w:after="0" w:line="240" w:lineRule="auto"/>
        <w:jc w:val="both"/>
        <w:rPr>
          <w:rFonts w:cs="Calibri"/>
        </w:rPr>
      </w:pPr>
      <w:r w:rsidRPr="00FB23FE">
        <w:rPr>
          <w:rFonts w:cs="Calibri"/>
        </w:rPr>
        <w:lastRenderedPageBreak/>
        <w:t>Evaluations in UNDP will be conducted in accordance with the principles outlined in the UNEG ‘Ethical Guidelines for Evaluation’</w:t>
      </w:r>
      <w:r w:rsidRPr="00FB23FE">
        <w:rPr>
          <w:rStyle w:val="FootnoteReference"/>
          <w:rFonts w:cs="Calibri"/>
        </w:rPr>
        <w:footnoteReference w:id="107"/>
      </w:r>
      <w:r w:rsidRPr="00FB23FE">
        <w:rPr>
          <w:rFonts w:cs="Calibri"/>
        </w:rPr>
        <w:t xml:space="preserve">. Evaluators should ensure to be in compliance with evaluation ethics and procedures to safeguard the rights and confidentiality of information providers during the designing, implementing and managing evaluation activities. </w:t>
      </w:r>
    </w:p>
    <w:p w:rsidR="0061232B" w:rsidRPr="00FB23FE" w:rsidRDefault="0061232B" w:rsidP="0061232B">
      <w:pPr>
        <w:spacing w:after="0" w:line="240" w:lineRule="auto"/>
        <w:jc w:val="both"/>
        <w:rPr>
          <w:rFonts w:cs="Calibri"/>
          <w:b/>
          <w:bCs/>
        </w:rPr>
      </w:pPr>
    </w:p>
    <w:p w:rsidR="0061232B" w:rsidRPr="00FB23FE" w:rsidRDefault="0061232B" w:rsidP="0061232B">
      <w:pPr>
        <w:spacing w:after="0" w:line="240" w:lineRule="auto"/>
        <w:jc w:val="both"/>
        <w:rPr>
          <w:rFonts w:eastAsia="Calibri" w:cs="Calibri"/>
        </w:rPr>
      </w:pPr>
      <w:r w:rsidRPr="00FB23FE">
        <w:rPr>
          <w:rFonts w:cs="Calibri"/>
          <w:b/>
          <w:bCs/>
        </w:rPr>
        <w:t xml:space="preserve">Timeframe and deadlines: </w:t>
      </w:r>
    </w:p>
    <w:p w:rsidR="0061232B" w:rsidRPr="00FB23FE" w:rsidRDefault="0061232B" w:rsidP="0061232B">
      <w:pPr>
        <w:spacing w:after="0" w:line="240" w:lineRule="auto"/>
        <w:jc w:val="both"/>
        <w:rPr>
          <w:rFonts w:eastAsia="Calibri" w:cs="Calibri"/>
        </w:rPr>
      </w:pPr>
    </w:p>
    <w:p w:rsidR="0061232B" w:rsidRPr="00FB23FE" w:rsidRDefault="0061232B" w:rsidP="001E161B">
      <w:pPr>
        <w:numPr>
          <w:ilvl w:val="0"/>
          <w:numId w:val="35"/>
        </w:numPr>
        <w:spacing w:after="0" w:line="240" w:lineRule="auto"/>
        <w:ind w:left="1134"/>
        <w:jc w:val="both"/>
        <w:rPr>
          <w:rFonts w:eastAsia="Calibri" w:cs="Calibri"/>
        </w:rPr>
      </w:pPr>
      <w:r w:rsidRPr="00FB23FE">
        <w:rPr>
          <w:rFonts w:eastAsia="Calibri" w:cs="Calibri"/>
        </w:rPr>
        <w:t>Comprehensive literature review and analysis of bac</w:t>
      </w:r>
      <w:r>
        <w:rPr>
          <w:rFonts w:eastAsia="Calibri" w:cs="Calibri"/>
        </w:rPr>
        <w:t>k</w:t>
      </w:r>
      <w:r w:rsidRPr="00FB23FE">
        <w:rPr>
          <w:rFonts w:eastAsia="Calibri" w:cs="Calibri"/>
        </w:rPr>
        <w:t xml:space="preserve">ground data including project documents, project/Country Office/UNDAF progress reports, annual reviews, evaluation reports and other </w:t>
      </w:r>
      <w:r>
        <w:rPr>
          <w:rFonts w:eastAsia="Calibri" w:cs="Calibri"/>
        </w:rPr>
        <w:t>k</w:t>
      </w:r>
      <w:r w:rsidRPr="00FB23FE">
        <w:rPr>
          <w:rFonts w:eastAsia="Calibri" w:cs="Calibri"/>
        </w:rPr>
        <w:t xml:space="preserve">ey documents </w:t>
      </w:r>
    </w:p>
    <w:p w:rsidR="0061232B" w:rsidRPr="00FB23FE" w:rsidRDefault="0061232B" w:rsidP="001E161B">
      <w:pPr>
        <w:numPr>
          <w:ilvl w:val="0"/>
          <w:numId w:val="35"/>
        </w:numPr>
        <w:spacing w:after="0" w:line="240" w:lineRule="auto"/>
        <w:ind w:left="1134"/>
        <w:jc w:val="both"/>
        <w:rPr>
          <w:rFonts w:eastAsia="Calibri" w:cs="Calibri"/>
        </w:rPr>
      </w:pPr>
      <w:r w:rsidRPr="00FB23FE">
        <w:rPr>
          <w:rFonts w:eastAsia="Calibri" w:cs="Calibri"/>
        </w:rPr>
        <w:t xml:space="preserve">Briefing and </w:t>
      </w:r>
      <w:r>
        <w:rPr>
          <w:rFonts w:eastAsia="Calibri" w:cs="Calibri"/>
        </w:rPr>
        <w:t>k</w:t>
      </w:r>
      <w:r w:rsidRPr="00FB23FE">
        <w:rPr>
          <w:rFonts w:eastAsia="Calibri" w:cs="Calibri"/>
        </w:rPr>
        <w:t>ic</w:t>
      </w:r>
      <w:r>
        <w:rPr>
          <w:rFonts w:eastAsia="Calibri" w:cs="Calibri"/>
        </w:rPr>
        <w:t>k</w:t>
      </w:r>
      <w:r w:rsidRPr="00FB23FE">
        <w:rPr>
          <w:rFonts w:eastAsia="Calibri" w:cs="Calibri"/>
        </w:rPr>
        <w:t xml:space="preserve">-off meeting with UNDP staff from respective Cluster(s) and RRMC </w:t>
      </w:r>
    </w:p>
    <w:p w:rsidR="0061232B" w:rsidRPr="00FB23FE" w:rsidRDefault="0061232B" w:rsidP="001E161B">
      <w:pPr>
        <w:numPr>
          <w:ilvl w:val="0"/>
          <w:numId w:val="35"/>
        </w:numPr>
        <w:spacing w:after="0" w:line="240" w:lineRule="auto"/>
        <w:ind w:left="1134"/>
        <w:jc w:val="both"/>
        <w:rPr>
          <w:rFonts w:eastAsia="Calibri" w:cs="Calibri"/>
        </w:rPr>
      </w:pPr>
      <w:r w:rsidRPr="00FB23FE">
        <w:rPr>
          <w:rFonts w:eastAsia="Calibri" w:cs="Calibri"/>
        </w:rPr>
        <w:t>Prepare and submit the inception report including the adjusted wor</w:t>
      </w:r>
      <w:r>
        <w:rPr>
          <w:rFonts w:eastAsia="Calibri" w:cs="Calibri"/>
        </w:rPr>
        <w:t>k</w:t>
      </w:r>
      <w:r w:rsidRPr="00FB23FE">
        <w:rPr>
          <w:rFonts w:eastAsia="Calibri" w:cs="Calibri"/>
        </w:rPr>
        <w:t xml:space="preserve"> plan, an evaluation matrix and other items as in the Companion Guide</w:t>
      </w:r>
    </w:p>
    <w:p w:rsidR="0061232B" w:rsidRPr="00FB23FE" w:rsidRDefault="0061232B" w:rsidP="001E161B">
      <w:pPr>
        <w:numPr>
          <w:ilvl w:val="0"/>
          <w:numId w:val="35"/>
        </w:numPr>
        <w:spacing w:after="0" w:line="240" w:lineRule="auto"/>
        <w:ind w:left="1134"/>
        <w:jc w:val="both"/>
        <w:rPr>
          <w:rFonts w:eastAsia="Calibri" w:cs="Calibri"/>
        </w:rPr>
      </w:pPr>
      <w:r w:rsidRPr="00FB23FE">
        <w:rPr>
          <w:rFonts w:eastAsia="Calibri" w:cs="Calibri"/>
        </w:rPr>
        <w:t>Conduct data collection and analysis, interviews, site visits, sta</w:t>
      </w:r>
      <w:r>
        <w:rPr>
          <w:rFonts w:eastAsia="Calibri" w:cs="Calibri"/>
        </w:rPr>
        <w:t>k</w:t>
      </w:r>
      <w:r w:rsidRPr="00FB23FE">
        <w:rPr>
          <w:rFonts w:eastAsia="Calibri" w:cs="Calibri"/>
        </w:rPr>
        <w:t>eholder meetings, wor</w:t>
      </w:r>
      <w:r>
        <w:rPr>
          <w:rFonts w:eastAsia="Calibri" w:cs="Calibri"/>
        </w:rPr>
        <w:t>k</w:t>
      </w:r>
      <w:r w:rsidRPr="00FB23FE">
        <w:rPr>
          <w:rFonts w:eastAsia="Calibri" w:cs="Calibri"/>
        </w:rPr>
        <w:t xml:space="preserve">shops, etc. in the country </w:t>
      </w:r>
    </w:p>
    <w:p w:rsidR="0061232B" w:rsidRPr="00FB23FE" w:rsidRDefault="0061232B" w:rsidP="001E161B">
      <w:pPr>
        <w:numPr>
          <w:ilvl w:val="0"/>
          <w:numId w:val="35"/>
        </w:numPr>
        <w:spacing w:after="0" w:line="240" w:lineRule="auto"/>
        <w:ind w:left="1134"/>
        <w:jc w:val="both"/>
        <w:rPr>
          <w:rFonts w:eastAsia="Calibri" w:cs="Calibri"/>
        </w:rPr>
      </w:pPr>
      <w:r w:rsidRPr="00FB23FE">
        <w:rPr>
          <w:rFonts w:eastAsia="Calibri" w:cs="Calibri"/>
        </w:rPr>
        <w:t xml:space="preserve">Prepare and submit the draft evaluation report to UNDP </w:t>
      </w:r>
    </w:p>
    <w:p w:rsidR="0061232B" w:rsidRPr="00FB23FE" w:rsidRDefault="0061232B" w:rsidP="001E161B">
      <w:pPr>
        <w:numPr>
          <w:ilvl w:val="0"/>
          <w:numId w:val="35"/>
        </w:numPr>
        <w:spacing w:after="0" w:line="240" w:lineRule="auto"/>
        <w:ind w:left="1134"/>
        <w:jc w:val="both"/>
        <w:rPr>
          <w:rFonts w:eastAsia="Calibri" w:cs="Calibri"/>
        </w:rPr>
      </w:pPr>
      <w:r w:rsidRPr="00FB23FE">
        <w:rPr>
          <w:rFonts w:eastAsia="Calibri" w:cs="Calibri"/>
        </w:rPr>
        <w:t xml:space="preserve">Debrief with </w:t>
      </w:r>
      <w:r>
        <w:rPr>
          <w:rFonts w:eastAsia="Calibri" w:cs="Calibri"/>
        </w:rPr>
        <w:t>k</w:t>
      </w:r>
      <w:r w:rsidRPr="00FB23FE">
        <w:rPr>
          <w:rFonts w:eastAsia="Calibri" w:cs="Calibri"/>
        </w:rPr>
        <w:t>ey sta</w:t>
      </w:r>
      <w:r>
        <w:rPr>
          <w:rFonts w:eastAsia="Calibri" w:cs="Calibri"/>
        </w:rPr>
        <w:t>k</w:t>
      </w:r>
      <w:r w:rsidRPr="00FB23FE">
        <w:rPr>
          <w:rFonts w:eastAsia="Calibri" w:cs="Calibri"/>
        </w:rPr>
        <w:t xml:space="preserve">eholders and present </w:t>
      </w:r>
      <w:r>
        <w:rPr>
          <w:rFonts w:eastAsia="Calibri" w:cs="Calibri"/>
        </w:rPr>
        <w:t>k</w:t>
      </w:r>
      <w:r w:rsidRPr="00FB23FE">
        <w:rPr>
          <w:rFonts w:eastAsia="Calibri" w:cs="Calibri"/>
        </w:rPr>
        <w:t>ey findings and recommendations; collect feedbac</w:t>
      </w:r>
      <w:r>
        <w:rPr>
          <w:rFonts w:eastAsia="Calibri" w:cs="Calibri"/>
        </w:rPr>
        <w:t>k</w:t>
      </w:r>
      <w:r w:rsidRPr="00FB23FE">
        <w:rPr>
          <w:rFonts w:eastAsia="Calibri" w:cs="Calibri"/>
        </w:rPr>
        <w:t xml:space="preserve"> from the debriefing wor</w:t>
      </w:r>
      <w:r>
        <w:rPr>
          <w:rFonts w:eastAsia="Calibri" w:cs="Calibri"/>
        </w:rPr>
        <w:t>k</w:t>
      </w:r>
      <w:r w:rsidRPr="00FB23FE">
        <w:rPr>
          <w:rFonts w:eastAsia="Calibri" w:cs="Calibri"/>
        </w:rPr>
        <w:t xml:space="preserve">shop </w:t>
      </w:r>
    </w:p>
    <w:p w:rsidR="0061232B" w:rsidRPr="00FB23FE" w:rsidRDefault="0061232B" w:rsidP="001E161B">
      <w:pPr>
        <w:numPr>
          <w:ilvl w:val="0"/>
          <w:numId w:val="35"/>
        </w:numPr>
        <w:spacing w:after="0" w:line="240" w:lineRule="auto"/>
        <w:ind w:left="1134"/>
        <w:jc w:val="both"/>
        <w:rPr>
          <w:rFonts w:eastAsia="Calibri" w:cs="Calibri"/>
        </w:rPr>
      </w:pPr>
      <w:r w:rsidRPr="00FB23FE">
        <w:rPr>
          <w:rFonts w:eastAsia="Calibri" w:cs="Calibri"/>
        </w:rPr>
        <w:t xml:space="preserve">Incorporate comments from </w:t>
      </w:r>
      <w:r>
        <w:rPr>
          <w:rFonts w:eastAsia="Calibri" w:cs="Calibri"/>
        </w:rPr>
        <w:t>k</w:t>
      </w:r>
      <w:r w:rsidRPr="00FB23FE">
        <w:rPr>
          <w:rFonts w:eastAsia="Calibri" w:cs="Calibri"/>
        </w:rPr>
        <w:t>ey sta</w:t>
      </w:r>
      <w:r>
        <w:rPr>
          <w:rFonts w:eastAsia="Calibri" w:cs="Calibri"/>
        </w:rPr>
        <w:t>k</w:t>
      </w:r>
      <w:r w:rsidRPr="00FB23FE">
        <w:rPr>
          <w:rFonts w:eastAsia="Calibri" w:cs="Calibri"/>
        </w:rPr>
        <w:t xml:space="preserve">eholders, respective Cluster(s) and the government partners </w:t>
      </w:r>
    </w:p>
    <w:p w:rsidR="0061232B" w:rsidRPr="00FB23FE" w:rsidRDefault="0061232B" w:rsidP="001E161B">
      <w:pPr>
        <w:numPr>
          <w:ilvl w:val="0"/>
          <w:numId w:val="35"/>
        </w:numPr>
        <w:spacing w:after="0" w:line="240" w:lineRule="auto"/>
        <w:ind w:left="1134"/>
        <w:jc w:val="both"/>
        <w:rPr>
          <w:rFonts w:eastAsia="Calibri" w:cs="Calibri"/>
        </w:rPr>
      </w:pPr>
      <w:r w:rsidRPr="00FB23FE">
        <w:rPr>
          <w:rFonts w:eastAsia="Calibri" w:cs="Calibri"/>
        </w:rPr>
        <w:t xml:space="preserve">Finalize and submit the final evaluation report and evaluation brief to UNDP </w:t>
      </w:r>
    </w:p>
    <w:p w:rsidR="0061232B" w:rsidRPr="00FB23FE" w:rsidRDefault="0061232B" w:rsidP="0061232B">
      <w:pPr>
        <w:spacing w:after="0" w:line="240" w:lineRule="auto"/>
        <w:jc w:val="both"/>
        <w:rPr>
          <w:rFonts w:cs="Calibri"/>
          <w:b/>
        </w:rPr>
      </w:pPr>
    </w:p>
    <w:p w:rsidR="0061232B" w:rsidRPr="00FB23FE" w:rsidRDefault="0061232B" w:rsidP="0061232B">
      <w:pPr>
        <w:spacing w:after="0" w:line="240" w:lineRule="auto"/>
        <w:jc w:val="both"/>
        <w:rPr>
          <w:rFonts w:cs="Calibri"/>
        </w:rPr>
      </w:pPr>
      <w:r w:rsidRPr="00FB23FE">
        <w:rPr>
          <w:rFonts w:cs="Calibri"/>
          <w:b/>
        </w:rPr>
        <w:t>Expected outputs/deliverables:</w:t>
      </w:r>
    </w:p>
    <w:p w:rsidR="0061232B" w:rsidRPr="00FB23FE" w:rsidRDefault="0061232B" w:rsidP="0061232B">
      <w:pPr>
        <w:spacing w:after="0" w:line="240" w:lineRule="auto"/>
        <w:jc w:val="both"/>
        <w:rPr>
          <w:rFonts w:cs="Calibri"/>
        </w:rPr>
      </w:pPr>
    </w:p>
    <w:p w:rsidR="0061232B" w:rsidRPr="00FB23FE" w:rsidRDefault="0061232B" w:rsidP="0061232B">
      <w:pPr>
        <w:spacing w:after="0" w:line="240" w:lineRule="auto"/>
        <w:jc w:val="both"/>
        <w:rPr>
          <w:rFonts w:cs="Calibri"/>
          <w:color w:val="000000"/>
        </w:rPr>
      </w:pPr>
      <w:r w:rsidRPr="00FB23FE">
        <w:rPr>
          <w:rFonts w:cs="Calibri"/>
          <w:color w:val="000000"/>
        </w:rPr>
        <w:t>The Evaluation Team is responsible for submitting the following deliverables to UNDP Bangladesh at the agreed wor</w:t>
      </w:r>
      <w:r>
        <w:rPr>
          <w:rFonts w:cs="Calibri"/>
          <w:color w:val="000000"/>
        </w:rPr>
        <w:t>k</w:t>
      </w:r>
      <w:r w:rsidRPr="00FB23FE">
        <w:rPr>
          <w:rFonts w:cs="Calibri"/>
          <w:color w:val="000000"/>
        </w:rPr>
        <w:t xml:space="preserve"> plan: </w:t>
      </w:r>
    </w:p>
    <w:p w:rsidR="0061232B" w:rsidRPr="00FB23FE" w:rsidRDefault="0061232B" w:rsidP="0061232B">
      <w:pPr>
        <w:spacing w:after="0" w:line="240" w:lineRule="auto"/>
        <w:jc w:val="both"/>
        <w:rPr>
          <w:rFonts w:cs="Calibri"/>
          <w:color w:val="000000"/>
        </w:rPr>
      </w:pPr>
    </w:p>
    <w:p w:rsidR="0061232B" w:rsidRPr="00FB23FE" w:rsidRDefault="0061232B" w:rsidP="001E161B">
      <w:pPr>
        <w:pStyle w:val="Listenabsatz1"/>
        <w:numPr>
          <w:ilvl w:val="0"/>
          <w:numId w:val="34"/>
        </w:numPr>
        <w:spacing w:after="0" w:line="240" w:lineRule="auto"/>
        <w:jc w:val="both"/>
        <w:rPr>
          <w:rFonts w:cs="Calibri"/>
          <w:b/>
          <w:color w:val="000000"/>
          <w:szCs w:val="22"/>
        </w:rPr>
      </w:pPr>
      <w:r w:rsidRPr="00FB23FE">
        <w:rPr>
          <w:rFonts w:cs="Calibri"/>
          <w:b/>
          <w:color w:val="000000"/>
          <w:szCs w:val="22"/>
        </w:rPr>
        <w:t xml:space="preserve">Inception Report: </w:t>
      </w:r>
      <w:r w:rsidRPr="00FB23FE">
        <w:rPr>
          <w:rFonts w:cs="Calibri"/>
          <w:color w:val="000000"/>
          <w:szCs w:val="22"/>
        </w:rPr>
        <w:t xml:space="preserve">An inception report should be prepared by the evaluators before going into the full-fledged </w:t>
      </w:r>
      <w:r w:rsidRPr="00FB23FE">
        <w:rPr>
          <w:rFonts w:cs="Calibri"/>
          <w:b/>
          <w:color w:val="000000"/>
          <w:szCs w:val="22"/>
        </w:rPr>
        <w:t>datacollection</w:t>
      </w:r>
      <w:r w:rsidRPr="00FB23FE">
        <w:rPr>
          <w:rFonts w:cs="Calibri"/>
          <w:color w:val="000000"/>
          <w:szCs w:val="22"/>
        </w:rPr>
        <w:t xml:space="preserve"> exercise. It should detail the evaluators’ understanding of what is being evaluated and why, </w:t>
      </w:r>
      <w:r w:rsidRPr="00FB23FE">
        <w:rPr>
          <w:rFonts w:cs="Calibri"/>
          <w:b/>
          <w:color w:val="000000"/>
          <w:szCs w:val="22"/>
        </w:rPr>
        <w:t xml:space="preserve">showing how each evaluation question will be answered </w:t>
      </w:r>
      <w:r w:rsidRPr="00FB23FE">
        <w:rPr>
          <w:rFonts w:cs="Calibri"/>
          <w:color w:val="000000"/>
          <w:szCs w:val="22"/>
        </w:rPr>
        <w:t xml:space="preserve">by way of: proposed methods, proposed sources of data and data collection procedures. The inception report should elaborate and finalize the two </w:t>
      </w:r>
      <w:r w:rsidRPr="00FB23FE">
        <w:rPr>
          <w:rFonts w:cs="Calibri"/>
          <w:b/>
          <w:color w:val="000000"/>
          <w:szCs w:val="22"/>
        </w:rPr>
        <w:t>evaluation matrices</w:t>
      </w:r>
      <w:r w:rsidRPr="00FB23FE">
        <w:rPr>
          <w:rFonts w:cs="Calibri"/>
          <w:color w:val="000000"/>
          <w:szCs w:val="22"/>
        </w:rPr>
        <w:t xml:space="preserve"> for outcome 3.1 and 3.2 and a proposed </w:t>
      </w:r>
      <w:r w:rsidRPr="00FB23FE">
        <w:rPr>
          <w:rFonts w:cs="Calibri"/>
          <w:b/>
          <w:color w:val="000000"/>
          <w:szCs w:val="22"/>
        </w:rPr>
        <w:t>schedule of tas</w:t>
      </w:r>
      <w:r>
        <w:rPr>
          <w:rFonts w:cs="Calibri"/>
          <w:b/>
          <w:color w:val="000000"/>
          <w:szCs w:val="22"/>
        </w:rPr>
        <w:t>k</w:t>
      </w:r>
      <w:r w:rsidRPr="00FB23FE">
        <w:rPr>
          <w:rFonts w:cs="Calibri"/>
          <w:b/>
          <w:color w:val="000000"/>
          <w:szCs w:val="22"/>
        </w:rPr>
        <w:t>s, activities and deliverables</w:t>
      </w:r>
      <w:r w:rsidRPr="00FB23FE">
        <w:rPr>
          <w:rFonts w:cs="Calibri"/>
          <w:color w:val="000000"/>
          <w:szCs w:val="22"/>
        </w:rPr>
        <w:t>, designating a team member with the lead responsibility for each tas</w:t>
      </w:r>
      <w:r>
        <w:rPr>
          <w:rFonts w:cs="Calibri"/>
          <w:color w:val="000000"/>
          <w:szCs w:val="22"/>
        </w:rPr>
        <w:t>k</w:t>
      </w:r>
      <w:r w:rsidRPr="00FB23FE">
        <w:rPr>
          <w:rFonts w:cs="Calibri"/>
          <w:color w:val="000000"/>
          <w:szCs w:val="22"/>
        </w:rPr>
        <w:t xml:space="preserve"> or product. The inception report provides the programme Cluster and the evaluators with an opportunity to verify that they share the same understanding about the evaluation and clarify any misunderstanding at the outset. The inception report should follow the structure proposed in the UNDP Outcome-Level Evaluation: A Companion Guide, Annex 1, p.31</w:t>
      </w:r>
      <w:r w:rsidRPr="00FB23FE">
        <w:rPr>
          <w:rStyle w:val="FootnoteReference"/>
          <w:rFonts w:cs="Calibri"/>
          <w:i/>
          <w:szCs w:val="22"/>
        </w:rPr>
        <w:footnoteReference w:id="108"/>
      </w:r>
      <w:r w:rsidRPr="00FB23FE">
        <w:rPr>
          <w:rFonts w:cs="Calibri"/>
          <w:i/>
          <w:color w:val="000000"/>
          <w:szCs w:val="22"/>
        </w:rPr>
        <w:t xml:space="preserve">. </w:t>
      </w:r>
    </w:p>
    <w:p w:rsidR="0061232B" w:rsidRPr="00FB23FE" w:rsidRDefault="0061232B" w:rsidP="001E161B">
      <w:pPr>
        <w:pStyle w:val="Listenabsatz1"/>
        <w:numPr>
          <w:ilvl w:val="0"/>
          <w:numId w:val="34"/>
        </w:numPr>
        <w:spacing w:after="0" w:line="240" w:lineRule="auto"/>
        <w:jc w:val="both"/>
        <w:rPr>
          <w:rFonts w:cs="Calibri"/>
          <w:szCs w:val="22"/>
        </w:rPr>
      </w:pPr>
      <w:r w:rsidRPr="00FB23FE">
        <w:rPr>
          <w:rFonts w:cs="Calibri"/>
          <w:b/>
          <w:color w:val="000000"/>
          <w:szCs w:val="22"/>
        </w:rPr>
        <w:t xml:space="preserve">Draft Evaluation Report: </w:t>
      </w:r>
      <w:r w:rsidRPr="00FB23FE">
        <w:rPr>
          <w:rFonts w:cs="Calibri"/>
          <w:color w:val="000000"/>
          <w:szCs w:val="22"/>
        </w:rPr>
        <w:t xml:space="preserve">The evaluation report should follow the structure outlined in the UNDP Outcome-Level Evaluation: A Companion Guide, p. 29-30. The programme Cluster and </w:t>
      </w:r>
      <w:r>
        <w:rPr>
          <w:rFonts w:cs="Calibri"/>
          <w:color w:val="000000"/>
          <w:szCs w:val="22"/>
        </w:rPr>
        <w:t>k</w:t>
      </w:r>
      <w:r w:rsidRPr="00FB23FE">
        <w:rPr>
          <w:rFonts w:cs="Calibri"/>
          <w:color w:val="000000"/>
          <w:szCs w:val="22"/>
        </w:rPr>
        <w:t>ey sta</w:t>
      </w:r>
      <w:r>
        <w:rPr>
          <w:rFonts w:cs="Calibri"/>
          <w:color w:val="000000"/>
          <w:szCs w:val="22"/>
        </w:rPr>
        <w:t>k</w:t>
      </w:r>
      <w:r w:rsidRPr="00FB23FE">
        <w:rPr>
          <w:rFonts w:cs="Calibri"/>
          <w:color w:val="000000"/>
          <w:szCs w:val="22"/>
        </w:rPr>
        <w:t>eholders in the evaluation should review the draft evaluation report to ensure that the evaluation answers in depth all evaluation questions and bac</w:t>
      </w:r>
      <w:r>
        <w:rPr>
          <w:rFonts w:cs="Calibri"/>
          <w:color w:val="000000"/>
          <w:szCs w:val="22"/>
        </w:rPr>
        <w:t>k</w:t>
      </w:r>
      <w:r w:rsidRPr="00FB23FE">
        <w:rPr>
          <w:rFonts w:cs="Calibri"/>
          <w:color w:val="000000"/>
          <w:szCs w:val="22"/>
        </w:rPr>
        <w:t xml:space="preserve">s up the arguments with credible and sufficient quantitative and qualitative evidence. The draft evaluation report should not exceed </w:t>
      </w:r>
      <w:r w:rsidRPr="00FB23FE">
        <w:rPr>
          <w:rFonts w:cs="Calibri"/>
          <w:b/>
          <w:color w:val="000000"/>
          <w:szCs w:val="22"/>
        </w:rPr>
        <w:t>40 pages</w:t>
      </w:r>
      <w:r w:rsidRPr="00FB23FE">
        <w:rPr>
          <w:rFonts w:cs="Calibri"/>
          <w:color w:val="000000"/>
          <w:szCs w:val="22"/>
        </w:rPr>
        <w:t xml:space="preserve"> without annexes.</w:t>
      </w:r>
    </w:p>
    <w:p w:rsidR="0061232B" w:rsidRPr="00FB23FE" w:rsidRDefault="0061232B" w:rsidP="001E161B">
      <w:pPr>
        <w:pStyle w:val="Listenabsatz1"/>
        <w:numPr>
          <w:ilvl w:val="0"/>
          <w:numId w:val="34"/>
        </w:numPr>
        <w:spacing w:after="0" w:line="240" w:lineRule="auto"/>
        <w:jc w:val="both"/>
        <w:rPr>
          <w:rFonts w:cs="Calibri"/>
          <w:szCs w:val="22"/>
        </w:rPr>
      </w:pPr>
      <w:r w:rsidRPr="00FB23FE">
        <w:rPr>
          <w:rFonts w:cs="Calibri"/>
          <w:b/>
          <w:color w:val="000000"/>
          <w:szCs w:val="22"/>
        </w:rPr>
        <w:t>Presentation</w:t>
      </w:r>
      <w:r w:rsidRPr="00FB23FE">
        <w:rPr>
          <w:rFonts w:cs="Calibri"/>
          <w:b/>
          <w:szCs w:val="22"/>
        </w:rPr>
        <w:t xml:space="preserve">: </w:t>
      </w:r>
      <w:r w:rsidRPr="00FB23FE">
        <w:rPr>
          <w:rFonts w:cs="Calibri"/>
          <w:szCs w:val="22"/>
        </w:rPr>
        <w:t>Debriefing with sta</w:t>
      </w:r>
      <w:r>
        <w:rPr>
          <w:rFonts w:cs="Calibri"/>
          <w:szCs w:val="22"/>
        </w:rPr>
        <w:t>k</w:t>
      </w:r>
      <w:r w:rsidRPr="00FB23FE">
        <w:rPr>
          <w:rFonts w:cs="Calibri"/>
          <w:szCs w:val="22"/>
        </w:rPr>
        <w:t xml:space="preserve">eholders to present </w:t>
      </w:r>
      <w:r>
        <w:rPr>
          <w:rFonts w:cs="Calibri"/>
          <w:szCs w:val="22"/>
        </w:rPr>
        <w:t>k</w:t>
      </w:r>
      <w:r w:rsidRPr="00FB23FE">
        <w:rPr>
          <w:rFonts w:cs="Calibri"/>
          <w:szCs w:val="22"/>
        </w:rPr>
        <w:t>ey findings and recommendations and collect feedbac</w:t>
      </w:r>
      <w:r>
        <w:rPr>
          <w:rFonts w:cs="Calibri"/>
          <w:szCs w:val="22"/>
        </w:rPr>
        <w:t>k</w:t>
      </w:r>
      <w:r w:rsidRPr="00FB23FE">
        <w:rPr>
          <w:rFonts w:cs="Calibri"/>
          <w:szCs w:val="22"/>
        </w:rPr>
        <w:t xml:space="preserve">s </w:t>
      </w:r>
    </w:p>
    <w:p w:rsidR="0061232B" w:rsidRPr="00FB23FE" w:rsidRDefault="0061232B" w:rsidP="001E161B">
      <w:pPr>
        <w:pStyle w:val="Listenabsatz1"/>
        <w:numPr>
          <w:ilvl w:val="0"/>
          <w:numId w:val="34"/>
        </w:numPr>
        <w:spacing w:after="0" w:line="240" w:lineRule="auto"/>
        <w:jc w:val="both"/>
        <w:rPr>
          <w:rFonts w:cs="Calibri"/>
          <w:szCs w:val="22"/>
        </w:rPr>
      </w:pPr>
      <w:r w:rsidRPr="00FB23FE">
        <w:rPr>
          <w:rFonts w:cs="Calibri"/>
          <w:b/>
          <w:color w:val="000000"/>
          <w:szCs w:val="22"/>
        </w:rPr>
        <w:lastRenderedPageBreak/>
        <w:t xml:space="preserve">Final Evaluation Report: </w:t>
      </w:r>
      <w:r w:rsidRPr="00FB23FE">
        <w:rPr>
          <w:rFonts w:cs="Calibri"/>
          <w:color w:val="000000"/>
          <w:szCs w:val="22"/>
        </w:rPr>
        <w:t>The final report will reflect the comments and feedbac</w:t>
      </w:r>
      <w:r>
        <w:rPr>
          <w:rFonts w:cs="Calibri"/>
          <w:color w:val="000000"/>
          <w:szCs w:val="22"/>
        </w:rPr>
        <w:t>k</w:t>
      </w:r>
      <w:r w:rsidRPr="00FB23FE">
        <w:rPr>
          <w:rFonts w:cs="Calibri"/>
          <w:color w:val="000000"/>
          <w:szCs w:val="22"/>
        </w:rPr>
        <w:t xml:space="preserve"> from sta</w:t>
      </w:r>
      <w:r>
        <w:rPr>
          <w:rFonts w:cs="Calibri"/>
          <w:color w:val="000000"/>
          <w:szCs w:val="22"/>
        </w:rPr>
        <w:t>k</w:t>
      </w:r>
      <w:r w:rsidRPr="00FB23FE">
        <w:rPr>
          <w:rFonts w:cs="Calibri"/>
          <w:color w:val="000000"/>
          <w:szCs w:val="22"/>
        </w:rPr>
        <w:t>eholders, including feedbac</w:t>
      </w:r>
      <w:r>
        <w:rPr>
          <w:rFonts w:cs="Calibri"/>
          <w:color w:val="000000"/>
          <w:szCs w:val="22"/>
        </w:rPr>
        <w:t>k</w:t>
      </w:r>
      <w:r w:rsidRPr="00FB23FE">
        <w:rPr>
          <w:rFonts w:cs="Calibri"/>
          <w:color w:val="000000"/>
          <w:szCs w:val="22"/>
        </w:rPr>
        <w:t xml:space="preserve"> provided during the presentation. </w:t>
      </w:r>
    </w:p>
    <w:p w:rsidR="0061232B" w:rsidRPr="00FB23FE" w:rsidRDefault="0061232B" w:rsidP="001E161B">
      <w:pPr>
        <w:pStyle w:val="Listenabsatz1"/>
        <w:numPr>
          <w:ilvl w:val="0"/>
          <w:numId w:val="34"/>
        </w:numPr>
        <w:spacing w:after="0" w:line="240" w:lineRule="auto"/>
        <w:jc w:val="both"/>
        <w:rPr>
          <w:rFonts w:cs="Calibri"/>
          <w:color w:val="000000"/>
          <w:szCs w:val="22"/>
        </w:rPr>
      </w:pPr>
      <w:r w:rsidRPr="00FB23FE">
        <w:rPr>
          <w:rFonts w:cs="Calibri"/>
          <w:b/>
          <w:color w:val="000000"/>
          <w:szCs w:val="22"/>
        </w:rPr>
        <w:t>Evaluation Brief</w:t>
      </w:r>
      <w:r w:rsidRPr="00FB23FE">
        <w:rPr>
          <w:rFonts w:cs="Calibri"/>
          <w:color w:val="000000"/>
          <w:szCs w:val="22"/>
        </w:rPr>
        <w:t>: A concise summary of the evaluation findings in plain language that can be widely circulated. This can be in a form of a PowerPoint presentation or a two-page briefing document.</w:t>
      </w:r>
    </w:p>
    <w:p w:rsidR="0061232B" w:rsidRPr="00FB23FE" w:rsidRDefault="0061232B" w:rsidP="001E161B">
      <w:pPr>
        <w:pStyle w:val="Listenabsatz1"/>
        <w:numPr>
          <w:ilvl w:val="0"/>
          <w:numId w:val="34"/>
        </w:numPr>
        <w:spacing w:after="0" w:line="240" w:lineRule="auto"/>
        <w:jc w:val="both"/>
        <w:rPr>
          <w:rFonts w:cs="Calibri"/>
          <w:color w:val="000000"/>
          <w:szCs w:val="22"/>
        </w:rPr>
      </w:pPr>
      <w:r w:rsidRPr="00FB23FE">
        <w:rPr>
          <w:rFonts w:cs="Calibri"/>
          <w:b/>
          <w:color w:val="000000"/>
          <w:szCs w:val="22"/>
        </w:rPr>
        <w:t>Data Review Report</w:t>
      </w:r>
      <w:r w:rsidRPr="00FB23FE">
        <w:rPr>
          <w:rFonts w:cs="Calibri"/>
          <w:color w:val="000000"/>
          <w:szCs w:val="22"/>
        </w:rPr>
        <w:t xml:space="preserve">:  The report is a supplementary document to the final evaluation report describing, but not limited to, 1) an analysis and findings on data gaps and availability of independently verifiable sources in monitoring the CPD and the </w:t>
      </w:r>
      <w:r w:rsidRPr="00FB23FE">
        <w:rPr>
          <w:rFonts w:cs="Calibri"/>
          <w:szCs w:val="22"/>
        </w:rPr>
        <w:t xml:space="preserve">Strategic Plan </w:t>
      </w:r>
      <w:r w:rsidRPr="00FB23FE">
        <w:rPr>
          <w:rFonts w:cs="Calibri"/>
          <w:color w:val="000000"/>
          <w:szCs w:val="22"/>
        </w:rPr>
        <w:t xml:space="preserve">indicators among existing national statistics, administrative and project data sets relevant to this CPD outcome  evaluation and 2) recommendations on how to maximize the use of existing project data and how to harmonize or fill in the gaps of data and information between now and 2016/2017 (the CPD and the </w:t>
      </w:r>
      <w:r w:rsidRPr="00FB23FE">
        <w:rPr>
          <w:rFonts w:cs="Calibri"/>
          <w:szCs w:val="22"/>
        </w:rPr>
        <w:t xml:space="preserve">Strategic Plan </w:t>
      </w:r>
      <w:r w:rsidRPr="00FB23FE">
        <w:rPr>
          <w:rFonts w:cs="Calibri"/>
          <w:color w:val="000000"/>
          <w:szCs w:val="22"/>
        </w:rPr>
        <w:t xml:space="preserve">respectively). The report should not exceed </w:t>
      </w:r>
      <w:r w:rsidRPr="00FB23FE">
        <w:rPr>
          <w:rFonts w:cs="Calibri"/>
          <w:b/>
          <w:color w:val="000000"/>
          <w:szCs w:val="22"/>
        </w:rPr>
        <w:t>10 pages</w:t>
      </w:r>
      <w:r w:rsidRPr="00FB23FE">
        <w:rPr>
          <w:rFonts w:cs="Calibri"/>
          <w:color w:val="000000"/>
          <w:szCs w:val="22"/>
        </w:rPr>
        <w:t xml:space="preserve"> without annexes. </w:t>
      </w:r>
    </w:p>
    <w:p w:rsidR="0061232B" w:rsidRPr="00FB23FE" w:rsidRDefault="0061232B" w:rsidP="0061232B">
      <w:pPr>
        <w:spacing w:after="0" w:line="240" w:lineRule="auto"/>
        <w:jc w:val="both"/>
        <w:rPr>
          <w:rFonts w:cs="Calibri"/>
        </w:rPr>
      </w:pPr>
    </w:p>
    <w:p w:rsidR="0061232B" w:rsidRPr="00FB23FE" w:rsidRDefault="0061232B" w:rsidP="0061232B">
      <w:pPr>
        <w:spacing w:after="0" w:line="240" w:lineRule="auto"/>
        <w:jc w:val="both"/>
        <w:rPr>
          <w:rFonts w:cs="Calibri"/>
        </w:rPr>
      </w:pPr>
      <w:r w:rsidRPr="00FB23FE">
        <w:rPr>
          <w:rFonts w:cs="Calibri"/>
          <w:b/>
        </w:rPr>
        <w:t>Inputs:</w:t>
      </w:r>
    </w:p>
    <w:p w:rsidR="0061232B" w:rsidRPr="00FB23FE" w:rsidRDefault="0061232B" w:rsidP="0061232B">
      <w:pPr>
        <w:spacing w:after="0" w:line="240" w:lineRule="auto"/>
        <w:jc w:val="both"/>
        <w:rPr>
          <w:rFonts w:cs="Calibri"/>
        </w:rPr>
      </w:pPr>
    </w:p>
    <w:p w:rsidR="0061232B" w:rsidRPr="00FB23FE" w:rsidRDefault="0061232B" w:rsidP="0061232B">
      <w:pPr>
        <w:spacing w:after="0" w:line="240" w:lineRule="auto"/>
        <w:jc w:val="both"/>
        <w:rPr>
          <w:rFonts w:cs="Calibri"/>
        </w:rPr>
      </w:pPr>
      <w:r w:rsidRPr="00FB23FE">
        <w:rPr>
          <w:rFonts w:cs="Calibri"/>
        </w:rPr>
        <w:t xml:space="preserve">UNDP Bangladesh will provide office space and transport to field sites and will also arrange meetings and consultations to ensure access to </w:t>
      </w:r>
      <w:r>
        <w:rPr>
          <w:rFonts w:cs="Calibri"/>
        </w:rPr>
        <w:t>k</w:t>
      </w:r>
      <w:r w:rsidRPr="00FB23FE">
        <w:rPr>
          <w:rFonts w:cs="Calibri"/>
        </w:rPr>
        <w:t>ey sta</w:t>
      </w:r>
      <w:r>
        <w:rPr>
          <w:rFonts w:cs="Calibri"/>
        </w:rPr>
        <w:t>k</w:t>
      </w:r>
      <w:r w:rsidRPr="00FB23FE">
        <w:rPr>
          <w:rFonts w:cs="Calibri"/>
        </w:rPr>
        <w:t xml:space="preserve">eholders. The CCED Cluster will provide </w:t>
      </w:r>
      <w:r>
        <w:rPr>
          <w:rFonts w:cs="Calibri"/>
        </w:rPr>
        <w:t>k</w:t>
      </w:r>
      <w:r w:rsidRPr="00FB23FE">
        <w:rPr>
          <w:rFonts w:cs="Calibri"/>
        </w:rPr>
        <w:t>ey documents and data relevant to the evaluation. No laptop will be provided.</w:t>
      </w:r>
    </w:p>
    <w:p w:rsidR="009F468D" w:rsidRPr="005F5DC3" w:rsidRDefault="009F468D" w:rsidP="005F5DC3">
      <w:pPr>
        <w:tabs>
          <w:tab w:val="left" w:pos="2595"/>
        </w:tabs>
        <w:rPr>
          <w:rFonts w:asciiTheme="minorHAnsi" w:hAnsiTheme="minorHAnsi"/>
        </w:rPr>
      </w:pPr>
    </w:p>
    <w:sectPr w:rsidR="009F468D" w:rsidRPr="005F5DC3" w:rsidSect="00F04E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EB8" w:rsidRDefault="008F2EB8" w:rsidP="008343D5">
      <w:pPr>
        <w:spacing w:after="0" w:line="240" w:lineRule="auto"/>
      </w:pPr>
      <w:r>
        <w:separator/>
      </w:r>
    </w:p>
  </w:endnote>
  <w:endnote w:type="continuationSeparator" w:id="0">
    <w:p w:rsidR="008F2EB8" w:rsidRDefault="008F2EB8" w:rsidP="0083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206"/>
      <w:docPartObj>
        <w:docPartGallery w:val="Page Numbers (Bottom of Page)"/>
        <w:docPartUnique/>
      </w:docPartObj>
    </w:sdtPr>
    <w:sdtEndPr/>
    <w:sdtContent>
      <w:p w:rsidR="00EA3B8B" w:rsidRDefault="00EA3B8B">
        <w:pPr>
          <w:pStyle w:val="Footer"/>
        </w:pPr>
        <w:r>
          <w:rPr>
            <w:rFonts w:asciiTheme="majorHAnsi" w:hAnsiTheme="majorHAnsi"/>
            <w:noProof/>
            <w:sz w:val="28"/>
            <w:szCs w:val="28"/>
            <w:lang w:val="en-US" w:eastAsia="en-US"/>
          </w:rPr>
          <mc:AlternateContent>
            <mc:Choice Requires="wps">
              <w:drawing>
                <wp:anchor distT="0" distB="0" distL="114300" distR="114300" simplePos="0" relativeHeight="251660288" behindDoc="0" locked="0" layoutInCell="1" allowOverlap="1" wp14:anchorId="19C2B4E0" wp14:editId="5DA1A87A">
                  <wp:simplePos x="0" y="0"/>
                  <wp:positionH relativeFrom="rightMargin">
                    <wp:align>center</wp:align>
                  </wp:positionH>
                  <wp:positionV relativeFrom="bottomMargin">
                    <wp:align>center</wp:align>
                  </wp:positionV>
                  <wp:extent cx="512445" cy="441325"/>
                  <wp:effectExtent l="0" t="0" r="1905"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EA3B8B" w:rsidRDefault="00EA3B8B">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644CA3" w:rsidRPr="00644CA3">
                                <w:rPr>
                                  <w:noProof/>
                                  <w:sz w:val="28"/>
                                  <w:szCs w:val="28"/>
                                </w:rPr>
                                <w:t>vi</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2B4E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94"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TK5gIAAEgGAAAOAAAAZHJzL2Uyb0RvYy54bWysVW1v0zAQ/o7Ef7D8PcvLnK6Jlk6laRHS&#10;gEmDH+AmTmPh2MF2mw7Ef+fsbH3ZpAkB/WDl7uzn7p576fXNvhNox7ThShY4vogwYrJSNZebAn/9&#10;sgqmGBlLZU2FkqzAD8zgm9nbN9dDn7NEtUrUTCMAkSYf+gK31vZ5GJqqZR01F6pnEoyN0h21IOpN&#10;WGs6AHonwiSKJuGgdN1rVTFjQFuORjzz+E3DKvu5aQyzSBQYYrP+1P5cuzOcXdN8o2nf8uoxDPoX&#10;UXSUS3B6gCqppWir+QuojldaGdXYi0p1oWoaXjGfA2QTR8+yuW9pz3wuQI7pDzSZ/wdbfdrdacTr&#10;Ak8wkrSDEs23VnnP6NLRM/Qmh1v3/Z12CZr+VlXfDJJq0VK5YXOt1dAyWkNQsbsfnj1wgoGnaD18&#10;VDWgU0D3TO0b3SGtoCJJPIncz6uBErT39Xk41IftLapAmcYJISlGFZgIiS+T1DukucNywfXa2PdM&#10;dch9FLgRaoAotZ0Ly7Sklt2NneI90d2tsS7g4zuHIdWKC+H7QsgzBVwcNRAPPHU2F5kv888sypbT&#10;5ZQEJJksAxKVZTBfLUgwWcVXaXlZLhZl/Mv5jUne8rpm0rl5armY/FlJH5t/bJZD0xkleO3gXEh+&#10;dNhCaLSj0PS0qpi0sc9YbDsowqiPR8rHPLcdTMmo9yMBmR5gPEEnHsLzDLwZaHjGBlQqepdkwWoy&#10;vQrIiqRBdhVNgyjO3mWTiGSkXJ2zccsl+3c20FDgLIW+8Ey8Qovdv6QkTV0TvmCEPKlfY4XmHYce&#10;Q4J3BZ6ecOtGYylrj2opF+P3CYku8SOJ4OOpu/wgudkZZ9Du13tAcQO1VvUDjJQfHlhqsH6h2Vul&#10;f2A0wCorsPm+pZphJD5IGMssJsTtPi+Q9CoBQZ9a1qcWKiuAKrDFaPxc2HFfbnvNNy14GpmTyi2K&#10;hvsROkYFqTgB1pVP6nG1un14Kvtbxz+A2W8A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DRzaTK5gIAAEgGAAAOAAAAAAAA&#10;AAAAAAAAAC4CAABkcnMvZTJvRG9jLnhtbFBLAQItABQABgAIAAAAIQDoUJs+3QAAAAMBAAAPAAAA&#10;AAAAAAAAAAAAAEAFAABkcnMvZG93bnJldi54bWxQSwUGAAAAAAQABADzAAAASgYAAAAA&#10;" filled="f" fillcolor="#4f81bd [3204]" stroked="f" strokecolor="#737373 [1789]">
                  <v:textbox>
                    <w:txbxContent>
                      <w:p w:rsidR="00EA3B8B" w:rsidRDefault="00EA3B8B">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644CA3" w:rsidRPr="00644CA3">
                          <w:rPr>
                            <w:noProof/>
                            <w:sz w:val="28"/>
                            <w:szCs w:val="28"/>
                          </w:rPr>
                          <w:t>vi</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EB8" w:rsidRDefault="008F2EB8" w:rsidP="008343D5">
      <w:pPr>
        <w:spacing w:after="0" w:line="240" w:lineRule="auto"/>
      </w:pPr>
      <w:r>
        <w:separator/>
      </w:r>
    </w:p>
  </w:footnote>
  <w:footnote w:type="continuationSeparator" w:id="0">
    <w:p w:rsidR="008F2EB8" w:rsidRDefault="008F2EB8" w:rsidP="008343D5">
      <w:pPr>
        <w:spacing w:after="0" w:line="240" w:lineRule="auto"/>
      </w:pPr>
      <w:r>
        <w:continuationSeparator/>
      </w:r>
    </w:p>
  </w:footnote>
  <w:footnote w:id="1">
    <w:p w:rsidR="00EA3B8B" w:rsidRPr="00373618" w:rsidRDefault="00EA3B8B" w:rsidP="00B41518">
      <w:pPr>
        <w:spacing w:after="0" w:line="240" w:lineRule="auto"/>
        <w:ind w:left="90" w:hanging="90"/>
        <w:rPr>
          <w:rFonts w:asciiTheme="minorHAnsi" w:hAnsiTheme="minorHAnsi"/>
          <w:sz w:val="18"/>
          <w:szCs w:val="18"/>
        </w:rPr>
      </w:pPr>
      <w:r>
        <w:rPr>
          <w:rFonts w:ascii="Cambria" w:eastAsia="Cambria" w:hAnsi="Cambria" w:cs="Cambria"/>
          <w:vertAlign w:val="superscript"/>
        </w:rPr>
        <w:footnoteRef/>
      </w:r>
      <w:r w:rsidRPr="00AA3AF6">
        <w:rPr>
          <w:rFonts w:asciiTheme="minorHAnsi" w:hAnsiTheme="minorHAnsi"/>
          <w:sz w:val="18"/>
          <w:szCs w:val="18"/>
        </w:rPr>
        <w:t>UNDP. 2011. Bangladesh - Country Programme Document (CPD), 2012-2016</w:t>
      </w:r>
      <w:r>
        <w:rPr>
          <w:rFonts w:asciiTheme="minorHAnsi" w:hAnsiTheme="minorHAnsi"/>
          <w:sz w:val="18"/>
          <w:szCs w:val="18"/>
        </w:rPr>
        <w:t xml:space="preserve">. </w:t>
      </w:r>
      <w:hyperlink r:id="rId1" w:history="1">
        <w:r w:rsidRPr="00AA3AF6">
          <w:rPr>
            <w:rStyle w:val="Hyperlink0"/>
            <w:rFonts w:asciiTheme="minorHAnsi" w:hAnsiTheme="minorHAnsi"/>
          </w:rPr>
          <w:t>http://www.bd.undp.org/content/dam/bangladesh/docs/LegalFramework/Signed%20CPD-BGD_2012-2016.pdf</w:t>
        </w:r>
      </w:hyperlink>
    </w:p>
  </w:footnote>
  <w:footnote w:id="2">
    <w:p w:rsidR="00EA3B8B" w:rsidRPr="00974DFC" w:rsidRDefault="00EA3B8B" w:rsidP="00B41518">
      <w:pPr>
        <w:spacing w:after="0" w:line="240" w:lineRule="auto"/>
        <w:ind w:left="90" w:hanging="90"/>
        <w:rPr>
          <w:rFonts w:asciiTheme="minorHAnsi" w:hAnsiTheme="minorHAnsi"/>
          <w:sz w:val="18"/>
          <w:szCs w:val="18"/>
        </w:rPr>
      </w:pPr>
      <w:r>
        <w:rPr>
          <w:rFonts w:ascii="Cambria" w:eastAsia="Cambria" w:hAnsi="Cambria" w:cs="Cambria"/>
          <w:vertAlign w:val="superscript"/>
        </w:rPr>
        <w:footnoteRef/>
      </w:r>
      <w:r w:rsidRPr="00974DFC">
        <w:rPr>
          <w:rFonts w:asciiTheme="minorHAnsi" w:hAnsiTheme="minorHAnsi"/>
          <w:sz w:val="18"/>
          <w:szCs w:val="18"/>
        </w:rPr>
        <w:t xml:space="preserve">UNDP. 2014. </w:t>
      </w:r>
      <w:r w:rsidRPr="00974DFC">
        <w:rPr>
          <w:rFonts w:asciiTheme="minorHAnsi" w:hAnsiTheme="minorHAnsi"/>
          <w:i/>
          <w:sz w:val="18"/>
          <w:szCs w:val="18"/>
        </w:rPr>
        <w:t>UNDP Strategic Plan, 2014-17.</w:t>
      </w:r>
      <w:r w:rsidRPr="00974DFC">
        <w:rPr>
          <w:rFonts w:asciiTheme="minorHAnsi" w:hAnsiTheme="minorHAnsi"/>
          <w:sz w:val="18"/>
          <w:szCs w:val="18"/>
        </w:rPr>
        <w:t xml:space="preserve"> http://www.undp.org/content/undp/en/home/librarypage/corporate/Changing_with_the_World_UNDP_Strategic_Plan_2014_17/ </w:t>
      </w:r>
    </w:p>
    <w:p w:rsidR="00EA3B8B" w:rsidRDefault="00EA3B8B" w:rsidP="00C61EA4">
      <w:pPr>
        <w:spacing w:after="0" w:line="240" w:lineRule="auto"/>
        <w:jc w:val="both"/>
        <w:rPr>
          <w:rFonts w:ascii="Times New Roman" w:eastAsia="Arial Unicode MS" w:hAnsi="Times New Roman"/>
          <w:sz w:val="20"/>
          <w:szCs w:val="20"/>
        </w:rPr>
      </w:pPr>
    </w:p>
  </w:footnote>
  <w:footnote w:id="3">
    <w:p w:rsidR="00EA3B8B" w:rsidRPr="0043536A" w:rsidRDefault="00EA3B8B" w:rsidP="00315D21">
      <w:pPr>
        <w:pStyle w:val="FootnoteText1"/>
        <w:spacing w:after="0" w:line="240" w:lineRule="auto"/>
        <w:ind w:left="90" w:hanging="90"/>
        <w:rPr>
          <w:rFonts w:asciiTheme="minorHAnsi" w:eastAsia="Arial Unicode MS" w:hAnsiTheme="minorHAnsi" w:cs="Times New Roman"/>
          <w:color w:val="auto"/>
          <w:sz w:val="18"/>
          <w:szCs w:val="18"/>
        </w:rPr>
      </w:pPr>
      <w:r w:rsidRPr="0043536A">
        <w:rPr>
          <w:rFonts w:asciiTheme="minorHAnsi" w:eastAsia="Cambria" w:hAnsiTheme="minorHAnsi" w:cs="Cambria"/>
          <w:sz w:val="18"/>
          <w:szCs w:val="18"/>
          <w:vertAlign w:val="superscript"/>
        </w:rPr>
        <w:footnoteRef/>
      </w:r>
      <w:r w:rsidRPr="0043536A">
        <w:rPr>
          <w:rFonts w:asciiTheme="minorHAnsi" w:eastAsia="Cambria" w:hAnsiTheme="minorHAnsi" w:cs="Cambria"/>
          <w:sz w:val="18"/>
          <w:szCs w:val="18"/>
        </w:rPr>
        <w:t>Winderl, T. 2014, Evaluability Report of UNDP Country Programme Outcome 3.1 (Resilience) and 3.2 (Natural Resource Management and Low Carbon Energy).UNDP, Dhaka, Bangladesh.</w:t>
      </w:r>
    </w:p>
  </w:footnote>
  <w:footnote w:id="4">
    <w:p w:rsidR="00EA3B8B" w:rsidRPr="0043536A" w:rsidRDefault="00EA3B8B" w:rsidP="00315D21">
      <w:pPr>
        <w:pStyle w:val="FootnoteText1"/>
        <w:spacing w:after="0" w:line="240" w:lineRule="auto"/>
        <w:ind w:left="90" w:hanging="90"/>
        <w:rPr>
          <w:rFonts w:asciiTheme="minorHAnsi" w:eastAsia="Arial Unicode MS" w:hAnsiTheme="minorHAnsi" w:cs="Times New Roman"/>
          <w:color w:val="auto"/>
        </w:rPr>
      </w:pPr>
      <w:r w:rsidRPr="0043536A">
        <w:rPr>
          <w:rFonts w:asciiTheme="minorHAnsi" w:eastAsia="Cambria" w:hAnsiTheme="minorHAnsi" w:cs="Cambria"/>
          <w:sz w:val="18"/>
          <w:szCs w:val="18"/>
          <w:vertAlign w:val="superscript"/>
        </w:rPr>
        <w:footnoteRef/>
      </w:r>
      <w:r w:rsidRPr="0043536A">
        <w:rPr>
          <w:rFonts w:asciiTheme="minorHAnsi" w:eastAsia="Cambria" w:hAnsiTheme="minorHAnsi" w:cs="Cambria"/>
          <w:sz w:val="18"/>
          <w:szCs w:val="18"/>
        </w:rPr>
        <w:t>UNDP, no date (cited in Winderl, T. 2014, Evaluability Report of UNDP Country Programme Outcome 3.1 (Resilience) and 3.2 (Natural Resource Management and Low Carbon Energy). UNDP, Dhaka, Bangladesh).</w:t>
      </w:r>
    </w:p>
  </w:footnote>
  <w:footnote w:id="5">
    <w:p w:rsidR="00EA3B8B" w:rsidRPr="00C1541C" w:rsidRDefault="00EA3B8B" w:rsidP="008B17D0">
      <w:pPr>
        <w:pStyle w:val="FootnoteText1"/>
        <w:rPr>
          <w:rFonts w:asciiTheme="minorHAnsi" w:eastAsia="Arial Unicode MS" w:hAnsiTheme="minorHAnsi" w:cstheme="minorHAnsi"/>
          <w:color w:val="auto"/>
          <w:sz w:val="18"/>
          <w:szCs w:val="18"/>
        </w:rPr>
      </w:pPr>
      <w:r w:rsidRPr="00C1541C">
        <w:rPr>
          <w:rFonts w:asciiTheme="minorHAnsi" w:eastAsia="Cambria" w:hAnsiTheme="minorHAnsi" w:cstheme="minorHAnsi"/>
          <w:sz w:val="18"/>
          <w:szCs w:val="18"/>
          <w:vertAlign w:val="superscript"/>
        </w:rPr>
        <w:footnoteRef/>
      </w:r>
      <w:r>
        <w:rPr>
          <w:rFonts w:asciiTheme="minorHAnsi" w:eastAsia="Cambria" w:hAnsiTheme="minorHAnsi" w:cstheme="minorHAnsi"/>
          <w:sz w:val="18"/>
          <w:szCs w:val="18"/>
        </w:rPr>
        <w:t>Ibid, p.3.</w:t>
      </w:r>
    </w:p>
  </w:footnote>
  <w:footnote w:id="6">
    <w:p w:rsidR="00EA3B8B" w:rsidRPr="00FA7922" w:rsidRDefault="00EA3B8B" w:rsidP="0031551B">
      <w:pPr>
        <w:pStyle w:val="FootnoteText1"/>
        <w:spacing w:after="0" w:line="240" w:lineRule="auto"/>
        <w:ind w:left="90" w:hanging="90"/>
        <w:rPr>
          <w:sz w:val="18"/>
          <w:szCs w:val="18"/>
        </w:rPr>
      </w:pPr>
      <w:r w:rsidRPr="00C61EA4">
        <w:rPr>
          <w:sz w:val="18"/>
          <w:szCs w:val="18"/>
          <w:vertAlign w:val="superscript"/>
        </w:rPr>
        <w:footnoteRef/>
      </w:r>
      <w:r w:rsidRPr="00FA7922">
        <w:rPr>
          <w:sz w:val="18"/>
          <w:szCs w:val="18"/>
        </w:rPr>
        <w:t>Maplecroft, 2015. Verisk Maplecroft – New Products and Analysis. [http://maplecroft.com/about/news/ccvi.html], accessed on May 27, 2015.</w:t>
      </w:r>
    </w:p>
  </w:footnote>
  <w:footnote w:id="7">
    <w:p w:rsidR="00EA3B8B" w:rsidRPr="007069EE" w:rsidRDefault="00EA3B8B" w:rsidP="00315D21">
      <w:pPr>
        <w:pStyle w:val="FootnoteText1"/>
        <w:spacing w:after="0" w:line="240" w:lineRule="auto"/>
        <w:ind w:left="90" w:hanging="90"/>
        <w:rPr>
          <w:rFonts w:ascii="Times New Roman" w:eastAsia="Arial Unicode MS" w:hAnsi="Times New Roman" w:cs="Times New Roman"/>
          <w:color w:val="auto"/>
          <w:sz w:val="18"/>
          <w:szCs w:val="18"/>
        </w:rPr>
      </w:pPr>
      <w:r w:rsidRPr="007069EE">
        <w:rPr>
          <w:sz w:val="18"/>
          <w:szCs w:val="18"/>
          <w:vertAlign w:val="superscript"/>
        </w:rPr>
        <w:footnoteRef/>
      </w:r>
      <w:r w:rsidRPr="007069EE">
        <w:rPr>
          <w:sz w:val="18"/>
          <w:szCs w:val="18"/>
        </w:rPr>
        <w:t>World Bank, 2015</w:t>
      </w:r>
      <w:r>
        <w:rPr>
          <w:sz w:val="18"/>
          <w:szCs w:val="18"/>
        </w:rPr>
        <w:t>.</w:t>
      </w:r>
      <w:r w:rsidRPr="007069EE">
        <w:rPr>
          <w:sz w:val="18"/>
          <w:szCs w:val="18"/>
        </w:rPr>
        <w:t>accessed on 28 May (https://www.google.com.bd/webhp?sourceid=chrome-instant&amp;ion=1&amp;espv=2&amp;ie=UTF-8#q=population%20growth%20rate%20of%20bangladesh).</w:t>
      </w:r>
    </w:p>
  </w:footnote>
  <w:footnote w:id="8">
    <w:p w:rsidR="00EA3B8B" w:rsidRPr="007069EE" w:rsidRDefault="00EA3B8B" w:rsidP="00315D21">
      <w:pPr>
        <w:pStyle w:val="FootnoteText1"/>
        <w:spacing w:after="0" w:line="240" w:lineRule="auto"/>
        <w:ind w:left="90" w:hanging="90"/>
        <w:jc w:val="both"/>
        <w:rPr>
          <w:rFonts w:ascii="Times New Roman" w:eastAsia="Arial Unicode MS" w:hAnsi="Times New Roman" w:cs="Times New Roman"/>
          <w:color w:val="auto"/>
          <w:sz w:val="18"/>
          <w:szCs w:val="18"/>
        </w:rPr>
      </w:pPr>
      <w:r w:rsidRPr="007069EE">
        <w:rPr>
          <w:sz w:val="18"/>
          <w:szCs w:val="18"/>
          <w:vertAlign w:val="superscript"/>
        </w:rPr>
        <w:footnoteRef/>
      </w:r>
      <w:r w:rsidRPr="007069EE">
        <w:rPr>
          <w:sz w:val="18"/>
          <w:szCs w:val="18"/>
        </w:rPr>
        <w:t xml:space="preserve"> Ahmed, A.U. and Neelormi, S. 2007. Livelihoods of coastal fishermen in peril: In search of early evidence of climate change induced adverse effects in Bangladesh. Centre for Global Change, Dhaka.</w:t>
      </w:r>
    </w:p>
  </w:footnote>
  <w:footnote w:id="9">
    <w:p w:rsidR="00EA3B8B" w:rsidRPr="007069EE" w:rsidRDefault="00EA3B8B" w:rsidP="00315D21">
      <w:pPr>
        <w:pStyle w:val="FootnoteText1"/>
        <w:spacing w:after="0" w:line="240" w:lineRule="auto"/>
        <w:ind w:left="90" w:hanging="90"/>
        <w:jc w:val="both"/>
        <w:rPr>
          <w:rFonts w:ascii="Times New Roman" w:eastAsia="Arial Unicode MS" w:hAnsi="Times New Roman" w:cs="Times New Roman"/>
          <w:color w:val="auto"/>
          <w:sz w:val="18"/>
          <w:szCs w:val="18"/>
        </w:rPr>
      </w:pPr>
      <w:r w:rsidRPr="007069EE">
        <w:rPr>
          <w:sz w:val="18"/>
          <w:szCs w:val="18"/>
          <w:vertAlign w:val="superscript"/>
        </w:rPr>
        <w:footnoteRef/>
      </w:r>
      <w:r w:rsidRPr="007069EE">
        <w:rPr>
          <w:sz w:val="18"/>
          <w:szCs w:val="18"/>
        </w:rPr>
        <w:t xml:space="preserve"> Ahmed, A.U. 2005. Adaptation options for managing water related extreme events under climate change regime: Bangladesh perspectives. In M.M.Q. Mirza and Q.K. Ahmed (eds.). </w:t>
      </w:r>
      <w:r w:rsidRPr="007069EE">
        <w:rPr>
          <w:i/>
          <w:iCs/>
          <w:sz w:val="18"/>
          <w:szCs w:val="18"/>
        </w:rPr>
        <w:t>Climate Change and Water Resources in South Asia.</w:t>
      </w:r>
      <w:r w:rsidRPr="007069EE">
        <w:rPr>
          <w:sz w:val="18"/>
          <w:szCs w:val="18"/>
        </w:rPr>
        <w:t>Balkema Press, Leiden, pp. 255-278.</w:t>
      </w:r>
    </w:p>
  </w:footnote>
  <w:footnote w:id="10">
    <w:p w:rsidR="00EA3B8B" w:rsidRPr="007069EE" w:rsidRDefault="00EA3B8B" w:rsidP="00315D21">
      <w:pPr>
        <w:pStyle w:val="FootnoteText1"/>
        <w:spacing w:after="0" w:line="240" w:lineRule="auto"/>
        <w:ind w:left="90" w:hanging="90"/>
        <w:jc w:val="both"/>
        <w:rPr>
          <w:rFonts w:ascii="Times New Roman" w:eastAsia="Arial Unicode MS" w:hAnsi="Times New Roman" w:cs="Times New Roman"/>
          <w:color w:val="auto"/>
          <w:sz w:val="18"/>
          <w:szCs w:val="18"/>
        </w:rPr>
      </w:pPr>
      <w:r w:rsidRPr="007069EE">
        <w:rPr>
          <w:sz w:val="18"/>
          <w:szCs w:val="18"/>
          <w:vertAlign w:val="superscript"/>
        </w:rPr>
        <w:footnoteRef/>
      </w:r>
      <w:r w:rsidRPr="007069EE">
        <w:rPr>
          <w:sz w:val="18"/>
          <w:szCs w:val="18"/>
        </w:rPr>
        <w:t xml:space="preserve"> General Economic</w:t>
      </w:r>
      <w:r>
        <w:rPr>
          <w:sz w:val="18"/>
          <w:szCs w:val="18"/>
        </w:rPr>
        <w:t>s</w:t>
      </w:r>
      <w:r w:rsidRPr="007069EE">
        <w:rPr>
          <w:sz w:val="18"/>
          <w:szCs w:val="18"/>
        </w:rPr>
        <w:t xml:space="preserve"> Division, Government of Bangladesh. 2011. Sixth Five Year Plan FY2011-2015. Part-2. Dhaka: Planning Commission, p. 475.</w:t>
      </w:r>
    </w:p>
  </w:footnote>
  <w:footnote w:id="11">
    <w:p w:rsidR="00EA3B8B" w:rsidRPr="00974DFC" w:rsidRDefault="00EA3B8B" w:rsidP="00E25B43">
      <w:pPr>
        <w:pStyle w:val="FootnoteText1"/>
        <w:spacing w:after="0" w:line="240" w:lineRule="auto"/>
        <w:ind w:left="90" w:hanging="90"/>
        <w:rPr>
          <w:rFonts w:asciiTheme="minorHAnsi" w:hAnsiTheme="minorHAnsi"/>
          <w:sz w:val="18"/>
          <w:szCs w:val="18"/>
        </w:rPr>
      </w:pPr>
      <w:r w:rsidRPr="007069EE">
        <w:rPr>
          <w:sz w:val="18"/>
          <w:szCs w:val="18"/>
          <w:vertAlign w:val="superscript"/>
        </w:rPr>
        <w:footnoteRef/>
      </w:r>
      <w:r w:rsidRPr="00974DFC">
        <w:rPr>
          <w:rFonts w:asciiTheme="minorHAnsi" w:hAnsiTheme="minorHAnsi"/>
          <w:sz w:val="18"/>
          <w:szCs w:val="18"/>
        </w:rPr>
        <w:t xml:space="preserve">MOEF-UNDP. 2005. </w:t>
      </w:r>
      <w:r w:rsidRPr="00974DFC">
        <w:rPr>
          <w:rFonts w:asciiTheme="minorHAnsi" w:hAnsiTheme="minorHAnsi"/>
          <w:i/>
          <w:sz w:val="18"/>
          <w:szCs w:val="18"/>
        </w:rPr>
        <w:t>National Adaptation Programme of Action, Bangladesh.</w:t>
      </w:r>
      <w:r w:rsidRPr="00974DFC">
        <w:rPr>
          <w:rFonts w:asciiTheme="minorHAnsi" w:hAnsiTheme="minorHAnsi"/>
          <w:sz w:val="18"/>
          <w:szCs w:val="18"/>
        </w:rPr>
        <w:t>Ministry of Environment and Forests.Government of Bangladesh and UNDP, Dhaka.</w:t>
      </w:r>
    </w:p>
    <w:p w:rsidR="00EA3B8B" w:rsidRPr="007069EE" w:rsidRDefault="00EA3B8B" w:rsidP="00C46A76">
      <w:pPr>
        <w:spacing w:after="0" w:line="240" w:lineRule="auto"/>
        <w:jc w:val="both"/>
        <w:rPr>
          <w:rFonts w:ascii="Times New Roman" w:eastAsia="Arial Unicode MS" w:hAnsi="Times New Roman"/>
          <w:sz w:val="18"/>
          <w:szCs w:val="18"/>
        </w:rPr>
      </w:pPr>
    </w:p>
  </w:footnote>
  <w:footnote w:id="12">
    <w:p w:rsidR="00EA3B8B" w:rsidRPr="002F5BD7" w:rsidRDefault="00EA3B8B" w:rsidP="00B45F85">
      <w:pPr>
        <w:spacing w:after="0" w:line="240" w:lineRule="auto"/>
        <w:ind w:left="180" w:hanging="180"/>
        <w:rPr>
          <w:rFonts w:ascii="Times New Roman" w:eastAsia="Arial Unicode MS" w:hAnsi="Times New Roman"/>
          <w:sz w:val="18"/>
          <w:szCs w:val="18"/>
        </w:rPr>
      </w:pPr>
      <w:r w:rsidRPr="002F5BD7">
        <w:rPr>
          <w:sz w:val="18"/>
          <w:szCs w:val="18"/>
          <w:vertAlign w:val="superscript"/>
        </w:rPr>
        <w:footnoteRef/>
      </w:r>
      <w:r w:rsidRPr="002F5BD7">
        <w:rPr>
          <w:sz w:val="18"/>
          <w:szCs w:val="18"/>
        </w:rPr>
        <w:t>World Bank, 2000. Bangladesh: Climate Change and Sustainable Development. Report No. 21104-BD, Rural Development Unit, South Asia Region, The World Bank, Dhaka.</w:t>
      </w:r>
    </w:p>
  </w:footnote>
  <w:footnote w:id="13">
    <w:p w:rsidR="00EA3B8B" w:rsidRPr="002F5BD7" w:rsidRDefault="00EA3B8B" w:rsidP="00B45F85">
      <w:pPr>
        <w:pStyle w:val="FootnoteText"/>
        <w:spacing w:after="0" w:line="240" w:lineRule="auto"/>
        <w:ind w:left="180" w:hanging="180"/>
        <w:rPr>
          <w:rFonts w:asciiTheme="minorHAnsi" w:hAnsiTheme="minorHAnsi" w:cstheme="minorHAnsi"/>
          <w:sz w:val="18"/>
          <w:szCs w:val="18"/>
          <w:lang w:val="en-US"/>
        </w:rPr>
      </w:pPr>
      <w:r w:rsidRPr="002F5BD7">
        <w:rPr>
          <w:rStyle w:val="FootnoteReference"/>
          <w:sz w:val="18"/>
          <w:szCs w:val="18"/>
        </w:rPr>
        <w:footnoteRef/>
      </w:r>
      <w:r w:rsidRPr="002F5BD7">
        <w:rPr>
          <w:rFonts w:asciiTheme="minorHAnsi" w:hAnsiTheme="minorHAnsi" w:cstheme="minorHAnsi"/>
          <w:bCs/>
          <w:sz w:val="18"/>
          <w:szCs w:val="18"/>
          <w:lang w:val="en-US" w:eastAsia="en-US"/>
        </w:rPr>
        <w:t>Junaid K. Choudhury and Md. Abdullah Abraham Hossain. 2011.Bangladesh Forestry Outlook Study. Asia-Pacific Forestry Sector Outlook Study II, Working Paper Series, Working Paper No. APFSOS II/ WP/ 2011/ 33. FAO, Bangkok.</w:t>
      </w:r>
    </w:p>
  </w:footnote>
  <w:footnote w:id="14">
    <w:p w:rsidR="00EA3B8B" w:rsidRPr="002F5BD7" w:rsidRDefault="00EA3B8B" w:rsidP="002F5BD7">
      <w:pPr>
        <w:pStyle w:val="FootnoteText"/>
        <w:spacing w:after="0" w:line="240" w:lineRule="auto"/>
        <w:rPr>
          <w:sz w:val="18"/>
          <w:szCs w:val="18"/>
          <w:lang w:val="en-US"/>
        </w:rPr>
      </w:pPr>
      <w:r w:rsidRPr="002F5BD7">
        <w:rPr>
          <w:rStyle w:val="FootnoteReference"/>
          <w:sz w:val="18"/>
          <w:szCs w:val="18"/>
        </w:rPr>
        <w:footnoteRef/>
      </w:r>
      <w:r w:rsidRPr="002F5BD7">
        <w:rPr>
          <w:sz w:val="18"/>
          <w:szCs w:val="18"/>
          <w:u w:color="FF0000"/>
        </w:rPr>
        <w:t>The National Biodiversity Strategy &amp; Action Plan for Bangladesh, 2005.Ministry of Environment and Forests.Dhaka.</w:t>
      </w:r>
    </w:p>
  </w:footnote>
  <w:footnote w:id="15">
    <w:p w:rsidR="00EA3B8B" w:rsidRPr="006B7717" w:rsidRDefault="00EA3B8B" w:rsidP="006B7717">
      <w:pPr>
        <w:pStyle w:val="FootnoteText"/>
        <w:spacing w:after="0" w:line="240" w:lineRule="auto"/>
        <w:rPr>
          <w:sz w:val="18"/>
          <w:szCs w:val="18"/>
          <w:lang w:val="en-US"/>
        </w:rPr>
      </w:pPr>
      <w:r>
        <w:rPr>
          <w:rStyle w:val="FootnoteReference"/>
        </w:rPr>
        <w:footnoteRef/>
      </w:r>
      <w:r w:rsidRPr="006B7717">
        <w:rPr>
          <w:sz w:val="18"/>
          <w:szCs w:val="18"/>
          <w:u w:color="FF0000"/>
        </w:rPr>
        <w:t>World Bank, 2015, data.worldbank.org/index/AG.LND.ARBL.ZS.</w:t>
      </w:r>
    </w:p>
  </w:footnote>
  <w:footnote w:id="16">
    <w:p w:rsidR="00EA3B8B" w:rsidRPr="006B7717" w:rsidRDefault="00EA3B8B" w:rsidP="006B7717">
      <w:pPr>
        <w:pStyle w:val="FootnoteText"/>
        <w:spacing w:after="0" w:line="240" w:lineRule="auto"/>
        <w:rPr>
          <w:sz w:val="18"/>
          <w:szCs w:val="18"/>
          <w:lang w:val="en-US"/>
        </w:rPr>
      </w:pPr>
      <w:r w:rsidRPr="006B7717">
        <w:rPr>
          <w:rStyle w:val="FootnoteReference"/>
          <w:sz w:val="18"/>
          <w:szCs w:val="18"/>
        </w:rPr>
        <w:footnoteRef/>
      </w:r>
      <w:r>
        <w:rPr>
          <w:sz w:val="18"/>
          <w:szCs w:val="18"/>
        </w:rPr>
        <w:t>Ali, M.Y. 1997. Fish, Water and People. University Press: Dhaka</w:t>
      </w:r>
    </w:p>
  </w:footnote>
  <w:footnote w:id="17">
    <w:p w:rsidR="00EA3B8B" w:rsidRPr="006B7717" w:rsidRDefault="00EA3B8B" w:rsidP="00B45F85">
      <w:pPr>
        <w:pStyle w:val="FootnoteText"/>
        <w:spacing w:after="0" w:line="240" w:lineRule="auto"/>
        <w:ind w:left="180" w:hanging="180"/>
        <w:rPr>
          <w:sz w:val="18"/>
          <w:szCs w:val="18"/>
          <w:lang w:val="en-US"/>
        </w:rPr>
      </w:pPr>
      <w:r w:rsidRPr="006B7717">
        <w:rPr>
          <w:rStyle w:val="FootnoteReference"/>
          <w:sz w:val="18"/>
          <w:szCs w:val="18"/>
        </w:rPr>
        <w:footnoteRef/>
      </w:r>
      <w:r>
        <w:rPr>
          <w:sz w:val="18"/>
          <w:szCs w:val="18"/>
        </w:rPr>
        <w:t>Haque, M.M-Ul. 2013. Impact of BaikkaBeel Sanctuary on Protection and Restoration of Fish Biodiversity and Enhancement of Local Livelihoods. Connecting communities and conservation: Co-management Initiatives Implemented by IPAC in Wetlands and Forests of Bangladesh.East-West Centre, Hawaii, USA.</w:t>
      </w:r>
    </w:p>
  </w:footnote>
  <w:footnote w:id="18">
    <w:p w:rsidR="00EA3B8B" w:rsidRPr="006B7717" w:rsidRDefault="00EA3B8B" w:rsidP="006B7717">
      <w:pPr>
        <w:pStyle w:val="FootnoteText"/>
        <w:spacing w:after="0" w:line="240" w:lineRule="auto"/>
        <w:rPr>
          <w:sz w:val="18"/>
          <w:szCs w:val="18"/>
          <w:lang w:val="en-US"/>
        </w:rPr>
      </w:pPr>
      <w:r w:rsidRPr="006B7717">
        <w:rPr>
          <w:rStyle w:val="FootnoteReference"/>
          <w:sz w:val="18"/>
          <w:szCs w:val="18"/>
        </w:rPr>
        <w:footnoteRef/>
      </w:r>
      <w:r w:rsidRPr="006B7717">
        <w:rPr>
          <w:sz w:val="18"/>
          <w:szCs w:val="18"/>
          <w:lang w:val="en-US"/>
        </w:rPr>
        <w:t>Bangladesh Rio+20:National Report on Sustainable Development. 2012. Ministry of Environment and Forests. GoB, Dhaka.</w:t>
      </w:r>
    </w:p>
  </w:footnote>
  <w:footnote w:id="19">
    <w:p w:rsidR="00EA3B8B" w:rsidRPr="00C61EA4" w:rsidRDefault="00EA3B8B" w:rsidP="00B6774E">
      <w:pPr>
        <w:pStyle w:val="FootnoteText1"/>
        <w:spacing w:after="0" w:line="240" w:lineRule="auto"/>
        <w:ind w:left="180" w:hanging="180"/>
        <w:jc w:val="both"/>
        <w:rPr>
          <w:rFonts w:ascii="Times New Roman" w:eastAsia="Arial Unicode MS" w:hAnsi="Times New Roman" w:cs="Times New Roman"/>
          <w:color w:val="auto"/>
          <w:sz w:val="18"/>
          <w:szCs w:val="18"/>
        </w:rPr>
      </w:pPr>
      <w:r w:rsidRPr="00C61EA4">
        <w:rPr>
          <w:sz w:val="18"/>
          <w:szCs w:val="18"/>
          <w:vertAlign w:val="superscript"/>
        </w:rPr>
        <w:footnoteRef/>
      </w:r>
      <w:r w:rsidRPr="00C61EA4">
        <w:rPr>
          <w:sz w:val="18"/>
          <w:szCs w:val="18"/>
        </w:rPr>
        <w:t xml:space="preserve"> Ahmed, A.U. 2004. A Review of the Current Policy Regime in Bangladesh in Relation to Climate Change Adaptation, Reducing Vulnerability to Climate Change Project (RVCC), CARE Bangladesh, Khulna, 58 p.</w:t>
      </w:r>
    </w:p>
  </w:footnote>
  <w:footnote w:id="20">
    <w:p w:rsidR="00EA3B8B" w:rsidRPr="00C61EA4" w:rsidRDefault="00EA3B8B" w:rsidP="00B6774E">
      <w:pPr>
        <w:pStyle w:val="FootnoteText1"/>
        <w:spacing w:after="0" w:line="240" w:lineRule="auto"/>
        <w:ind w:left="180" w:hanging="180"/>
        <w:jc w:val="both"/>
        <w:rPr>
          <w:rFonts w:ascii="Times New Roman" w:eastAsia="Arial Unicode MS" w:hAnsi="Times New Roman" w:cs="Times New Roman"/>
          <w:color w:val="auto"/>
          <w:sz w:val="18"/>
          <w:szCs w:val="18"/>
        </w:rPr>
      </w:pPr>
      <w:r w:rsidRPr="00C61EA4">
        <w:rPr>
          <w:sz w:val="18"/>
          <w:szCs w:val="18"/>
          <w:vertAlign w:val="superscript"/>
        </w:rPr>
        <w:footnoteRef/>
      </w:r>
      <w:r w:rsidRPr="00C61EA4">
        <w:rPr>
          <w:sz w:val="18"/>
          <w:szCs w:val="18"/>
        </w:rPr>
        <w:t>MOEF-UNDP. 2005. National Adaptation Programme of Action, Bangladesh Ministry of Environment and Forests. GoB, and UNDP, Dhaka.</w:t>
      </w:r>
    </w:p>
  </w:footnote>
  <w:footnote w:id="21">
    <w:p w:rsidR="00EA3B8B" w:rsidRPr="00C61EA4" w:rsidRDefault="00EA3B8B" w:rsidP="00C61EA4">
      <w:pPr>
        <w:pStyle w:val="FootnoteText1"/>
        <w:spacing w:after="0" w:line="240" w:lineRule="auto"/>
        <w:jc w:val="both"/>
        <w:rPr>
          <w:rFonts w:ascii="Times New Roman" w:eastAsia="Arial Unicode MS" w:hAnsi="Times New Roman" w:cs="Times New Roman"/>
          <w:color w:val="auto"/>
          <w:sz w:val="18"/>
          <w:szCs w:val="18"/>
        </w:rPr>
      </w:pPr>
      <w:r w:rsidRPr="00C61EA4">
        <w:rPr>
          <w:sz w:val="18"/>
          <w:szCs w:val="18"/>
          <w:vertAlign w:val="superscript"/>
        </w:rPr>
        <w:footnoteRef/>
      </w:r>
      <w:r>
        <w:rPr>
          <w:sz w:val="18"/>
          <w:szCs w:val="18"/>
        </w:rPr>
        <w:t>Ibid, p.20.</w:t>
      </w:r>
    </w:p>
  </w:footnote>
  <w:footnote w:id="22">
    <w:p w:rsidR="00EA3B8B" w:rsidRDefault="00EA3B8B" w:rsidP="00C61EA4">
      <w:pPr>
        <w:pStyle w:val="FootnoteText1"/>
        <w:spacing w:after="0" w:line="240" w:lineRule="auto"/>
        <w:jc w:val="both"/>
        <w:rPr>
          <w:rFonts w:ascii="Times New Roman" w:eastAsia="Arial Unicode MS" w:hAnsi="Times New Roman" w:cs="Times New Roman"/>
          <w:color w:val="auto"/>
        </w:rPr>
      </w:pPr>
      <w:r w:rsidRPr="00C61EA4">
        <w:rPr>
          <w:sz w:val="18"/>
          <w:szCs w:val="18"/>
          <w:vertAlign w:val="superscript"/>
        </w:rPr>
        <w:footnoteRef/>
      </w:r>
      <w:r w:rsidRPr="00C61EA4">
        <w:rPr>
          <w:sz w:val="18"/>
          <w:szCs w:val="18"/>
        </w:rPr>
        <w:t>Khan, N.A. et al. 1999.The politics of the Bangladesh Environmental Protection Act.Environment Politics, vol, 8, 311-317</w:t>
      </w:r>
      <w:r>
        <w:rPr>
          <w:sz w:val="18"/>
          <w:szCs w:val="18"/>
        </w:rPr>
        <w:t>.</w:t>
      </w:r>
    </w:p>
  </w:footnote>
  <w:footnote w:id="23">
    <w:p w:rsidR="00EA3B8B" w:rsidRPr="00974DFC" w:rsidRDefault="00EA3B8B" w:rsidP="008C5315">
      <w:pPr>
        <w:pStyle w:val="FootnoteText1"/>
        <w:spacing w:after="0" w:line="240" w:lineRule="auto"/>
        <w:ind w:left="180" w:hanging="180"/>
        <w:rPr>
          <w:rFonts w:asciiTheme="minorHAnsi" w:hAnsiTheme="minorHAnsi"/>
          <w:sz w:val="18"/>
          <w:szCs w:val="18"/>
        </w:rPr>
      </w:pPr>
      <w:r>
        <w:rPr>
          <w:vertAlign w:val="superscript"/>
        </w:rPr>
        <w:footnoteRef/>
      </w:r>
      <w:r w:rsidRPr="00974DFC">
        <w:rPr>
          <w:rFonts w:asciiTheme="minorHAnsi" w:hAnsiTheme="minorHAnsi"/>
          <w:sz w:val="18"/>
          <w:szCs w:val="18"/>
        </w:rPr>
        <w:t>World Bank Group. 2014</w:t>
      </w:r>
      <w:r w:rsidRPr="00974DFC">
        <w:rPr>
          <w:rFonts w:asciiTheme="minorHAnsi" w:hAnsiTheme="minorHAnsi"/>
          <w:color w:val="auto"/>
          <w:sz w:val="18"/>
          <w:szCs w:val="18"/>
        </w:rPr>
        <w:t>. Lighting Global: IFC Partners nwith GIZ Bangladesh to increase Energy Access for Off-Grid Communities. [</w:t>
      </w:r>
      <w:hyperlink r:id="rId2" w:history="1">
        <w:r w:rsidRPr="00974DFC">
          <w:rPr>
            <w:rStyle w:val="Hyperlink"/>
            <w:rFonts w:asciiTheme="minorHAnsi" w:hAnsiTheme="minorHAnsi"/>
            <w:color w:val="auto"/>
            <w:sz w:val="18"/>
            <w:szCs w:val="18"/>
          </w:rPr>
          <w:t>https://www.lightingglobal.org/ifc-partners-with-giz-in-bangladesh-to-increase-energy-access-for-off-grid-communities/</w:t>
        </w:r>
      </w:hyperlink>
      <w:r w:rsidRPr="00974DFC">
        <w:rPr>
          <w:rStyle w:val="Hyperlink"/>
          <w:rFonts w:asciiTheme="minorHAnsi" w:hAnsiTheme="minorHAnsi"/>
          <w:color w:val="auto"/>
          <w:sz w:val="18"/>
          <w:szCs w:val="18"/>
        </w:rPr>
        <w:t>], accessed on May 3, 2015.</w:t>
      </w:r>
    </w:p>
    <w:p w:rsidR="00EA3B8B" w:rsidRDefault="00EA3B8B" w:rsidP="00B6774E">
      <w:pPr>
        <w:pStyle w:val="FootnoteText1"/>
        <w:spacing w:after="0" w:line="240" w:lineRule="auto"/>
        <w:ind w:left="180" w:hanging="180"/>
        <w:rPr>
          <w:rFonts w:ascii="Times New Roman" w:eastAsia="Arial Unicode MS" w:hAnsi="Times New Roman" w:cs="Times New Roman"/>
          <w:color w:val="auto"/>
        </w:rPr>
      </w:pPr>
    </w:p>
  </w:footnote>
  <w:footnote w:id="24">
    <w:p w:rsidR="00EA3B8B" w:rsidRPr="008C059C" w:rsidRDefault="00EA3B8B" w:rsidP="00B6774E">
      <w:pPr>
        <w:pStyle w:val="FootnoteText"/>
        <w:spacing w:after="0" w:line="240" w:lineRule="auto"/>
        <w:ind w:left="180" w:hanging="180"/>
        <w:rPr>
          <w:sz w:val="18"/>
          <w:szCs w:val="18"/>
        </w:rPr>
      </w:pPr>
      <w:r w:rsidRPr="009A2749">
        <w:rPr>
          <w:sz w:val="18"/>
          <w:szCs w:val="18"/>
          <w:vertAlign w:val="superscript"/>
        </w:rPr>
        <w:footnoteRef/>
      </w:r>
      <w:r w:rsidRPr="008C059C">
        <w:rPr>
          <w:sz w:val="18"/>
          <w:szCs w:val="18"/>
        </w:rPr>
        <w:t>Mahmud, W., Asadullah, M.N. and Savoia, A. 2013. Bangladesh’s achievements in Social Development Indicators: Explaining the Puzzle. Policy Brief 31012, April 2013. International Growth Center.</w:t>
      </w:r>
    </w:p>
  </w:footnote>
  <w:footnote w:id="25">
    <w:p w:rsidR="00EA3B8B" w:rsidRDefault="00EA3B8B" w:rsidP="00B6774E">
      <w:pPr>
        <w:pStyle w:val="FootnoteText"/>
        <w:spacing w:after="0" w:line="240" w:lineRule="auto"/>
        <w:ind w:left="180" w:hanging="180"/>
        <w:rPr>
          <w:sz w:val="18"/>
          <w:szCs w:val="18"/>
        </w:rPr>
      </w:pPr>
      <w:r w:rsidRPr="009A2749">
        <w:rPr>
          <w:rStyle w:val="FootnoteReference"/>
          <w:sz w:val="18"/>
          <w:szCs w:val="18"/>
        </w:rPr>
        <w:footnoteRef/>
      </w:r>
      <w:r>
        <w:rPr>
          <w:sz w:val="18"/>
          <w:szCs w:val="18"/>
        </w:rPr>
        <w:t xml:space="preserve">Asadullah, M.N., A. Savoia, and W. Mahmud. 2014. Paths to Development: Is there a Bangladesh Surprise? </w:t>
      </w:r>
      <w:r>
        <w:rPr>
          <w:i/>
          <w:sz w:val="18"/>
          <w:szCs w:val="18"/>
        </w:rPr>
        <w:t>World Development</w:t>
      </w:r>
      <w:r>
        <w:rPr>
          <w:sz w:val="18"/>
          <w:szCs w:val="18"/>
        </w:rPr>
        <w:t xml:space="preserve"> 62: 138-154.</w:t>
      </w:r>
    </w:p>
    <w:p w:rsidR="00EA3B8B" w:rsidRPr="0045173C" w:rsidRDefault="00EA3B8B" w:rsidP="009A2749">
      <w:pPr>
        <w:pStyle w:val="FootnoteText"/>
        <w:spacing w:after="0" w:line="240" w:lineRule="auto"/>
        <w:rPr>
          <w:sz w:val="18"/>
          <w:szCs w:val="18"/>
          <w:lang w:val="en-US"/>
        </w:rPr>
      </w:pPr>
    </w:p>
  </w:footnote>
  <w:footnote w:id="26">
    <w:p w:rsidR="00EA3B8B" w:rsidRPr="003B57DF" w:rsidRDefault="00EA3B8B" w:rsidP="003B57DF">
      <w:pPr>
        <w:pStyle w:val="FootnoteText"/>
        <w:spacing w:after="0" w:line="240" w:lineRule="auto"/>
        <w:rPr>
          <w:sz w:val="18"/>
          <w:szCs w:val="18"/>
          <w:lang w:val="en-US"/>
        </w:rPr>
      </w:pPr>
      <w:r w:rsidRPr="003B57DF">
        <w:rPr>
          <w:rStyle w:val="FootnoteReference"/>
          <w:sz w:val="18"/>
          <w:szCs w:val="18"/>
        </w:rPr>
        <w:footnoteRef/>
      </w:r>
      <w:r w:rsidRPr="003B57DF">
        <w:rPr>
          <w:sz w:val="18"/>
          <w:szCs w:val="18"/>
        </w:rPr>
        <w:t>UNDP. 2012. Empowered lives: resilient Bangladesh: Results achieved with our partners, 2006-2011. UNDP, Dhaka, p. 52.</w:t>
      </w:r>
    </w:p>
  </w:footnote>
  <w:footnote w:id="27">
    <w:p w:rsidR="00EA3B8B" w:rsidRPr="00016BDD" w:rsidRDefault="00EA3B8B">
      <w:pPr>
        <w:pStyle w:val="FootnoteText"/>
        <w:rPr>
          <w:lang w:val="en-US"/>
        </w:rPr>
      </w:pPr>
      <w:r>
        <w:rPr>
          <w:rStyle w:val="FootnoteReference"/>
        </w:rPr>
        <w:footnoteRef/>
      </w:r>
      <w:r>
        <w:rPr>
          <w:lang w:val="en-US"/>
        </w:rPr>
        <w:t>http://data.worldbank.org/indicator/EN.ATM.CO2E.PC</w:t>
      </w:r>
    </w:p>
  </w:footnote>
  <w:footnote w:id="28">
    <w:p w:rsidR="00EA3B8B" w:rsidRPr="001E6740" w:rsidRDefault="00EA3B8B" w:rsidP="00D25A17">
      <w:pPr>
        <w:pStyle w:val="FootnoteText"/>
        <w:spacing w:after="0" w:line="240" w:lineRule="auto"/>
        <w:ind w:left="180" w:hanging="180"/>
        <w:rPr>
          <w:sz w:val="18"/>
          <w:szCs w:val="18"/>
          <w:lang w:val="en-US"/>
        </w:rPr>
      </w:pPr>
      <w:r w:rsidRPr="001E6740">
        <w:rPr>
          <w:rStyle w:val="FootnoteReference"/>
          <w:sz w:val="18"/>
          <w:szCs w:val="18"/>
        </w:rPr>
        <w:footnoteRef/>
      </w:r>
      <w:r w:rsidRPr="001E6740">
        <w:rPr>
          <w:sz w:val="18"/>
          <w:szCs w:val="18"/>
          <w:lang w:val="en-US"/>
        </w:rPr>
        <w:t>Assessment of Development Results (ADR): Bangladesh-Evaluation of UNDP Contribution. 2011. Evaluation Office. UNDP, USA.</w:t>
      </w:r>
    </w:p>
  </w:footnote>
  <w:footnote w:id="29">
    <w:p w:rsidR="00EA3B8B" w:rsidRPr="001800A0" w:rsidRDefault="00EA3B8B" w:rsidP="001800A0">
      <w:pPr>
        <w:spacing w:after="0" w:line="240" w:lineRule="auto"/>
        <w:ind w:left="180" w:hanging="180"/>
        <w:rPr>
          <w:rFonts w:asciiTheme="minorHAnsi" w:hAnsiTheme="minorHAnsi"/>
          <w:sz w:val="18"/>
          <w:szCs w:val="18"/>
        </w:rPr>
      </w:pPr>
      <w:r>
        <w:rPr>
          <w:rStyle w:val="FootnoteReference"/>
        </w:rPr>
        <w:footnoteRef/>
      </w:r>
      <w:r w:rsidRPr="00974DFC">
        <w:rPr>
          <w:rFonts w:asciiTheme="minorHAnsi" w:hAnsiTheme="minorHAnsi"/>
          <w:sz w:val="18"/>
          <w:szCs w:val="18"/>
        </w:rPr>
        <w:t xml:space="preserve">UNDP. 2011. Bangladesh - Country Programme Document (CPD), 2012-2016. </w:t>
      </w:r>
      <w:hyperlink r:id="rId3" w:history="1">
        <w:r w:rsidRPr="00974DFC">
          <w:rPr>
            <w:rStyle w:val="Hyperlink0"/>
            <w:rFonts w:asciiTheme="minorHAnsi" w:hAnsiTheme="minorHAnsi"/>
          </w:rPr>
          <w:t>http://www.bd.undp.org/content/dam/bangladesh/docs/LegalFramework/Signed%20CPD-BGD_2012-2016.pdf</w:t>
        </w:r>
      </w:hyperlink>
      <w:r>
        <w:rPr>
          <w:rStyle w:val="Hyperlink0"/>
          <w:rFonts w:asciiTheme="minorHAnsi" w:hAnsiTheme="minorHAnsi"/>
        </w:rPr>
        <w:t>, p.3.</w:t>
      </w:r>
    </w:p>
  </w:footnote>
  <w:footnote w:id="30">
    <w:p w:rsidR="00EA3B8B" w:rsidRPr="001E6740" w:rsidRDefault="00EA3B8B" w:rsidP="001E6740">
      <w:pPr>
        <w:pStyle w:val="FootnoteText"/>
        <w:spacing w:after="0" w:line="240" w:lineRule="auto"/>
        <w:rPr>
          <w:sz w:val="18"/>
          <w:szCs w:val="18"/>
          <w:lang w:val="en-US"/>
        </w:rPr>
      </w:pPr>
      <w:r w:rsidRPr="001E6740">
        <w:rPr>
          <w:rStyle w:val="FootnoteReference"/>
          <w:sz w:val="18"/>
          <w:szCs w:val="18"/>
        </w:rPr>
        <w:footnoteRef/>
      </w:r>
      <w:r>
        <w:rPr>
          <w:sz w:val="18"/>
          <w:szCs w:val="18"/>
          <w:lang w:val="en-US"/>
        </w:rPr>
        <w:t>Ibid, p.30.</w:t>
      </w:r>
    </w:p>
  </w:footnote>
  <w:footnote w:id="31">
    <w:p w:rsidR="00EA3B8B" w:rsidRPr="00974DFC" w:rsidRDefault="00EA3B8B" w:rsidP="001F1332">
      <w:pPr>
        <w:spacing w:after="0" w:line="240" w:lineRule="auto"/>
        <w:ind w:left="180" w:hanging="180"/>
        <w:rPr>
          <w:rFonts w:asciiTheme="minorHAnsi" w:hAnsiTheme="minorHAnsi"/>
          <w:sz w:val="18"/>
          <w:szCs w:val="18"/>
        </w:rPr>
      </w:pPr>
      <w:r>
        <w:rPr>
          <w:rStyle w:val="FootnoteReference"/>
        </w:rPr>
        <w:footnoteRef/>
      </w:r>
      <w:r w:rsidRPr="00974DFC">
        <w:rPr>
          <w:rFonts w:asciiTheme="minorHAnsi" w:hAnsiTheme="minorHAnsi"/>
          <w:sz w:val="18"/>
          <w:szCs w:val="18"/>
        </w:rPr>
        <w:t xml:space="preserve">UNDP. 2011. Bangladesh - Country Programme Document (CPD), 2012-2016. </w:t>
      </w:r>
      <w:hyperlink r:id="rId4" w:history="1">
        <w:r w:rsidRPr="00974DFC">
          <w:rPr>
            <w:rStyle w:val="Hyperlink0"/>
            <w:rFonts w:asciiTheme="minorHAnsi" w:hAnsiTheme="minorHAnsi"/>
          </w:rPr>
          <w:t>http://www.bd.undp.org/content/dam/bangladesh/docs/LegalFramework/Signed%20CPD-BGD_2012-2016.pdf</w:t>
        </w:r>
      </w:hyperlink>
    </w:p>
    <w:p w:rsidR="00EA3B8B" w:rsidRPr="00D25A17" w:rsidRDefault="00EA3B8B" w:rsidP="00102EB2">
      <w:pPr>
        <w:pStyle w:val="FootnoteText"/>
        <w:spacing w:after="0" w:line="240" w:lineRule="auto"/>
        <w:rPr>
          <w:sz w:val="18"/>
          <w:szCs w:val="18"/>
          <w:lang w:val="en-US"/>
        </w:rPr>
      </w:pPr>
    </w:p>
  </w:footnote>
  <w:footnote w:id="32">
    <w:p w:rsidR="00EA3B8B" w:rsidRPr="007069EE" w:rsidRDefault="00EA3B8B" w:rsidP="00894D25">
      <w:pPr>
        <w:pStyle w:val="FootnoteText"/>
        <w:spacing w:after="0" w:line="240" w:lineRule="auto"/>
        <w:rPr>
          <w:sz w:val="18"/>
          <w:szCs w:val="18"/>
          <w:lang w:val="en-US"/>
        </w:rPr>
      </w:pPr>
      <w:r>
        <w:rPr>
          <w:rStyle w:val="FootnoteReference"/>
        </w:rPr>
        <w:footnoteRef/>
      </w:r>
      <w:r w:rsidRPr="007069EE">
        <w:rPr>
          <w:sz w:val="18"/>
          <w:szCs w:val="18"/>
          <w:lang w:val="en-US"/>
        </w:rPr>
        <w:t>Ibid</w:t>
      </w:r>
      <w:r>
        <w:rPr>
          <w:sz w:val="18"/>
          <w:szCs w:val="18"/>
          <w:lang w:val="en-US"/>
        </w:rPr>
        <w:t>, p.</w:t>
      </w:r>
      <w:r w:rsidRPr="007069EE">
        <w:rPr>
          <w:sz w:val="18"/>
          <w:szCs w:val="18"/>
          <w:lang w:val="en-US"/>
        </w:rPr>
        <w:t xml:space="preserve"> 23</w:t>
      </w:r>
      <w:r>
        <w:rPr>
          <w:sz w:val="18"/>
          <w:szCs w:val="18"/>
          <w:lang w:val="en-US"/>
        </w:rPr>
        <w:t>.</w:t>
      </w:r>
    </w:p>
  </w:footnote>
  <w:footnote w:id="33">
    <w:p w:rsidR="00EA3B8B" w:rsidRPr="007069EE" w:rsidRDefault="00EA3B8B" w:rsidP="0093235F">
      <w:pPr>
        <w:pStyle w:val="FootnoteText"/>
        <w:spacing w:after="0" w:line="240" w:lineRule="auto"/>
        <w:ind w:left="180" w:hanging="180"/>
        <w:rPr>
          <w:sz w:val="18"/>
          <w:szCs w:val="18"/>
          <w:lang w:val="en-US"/>
        </w:rPr>
      </w:pPr>
      <w:r w:rsidRPr="007069EE">
        <w:rPr>
          <w:rStyle w:val="FootnoteReference"/>
          <w:sz w:val="18"/>
          <w:szCs w:val="18"/>
        </w:rPr>
        <w:footnoteRef/>
      </w:r>
      <w:r w:rsidRPr="007069EE">
        <w:rPr>
          <w:sz w:val="18"/>
          <w:szCs w:val="18"/>
          <w:lang w:val="en-US"/>
        </w:rPr>
        <w:t>Assessment of Development Results (ADR): Bangladesh-Evaluation of UNDP Contribution. 2011. Eva</w:t>
      </w:r>
      <w:r>
        <w:rPr>
          <w:sz w:val="18"/>
          <w:szCs w:val="18"/>
          <w:lang w:val="en-US"/>
        </w:rPr>
        <w:t>luation Office. UNDP, USA. P.64</w:t>
      </w:r>
    </w:p>
  </w:footnote>
  <w:footnote w:id="34">
    <w:p w:rsidR="00EA3B8B" w:rsidRPr="00235FF0" w:rsidRDefault="00EA3B8B" w:rsidP="00235FF0">
      <w:pPr>
        <w:pStyle w:val="FootnoteText"/>
        <w:ind w:left="180" w:hanging="180"/>
        <w:rPr>
          <w:sz w:val="18"/>
          <w:szCs w:val="18"/>
          <w:lang w:val="en-US"/>
        </w:rPr>
      </w:pPr>
      <w:r>
        <w:rPr>
          <w:rStyle w:val="FootnoteReference"/>
        </w:rPr>
        <w:footnoteRef/>
      </w:r>
      <w:r w:rsidRPr="00235FF0">
        <w:rPr>
          <w:sz w:val="18"/>
          <w:szCs w:val="18"/>
          <w:lang w:val="en-US"/>
        </w:rPr>
        <w:t>For example, BCCSAP has provided crucial technical support to drafting the ongoing Climate Resilient Coastal Zone policy recommendations for 4 sectoral policies and formulations of a framework for mainstreaming mechanism for climate resilient policy.</w:t>
      </w:r>
    </w:p>
  </w:footnote>
  <w:footnote w:id="35">
    <w:p w:rsidR="00EA3B8B" w:rsidRPr="009939E8" w:rsidRDefault="00EA3B8B" w:rsidP="009032FD">
      <w:pPr>
        <w:pStyle w:val="FootnoteText"/>
        <w:spacing w:after="0"/>
        <w:rPr>
          <w:sz w:val="18"/>
          <w:szCs w:val="18"/>
          <w:lang w:val="en-US"/>
        </w:rPr>
      </w:pPr>
      <w:r w:rsidRPr="009939E8">
        <w:rPr>
          <w:rStyle w:val="FootnoteReference"/>
          <w:sz w:val="18"/>
          <w:szCs w:val="18"/>
        </w:rPr>
        <w:footnoteRef/>
      </w:r>
      <w:r w:rsidRPr="009939E8">
        <w:rPr>
          <w:sz w:val="18"/>
          <w:szCs w:val="18"/>
        </w:rPr>
        <w:t xml:space="preserve"> Referring to </w:t>
      </w:r>
      <w:r w:rsidRPr="009939E8">
        <w:rPr>
          <w:sz w:val="18"/>
          <w:szCs w:val="18"/>
          <w:lang w:val="en-US"/>
        </w:rPr>
        <w:t>US tons (1 US ton = 2000 pounds)</w:t>
      </w:r>
    </w:p>
  </w:footnote>
  <w:footnote w:id="36">
    <w:p w:rsidR="00EA3B8B" w:rsidRPr="009939E8" w:rsidRDefault="00EA3B8B" w:rsidP="009032FD">
      <w:pPr>
        <w:pStyle w:val="FootnoteText"/>
        <w:spacing w:after="0"/>
        <w:rPr>
          <w:sz w:val="18"/>
          <w:szCs w:val="18"/>
          <w:lang w:val="en-US"/>
        </w:rPr>
      </w:pPr>
      <w:r w:rsidRPr="009939E8">
        <w:rPr>
          <w:rStyle w:val="FootnoteReference"/>
          <w:sz w:val="18"/>
          <w:szCs w:val="18"/>
        </w:rPr>
        <w:footnoteRef/>
      </w:r>
      <w:r>
        <w:rPr>
          <w:sz w:val="18"/>
          <w:szCs w:val="18"/>
          <w:lang w:val="en-US"/>
        </w:rPr>
        <w:t>1 kilo</w:t>
      </w:r>
      <w:r w:rsidRPr="009939E8">
        <w:rPr>
          <w:sz w:val="18"/>
          <w:szCs w:val="18"/>
          <w:lang w:val="en-US"/>
        </w:rPr>
        <w:t xml:space="preserve">ton is 1000 metric tons or 2.204 million pounds </w:t>
      </w:r>
    </w:p>
  </w:footnote>
  <w:footnote w:id="37">
    <w:p w:rsidR="00EA3B8B" w:rsidRDefault="00EA3B8B" w:rsidP="00FA16D9">
      <w:pPr>
        <w:spacing w:after="0" w:line="240" w:lineRule="auto"/>
        <w:rPr>
          <w:rFonts w:asciiTheme="minorHAnsi" w:eastAsia="Calibri" w:hAnsiTheme="minorHAnsi"/>
          <w:sz w:val="18"/>
          <w:szCs w:val="18"/>
        </w:rPr>
      </w:pPr>
      <w:r w:rsidRPr="006E348D">
        <w:rPr>
          <w:rStyle w:val="FootnoteReference"/>
          <w:rFonts w:asciiTheme="minorHAnsi" w:hAnsiTheme="minorHAnsi"/>
          <w:sz w:val="18"/>
          <w:szCs w:val="18"/>
        </w:rPr>
        <w:footnoteRef/>
      </w:r>
      <w:r w:rsidRPr="006E348D">
        <w:rPr>
          <w:rFonts w:asciiTheme="minorHAnsi" w:eastAsia="Calibri" w:hAnsiTheme="minorHAnsi"/>
          <w:sz w:val="18"/>
          <w:szCs w:val="18"/>
        </w:rPr>
        <w:t>The Community Asset Score measures the increase in the ‘facility and infrastructure’ assets that enable a community, and the households living within it, to begin restoring and rebuilding livelihoods, during recovery phases after conflicts, disasters, and shocks. ‘Facility and infrastructure’ assets should be accessible to most members of the community, and are managed and maintained by th</w:t>
      </w:r>
      <w:r>
        <w:rPr>
          <w:rFonts w:asciiTheme="minorHAnsi" w:eastAsia="Calibri" w:hAnsiTheme="minorHAnsi"/>
          <w:sz w:val="18"/>
          <w:szCs w:val="18"/>
        </w:rPr>
        <w:t>e community members themselves (</w:t>
      </w:r>
      <w:r w:rsidRPr="00974DFC">
        <w:rPr>
          <w:rFonts w:asciiTheme="minorHAnsi" w:eastAsia="Calibri" w:hAnsiTheme="minorHAnsi"/>
          <w:sz w:val="18"/>
          <w:szCs w:val="18"/>
        </w:rPr>
        <w:t>UNDAF. 2014.</w:t>
      </w:r>
      <w:r w:rsidRPr="00974DFC">
        <w:rPr>
          <w:rFonts w:asciiTheme="minorHAnsi" w:hAnsiTheme="minorHAnsi"/>
          <w:sz w:val="18"/>
          <w:szCs w:val="18"/>
        </w:rPr>
        <w:t xml:space="preserve"> UNDAF Outcome/UNDAF Output Outcome 2: Vulnerable groups have improved access to economic opportunities and adequate social protection. Indicator: 2.5 Community Asset Score (CAS).</w:t>
      </w:r>
      <w:r w:rsidRPr="00E218DC">
        <w:rPr>
          <w:rFonts w:asciiTheme="minorHAnsi" w:eastAsia="Calibri" w:hAnsiTheme="minorHAnsi"/>
          <w:sz w:val="18"/>
          <w:szCs w:val="18"/>
        </w:rPr>
        <w:t>http://un.org.np/protocol-sheet/outcome2.5.pdf</w:t>
      </w:r>
      <w:r>
        <w:rPr>
          <w:rFonts w:asciiTheme="minorHAnsi" w:eastAsia="Calibri" w:hAnsiTheme="minorHAnsi"/>
          <w:sz w:val="18"/>
          <w:szCs w:val="18"/>
        </w:rPr>
        <w:t>).</w:t>
      </w:r>
    </w:p>
    <w:p w:rsidR="00EA3B8B" w:rsidRPr="006E348D" w:rsidRDefault="00EA3B8B" w:rsidP="00FA16D9">
      <w:pPr>
        <w:spacing w:after="0" w:line="240" w:lineRule="auto"/>
        <w:rPr>
          <w:rFonts w:asciiTheme="minorHAnsi" w:eastAsia="Calibri" w:hAnsiTheme="minorHAnsi"/>
          <w:sz w:val="18"/>
          <w:szCs w:val="18"/>
        </w:rPr>
      </w:pPr>
    </w:p>
  </w:footnote>
  <w:footnote w:id="38">
    <w:p w:rsidR="00EA3B8B" w:rsidRPr="006E348D" w:rsidRDefault="00EA3B8B" w:rsidP="00FA16D9">
      <w:pPr>
        <w:pStyle w:val="FootnoteText"/>
        <w:spacing w:after="0" w:line="240" w:lineRule="auto"/>
        <w:rPr>
          <w:rFonts w:asciiTheme="minorHAnsi" w:hAnsiTheme="minorHAnsi"/>
          <w:sz w:val="18"/>
          <w:szCs w:val="18"/>
          <w:lang w:val="en-US"/>
        </w:rPr>
      </w:pPr>
      <w:r w:rsidRPr="006E348D">
        <w:rPr>
          <w:rStyle w:val="FootnoteReference"/>
          <w:rFonts w:asciiTheme="minorHAnsi" w:hAnsiTheme="minorHAnsi"/>
          <w:sz w:val="18"/>
          <w:szCs w:val="18"/>
        </w:rPr>
        <w:footnoteRef/>
      </w:r>
      <w:r w:rsidRPr="006E348D">
        <w:rPr>
          <w:rFonts w:asciiTheme="minorHAnsi" w:hAnsiTheme="minorHAnsi"/>
          <w:sz w:val="18"/>
          <w:szCs w:val="18"/>
          <w:lang w:val="en-US"/>
        </w:rPr>
        <w:t>Ibid</w:t>
      </w:r>
      <w:r>
        <w:rPr>
          <w:rFonts w:asciiTheme="minorHAnsi" w:hAnsiTheme="minorHAnsi"/>
          <w:sz w:val="18"/>
          <w:szCs w:val="18"/>
          <w:lang w:val="en-US"/>
        </w:rPr>
        <w:t>, p.</w:t>
      </w:r>
      <w:r w:rsidRPr="006E348D">
        <w:rPr>
          <w:rFonts w:asciiTheme="minorHAnsi" w:hAnsiTheme="minorHAnsi"/>
          <w:sz w:val="18"/>
          <w:szCs w:val="18"/>
          <w:lang w:val="en-US"/>
        </w:rPr>
        <w:t>30</w:t>
      </w:r>
      <w:r>
        <w:rPr>
          <w:rFonts w:asciiTheme="minorHAnsi" w:hAnsiTheme="minorHAnsi"/>
          <w:sz w:val="18"/>
          <w:szCs w:val="18"/>
          <w:lang w:val="en-US"/>
        </w:rPr>
        <w:t>.</w:t>
      </w:r>
    </w:p>
  </w:footnote>
  <w:footnote w:id="39">
    <w:p w:rsidR="00EA3B8B" w:rsidRPr="006E348D" w:rsidRDefault="00EA3B8B" w:rsidP="00E839EF">
      <w:pPr>
        <w:pStyle w:val="Default"/>
        <w:rPr>
          <w:rFonts w:asciiTheme="minorHAnsi" w:hAnsiTheme="minorHAnsi" w:cs="Calibri"/>
          <w:sz w:val="18"/>
          <w:szCs w:val="18"/>
          <w:lang w:eastAsia="en-US"/>
        </w:rPr>
      </w:pPr>
      <w:r w:rsidRPr="006E348D">
        <w:rPr>
          <w:rStyle w:val="FootnoteReference"/>
          <w:rFonts w:asciiTheme="minorHAnsi" w:hAnsiTheme="minorHAnsi"/>
          <w:sz w:val="18"/>
          <w:szCs w:val="18"/>
        </w:rPr>
        <w:footnoteRef/>
      </w:r>
      <w:r w:rsidRPr="006E348D">
        <w:rPr>
          <w:rFonts w:asciiTheme="minorHAnsi" w:hAnsiTheme="minorHAnsi" w:cs="Calibri"/>
          <w:sz w:val="18"/>
          <w:szCs w:val="18"/>
          <w:lang w:eastAsia="en-US"/>
        </w:rPr>
        <w:t>Ibid</w:t>
      </w:r>
      <w:r>
        <w:rPr>
          <w:rFonts w:asciiTheme="minorHAnsi" w:hAnsiTheme="minorHAnsi" w:cs="Calibri"/>
          <w:sz w:val="18"/>
          <w:szCs w:val="18"/>
          <w:lang w:eastAsia="en-US"/>
        </w:rPr>
        <w:t>, p.</w:t>
      </w:r>
      <w:r w:rsidRPr="006E348D">
        <w:rPr>
          <w:rFonts w:asciiTheme="minorHAnsi" w:hAnsiTheme="minorHAnsi" w:cs="Calibri"/>
          <w:sz w:val="18"/>
          <w:szCs w:val="18"/>
          <w:lang w:eastAsia="en-US"/>
        </w:rPr>
        <w:t>3</w:t>
      </w:r>
      <w:r>
        <w:rPr>
          <w:rFonts w:asciiTheme="minorHAnsi" w:hAnsiTheme="minorHAnsi" w:cs="Calibri"/>
          <w:sz w:val="18"/>
          <w:szCs w:val="18"/>
          <w:lang w:eastAsia="en-US"/>
        </w:rPr>
        <w:t>.</w:t>
      </w:r>
    </w:p>
  </w:footnote>
  <w:footnote w:id="40">
    <w:p w:rsidR="00EA3B8B" w:rsidRPr="004172B4" w:rsidRDefault="00EA3B8B" w:rsidP="00190477">
      <w:pPr>
        <w:pStyle w:val="FootnoteText"/>
        <w:spacing w:after="0" w:line="240" w:lineRule="auto"/>
        <w:ind w:left="180" w:hanging="180"/>
        <w:rPr>
          <w:sz w:val="18"/>
          <w:szCs w:val="18"/>
          <w:lang w:val="en-US"/>
        </w:rPr>
      </w:pPr>
      <w:r w:rsidRPr="004172B4">
        <w:rPr>
          <w:rStyle w:val="FootnoteReference"/>
          <w:sz w:val="18"/>
          <w:szCs w:val="18"/>
        </w:rPr>
        <w:footnoteRef/>
      </w:r>
      <w:r w:rsidRPr="004172B4">
        <w:rPr>
          <w:sz w:val="18"/>
          <w:szCs w:val="18"/>
        </w:rPr>
        <w:t>Twigg, J. 2007. Characteristics of disaster-resilient community: A Guidance note. Version-1 for the  Department for International Development (DFID) disaster risk reduction and Interagency Coordination Group.</w:t>
      </w:r>
    </w:p>
  </w:footnote>
  <w:footnote w:id="41">
    <w:p w:rsidR="00EA3B8B" w:rsidRPr="004172B4" w:rsidRDefault="00EA3B8B" w:rsidP="00190477">
      <w:pPr>
        <w:spacing w:after="0" w:line="240" w:lineRule="auto"/>
        <w:ind w:left="180" w:hanging="180"/>
        <w:rPr>
          <w:i/>
          <w:sz w:val="18"/>
          <w:szCs w:val="18"/>
        </w:rPr>
      </w:pPr>
      <w:r w:rsidRPr="004172B4">
        <w:rPr>
          <w:rStyle w:val="FootnoteReference"/>
          <w:sz w:val="18"/>
          <w:szCs w:val="18"/>
        </w:rPr>
        <w:footnoteRef/>
      </w:r>
      <w:r w:rsidRPr="004172B4">
        <w:rPr>
          <w:sz w:val="18"/>
          <w:szCs w:val="18"/>
        </w:rPr>
        <w:t xml:space="preserve">Cutter, S.L., L. Barnes, M. Berry, C. Burton, E. Evans, E.Tate, and J.Webb. 2008. A place-based model for understanding community resilience to natural disasters. </w:t>
      </w:r>
      <w:r w:rsidRPr="004172B4">
        <w:rPr>
          <w:i/>
          <w:sz w:val="18"/>
          <w:szCs w:val="18"/>
        </w:rPr>
        <w:t xml:space="preserve">Global Environment Change </w:t>
      </w:r>
      <w:r w:rsidRPr="002F3DE1">
        <w:rPr>
          <w:sz w:val="18"/>
          <w:szCs w:val="18"/>
        </w:rPr>
        <w:t>18:598-606.</w:t>
      </w:r>
    </w:p>
    <w:p w:rsidR="00EA3B8B" w:rsidRPr="00E839EF" w:rsidRDefault="00EA3B8B">
      <w:pPr>
        <w:pStyle w:val="FootnoteText"/>
        <w:rPr>
          <w:lang w:val="en-US"/>
        </w:rPr>
      </w:pPr>
    </w:p>
  </w:footnote>
  <w:footnote w:id="42">
    <w:p w:rsidR="00EA3B8B" w:rsidRPr="000900EA" w:rsidRDefault="00EA3B8B">
      <w:pPr>
        <w:pStyle w:val="FootnoteText"/>
        <w:rPr>
          <w:sz w:val="18"/>
          <w:szCs w:val="18"/>
          <w:lang w:val="en-US"/>
        </w:rPr>
      </w:pPr>
      <w:r w:rsidRPr="000900EA">
        <w:rPr>
          <w:rStyle w:val="FootnoteReference"/>
          <w:sz w:val="18"/>
          <w:szCs w:val="18"/>
        </w:rPr>
        <w:footnoteRef/>
      </w:r>
      <w:r>
        <w:rPr>
          <w:sz w:val="18"/>
          <w:szCs w:val="18"/>
        </w:rPr>
        <w:t>Community Asset Score d</w:t>
      </w:r>
      <w:r w:rsidRPr="000900EA">
        <w:rPr>
          <w:sz w:val="18"/>
          <w:szCs w:val="18"/>
        </w:rPr>
        <w:t>ata sheet</w:t>
      </w:r>
      <w:r>
        <w:rPr>
          <w:sz w:val="18"/>
          <w:szCs w:val="18"/>
        </w:rPr>
        <w:t>,</w:t>
      </w:r>
      <w:r w:rsidRPr="000900EA">
        <w:rPr>
          <w:sz w:val="18"/>
          <w:szCs w:val="18"/>
        </w:rPr>
        <w:t xml:space="preserve"> provided by </w:t>
      </w:r>
      <w:r w:rsidRPr="000900EA">
        <w:rPr>
          <w:sz w:val="18"/>
          <w:szCs w:val="18"/>
          <w:lang w:val="en-US"/>
        </w:rPr>
        <w:t xml:space="preserve">UNDP </w:t>
      </w:r>
      <w:r>
        <w:rPr>
          <w:sz w:val="18"/>
          <w:szCs w:val="18"/>
          <w:lang w:val="en-US"/>
        </w:rPr>
        <w:t xml:space="preserve">Bangladesh </w:t>
      </w:r>
      <w:r w:rsidRPr="000900EA">
        <w:rPr>
          <w:sz w:val="18"/>
          <w:szCs w:val="18"/>
          <w:lang w:val="en-US"/>
        </w:rPr>
        <w:t>CCED Cluster, December 2014.</w:t>
      </w:r>
    </w:p>
  </w:footnote>
  <w:footnote w:id="43">
    <w:p w:rsidR="00EA3B8B" w:rsidRPr="006E7EC0" w:rsidRDefault="00EA3B8B" w:rsidP="00DD004D">
      <w:pPr>
        <w:pStyle w:val="FootnoteText"/>
        <w:spacing w:after="0"/>
        <w:rPr>
          <w:sz w:val="18"/>
          <w:szCs w:val="18"/>
          <w:lang w:val="en-US"/>
        </w:rPr>
      </w:pPr>
      <w:r w:rsidRPr="006E7EC0">
        <w:rPr>
          <w:rStyle w:val="FootnoteReference"/>
          <w:sz w:val="18"/>
          <w:szCs w:val="18"/>
        </w:rPr>
        <w:footnoteRef/>
      </w:r>
      <w:r>
        <w:rPr>
          <w:sz w:val="18"/>
          <w:szCs w:val="18"/>
          <w:lang w:val="en-US"/>
        </w:rPr>
        <w:t>ROAR 2012-14,</w:t>
      </w:r>
      <w:r w:rsidRPr="006E7EC0">
        <w:rPr>
          <w:sz w:val="18"/>
          <w:szCs w:val="18"/>
          <w:lang w:val="en-US"/>
        </w:rPr>
        <w:t xml:space="preserve"> UNDP CCED Cluster</w:t>
      </w:r>
      <w:r>
        <w:rPr>
          <w:sz w:val="18"/>
          <w:szCs w:val="18"/>
          <w:lang w:val="en-US"/>
        </w:rPr>
        <w:t>, 2014.</w:t>
      </w:r>
    </w:p>
  </w:footnote>
  <w:footnote w:id="44">
    <w:p w:rsidR="00EA3B8B" w:rsidRPr="006821D7" w:rsidRDefault="00EA3B8B" w:rsidP="00CF4E9E">
      <w:pPr>
        <w:pStyle w:val="FootnoteText"/>
        <w:spacing w:after="0" w:line="240" w:lineRule="auto"/>
        <w:rPr>
          <w:sz w:val="18"/>
          <w:szCs w:val="18"/>
          <w:lang w:val="en-US"/>
        </w:rPr>
      </w:pPr>
      <w:r w:rsidRPr="006821D7">
        <w:rPr>
          <w:rStyle w:val="FootnoteReference"/>
          <w:sz w:val="18"/>
          <w:szCs w:val="18"/>
        </w:rPr>
        <w:footnoteRef/>
      </w:r>
      <w:r w:rsidRPr="006821D7">
        <w:rPr>
          <w:sz w:val="18"/>
          <w:szCs w:val="18"/>
          <w:lang w:val="en-US"/>
        </w:rPr>
        <w:t>Ibid</w:t>
      </w:r>
      <w:r>
        <w:rPr>
          <w:sz w:val="18"/>
          <w:szCs w:val="18"/>
          <w:lang w:val="en-US"/>
        </w:rPr>
        <w:t>, p.</w:t>
      </w:r>
      <w:r w:rsidRPr="006821D7">
        <w:rPr>
          <w:sz w:val="18"/>
          <w:szCs w:val="18"/>
          <w:lang w:val="en-US"/>
        </w:rPr>
        <w:t>3</w:t>
      </w:r>
      <w:r>
        <w:rPr>
          <w:sz w:val="18"/>
          <w:szCs w:val="18"/>
          <w:lang w:val="en-US"/>
        </w:rPr>
        <w:t>.</w:t>
      </w:r>
    </w:p>
  </w:footnote>
  <w:footnote w:id="45">
    <w:p w:rsidR="00EA3B8B" w:rsidRPr="006821D7" w:rsidRDefault="00EA3B8B" w:rsidP="00CF4E9E">
      <w:pPr>
        <w:pStyle w:val="FootnoteText"/>
        <w:spacing w:after="0" w:line="240" w:lineRule="auto"/>
        <w:rPr>
          <w:sz w:val="18"/>
          <w:szCs w:val="18"/>
          <w:lang w:val="en-US"/>
        </w:rPr>
      </w:pPr>
      <w:r w:rsidRPr="006821D7">
        <w:rPr>
          <w:rStyle w:val="FootnoteReference"/>
          <w:sz w:val="18"/>
          <w:szCs w:val="18"/>
        </w:rPr>
        <w:footnoteRef/>
      </w:r>
      <w:r w:rsidRPr="006821D7">
        <w:rPr>
          <w:sz w:val="18"/>
          <w:szCs w:val="18"/>
        </w:rPr>
        <w:t>Ibid</w:t>
      </w:r>
      <w:r>
        <w:rPr>
          <w:sz w:val="18"/>
          <w:szCs w:val="18"/>
        </w:rPr>
        <w:t>, p.</w:t>
      </w:r>
      <w:r w:rsidRPr="006821D7">
        <w:rPr>
          <w:sz w:val="18"/>
          <w:szCs w:val="18"/>
        </w:rPr>
        <w:t>3</w:t>
      </w:r>
      <w:r>
        <w:rPr>
          <w:sz w:val="18"/>
          <w:szCs w:val="18"/>
        </w:rPr>
        <w:t>.</w:t>
      </w:r>
    </w:p>
  </w:footnote>
  <w:footnote w:id="46">
    <w:p w:rsidR="00EA3B8B" w:rsidRPr="00974DFC" w:rsidRDefault="00EA3B8B" w:rsidP="004C5B39">
      <w:pPr>
        <w:pStyle w:val="FootnoteText"/>
        <w:spacing w:after="0" w:line="240" w:lineRule="auto"/>
        <w:ind w:left="180" w:hanging="180"/>
        <w:rPr>
          <w:rFonts w:asciiTheme="minorHAnsi" w:hAnsiTheme="minorHAnsi"/>
          <w:sz w:val="18"/>
          <w:szCs w:val="18"/>
          <w:lang w:val="en-US"/>
        </w:rPr>
      </w:pPr>
      <w:r>
        <w:rPr>
          <w:rStyle w:val="FootnoteReference"/>
        </w:rPr>
        <w:footnoteRef/>
      </w:r>
      <w:r w:rsidRPr="00974DFC">
        <w:rPr>
          <w:rFonts w:asciiTheme="minorHAnsi" w:hAnsiTheme="minorHAnsi"/>
          <w:sz w:val="18"/>
          <w:szCs w:val="18"/>
          <w:lang w:val="en-US"/>
        </w:rPr>
        <w:t xml:space="preserve">UNDP. 2011. Assessment of Development Results (ADR): Bangladesh-Evaluation of UNDP Contribution. 2011. Evaluation Office. UNDP, USA. </w:t>
      </w:r>
    </w:p>
    <w:p w:rsidR="00EA3B8B" w:rsidRPr="00C13414" w:rsidRDefault="00EA3B8B" w:rsidP="00190477">
      <w:pPr>
        <w:pStyle w:val="FootnoteText"/>
        <w:spacing w:after="0" w:line="240" w:lineRule="auto"/>
        <w:ind w:left="180" w:hanging="180"/>
        <w:rPr>
          <w:sz w:val="18"/>
          <w:szCs w:val="18"/>
          <w:lang w:val="en-US"/>
        </w:rPr>
      </w:pPr>
    </w:p>
    <w:p w:rsidR="00EA3B8B" w:rsidRPr="00772D00" w:rsidRDefault="00EA3B8B">
      <w:pPr>
        <w:pStyle w:val="FootnoteText"/>
        <w:rPr>
          <w:lang w:val="en-US"/>
        </w:rPr>
      </w:pPr>
    </w:p>
  </w:footnote>
  <w:footnote w:id="47">
    <w:p w:rsidR="00EA3B8B" w:rsidRPr="00974DFC" w:rsidRDefault="00EA3B8B" w:rsidP="004A2D53">
      <w:pPr>
        <w:pStyle w:val="FootnoteText2"/>
        <w:ind w:left="180" w:hanging="180"/>
        <w:rPr>
          <w:rFonts w:asciiTheme="minorHAnsi" w:hAnsiTheme="minorHAnsi"/>
          <w:sz w:val="18"/>
          <w:szCs w:val="18"/>
        </w:rPr>
      </w:pPr>
      <w:r w:rsidRPr="006821D7">
        <w:rPr>
          <w:sz w:val="18"/>
          <w:szCs w:val="18"/>
          <w:vertAlign w:val="superscript"/>
        </w:rPr>
        <w:footnoteRef/>
      </w:r>
      <w:r w:rsidRPr="00974DFC">
        <w:rPr>
          <w:rFonts w:asciiTheme="minorHAnsi" w:hAnsiTheme="minorHAnsi"/>
          <w:sz w:val="18"/>
          <w:szCs w:val="18"/>
        </w:rPr>
        <w:t>Ministry of Power, Energy and Mineral Resources. 2011. Power System Master Plan 2010. Government of Bangladesh, Japan International Cooperation Agency (JICA), and Tokyo Electric Company, Inc, (IDD-JR-011-029).</w:t>
      </w:r>
    </w:p>
    <w:p w:rsidR="00EA3B8B" w:rsidRPr="00974DFC" w:rsidRDefault="00EA3B8B" w:rsidP="004A2D53">
      <w:pPr>
        <w:pStyle w:val="FootnoteText1"/>
        <w:spacing w:after="0" w:line="240" w:lineRule="auto"/>
        <w:ind w:left="284" w:hanging="284"/>
        <w:rPr>
          <w:rFonts w:asciiTheme="minorHAnsi" w:hAnsiTheme="minorHAnsi"/>
          <w:sz w:val="18"/>
          <w:szCs w:val="18"/>
        </w:rPr>
      </w:pPr>
    </w:p>
    <w:p w:rsidR="00EA3B8B" w:rsidRPr="006821D7" w:rsidRDefault="00EA3B8B" w:rsidP="00AA617C">
      <w:pPr>
        <w:pStyle w:val="FootnoteText2"/>
        <w:rPr>
          <w:rFonts w:ascii="Times New Roman" w:eastAsia="Arial Unicode MS" w:hAnsi="Times New Roman" w:cs="Times New Roman"/>
          <w:color w:val="auto"/>
          <w:sz w:val="18"/>
          <w:szCs w:val="18"/>
        </w:rPr>
      </w:pPr>
    </w:p>
  </w:footnote>
  <w:footnote w:id="48">
    <w:p w:rsidR="00EA3B8B" w:rsidRPr="006E7EC0" w:rsidRDefault="00EA3B8B" w:rsidP="00FB5319">
      <w:pPr>
        <w:pStyle w:val="FootnoteText"/>
        <w:spacing w:after="0" w:line="240" w:lineRule="auto"/>
        <w:rPr>
          <w:sz w:val="18"/>
          <w:szCs w:val="18"/>
          <w:lang w:val="en-US"/>
        </w:rPr>
      </w:pPr>
      <w:r w:rsidRPr="006E7EC0">
        <w:rPr>
          <w:rStyle w:val="FootnoteReference"/>
          <w:sz w:val="18"/>
          <w:szCs w:val="18"/>
        </w:rPr>
        <w:footnoteRef/>
      </w:r>
      <w:r>
        <w:rPr>
          <w:sz w:val="18"/>
          <w:szCs w:val="18"/>
          <w:lang w:val="en-US"/>
        </w:rPr>
        <w:t>Ibid, p.</w:t>
      </w:r>
      <w:r w:rsidRPr="006E7EC0">
        <w:rPr>
          <w:sz w:val="18"/>
          <w:szCs w:val="18"/>
          <w:lang w:val="en-US"/>
        </w:rPr>
        <w:t>3</w:t>
      </w:r>
      <w:r>
        <w:rPr>
          <w:sz w:val="18"/>
          <w:szCs w:val="18"/>
          <w:lang w:val="en-US"/>
        </w:rPr>
        <w:t>.</w:t>
      </w:r>
    </w:p>
  </w:footnote>
  <w:footnote w:id="49">
    <w:p w:rsidR="00EA3B8B" w:rsidRPr="00FB5319" w:rsidRDefault="00EA3B8B" w:rsidP="00FB5319">
      <w:pPr>
        <w:spacing w:after="0" w:line="240" w:lineRule="auto"/>
        <w:rPr>
          <w:rFonts w:asciiTheme="minorHAnsi" w:hAnsiTheme="minorHAnsi"/>
          <w:sz w:val="18"/>
          <w:szCs w:val="18"/>
          <w:lang w:val="en-US"/>
        </w:rPr>
      </w:pPr>
      <w:r w:rsidRPr="000F4DD7">
        <w:rPr>
          <w:rStyle w:val="FootnoteReference"/>
          <w:sz w:val="18"/>
          <w:szCs w:val="18"/>
        </w:rPr>
        <w:footnoteRef/>
      </w:r>
      <w:r w:rsidRPr="00974DFC">
        <w:rPr>
          <w:rFonts w:asciiTheme="minorHAnsi" w:hAnsiTheme="minorHAnsi"/>
          <w:sz w:val="18"/>
          <w:szCs w:val="18"/>
          <w:lang w:val="en-US"/>
        </w:rPr>
        <w:t>UNDP. 2014.  SREPGen Project Document (signed). UNDP Bangladesh, Dhaka.</w:t>
      </w:r>
    </w:p>
  </w:footnote>
  <w:footnote w:id="50">
    <w:p w:rsidR="00AA288B" w:rsidRPr="00FB5319" w:rsidRDefault="00AA288B" w:rsidP="00AA288B">
      <w:pPr>
        <w:spacing w:after="0" w:line="240" w:lineRule="auto"/>
        <w:ind w:left="180" w:hanging="180"/>
        <w:rPr>
          <w:rFonts w:asciiTheme="minorHAnsi" w:hAnsiTheme="minorHAnsi" w:cstheme="minorHAnsi"/>
          <w:sz w:val="18"/>
          <w:szCs w:val="18"/>
        </w:rPr>
      </w:pPr>
      <w:r w:rsidRPr="000F4DD7">
        <w:rPr>
          <w:rStyle w:val="FootnoteReference"/>
          <w:sz w:val="18"/>
          <w:szCs w:val="18"/>
        </w:rPr>
        <w:footnoteRef/>
      </w:r>
      <w:r w:rsidRPr="00974DFC">
        <w:rPr>
          <w:rFonts w:asciiTheme="minorHAnsi" w:hAnsiTheme="minorHAnsi"/>
          <w:sz w:val="18"/>
          <w:szCs w:val="18"/>
          <w:lang w:val="en-US"/>
        </w:rPr>
        <w:t xml:space="preserve">Rahman, T. 2015: personal communication. </w:t>
      </w:r>
      <w:r w:rsidRPr="00974DFC">
        <w:rPr>
          <w:rFonts w:asciiTheme="minorHAnsi" w:hAnsiTheme="minorHAnsi" w:cstheme="minorHAnsi"/>
          <w:sz w:val="18"/>
          <w:szCs w:val="18"/>
        </w:rPr>
        <w:t>Senior Sector Specialist, Energy, KfW Development Bank, KfW Regional Office Bangladesh, May 10, 2015.</w:t>
      </w:r>
    </w:p>
  </w:footnote>
  <w:footnote w:id="51">
    <w:p w:rsidR="00AA288B" w:rsidRPr="00974DFC" w:rsidRDefault="00AA288B" w:rsidP="00AA288B">
      <w:pPr>
        <w:spacing w:after="0" w:line="240" w:lineRule="auto"/>
        <w:ind w:left="180" w:hanging="180"/>
        <w:rPr>
          <w:rFonts w:asciiTheme="minorHAnsi" w:eastAsiaTheme="minorEastAsia" w:hAnsiTheme="minorHAnsi" w:cstheme="minorBidi"/>
          <w:sz w:val="18"/>
          <w:szCs w:val="18"/>
          <w:lang w:val="en-GB"/>
        </w:rPr>
      </w:pPr>
      <w:r w:rsidRPr="000F4DD7">
        <w:rPr>
          <w:rStyle w:val="FootnoteReference"/>
          <w:sz w:val="18"/>
          <w:szCs w:val="18"/>
        </w:rPr>
        <w:footnoteRef/>
      </w:r>
      <w:r w:rsidRPr="00974DFC">
        <w:rPr>
          <w:rFonts w:asciiTheme="minorHAnsi" w:eastAsiaTheme="minorEastAsia" w:hAnsiTheme="minorHAnsi" w:cstheme="minorBidi"/>
          <w:sz w:val="18"/>
          <w:szCs w:val="18"/>
          <w:lang w:val="en-GB"/>
        </w:rPr>
        <w:t>SREDA (Sustainable and Renewable Energy Development Authority), Min</w:t>
      </w:r>
      <w:r>
        <w:rPr>
          <w:rFonts w:asciiTheme="minorHAnsi" w:eastAsiaTheme="minorEastAsia" w:hAnsiTheme="minorHAnsi" w:cstheme="minorBidi"/>
          <w:sz w:val="18"/>
          <w:szCs w:val="18"/>
          <w:lang w:val="en-GB"/>
        </w:rPr>
        <w:t>i</w:t>
      </w:r>
      <w:r w:rsidRPr="00974DFC">
        <w:rPr>
          <w:rFonts w:asciiTheme="minorHAnsi" w:eastAsiaTheme="minorEastAsia" w:hAnsiTheme="minorHAnsi" w:cstheme="minorBidi"/>
          <w:sz w:val="18"/>
          <w:szCs w:val="18"/>
          <w:lang w:val="en-GB"/>
        </w:rPr>
        <w:t xml:space="preserve">stry of Power, Energy and Minerals. 2015. Energy Efficiency and Conservation Master Plan up to 2010. Power Division, Government of Bangladesh, Dhaka. </w:t>
      </w:r>
    </w:p>
    <w:p w:rsidR="00AA288B" w:rsidRPr="008D1EC5" w:rsidRDefault="00AA288B" w:rsidP="00AA288B">
      <w:pPr>
        <w:spacing w:after="0" w:line="240" w:lineRule="auto"/>
        <w:rPr>
          <w:sz w:val="18"/>
          <w:szCs w:val="18"/>
          <w:lang w:val="en-US"/>
        </w:rPr>
      </w:pPr>
    </w:p>
  </w:footnote>
  <w:footnote w:id="52">
    <w:p w:rsidR="00EA3B8B" w:rsidRPr="00360D1E" w:rsidRDefault="00EA3B8B" w:rsidP="00360D1E">
      <w:pPr>
        <w:pStyle w:val="FootnoteText"/>
        <w:spacing w:after="0" w:line="240" w:lineRule="auto"/>
        <w:rPr>
          <w:sz w:val="18"/>
          <w:szCs w:val="18"/>
          <w:lang w:val="en-US"/>
        </w:rPr>
      </w:pPr>
      <w:r w:rsidRPr="00360D1E">
        <w:rPr>
          <w:rStyle w:val="FootnoteReference"/>
          <w:sz w:val="18"/>
          <w:szCs w:val="18"/>
        </w:rPr>
        <w:footnoteRef/>
      </w:r>
      <w:r>
        <w:rPr>
          <w:sz w:val="18"/>
          <w:szCs w:val="18"/>
          <w:lang w:val="en-US"/>
        </w:rPr>
        <w:t>Ibid</w:t>
      </w:r>
      <w:r w:rsidRPr="00360D1E">
        <w:rPr>
          <w:sz w:val="18"/>
          <w:szCs w:val="18"/>
          <w:lang w:val="en-US"/>
        </w:rPr>
        <w:t>, p.66</w:t>
      </w:r>
      <w:r>
        <w:rPr>
          <w:sz w:val="18"/>
          <w:szCs w:val="18"/>
          <w:lang w:val="en-US"/>
        </w:rPr>
        <w:t>.</w:t>
      </w:r>
    </w:p>
  </w:footnote>
  <w:footnote w:id="53">
    <w:p w:rsidR="00EA3B8B" w:rsidRPr="00974DFC" w:rsidRDefault="00EA3B8B" w:rsidP="00CD46A6">
      <w:pPr>
        <w:pStyle w:val="FootnoteText"/>
        <w:ind w:left="180" w:hanging="180"/>
        <w:rPr>
          <w:rFonts w:asciiTheme="minorHAnsi" w:hAnsiTheme="minorHAnsi"/>
          <w:sz w:val="18"/>
          <w:szCs w:val="18"/>
          <w:lang w:val="en-US"/>
        </w:rPr>
      </w:pPr>
      <w:r>
        <w:rPr>
          <w:rStyle w:val="FootnoteReference"/>
        </w:rPr>
        <w:footnoteRef/>
      </w:r>
      <w:r w:rsidRPr="00974DFC">
        <w:rPr>
          <w:rFonts w:asciiTheme="minorHAnsi" w:hAnsiTheme="minorHAnsi"/>
          <w:sz w:val="18"/>
          <w:szCs w:val="18"/>
        </w:rPr>
        <w:t xml:space="preserve">Government of Bangladesh. 2009. </w:t>
      </w:r>
      <w:r w:rsidRPr="00974DFC">
        <w:rPr>
          <w:rFonts w:asciiTheme="minorHAnsi" w:hAnsiTheme="minorHAnsi"/>
          <w:i/>
          <w:sz w:val="18"/>
          <w:szCs w:val="18"/>
        </w:rPr>
        <w:t>Bangladesh Climate Change Strategy and Action Plan (BCCSAP).</w:t>
      </w:r>
      <w:r w:rsidRPr="00974DFC">
        <w:rPr>
          <w:rFonts w:asciiTheme="minorHAnsi" w:hAnsiTheme="minorHAnsi"/>
          <w:sz w:val="18"/>
          <w:szCs w:val="18"/>
        </w:rPr>
        <w:t>Government of the People’s Republic of Bangladesh, Dhaka.</w:t>
      </w:r>
    </w:p>
    <w:p w:rsidR="00EA3B8B" w:rsidRPr="0031698E" w:rsidRDefault="00EA3B8B">
      <w:pPr>
        <w:pStyle w:val="FootnoteText"/>
        <w:rPr>
          <w:lang w:val="en-US"/>
        </w:rPr>
      </w:pPr>
    </w:p>
  </w:footnote>
  <w:footnote w:id="54">
    <w:p w:rsidR="00EA3B8B" w:rsidRPr="00974DFC" w:rsidRDefault="00EA3B8B" w:rsidP="0084440C">
      <w:pPr>
        <w:pStyle w:val="FootnoteText"/>
        <w:spacing w:after="0" w:line="240" w:lineRule="auto"/>
        <w:ind w:left="180" w:hanging="180"/>
        <w:rPr>
          <w:rFonts w:asciiTheme="minorHAnsi" w:hAnsiTheme="minorHAnsi"/>
          <w:sz w:val="18"/>
          <w:szCs w:val="18"/>
          <w:lang w:val="en-US"/>
        </w:rPr>
      </w:pPr>
      <w:r w:rsidRPr="004172B4">
        <w:rPr>
          <w:rStyle w:val="FootnoteReference"/>
          <w:sz w:val="18"/>
          <w:szCs w:val="18"/>
        </w:rPr>
        <w:footnoteRef/>
      </w:r>
      <w:r w:rsidRPr="00974DFC">
        <w:rPr>
          <w:rFonts w:asciiTheme="minorHAnsi" w:hAnsiTheme="minorHAnsi"/>
          <w:sz w:val="18"/>
          <w:szCs w:val="18"/>
          <w:lang w:val="en-US"/>
        </w:rPr>
        <w:t xml:space="preserve">UNDP. 2011. Assessment of Development Results (ADR): Bangladesh-Evaluation of UNDP Contribution. 2011. Evaluation Office. UNDP, USA. </w:t>
      </w:r>
    </w:p>
    <w:p w:rsidR="00EA3B8B" w:rsidRPr="004172B4" w:rsidRDefault="00EA3B8B" w:rsidP="00190477">
      <w:pPr>
        <w:pStyle w:val="FootnoteText"/>
        <w:spacing w:after="0" w:line="240" w:lineRule="auto"/>
        <w:ind w:left="180" w:hanging="180"/>
        <w:rPr>
          <w:sz w:val="18"/>
          <w:szCs w:val="18"/>
          <w:lang w:val="en-US"/>
        </w:rPr>
      </w:pPr>
    </w:p>
  </w:footnote>
  <w:footnote w:id="55">
    <w:p w:rsidR="00EA3B8B" w:rsidRPr="00D44FD8" w:rsidRDefault="00EA3B8B" w:rsidP="00D44FD8">
      <w:pPr>
        <w:pStyle w:val="FootnoteText1"/>
        <w:spacing w:after="0" w:line="240" w:lineRule="auto"/>
        <w:ind w:left="180" w:hanging="180"/>
        <w:rPr>
          <w:rFonts w:asciiTheme="minorHAnsi" w:hAnsiTheme="minorHAnsi"/>
          <w:sz w:val="18"/>
          <w:szCs w:val="18"/>
        </w:rPr>
      </w:pPr>
      <w:r w:rsidRPr="004172B4">
        <w:rPr>
          <w:rStyle w:val="FootnoteReference"/>
          <w:sz w:val="18"/>
          <w:szCs w:val="18"/>
        </w:rPr>
        <w:footnoteRef/>
      </w:r>
      <w:r w:rsidRPr="00974DFC">
        <w:rPr>
          <w:rFonts w:asciiTheme="minorHAnsi" w:hAnsiTheme="minorHAnsi"/>
          <w:sz w:val="18"/>
          <w:szCs w:val="18"/>
        </w:rPr>
        <w:t xml:space="preserve">General Economics Division. 2011. </w:t>
      </w:r>
      <w:r w:rsidRPr="00974DFC">
        <w:rPr>
          <w:rFonts w:asciiTheme="minorHAnsi" w:hAnsiTheme="minorHAnsi"/>
          <w:i/>
          <w:sz w:val="18"/>
          <w:szCs w:val="18"/>
        </w:rPr>
        <w:t xml:space="preserve">Sixth Five Year Plan 2011-2015, </w:t>
      </w:r>
      <w:r w:rsidRPr="00974DFC">
        <w:rPr>
          <w:rFonts w:asciiTheme="minorHAnsi" w:hAnsiTheme="minorHAnsi"/>
          <w:sz w:val="18"/>
          <w:szCs w:val="18"/>
        </w:rPr>
        <w:t>Part-1, Planning Commission, Ministry of Planning, Government of Bangladesh, Dhaka.</w:t>
      </w:r>
    </w:p>
  </w:footnote>
  <w:footnote w:id="56">
    <w:p w:rsidR="00EA3B8B" w:rsidRPr="004172B4" w:rsidRDefault="00EA3B8B" w:rsidP="004172B4">
      <w:pPr>
        <w:pStyle w:val="FootnoteText"/>
        <w:spacing w:after="0" w:line="240" w:lineRule="auto"/>
        <w:rPr>
          <w:sz w:val="18"/>
          <w:szCs w:val="18"/>
          <w:lang w:val="en-US"/>
        </w:rPr>
      </w:pPr>
      <w:r w:rsidRPr="004172B4">
        <w:rPr>
          <w:rStyle w:val="FootnoteReference"/>
          <w:sz w:val="18"/>
          <w:szCs w:val="18"/>
        </w:rPr>
        <w:footnoteRef/>
      </w:r>
      <w:r w:rsidRPr="004172B4">
        <w:rPr>
          <w:sz w:val="18"/>
          <w:szCs w:val="18"/>
          <w:lang w:val="en-US"/>
        </w:rPr>
        <w:t>Ibid</w:t>
      </w:r>
      <w:r>
        <w:rPr>
          <w:sz w:val="18"/>
          <w:szCs w:val="18"/>
          <w:lang w:val="en-US"/>
        </w:rPr>
        <w:t>, p.</w:t>
      </w:r>
      <w:r w:rsidRPr="004172B4">
        <w:rPr>
          <w:sz w:val="18"/>
          <w:szCs w:val="18"/>
          <w:lang w:val="en-US"/>
        </w:rPr>
        <w:t>14.</w:t>
      </w:r>
    </w:p>
  </w:footnote>
  <w:footnote w:id="57">
    <w:p w:rsidR="00EA3B8B" w:rsidRPr="004172B4" w:rsidRDefault="00EA3B8B">
      <w:pPr>
        <w:pStyle w:val="FootnoteText"/>
        <w:rPr>
          <w:sz w:val="18"/>
          <w:szCs w:val="18"/>
          <w:lang w:val="en-US"/>
        </w:rPr>
      </w:pPr>
      <w:r w:rsidRPr="004172B4">
        <w:rPr>
          <w:rStyle w:val="FootnoteReference"/>
          <w:sz w:val="18"/>
          <w:szCs w:val="18"/>
        </w:rPr>
        <w:footnoteRef/>
      </w:r>
      <w:r w:rsidRPr="00974DFC">
        <w:rPr>
          <w:rFonts w:asciiTheme="minorHAnsi" w:hAnsiTheme="minorHAnsi"/>
          <w:sz w:val="18"/>
          <w:szCs w:val="18"/>
          <w:lang w:val="en-US"/>
        </w:rPr>
        <w:t>UNDP. 2013. CDMPII, Annual Progress Report, 2013. UNDP Bangladesh, Dhaka.</w:t>
      </w:r>
    </w:p>
  </w:footnote>
  <w:footnote w:id="58">
    <w:p w:rsidR="00EA3B8B" w:rsidRPr="00222CC9" w:rsidRDefault="00EA3B8B">
      <w:pPr>
        <w:pStyle w:val="FootnoteText"/>
        <w:rPr>
          <w:sz w:val="18"/>
          <w:szCs w:val="18"/>
          <w:lang w:val="en-US"/>
        </w:rPr>
      </w:pPr>
      <w:r w:rsidRPr="00222CC9">
        <w:rPr>
          <w:rStyle w:val="FootnoteReference"/>
          <w:sz w:val="18"/>
          <w:szCs w:val="18"/>
        </w:rPr>
        <w:footnoteRef/>
      </w:r>
      <w:r w:rsidRPr="00222CC9">
        <w:rPr>
          <w:sz w:val="18"/>
          <w:szCs w:val="18"/>
        </w:rPr>
        <w:t>UNDP. 2009. Handbook on planning, monitoring and evaluating for development results. New York. USA.</w:t>
      </w:r>
    </w:p>
  </w:footnote>
  <w:footnote w:id="59">
    <w:p w:rsidR="00EA3B8B" w:rsidRPr="00D06088" w:rsidRDefault="00EA3B8B">
      <w:pPr>
        <w:pStyle w:val="FootnoteText"/>
        <w:rPr>
          <w:lang w:val="en-US"/>
        </w:rPr>
      </w:pPr>
      <w:r>
        <w:rPr>
          <w:rStyle w:val="FootnoteReference"/>
        </w:rPr>
        <w:footnoteRef/>
      </w:r>
      <w:r>
        <w:rPr>
          <w:lang w:val="en-US"/>
        </w:rPr>
        <w:t>Ibid, p.23.</w:t>
      </w:r>
    </w:p>
  </w:footnote>
  <w:footnote w:id="60">
    <w:p w:rsidR="00EA3B8B" w:rsidRPr="00190477" w:rsidRDefault="00EA3B8B">
      <w:pPr>
        <w:pStyle w:val="FootnoteText"/>
        <w:rPr>
          <w:sz w:val="18"/>
          <w:szCs w:val="18"/>
          <w:lang w:val="en-US"/>
        </w:rPr>
      </w:pPr>
      <w:r w:rsidRPr="00190477">
        <w:rPr>
          <w:rStyle w:val="FootnoteReference"/>
          <w:sz w:val="18"/>
          <w:szCs w:val="18"/>
        </w:rPr>
        <w:footnoteRef/>
      </w:r>
      <w:r w:rsidRPr="00190477">
        <w:rPr>
          <w:sz w:val="18"/>
          <w:szCs w:val="18"/>
          <w:lang w:val="en-US"/>
        </w:rPr>
        <w:t>Ibid</w:t>
      </w:r>
      <w:r>
        <w:rPr>
          <w:sz w:val="18"/>
          <w:szCs w:val="18"/>
          <w:lang w:val="en-US"/>
        </w:rPr>
        <w:t>, p.</w:t>
      </w:r>
      <w:r w:rsidRPr="00190477">
        <w:rPr>
          <w:sz w:val="18"/>
          <w:szCs w:val="18"/>
          <w:lang w:val="en-US"/>
        </w:rPr>
        <w:t xml:space="preserve"> 20.</w:t>
      </w:r>
    </w:p>
  </w:footnote>
  <w:footnote w:id="61">
    <w:p w:rsidR="00EA3B8B" w:rsidRPr="00974DFC" w:rsidRDefault="00EA3B8B" w:rsidP="00066177">
      <w:pPr>
        <w:pStyle w:val="FootnoteText1"/>
        <w:spacing w:after="0" w:line="240" w:lineRule="auto"/>
        <w:ind w:left="180" w:hanging="180"/>
        <w:rPr>
          <w:rFonts w:asciiTheme="minorHAnsi" w:eastAsia="Arial Unicode MS" w:hAnsiTheme="minorHAnsi" w:cs="Times New Roman"/>
          <w:color w:val="auto"/>
          <w:sz w:val="18"/>
          <w:szCs w:val="18"/>
        </w:rPr>
      </w:pPr>
      <w:r w:rsidRPr="00DF3771">
        <w:rPr>
          <w:sz w:val="18"/>
          <w:szCs w:val="18"/>
          <w:vertAlign w:val="superscript"/>
        </w:rPr>
        <w:footnoteRef/>
      </w:r>
      <w:r w:rsidRPr="00DF3771">
        <w:rPr>
          <w:sz w:val="18"/>
          <w:szCs w:val="18"/>
        </w:rPr>
        <w:t xml:space="preserve"> Environmental health encompasses the aspects of human health and disease that are determined by factors in the environment. It also refers to the theory and practice of evaluating and controlling factors in the environment and particular ecosystems that potentially affect human health adversely (e.g., respiratory diseases, allergies, neuro-toxicity and neurological impairment, gastro-intentional diseases, developmental and congenital abnormalities, acute and chronic poisoning) (</w:t>
      </w:r>
      <w:r w:rsidRPr="00974DFC">
        <w:rPr>
          <w:rFonts w:asciiTheme="minorHAnsi" w:hAnsiTheme="minorHAnsi"/>
          <w:sz w:val="18"/>
          <w:szCs w:val="18"/>
        </w:rPr>
        <w:t xml:space="preserve">General Economics Division. 2011. </w:t>
      </w:r>
      <w:r w:rsidRPr="00974DFC">
        <w:rPr>
          <w:rFonts w:asciiTheme="minorHAnsi" w:hAnsiTheme="minorHAnsi"/>
          <w:i/>
          <w:sz w:val="18"/>
          <w:szCs w:val="18"/>
        </w:rPr>
        <w:t xml:space="preserve">Sixth Five Year Plan 2011-2015, </w:t>
      </w:r>
      <w:r w:rsidRPr="00974DFC">
        <w:rPr>
          <w:rFonts w:asciiTheme="minorHAnsi" w:hAnsiTheme="minorHAnsi"/>
          <w:sz w:val="18"/>
          <w:szCs w:val="18"/>
        </w:rPr>
        <w:t>Part-2, Sectoral Strategies, Programmes and Policies. Planning Commission, Ministry of Planning, Government of Bangladesh, Dhaka</w:t>
      </w:r>
      <w:r>
        <w:rPr>
          <w:rFonts w:asciiTheme="minorHAnsi" w:hAnsiTheme="minorHAnsi"/>
          <w:sz w:val="18"/>
          <w:szCs w:val="18"/>
        </w:rPr>
        <w:t>)</w:t>
      </w:r>
      <w:r w:rsidRPr="00974DFC">
        <w:rPr>
          <w:rFonts w:asciiTheme="minorHAnsi" w:hAnsiTheme="minorHAnsi"/>
          <w:sz w:val="18"/>
          <w:szCs w:val="18"/>
        </w:rPr>
        <w:t>.</w:t>
      </w:r>
    </w:p>
    <w:p w:rsidR="00EA3B8B" w:rsidRPr="00DF3771" w:rsidRDefault="00EA3B8B" w:rsidP="00190477">
      <w:pPr>
        <w:pStyle w:val="FootnoteText1"/>
        <w:spacing w:after="0" w:line="240" w:lineRule="auto"/>
        <w:ind w:left="180" w:hanging="180"/>
        <w:jc w:val="both"/>
        <w:rPr>
          <w:rFonts w:ascii="Times New Roman" w:eastAsia="Arial Unicode MS" w:hAnsi="Times New Roman" w:cs="Times New Roman"/>
          <w:color w:val="auto"/>
          <w:sz w:val="18"/>
          <w:szCs w:val="18"/>
        </w:rPr>
      </w:pPr>
    </w:p>
  </w:footnote>
  <w:footnote w:id="62">
    <w:p w:rsidR="00EA3B8B" w:rsidRPr="00A640E3" w:rsidRDefault="00EA3B8B" w:rsidP="00F04ED9">
      <w:pPr>
        <w:pStyle w:val="FootnoteText"/>
        <w:rPr>
          <w:rFonts w:asciiTheme="minorHAnsi" w:hAnsiTheme="minorHAnsi"/>
          <w:sz w:val="18"/>
          <w:szCs w:val="18"/>
        </w:rPr>
      </w:pPr>
      <w:r w:rsidRPr="00A640E3">
        <w:rPr>
          <w:rStyle w:val="FootnoteReference"/>
          <w:rFonts w:asciiTheme="minorHAnsi" w:hAnsiTheme="minorHAnsi"/>
          <w:sz w:val="18"/>
          <w:szCs w:val="18"/>
        </w:rPr>
        <w:footnoteRef/>
      </w:r>
      <w:r w:rsidRPr="00A640E3">
        <w:rPr>
          <w:rFonts w:asciiTheme="minorHAnsi" w:hAnsiTheme="minorHAnsi"/>
          <w:sz w:val="18"/>
          <w:szCs w:val="18"/>
        </w:rPr>
        <w:t xml:space="preserve">Currently, the UN SE4All initiative is in the process of a systematic stocktaking using a multi-tier access framework </w:t>
      </w:r>
      <w:r w:rsidR="005E0C65">
        <w:rPr>
          <w:rFonts w:asciiTheme="minorHAnsi" w:hAnsiTheme="minorHAnsi"/>
          <w:sz w:val="18"/>
          <w:szCs w:val="18"/>
        </w:rPr>
        <w:t xml:space="preserve">    </w:t>
      </w:r>
      <w:r w:rsidRPr="00A640E3">
        <w:rPr>
          <w:rFonts w:asciiTheme="minorHAnsi" w:hAnsiTheme="minorHAnsi"/>
          <w:sz w:val="18"/>
          <w:szCs w:val="18"/>
        </w:rPr>
        <w:t>so that starting in 2016, higher comparability will be achieved.</w:t>
      </w:r>
    </w:p>
  </w:footnote>
  <w:footnote w:id="63">
    <w:p w:rsidR="00EA3B8B" w:rsidRPr="00A640E3" w:rsidRDefault="00EA3B8B" w:rsidP="00F04ED9">
      <w:pPr>
        <w:pStyle w:val="FootnoteText"/>
        <w:rPr>
          <w:rFonts w:asciiTheme="minorHAnsi" w:hAnsiTheme="minorHAnsi"/>
          <w:sz w:val="18"/>
          <w:szCs w:val="18"/>
          <w:lang w:val="en-GB"/>
        </w:rPr>
      </w:pPr>
      <w:r w:rsidRPr="00A640E3">
        <w:rPr>
          <w:rStyle w:val="FootnoteReference"/>
          <w:rFonts w:asciiTheme="minorHAnsi" w:hAnsiTheme="minorHAnsi"/>
          <w:sz w:val="18"/>
          <w:szCs w:val="18"/>
        </w:rPr>
        <w:footnoteRef/>
      </w:r>
      <w:r w:rsidRPr="00A640E3">
        <w:rPr>
          <w:rFonts w:asciiTheme="minorHAnsi" w:hAnsiTheme="minorHAnsi"/>
          <w:sz w:val="18"/>
          <w:szCs w:val="18"/>
          <w:lang w:val="en-GB"/>
        </w:rPr>
        <w:t>Enterprise Analysis Unit of the World Bank and the IFC: Enterprise Survey: Bangladesh 2013.</w:t>
      </w:r>
    </w:p>
  </w:footnote>
  <w:footnote w:id="64">
    <w:p w:rsidR="00EA3B8B" w:rsidRPr="00A640E3" w:rsidRDefault="00EA3B8B" w:rsidP="00F04ED9">
      <w:pPr>
        <w:pStyle w:val="FootnoteText"/>
        <w:rPr>
          <w:rFonts w:asciiTheme="minorHAnsi" w:hAnsiTheme="minorHAnsi"/>
          <w:sz w:val="18"/>
          <w:szCs w:val="18"/>
        </w:rPr>
      </w:pPr>
      <w:r w:rsidRPr="00A640E3">
        <w:rPr>
          <w:rStyle w:val="FootnoteReference"/>
          <w:rFonts w:asciiTheme="minorHAnsi" w:hAnsiTheme="minorHAnsi"/>
          <w:sz w:val="18"/>
          <w:szCs w:val="18"/>
        </w:rPr>
        <w:footnoteRef/>
      </w:r>
      <w:r>
        <w:rPr>
          <w:rFonts w:asciiTheme="minorHAnsi" w:hAnsiTheme="minorHAnsi"/>
          <w:sz w:val="18"/>
          <w:szCs w:val="18"/>
        </w:rPr>
        <w:t xml:space="preserve">Ministry of Power, Energy and Minerals. 2011. </w:t>
      </w:r>
      <w:r w:rsidRPr="00A640E3">
        <w:rPr>
          <w:rFonts w:asciiTheme="minorHAnsi" w:hAnsiTheme="minorHAnsi"/>
          <w:sz w:val="18"/>
          <w:szCs w:val="18"/>
        </w:rPr>
        <w:t>Power System Master Plan 2010</w:t>
      </w:r>
      <w:r>
        <w:rPr>
          <w:rFonts w:asciiTheme="minorHAnsi" w:hAnsiTheme="minorHAnsi"/>
          <w:sz w:val="18"/>
          <w:szCs w:val="18"/>
        </w:rPr>
        <w:t>.</w:t>
      </w:r>
    </w:p>
  </w:footnote>
  <w:footnote w:id="65">
    <w:p w:rsidR="00EA3B8B" w:rsidRPr="00BB35CA" w:rsidRDefault="00EA3B8B" w:rsidP="00F04ED9">
      <w:pPr>
        <w:pStyle w:val="FootnoteText"/>
        <w:rPr>
          <w:rFonts w:asciiTheme="minorHAnsi" w:hAnsiTheme="minorHAnsi"/>
          <w:sz w:val="18"/>
          <w:szCs w:val="18"/>
        </w:rPr>
      </w:pPr>
      <w:r w:rsidRPr="00BB35CA">
        <w:rPr>
          <w:rStyle w:val="FootnoteReference"/>
          <w:rFonts w:asciiTheme="minorHAnsi" w:hAnsiTheme="minorHAnsi"/>
          <w:sz w:val="18"/>
          <w:szCs w:val="18"/>
        </w:rPr>
        <w:footnoteRef/>
      </w:r>
      <w:r w:rsidRPr="00BB35CA">
        <w:rPr>
          <w:rFonts w:asciiTheme="minorHAnsi" w:hAnsiTheme="minorHAnsi"/>
          <w:sz w:val="18"/>
          <w:szCs w:val="18"/>
        </w:rPr>
        <w:t>Some interview partners</w:t>
      </w:r>
      <w:r w:rsidR="005E0C65">
        <w:rPr>
          <w:rFonts w:asciiTheme="minorHAnsi" w:hAnsiTheme="minorHAnsi"/>
          <w:sz w:val="18"/>
          <w:szCs w:val="18"/>
        </w:rPr>
        <w:t xml:space="preserve"> </w:t>
      </w:r>
      <w:r w:rsidRPr="00BB35CA">
        <w:rPr>
          <w:rFonts w:asciiTheme="minorHAnsi" w:hAnsiTheme="minorHAnsi"/>
          <w:sz w:val="18"/>
          <w:szCs w:val="18"/>
        </w:rPr>
        <w:t xml:space="preserve">referred to 4 million, some other sources mentioned 2 million. </w:t>
      </w:r>
    </w:p>
  </w:footnote>
  <w:footnote w:id="66">
    <w:p w:rsidR="00EA3B8B" w:rsidRPr="00BB35CA" w:rsidRDefault="00EA3B8B" w:rsidP="00F04ED9">
      <w:pPr>
        <w:pStyle w:val="FootnoteText"/>
        <w:rPr>
          <w:rFonts w:asciiTheme="minorHAnsi" w:hAnsiTheme="minorHAnsi"/>
          <w:sz w:val="18"/>
          <w:szCs w:val="18"/>
        </w:rPr>
      </w:pPr>
      <w:r w:rsidRPr="00BB35CA">
        <w:rPr>
          <w:rStyle w:val="FootnoteReference"/>
          <w:rFonts w:asciiTheme="minorHAnsi" w:hAnsiTheme="minorHAnsi"/>
          <w:sz w:val="18"/>
          <w:szCs w:val="18"/>
        </w:rPr>
        <w:footnoteRef/>
      </w:r>
      <w:r w:rsidRPr="00BB35CA">
        <w:rPr>
          <w:rFonts w:asciiTheme="minorHAnsi" w:hAnsiTheme="minorHAnsi"/>
          <w:sz w:val="18"/>
          <w:szCs w:val="18"/>
        </w:rPr>
        <w:t>Confirmed by WB</w:t>
      </w:r>
    </w:p>
  </w:footnote>
  <w:footnote w:id="67">
    <w:p w:rsidR="00EA3B8B" w:rsidRPr="00CC640D" w:rsidRDefault="00EA3B8B" w:rsidP="00F04ED9">
      <w:pPr>
        <w:pStyle w:val="FootnoteText"/>
        <w:rPr>
          <w:rFonts w:asciiTheme="minorHAnsi" w:hAnsiTheme="minorHAnsi"/>
          <w:sz w:val="18"/>
          <w:szCs w:val="18"/>
          <w:lang w:val="en-GB"/>
        </w:rPr>
      </w:pPr>
      <w:r w:rsidRPr="00CC640D">
        <w:rPr>
          <w:rStyle w:val="FootnoteReference"/>
          <w:rFonts w:asciiTheme="minorHAnsi" w:hAnsiTheme="minorHAnsi"/>
          <w:sz w:val="18"/>
          <w:szCs w:val="18"/>
        </w:rPr>
        <w:footnoteRef/>
      </w:r>
      <w:r w:rsidRPr="00CC640D">
        <w:rPr>
          <w:rFonts w:asciiTheme="minorHAnsi" w:hAnsiTheme="minorHAnsi"/>
          <w:sz w:val="18"/>
          <w:szCs w:val="18"/>
          <w:lang w:val="en-GB"/>
        </w:rPr>
        <w:t>Bangladesh Ministry of Power Energy and Mineral Resources: 500 MW Solar Power Programme, 2013</w:t>
      </w:r>
    </w:p>
  </w:footnote>
  <w:footnote w:id="68">
    <w:p w:rsidR="00EA3B8B" w:rsidRPr="00CC640D" w:rsidRDefault="00EA3B8B" w:rsidP="00F04ED9">
      <w:pPr>
        <w:pStyle w:val="FootnoteText"/>
        <w:rPr>
          <w:rFonts w:asciiTheme="minorHAnsi" w:hAnsiTheme="minorHAnsi"/>
          <w:sz w:val="18"/>
          <w:szCs w:val="18"/>
        </w:rPr>
      </w:pPr>
      <w:r w:rsidRPr="00CC640D">
        <w:rPr>
          <w:rStyle w:val="FootnoteReference"/>
          <w:rFonts w:asciiTheme="minorHAnsi" w:hAnsiTheme="minorHAnsi"/>
          <w:sz w:val="18"/>
          <w:szCs w:val="18"/>
        </w:rPr>
        <w:footnoteRef/>
      </w:r>
      <w:r w:rsidRPr="00CC640D">
        <w:rPr>
          <w:rFonts w:asciiTheme="minorHAnsi" w:hAnsiTheme="minorHAnsi"/>
          <w:sz w:val="18"/>
          <w:szCs w:val="18"/>
        </w:rPr>
        <w:t>Important energy efficiency measures need to take place in the power sector, i.e. in making generation, transmission and distribution of electricity more efficient. These are discussed in the energy supply section.</w:t>
      </w:r>
    </w:p>
  </w:footnote>
  <w:footnote w:id="69">
    <w:p w:rsidR="00EA3B8B" w:rsidRPr="00963635" w:rsidRDefault="00EA3B8B" w:rsidP="00F04ED9">
      <w:pPr>
        <w:pStyle w:val="bodytext"/>
        <w:rPr>
          <w:rFonts w:asciiTheme="minorHAnsi" w:hAnsiTheme="minorHAnsi"/>
          <w:sz w:val="18"/>
          <w:szCs w:val="18"/>
        </w:rPr>
      </w:pPr>
      <w:r w:rsidRPr="00963635">
        <w:rPr>
          <w:rStyle w:val="FootnoteReference"/>
          <w:rFonts w:asciiTheme="minorHAnsi" w:hAnsiTheme="minorHAnsi"/>
          <w:sz w:val="18"/>
          <w:szCs w:val="18"/>
        </w:rPr>
        <w:footnoteRef/>
      </w:r>
      <w:r w:rsidRPr="00963635">
        <w:rPr>
          <w:rFonts w:asciiTheme="minorHAnsi" w:hAnsiTheme="minorHAnsi"/>
          <w:sz w:val="18"/>
          <w:szCs w:val="18"/>
        </w:rPr>
        <w:t>Wörlen, C. 2011a.: Transforming Markets for Sustainable District Heating in Poland – a Meta-Evaluation and Barrier Analysis. Climate Change Evaluation Community of Practice Study.</w:t>
      </w:r>
    </w:p>
  </w:footnote>
  <w:footnote w:id="70">
    <w:p w:rsidR="00EA3B8B" w:rsidRPr="00963635" w:rsidRDefault="00EA3B8B" w:rsidP="00F04ED9">
      <w:pPr>
        <w:pStyle w:val="bodytext"/>
        <w:rPr>
          <w:rFonts w:asciiTheme="minorHAnsi" w:hAnsiTheme="minorHAnsi"/>
          <w:sz w:val="18"/>
          <w:szCs w:val="18"/>
        </w:rPr>
      </w:pPr>
      <w:r w:rsidRPr="00963635">
        <w:rPr>
          <w:rStyle w:val="FootnoteReference"/>
          <w:rFonts w:asciiTheme="minorHAnsi" w:hAnsiTheme="minorHAnsi"/>
          <w:sz w:val="18"/>
          <w:szCs w:val="18"/>
        </w:rPr>
        <w:footnoteRef/>
      </w:r>
      <w:r w:rsidRPr="00963635">
        <w:rPr>
          <w:rFonts w:asciiTheme="minorHAnsi" w:hAnsiTheme="minorHAnsi"/>
          <w:sz w:val="18"/>
          <w:szCs w:val="18"/>
        </w:rPr>
        <w:t>Wörlen, C. 2011b.Transforming Markets for Energy Efficient Products in Thailand – a Meta-Evaluation and Barrier Analysis.28 p. Climate Change Evaluation Community of Practice Study.</w:t>
      </w:r>
    </w:p>
    <w:p w:rsidR="00EA3B8B" w:rsidRPr="00963635" w:rsidRDefault="00EA3B8B" w:rsidP="00F04ED9">
      <w:pPr>
        <w:pStyle w:val="FootnoteText"/>
        <w:rPr>
          <w:lang w:val="en-US"/>
        </w:rPr>
      </w:pPr>
    </w:p>
  </w:footnote>
  <w:footnote w:id="71">
    <w:p w:rsidR="00EA3B8B" w:rsidRPr="00E34C94" w:rsidRDefault="00EA3B8B" w:rsidP="00F04ED9">
      <w:pPr>
        <w:pStyle w:val="FootnoteText"/>
        <w:rPr>
          <w:rFonts w:asciiTheme="minorHAnsi" w:hAnsiTheme="minorHAnsi"/>
          <w:sz w:val="18"/>
          <w:szCs w:val="18"/>
        </w:rPr>
      </w:pPr>
      <w:r w:rsidRPr="00E34C94">
        <w:rPr>
          <w:rStyle w:val="FootnoteReference"/>
          <w:rFonts w:asciiTheme="minorHAnsi" w:hAnsiTheme="minorHAnsi"/>
          <w:sz w:val="18"/>
          <w:szCs w:val="18"/>
        </w:rPr>
        <w:footnoteRef/>
      </w:r>
      <w:r w:rsidRPr="00E34C94">
        <w:rPr>
          <w:rFonts w:asciiTheme="minorHAnsi" w:hAnsiTheme="minorHAnsi"/>
          <w:sz w:val="18"/>
          <w:szCs w:val="18"/>
        </w:rPr>
        <w:t xml:space="preserve">It did comprise 23 appliances but the Kimchi refrigerator is considered irrelevant for Bangladesh. </w:t>
      </w:r>
    </w:p>
  </w:footnote>
  <w:footnote w:id="72">
    <w:p w:rsidR="00EA3B8B" w:rsidRPr="000D56F9" w:rsidRDefault="00EA3B8B" w:rsidP="00F04ED9">
      <w:pPr>
        <w:ind w:left="180" w:hanging="180"/>
        <w:rPr>
          <w:sz w:val="18"/>
          <w:szCs w:val="18"/>
        </w:rPr>
      </w:pPr>
      <w:r w:rsidRPr="00A92EC3">
        <w:rPr>
          <w:rStyle w:val="FootnoteReference"/>
          <w:sz w:val="18"/>
          <w:szCs w:val="18"/>
        </w:rPr>
        <w:footnoteRef/>
      </w:r>
      <w:r w:rsidRPr="00A92EC3">
        <w:rPr>
          <w:sz w:val="18"/>
          <w:szCs w:val="18"/>
        </w:rPr>
        <w:t>Chisty, M.H.U. 2013.</w:t>
      </w:r>
      <w:r w:rsidRPr="00A92EC3">
        <w:rPr>
          <w:i/>
          <w:sz w:val="18"/>
          <w:szCs w:val="18"/>
        </w:rPr>
        <w:t>Socioeconomic Profile, Profitability, and Replication Study on HHK Demo Plants: Final Report.</w:t>
      </w:r>
      <w:r w:rsidRPr="00A92EC3">
        <w:rPr>
          <w:sz w:val="18"/>
          <w:szCs w:val="18"/>
        </w:rPr>
        <w:t>Green Brick (IKEBMI) Project, UNDP-GEF, UNDP Bangladesh, Dhaka.</w:t>
      </w:r>
    </w:p>
  </w:footnote>
  <w:footnote w:id="73">
    <w:p w:rsidR="00EA3B8B" w:rsidRPr="00A92EC3" w:rsidRDefault="00EA3B8B" w:rsidP="00F04ED9">
      <w:pPr>
        <w:pStyle w:val="FootnoteText"/>
        <w:rPr>
          <w:rFonts w:asciiTheme="minorHAnsi" w:hAnsiTheme="minorHAnsi"/>
          <w:sz w:val="18"/>
          <w:szCs w:val="18"/>
          <w:lang w:val="en-US"/>
        </w:rPr>
      </w:pPr>
      <w:r w:rsidRPr="00A92EC3">
        <w:rPr>
          <w:rStyle w:val="FootnoteReference"/>
          <w:rFonts w:asciiTheme="minorHAnsi" w:hAnsiTheme="minorHAnsi"/>
          <w:sz w:val="18"/>
          <w:szCs w:val="18"/>
        </w:rPr>
        <w:footnoteRef/>
      </w:r>
      <w:r>
        <w:rPr>
          <w:rFonts w:asciiTheme="minorHAnsi" w:hAnsiTheme="minorHAnsi"/>
          <w:sz w:val="18"/>
          <w:szCs w:val="18"/>
          <w:lang w:val="en-US"/>
        </w:rPr>
        <w:t>Ibid 24-25.</w:t>
      </w:r>
    </w:p>
  </w:footnote>
  <w:footnote w:id="74">
    <w:p w:rsidR="00EA3B8B" w:rsidRPr="000D56F9" w:rsidRDefault="00EA3B8B" w:rsidP="00F04ED9">
      <w:pPr>
        <w:pStyle w:val="FootnoteText"/>
        <w:rPr>
          <w:lang w:val="en-US"/>
        </w:rPr>
      </w:pPr>
      <w:r>
        <w:rPr>
          <w:rStyle w:val="FootnoteReference"/>
        </w:rPr>
        <w:footnoteRef/>
      </w:r>
      <w:r>
        <w:rPr>
          <w:lang w:val="en-US"/>
        </w:rPr>
        <w:t>Ibid 24..</w:t>
      </w:r>
    </w:p>
  </w:footnote>
  <w:footnote w:id="75">
    <w:p w:rsidR="00EA3B8B" w:rsidRPr="00EA3BA4" w:rsidRDefault="00EA3B8B" w:rsidP="009F468D">
      <w:pPr>
        <w:pStyle w:val="FootnoteText"/>
        <w:ind w:left="180" w:hanging="180"/>
        <w:rPr>
          <w:rFonts w:asciiTheme="minorHAnsi" w:hAnsiTheme="minorHAnsi"/>
          <w:sz w:val="18"/>
          <w:szCs w:val="18"/>
        </w:rPr>
      </w:pPr>
      <w:r w:rsidRPr="00EA3BA4">
        <w:rPr>
          <w:rStyle w:val="FootnoteReference"/>
          <w:rFonts w:asciiTheme="minorHAnsi" w:hAnsiTheme="minorHAnsi"/>
          <w:sz w:val="18"/>
          <w:szCs w:val="18"/>
        </w:rPr>
        <w:footnoteRef/>
      </w:r>
      <w:r w:rsidRPr="00EA3BA4">
        <w:rPr>
          <w:rFonts w:asciiTheme="minorHAnsi" w:hAnsiTheme="minorHAnsi"/>
          <w:sz w:val="18"/>
          <w:szCs w:val="18"/>
        </w:rPr>
        <w:t xml:space="preserve">  A note of caution is in order </w:t>
      </w:r>
      <w:r>
        <w:rPr>
          <w:rFonts w:asciiTheme="minorHAnsi" w:hAnsiTheme="minorHAnsi"/>
          <w:sz w:val="18"/>
          <w:szCs w:val="18"/>
        </w:rPr>
        <w:t xml:space="preserve">here considering </w:t>
      </w:r>
      <w:r w:rsidRPr="00EA3BA4">
        <w:rPr>
          <w:rFonts w:asciiTheme="minorHAnsi" w:hAnsiTheme="minorHAnsi"/>
          <w:sz w:val="18"/>
          <w:szCs w:val="18"/>
        </w:rPr>
        <w:t>that these analyses, based on broad assumptions, are tentative</w:t>
      </w:r>
      <w:r>
        <w:rPr>
          <w:rFonts w:asciiTheme="minorHAnsi" w:hAnsiTheme="minorHAnsi"/>
          <w:sz w:val="18"/>
          <w:szCs w:val="18"/>
        </w:rPr>
        <w:t xml:space="preserve">. These results are tentative because </w:t>
      </w:r>
      <w:r w:rsidRPr="00EA3BA4">
        <w:rPr>
          <w:rFonts w:asciiTheme="minorHAnsi" w:hAnsiTheme="minorHAnsi"/>
          <w:sz w:val="18"/>
          <w:szCs w:val="18"/>
        </w:rPr>
        <w:t xml:space="preserve">such analyses are highly data demanding, which are beyond the scope of this </w:t>
      </w:r>
      <w:r>
        <w:rPr>
          <w:rFonts w:asciiTheme="minorHAnsi" w:hAnsiTheme="minorHAnsi"/>
          <w:sz w:val="18"/>
          <w:szCs w:val="18"/>
        </w:rPr>
        <w:t>short-term evaluation.We</w:t>
      </w:r>
      <w:r w:rsidRPr="00EA3BA4">
        <w:rPr>
          <w:rFonts w:asciiTheme="minorHAnsi" w:hAnsiTheme="minorHAnsi"/>
          <w:sz w:val="18"/>
          <w:szCs w:val="18"/>
        </w:rPr>
        <w:t xml:space="preserve"> should not rely too much on the absolute figures</w:t>
      </w:r>
      <w:r>
        <w:rPr>
          <w:rFonts w:asciiTheme="minorHAnsi" w:hAnsiTheme="minorHAnsi"/>
          <w:sz w:val="18"/>
          <w:szCs w:val="18"/>
        </w:rPr>
        <w:t xml:space="preserve"> here; rather </w:t>
      </w:r>
      <w:r w:rsidRPr="00EA3BA4">
        <w:rPr>
          <w:rFonts w:asciiTheme="minorHAnsi" w:hAnsiTheme="minorHAnsi"/>
          <w:sz w:val="18"/>
          <w:szCs w:val="18"/>
        </w:rPr>
        <w:t xml:space="preserve">what is more important </w:t>
      </w:r>
      <w:r>
        <w:rPr>
          <w:rFonts w:asciiTheme="minorHAnsi" w:hAnsiTheme="minorHAnsi"/>
          <w:sz w:val="18"/>
          <w:szCs w:val="18"/>
        </w:rPr>
        <w:t>is</w:t>
      </w:r>
      <w:r w:rsidRPr="00EA3BA4">
        <w:rPr>
          <w:rFonts w:asciiTheme="minorHAnsi" w:hAnsiTheme="minorHAnsi"/>
          <w:sz w:val="18"/>
          <w:szCs w:val="18"/>
        </w:rPr>
        <w:t xml:space="preserve"> the trend</w:t>
      </w:r>
      <w:r>
        <w:rPr>
          <w:rFonts w:asciiTheme="minorHAnsi" w:hAnsiTheme="minorHAnsi"/>
          <w:sz w:val="18"/>
          <w:szCs w:val="18"/>
        </w:rPr>
        <w:t xml:space="preserve"> revealed in the results.  </w:t>
      </w:r>
    </w:p>
  </w:footnote>
  <w:footnote w:id="76">
    <w:p w:rsidR="00EA3B8B" w:rsidRPr="001A6C2C" w:rsidRDefault="00EA3B8B" w:rsidP="009F468D">
      <w:pPr>
        <w:pStyle w:val="FootnoteText"/>
        <w:ind w:left="180" w:hanging="180"/>
        <w:rPr>
          <w:rFonts w:asciiTheme="minorHAnsi" w:hAnsiTheme="minorHAnsi"/>
          <w:sz w:val="18"/>
          <w:szCs w:val="18"/>
        </w:rPr>
      </w:pPr>
      <w:r w:rsidRPr="001A6C2C">
        <w:rPr>
          <w:rStyle w:val="FootnoteReference"/>
          <w:rFonts w:asciiTheme="minorHAnsi" w:hAnsiTheme="minorHAnsi"/>
          <w:sz w:val="18"/>
          <w:szCs w:val="18"/>
        </w:rPr>
        <w:footnoteRef/>
      </w:r>
      <w:r w:rsidRPr="001A6C2C">
        <w:rPr>
          <w:rFonts w:asciiTheme="minorHAnsi" w:hAnsiTheme="minorHAnsi"/>
          <w:sz w:val="18"/>
          <w:szCs w:val="18"/>
        </w:rPr>
        <w:t xml:space="preserve">  In this analysis</w:t>
      </w:r>
      <w:r>
        <w:rPr>
          <w:rFonts w:asciiTheme="minorHAnsi" w:hAnsiTheme="minorHAnsi"/>
          <w:sz w:val="18"/>
          <w:szCs w:val="18"/>
        </w:rPr>
        <w:t xml:space="preserve">, </w:t>
      </w:r>
      <w:r w:rsidRPr="001A6C2C">
        <w:rPr>
          <w:rFonts w:asciiTheme="minorHAnsi" w:hAnsiTheme="minorHAnsi"/>
          <w:sz w:val="18"/>
          <w:szCs w:val="18"/>
        </w:rPr>
        <w:t>sensitive analysis</w:t>
      </w:r>
      <w:r>
        <w:rPr>
          <w:rFonts w:asciiTheme="minorHAnsi" w:hAnsiTheme="minorHAnsi"/>
          <w:sz w:val="18"/>
          <w:szCs w:val="18"/>
        </w:rPr>
        <w:t xml:space="preserve"> was not carried out</w:t>
      </w:r>
      <w:r w:rsidRPr="001A6C2C">
        <w:rPr>
          <w:rFonts w:asciiTheme="minorHAnsi" w:hAnsiTheme="minorHAnsi"/>
          <w:sz w:val="18"/>
          <w:szCs w:val="18"/>
        </w:rPr>
        <w:t xml:space="preserve">. One of the reasons </w:t>
      </w:r>
      <w:r>
        <w:rPr>
          <w:rFonts w:asciiTheme="minorHAnsi" w:hAnsiTheme="minorHAnsi"/>
          <w:sz w:val="18"/>
          <w:szCs w:val="18"/>
        </w:rPr>
        <w:t xml:space="preserve">for this </w:t>
      </w:r>
      <w:r w:rsidRPr="001A6C2C">
        <w:rPr>
          <w:rFonts w:asciiTheme="minorHAnsi" w:hAnsiTheme="minorHAnsi"/>
          <w:sz w:val="18"/>
          <w:szCs w:val="18"/>
        </w:rPr>
        <w:t xml:space="preserve">was that the benefit cost ratios </w:t>
      </w:r>
      <w:r>
        <w:rPr>
          <w:rFonts w:asciiTheme="minorHAnsi" w:hAnsiTheme="minorHAnsi"/>
          <w:sz w:val="18"/>
          <w:szCs w:val="18"/>
        </w:rPr>
        <w:t xml:space="preserve">have </w:t>
      </w:r>
      <w:r w:rsidRPr="001A6C2C">
        <w:rPr>
          <w:rFonts w:asciiTheme="minorHAnsi" w:hAnsiTheme="minorHAnsi"/>
          <w:sz w:val="18"/>
          <w:szCs w:val="18"/>
        </w:rPr>
        <w:t xml:space="preserve">already </w:t>
      </w:r>
      <w:r>
        <w:rPr>
          <w:rFonts w:asciiTheme="minorHAnsi" w:hAnsiTheme="minorHAnsi"/>
          <w:sz w:val="18"/>
          <w:szCs w:val="18"/>
        </w:rPr>
        <w:t xml:space="preserve">been </w:t>
      </w:r>
      <w:r w:rsidRPr="001A6C2C">
        <w:rPr>
          <w:rFonts w:asciiTheme="minorHAnsi" w:hAnsiTheme="minorHAnsi"/>
          <w:sz w:val="18"/>
          <w:szCs w:val="18"/>
        </w:rPr>
        <w:t xml:space="preserve">estimated </w:t>
      </w:r>
      <w:r>
        <w:rPr>
          <w:rFonts w:asciiTheme="minorHAnsi" w:hAnsiTheme="minorHAnsi"/>
          <w:sz w:val="18"/>
          <w:szCs w:val="18"/>
        </w:rPr>
        <w:t>as ‘</w:t>
      </w:r>
      <w:r w:rsidRPr="001A6C2C">
        <w:rPr>
          <w:rFonts w:asciiTheme="minorHAnsi" w:hAnsiTheme="minorHAnsi"/>
          <w:sz w:val="18"/>
          <w:szCs w:val="18"/>
        </w:rPr>
        <w:t>very high</w:t>
      </w:r>
      <w:r>
        <w:rPr>
          <w:rFonts w:asciiTheme="minorHAnsi" w:hAnsiTheme="minorHAnsi"/>
          <w:sz w:val="18"/>
          <w:szCs w:val="18"/>
        </w:rPr>
        <w:t>’</w:t>
      </w:r>
      <w:r w:rsidRPr="001A6C2C">
        <w:rPr>
          <w:rFonts w:asciiTheme="minorHAnsi" w:hAnsiTheme="minorHAnsi"/>
          <w:sz w:val="18"/>
          <w:szCs w:val="18"/>
        </w:rPr>
        <w:t xml:space="preserve">. </w:t>
      </w:r>
      <w:r>
        <w:rPr>
          <w:rFonts w:asciiTheme="minorHAnsi" w:hAnsiTheme="minorHAnsi"/>
          <w:sz w:val="18"/>
          <w:szCs w:val="18"/>
        </w:rPr>
        <w:t xml:space="preserve">In addition, </w:t>
      </w:r>
      <w:r w:rsidRPr="001A6C2C">
        <w:rPr>
          <w:rFonts w:asciiTheme="minorHAnsi" w:hAnsiTheme="minorHAnsi"/>
          <w:sz w:val="18"/>
          <w:szCs w:val="18"/>
        </w:rPr>
        <w:t xml:space="preserve">many indirect and intangible benefits </w:t>
      </w:r>
      <w:r>
        <w:rPr>
          <w:rFonts w:asciiTheme="minorHAnsi" w:hAnsiTheme="minorHAnsi"/>
          <w:sz w:val="18"/>
          <w:szCs w:val="18"/>
        </w:rPr>
        <w:t xml:space="preserve">could not be estimated </w:t>
      </w:r>
      <w:r w:rsidRPr="001A6C2C">
        <w:rPr>
          <w:rFonts w:asciiTheme="minorHAnsi" w:hAnsiTheme="minorHAnsi"/>
          <w:sz w:val="18"/>
          <w:szCs w:val="18"/>
        </w:rPr>
        <w:t>while cost estimates were quite comprehensive.</w:t>
      </w:r>
    </w:p>
  </w:footnote>
  <w:footnote w:id="77">
    <w:p w:rsidR="00EA3B8B" w:rsidRPr="001A6C2C" w:rsidRDefault="00EA3B8B" w:rsidP="009F468D">
      <w:pPr>
        <w:ind w:left="180" w:hanging="180"/>
        <w:rPr>
          <w:sz w:val="18"/>
          <w:szCs w:val="18"/>
        </w:rPr>
      </w:pPr>
      <w:r w:rsidRPr="001A6C2C">
        <w:rPr>
          <w:rStyle w:val="FootnoteReference"/>
          <w:sz w:val="18"/>
          <w:szCs w:val="18"/>
        </w:rPr>
        <w:footnoteRef/>
      </w:r>
      <w:r w:rsidRPr="001A6C2C">
        <w:rPr>
          <w:sz w:val="18"/>
          <w:szCs w:val="18"/>
        </w:rPr>
        <w:t xml:space="preserve">  A discount rate of 12% is usually used in financial and economic analyses of development projects by GoB and also by donor agencies</w:t>
      </w:r>
      <w:r>
        <w:rPr>
          <w:sz w:val="18"/>
          <w:szCs w:val="18"/>
        </w:rPr>
        <w:t xml:space="preserve">. For example,the World Bank’s application </w:t>
      </w:r>
      <w:r w:rsidRPr="001A6C2C">
        <w:rPr>
          <w:sz w:val="18"/>
          <w:szCs w:val="18"/>
        </w:rPr>
        <w:t xml:space="preserve">(See  GED’s Manual of Instruction, prepared under PECM).  The Asian Development Bank also applied 12% discount rate in the economic analysis </w:t>
      </w:r>
      <w:r>
        <w:rPr>
          <w:sz w:val="18"/>
          <w:szCs w:val="18"/>
        </w:rPr>
        <w:t>(</w:t>
      </w:r>
      <w:r w:rsidRPr="001A6C2C">
        <w:rPr>
          <w:sz w:val="18"/>
          <w:szCs w:val="18"/>
        </w:rPr>
        <w:t>of the power system expansion and efficiency improvement</w:t>
      </w:r>
      <w:r>
        <w:rPr>
          <w:sz w:val="18"/>
          <w:szCs w:val="18"/>
        </w:rPr>
        <w:t>)</w:t>
      </w:r>
      <w:r w:rsidRPr="001A6C2C">
        <w:rPr>
          <w:sz w:val="18"/>
          <w:szCs w:val="18"/>
        </w:rPr>
        <w:t xml:space="preserve"> investment program in Bangladesh (RRP BAN 42378), following the ADB Guidelines for the Economic Analysis of Projects [http://www.adb.org/sites/default/files/linked-documents/37113-013-ban-ea.pdf] accessed on May 15, 2015.</w:t>
      </w:r>
    </w:p>
    <w:p w:rsidR="00EA3B8B" w:rsidRPr="001A6C2C" w:rsidRDefault="00EA3B8B" w:rsidP="009F468D">
      <w:pPr>
        <w:pStyle w:val="FootnoteText"/>
        <w:rPr>
          <w:rFonts w:asciiTheme="minorHAnsi" w:hAnsiTheme="minorHAnsi"/>
          <w:sz w:val="18"/>
          <w:szCs w:val="18"/>
        </w:rPr>
      </w:pPr>
    </w:p>
  </w:footnote>
  <w:footnote w:id="78">
    <w:p w:rsidR="00EA3B8B" w:rsidRPr="00C803AD" w:rsidRDefault="00EA3B8B" w:rsidP="009F468D">
      <w:pPr>
        <w:pStyle w:val="FootnoteText"/>
        <w:ind w:left="180" w:hanging="180"/>
        <w:rPr>
          <w:rFonts w:asciiTheme="minorHAnsi" w:hAnsiTheme="minorHAnsi"/>
          <w:sz w:val="18"/>
          <w:szCs w:val="18"/>
        </w:rPr>
      </w:pPr>
      <w:r w:rsidRPr="00C803AD">
        <w:rPr>
          <w:rStyle w:val="FootnoteReference"/>
          <w:rFonts w:asciiTheme="minorHAnsi" w:hAnsiTheme="minorHAnsi"/>
          <w:sz w:val="18"/>
          <w:szCs w:val="18"/>
        </w:rPr>
        <w:footnoteRef/>
      </w:r>
      <w:r w:rsidRPr="00C803AD">
        <w:rPr>
          <w:rFonts w:asciiTheme="minorHAnsi" w:hAnsiTheme="minorHAnsi"/>
          <w:sz w:val="18"/>
          <w:szCs w:val="18"/>
        </w:rPr>
        <w:t xml:space="preserve">  Apart from income benefits from forest, fish and fruit, benefits by way of carbon capture from trees have been taken into account in the analysis (drawn on Nandi P 2014a &amp; 2014b).  </w:t>
      </w:r>
    </w:p>
  </w:footnote>
  <w:footnote w:id="79">
    <w:p w:rsidR="00EA3B8B" w:rsidRPr="00C803AD" w:rsidRDefault="00EA3B8B" w:rsidP="009F468D">
      <w:pPr>
        <w:pStyle w:val="FootnoteText"/>
        <w:ind w:left="180" w:hanging="180"/>
        <w:rPr>
          <w:rFonts w:asciiTheme="minorHAnsi" w:hAnsiTheme="minorHAnsi"/>
          <w:sz w:val="18"/>
          <w:szCs w:val="18"/>
        </w:rPr>
      </w:pPr>
      <w:r w:rsidRPr="00C803AD">
        <w:rPr>
          <w:rStyle w:val="FootnoteReference"/>
          <w:rFonts w:asciiTheme="minorHAnsi" w:hAnsiTheme="minorHAnsi"/>
          <w:sz w:val="18"/>
          <w:szCs w:val="18"/>
        </w:rPr>
        <w:footnoteRef/>
      </w:r>
      <w:r w:rsidRPr="00C803AD">
        <w:rPr>
          <w:rFonts w:asciiTheme="minorHAnsi" w:hAnsiTheme="minorHAnsi"/>
          <w:sz w:val="18"/>
          <w:szCs w:val="18"/>
        </w:rPr>
        <w:t xml:space="preserve">  One should take note that this analysis </w:t>
      </w:r>
      <w:r>
        <w:rPr>
          <w:rFonts w:asciiTheme="minorHAnsi" w:hAnsiTheme="minorHAnsi"/>
          <w:sz w:val="18"/>
          <w:szCs w:val="18"/>
        </w:rPr>
        <w:t xml:space="preserve">is </w:t>
      </w:r>
      <w:r w:rsidRPr="00C803AD">
        <w:rPr>
          <w:rFonts w:asciiTheme="minorHAnsi" w:hAnsiTheme="minorHAnsi"/>
          <w:sz w:val="18"/>
          <w:szCs w:val="18"/>
        </w:rPr>
        <w:t>based on broad assumptions</w:t>
      </w:r>
      <w:r>
        <w:rPr>
          <w:rFonts w:asciiTheme="minorHAnsi" w:hAnsiTheme="minorHAnsi"/>
          <w:sz w:val="18"/>
          <w:szCs w:val="18"/>
        </w:rPr>
        <w:t>, and the results are</w:t>
      </w:r>
      <w:r w:rsidRPr="00C803AD">
        <w:rPr>
          <w:rFonts w:asciiTheme="minorHAnsi" w:hAnsiTheme="minorHAnsi"/>
          <w:sz w:val="18"/>
          <w:szCs w:val="18"/>
        </w:rPr>
        <w:t xml:space="preserve"> tentative</w:t>
      </w:r>
      <w:r>
        <w:rPr>
          <w:rFonts w:asciiTheme="minorHAnsi" w:hAnsiTheme="minorHAnsi"/>
          <w:sz w:val="18"/>
          <w:szCs w:val="18"/>
        </w:rPr>
        <w:t xml:space="preserve">. This is because an </w:t>
      </w:r>
      <w:r w:rsidRPr="00C803AD">
        <w:rPr>
          <w:rFonts w:asciiTheme="minorHAnsi" w:hAnsiTheme="minorHAnsi"/>
          <w:sz w:val="18"/>
          <w:szCs w:val="18"/>
        </w:rPr>
        <w:t xml:space="preserve">analysis </w:t>
      </w:r>
      <w:r>
        <w:rPr>
          <w:rFonts w:asciiTheme="minorHAnsi" w:hAnsiTheme="minorHAnsi"/>
          <w:sz w:val="18"/>
          <w:szCs w:val="18"/>
        </w:rPr>
        <w:t xml:space="preserve">with firm results </w:t>
      </w:r>
      <w:r w:rsidRPr="00C803AD">
        <w:rPr>
          <w:rFonts w:asciiTheme="minorHAnsi" w:hAnsiTheme="minorHAnsi"/>
          <w:sz w:val="18"/>
          <w:szCs w:val="18"/>
        </w:rPr>
        <w:t xml:space="preserve">is highly data demanding, which is beyond the scope of this </w:t>
      </w:r>
      <w:r>
        <w:rPr>
          <w:rFonts w:asciiTheme="minorHAnsi" w:hAnsiTheme="minorHAnsi"/>
          <w:sz w:val="18"/>
          <w:szCs w:val="18"/>
        </w:rPr>
        <w:t>short-term evaluation.</w:t>
      </w:r>
      <w:r w:rsidRPr="00C803AD">
        <w:rPr>
          <w:rFonts w:asciiTheme="minorHAnsi" w:hAnsiTheme="minorHAnsi"/>
          <w:sz w:val="18"/>
          <w:szCs w:val="18"/>
        </w:rPr>
        <w:t xml:space="preserve">  The figures </w:t>
      </w:r>
      <w:r>
        <w:rPr>
          <w:rFonts w:asciiTheme="minorHAnsi" w:hAnsiTheme="minorHAnsi"/>
          <w:sz w:val="18"/>
          <w:szCs w:val="18"/>
        </w:rPr>
        <w:t xml:space="preserve">depict </w:t>
      </w:r>
      <w:r w:rsidRPr="00C803AD">
        <w:rPr>
          <w:rFonts w:asciiTheme="minorHAnsi" w:hAnsiTheme="minorHAnsi"/>
          <w:sz w:val="18"/>
          <w:szCs w:val="18"/>
        </w:rPr>
        <w:t xml:space="preserve">only a trend. </w:t>
      </w:r>
    </w:p>
  </w:footnote>
  <w:footnote w:id="80">
    <w:p w:rsidR="00EA3B8B" w:rsidRPr="00575E85" w:rsidRDefault="00EA3B8B" w:rsidP="009F468D">
      <w:pPr>
        <w:pStyle w:val="EndnoteText"/>
        <w:ind w:left="180" w:hanging="180"/>
        <w:jc w:val="both"/>
        <w:rPr>
          <w:rFonts w:asciiTheme="minorHAnsi" w:hAnsiTheme="minorHAnsi"/>
          <w:sz w:val="18"/>
          <w:szCs w:val="18"/>
        </w:rPr>
      </w:pPr>
      <w:r w:rsidRPr="00575E85">
        <w:rPr>
          <w:rStyle w:val="FootnoteReference"/>
          <w:rFonts w:asciiTheme="minorHAnsi" w:hAnsiTheme="minorHAnsi"/>
          <w:sz w:val="18"/>
          <w:szCs w:val="18"/>
        </w:rPr>
        <w:footnoteRef/>
      </w:r>
      <w:r w:rsidRPr="00575E85">
        <w:rPr>
          <w:rFonts w:asciiTheme="minorHAnsi" w:hAnsiTheme="minorHAnsi"/>
          <w:sz w:val="18"/>
          <w:szCs w:val="18"/>
        </w:rPr>
        <w:t xml:space="preserve">Subbiah, A.R. et al. 2008. Background Paper on the Assessment of Early Warning Systems for Disaster Risk Reduction. Bangkok, Thailand: The World Bank, GFDRR. </w:t>
      </w:r>
    </w:p>
  </w:footnote>
  <w:footnote w:id="81">
    <w:p w:rsidR="00EA3B8B" w:rsidRPr="00575E85" w:rsidRDefault="00EA3B8B" w:rsidP="009F468D">
      <w:pPr>
        <w:tabs>
          <w:tab w:val="left" w:pos="-720"/>
          <w:tab w:val="left" w:pos="180"/>
          <w:tab w:val="left" w:pos="720"/>
          <w:tab w:val="left" w:pos="1440"/>
        </w:tabs>
        <w:autoSpaceDE w:val="0"/>
        <w:autoSpaceDN w:val="0"/>
        <w:adjustRightInd w:val="0"/>
        <w:spacing w:line="240" w:lineRule="auto"/>
        <w:ind w:left="180" w:hanging="180"/>
        <w:jc w:val="both"/>
        <w:rPr>
          <w:sz w:val="18"/>
          <w:szCs w:val="18"/>
        </w:rPr>
      </w:pPr>
      <w:r w:rsidRPr="00575E85">
        <w:rPr>
          <w:rStyle w:val="FootnoteReference"/>
          <w:sz w:val="18"/>
          <w:szCs w:val="18"/>
        </w:rPr>
        <w:footnoteRef/>
      </w:r>
      <w:r w:rsidRPr="00575E85">
        <w:rPr>
          <w:sz w:val="18"/>
          <w:szCs w:val="18"/>
        </w:rPr>
        <w:t>Islam K M (2011b). Impacts of Urban Floods from  Micro-Macro Level Perspectives, A case study of Bangladesh, LAP LAMBERT Academic Publishing, House, Germany</w:t>
      </w:r>
      <w:r w:rsidRPr="00575E85">
        <w:rPr>
          <w:iCs/>
          <w:spacing w:val="-2"/>
          <w:sz w:val="18"/>
          <w:szCs w:val="18"/>
        </w:rPr>
        <w:t xml:space="preserve">. The study examined various types of floods : major river flood, flash flood and tidal flood, also in terms of, among others, residential sector by loss/damage components .such as structure, inventories, livestock, income and employment. </w:t>
      </w:r>
    </w:p>
  </w:footnote>
  <w:footnote w:id="82">
    <w:p w:rsidR="00EA3B8B" w:rsidRPr="00575E85" w:rsidRDefault="00EA3B8B" w:rsidP="009F468D">
      <w:pPr>
        <w:pStyle w:val="EndnoteText"/>
        <w:ind w:left="180" w:hanging="180"/>
        <w:rPr>
          <w:rFonts w:asciiTheme="minorHAnsi" w:hAnsiTheme="minorHAnsi"/>
          <w:sz w:val="18"/>
          <w:szCs w:val="18"/>
        </w:rPr>
      </w:pPr>
      <w:r w:rsidRPr="00575E85">
        <w:rPr>
          <w:rStyle w:val="FootnoteReference"/>
          <w:rFonts w:asciiTheme="minorHAnsi" w:hAnsiTheme="minorHAnsi"/>
          <w:sz w:val="18"/>
          <w:szCs w:val="18"/>
        </w:rPr>
        <w:footnoteRef/>
      </w:r>
      <w:r w:rsidRPr="00575E85">
        <w:rPr>
          <w:rFonts w:asciiTheme="minorHAnsi" w:hAnsiTheme="minorHAnsi"/>
          <w:sz w:val="18"/>
          <w:szCs w:val="18"/>
        </w:rPr>
        <w:t>ADB (2006). “Bangladesh: Early Warning Systems Study”, Technical Assistance Consultant’s Report, Project Number: 38625 (TA 4562).</w:t>
      </w:r>
    </w:p>
  </w:footnote>
  <w:footnote w:id="83">
    <w:p w:rsidR="00EA3B8B" w:rsidRPr="003B3504" w:rsidRDefault="00EA3B8B" w:rsidP="003B3504">
      <w:pPr>
        <w:pStyle w:val="ListParagraph"/>
        <w:spacing w:line="240" w:lineRule="auto"/>
        <w:ind w:left="0"/>
        <w:jc w:val="both"/>
        <w:rPr>
          <w:rFonts w:asciiTheme="minorHAnsi" w:hAnsiTheme="minorHAnsi"/>
          <w:sz w:val="18"/>
          <w:szCs w:val="18"/>
          <w:lang w:val="en-GB"/>
        </w:rPr>
      </w:pPr>
      <w:r w:rsidRPr="00575E85">
        <w:rPr>
          <w:rStyle w:val="FootnoteReference"/>
          <w:rFonts w:asciiTheme="minorHAnsi" w:hAnsiTheme="minorHAnsi"/>
          <w:sz w:val="18"/>
          <w:szCs w:val="18"/>
        </w:rPr>
        <w:footnoteRef/>
      </w:r>
      <w:r w:rsidRPr="00575E85">
        <w:rPr>
          <w:rFonts w:asciiTheme="minorHAnsi" w:hAnsiTheme="minorHAnsi"/>
          <w:sz w:val="18"/>
          <w:szCs w:val="18"/>
        </w:rPr>
        <w:t xml:space="preserve"> The study examined </w:t>
      </w:r>
      <w:r w:rsidRPr="00575E85">
        <w:rPr>
          <w:rFonts w:asciiTheme="minorHAnsi" w:hAnsiTheme="minorHAnsi"/>
          <w:sz w:val="18"/>
          <w:szCs w:val="18"/>
          <w:lang w:val="en-GB"/>
        </w:rPr>
        <w:t>Cyclone Sidr and 2007 floods in Bangladesh as case studies  (</w:t>
      </w:r>
      <w:r w:rsidRPr="00575E85">
        <w:rPr>
          <w:rFonts w:asciiTheme="minorHAnsi" w:hAnsiTheme="minorHAnsi"/>
          <w:sz w:val="18"/>
          <w:szCs w:val="18"/>
        </w:rPr>
        <w:t>Subbiah et al. 2008,</w:t>
      </w:r>
      <w:r w:rsidRPr="00575E85">
        <w:rPr>
          <w:rFonts w:asciiTheme="minorHAnsi" w:hAnsiTheme="minorHAnsi"/>
          <w:sz w:val="18"/>
          <w:szCs w:val="18"/>
          <w:lang w:val="en-GB"/>
        </w:rPr>
        <w:t xml:space="preserve"> </w:t>
      </w:r>
      <w:r>
        <w:rPr>
          <w:rFonts w:asciiTheme="minorHAnsi" w:hAnsiTheme="minorHAnsi"/>
          <w:sz w:val="18"/>
          <w:szCs w:val="18"/>
          <w:lang w:val="en-GB"/>
        </w:rPr>
        <w:t>The World Bank)</w:t>
      </w:r>
    </w:p>
  </w:footnote>
  <w:footnote w:id="84">
    <w:p w:rsidR="00EA3B8B" w:rsidRPr="00FB1F9B" w:rsidRDefault="00EA3B8B" w:rsidP="009F468D">
      <w:pPr>
        <w:pStyle w:val="FootnoteText"/>
        <w:rPr>
          <w:rFonts w:asciiTheme="minorHAnsi" w:hAnsiTheme="minorHAnsi"/>
          <w:sz w:val="18"/>
          <w:szCs w:val="18"/>
        </w:rPr>
      </w:pPr>
      <w:r w:rsidRPr="00FB1F9B">
        <w:rPr>
          <w:rStyle w:val="FootnoteReference"/>
          <w:rFonts w:asciiTheme="minorHAnsi" w:hAnsiTheme="minorHAnsi"/>
          <w:sz w:val="18"/>
          <w:szCs w:val="18"/>
        </w:rPr>
        <w:footnoteRef/>
      </w:r>
      <w:r w:rsidRPr="00FB1F9B">
        <w:rPr>
          <w:rFonts w:asciiTheme="minorHAnsi" w:hAnsiTheme="minorHAnsi"/>
          <w:sz w:val="18"/>
          <w:szCs w:val="18"/>
          <w:lang w:val="en-GB"/>
        </w:rPr>
        <w:t>Cyclone Sidr (2007) cost Bangladesh an estimated $1.7bn (according to World Bank), affecting 2.3m household.</w:t>
      </w:r>
    </w:p>
  </w:footnote>
  <w:footnote w:id="85">
    <w:p w:rsidR="00EA3B8B" w:rsidRPr="00FB1F9B" w:rsidRDefault="00EA3B8B" w:rsidP="009F468D">
      <w:pPr>
        <w:pStyle w:val="FootnoteText"/>
        <w:rPr>
          <w:rFonts w:asciiTheme="minorHAnsi" w:hAnsiTheme="minorHAnsi"/>
          <w:sz w:val="18"/>
          <w:szCs w:val="18"/>
        </w:rPr>
      </w:pPr>
      <w:r w:rsidRPr="00FB1F9B">
        <w:rPr>
          <w:rStyle w:val="FootnoteReference"/>
          <w:rFonts w:asciiTheme="minorHAnsi" w:hAnsiTheme="minorHAnsi"/>
          <w:sz w:val="18"/>
          <w:szCs w:val="18"/>
        </w:rPr>
        <w:footnoteRef/>
      </w:r>
      <w:r w:rsidRPr="00FB1F9B">
        <w:rPr>
          <w:rFonts w:asciiTheme="minorHAnsi" w:hAnsiTheme="minorHAnsi"/>
          <w:sz w:val="18"/>
          <w:szCs w:val="18"/>
        </w:rPr>
        <w:t xml:space="preserve">  Assuming 50% of total damages would be saved, </w:t>
      </w:r>
      <w:r w:rsidRPr="00FB1F9B">
        <w:rPr>
          <w:rFonts w:asciiTheme="minorHAnsi" w:hAnsiTheme="minorHAnsi"/>
          <w:sz w:val="18"/>
          <w:szCs w:val="18"/>
          <w:lang w:val="en-GB"/>
        </w:rPr>
        <w:t>annual potential damage is estimated as $85m</w:t>
      </w:r>
    </w:p>
  </w:footnote>
  <w:footnote w:id="86">
    <w:p w:rsidR="00EA3B8B" w:rsidRPr="00FB1F9B" w:rsidRDefault="00EA3B8B" w:rsidP="009F468D">
      <w:pPr>
        <w:pStyle w:val="FootnoteText"/>
        <w:rPr>
          <w:rFonts w:asciiTheme="minorHAnsi" w:hAnsiTheme="minorHAnsi"/>
          <w:sz w:val="18"/>
          <w:szCs w:val="18"/>
        </w:rPr>
      </w:pPr>
      <w:r w:rsidRPr="00FB1F9B">
        <w:rPr>
          <w:rStyle w:val="FootnoteReference"/>
          <w:rFonts w:asciiTheme="minorHAnsi" w:hAnsiTheme="minorHAnsi"/>
          <w:sz w:val="18"/>
          <w:szCs w:val="18"/>
        </w:rPr>
        <w:footnoteRef/>
      </w:r>
      <w:r w:rsidRPr="00FB1F9B">
        <w:rPr>
          <w:rFonts w:asciiTheme="minorHAnsi" w:hAnsiTheme="minorHAnsi"/>
          <w:sz w:val="18"/>
          <w:szCs w:val="18"/>
        </w:rPr>
        <w:t xml:space="preserve">  Value of human losses has not been incorporated in this analysis. </w:t>
      </w:r>
    </w:p>
  </w:footnote>
  <w:footnote w:id="87">
    <w:p w:rsidR="00EA3B8B" w:rsidRPr="00FB1F9B" w:rsidRDefault="00EA3B8B" w:rsidP="009F468D">
      <w:pPr>
        <w:pStyle w:val="FootnoteText"/>
        <w:rPr>
          <w:rFonts w:asciiTheme="minorHAnsi" w:hAnsiTheme="minorHAnsi"/>
          <w:sz w:val="18"/>
          <w:szCs w:val="18"/>
        </w:rPr>
      </w:pPr>
      <w:r w:rsidRPr="00FB1F9B">
        <w:rPr>
          <w:rStyle w:val="FootnoteReference"/>
          <w:rFonts w:asciiTheme="minorHAnsi" w:hAnsiTheme="minorHAnsi"/>
          <w:sz w:val="18"/>
          <w:szCs w:val="18"/>
        </w:rPr>
        <w:footnoteRef/>
      </w:r>
      <w:r w:rsidRPr="00FB1F9B">
        <w:rPr>
          <w:rFonts w:asciiTheme="minorHAnsi" w:hAnsiTheme="minorHAnsi"/>
          <w:sz w:val="18"/>
          <w:szCs w:val="18"/>
        </w:rPr>
        <w:t xml:space="preserve"> “ODI and World Bank report finds that managing disaster risks can bring other benefits, even if catastrophe never strikes” </w:t>
      </w:r>
    </w:p>
    <w:p w:rsidR="00EA3B8B" w:rsidRPr="00FB1F9B" w:rsidRDefault="00EA3B8B" w:rsidP="009F468D">
      <w:pPr>
        <w:pStyle w:val="FootnoteText"/>
        <w:ind w:left="180" w:hanging="180"/>
        <w:rPr>
          <w:rFonts w:asciiTheme="minorHAnsi" w:hAnsiTheme="minorHAnsi"/>
          <w:sz w:val="18"/>
          <w:szCs w:val="18"/>
          <w:lang w:val="en-US"/>
        </w:rPr>
      </w:pPr>
      <w:r w:rsidRPr="00FB1F9B">
        <w:rPr>
          <w:rFonts w:asciiTheme="minorHAnsi" w:hAnsiTheme="minorHAnsi"/>
          <w:sz w:val="18"/>
          <w:szCs w:val="18"/>
        </w:rPr>
        <w:t>[http://post2015.org/2015/03/16/odi-and-world-bank-report-finds-that-managing-disaster-risks-can-bring-other-benefits-even-if-catastrophe-never-strikes/] Accessed on May 15, 2015.</w:t>
      </w:r>
    </w:p>
  </w:footnote>
  <w:footnote w:id="88">
    <w:p w:rsidR="00EA3B8B" w:rsidRPr="003B3901" w:rsidRDefault="00EA3B8B" w:rsidP="009F468D">
      <w:pPr>
        <w:tabs>
          <w:tab w:val="left" w:pos="-720"/>
          <w:tab w:val="left" w:pos="180"/>
          <w:tab w:val="left" w:pos="720"/>
          <w:tab w:val="left" w:pos="1440"/>
        </w:tabs>
        <w:autoSpaceDE w:val="0"/>
        <w:autoSpaceDN w:val="0"/>
        <w:adjustRightInd w:val="0"/>
        <w:spacing w:after="0" w:line="240" w:lineRule="auto"/>
        <w:ind w:left="180" w:hanging="180"/>
        <w:jc w:val="both"/>
        <w:rPr>
          <w:bCs/>
          <w:sz w:val="18"/>
          <w:szCs w:val="18"/>
        </w:rPr>
      </w:pPr>
      <w:r w:rsidRPr="003B3901">
        <w:rPr>
          <w:rStyle w:val="FootnoteReference"/>
          <w:sz w:val="18"/>
          <w:szCs w:val="18"/>
        </w:rPr>
        <w:footnoteRef/>
      </w:r>
      <w:r w:rsidRPr="003B3901">
        <w:rPr>
          <w:sz w:val="18"/>
          <w:szCs w:val="18"/>
        </w:rPr>
        <w:t xml:space="preserve"> Islam</w:t>
      </w:r>
      <w:r>
        <w:rPr>
          <w:sz w:val="18"/>
          <w:szCs w:val="18"/>
        </w:rPr>
        <w:t>,</w:t>
      </w:r>
      <w:r w:rsidRPr="003B3901">
        <w:rPr>
          <w:sz w:val="18"/>
          <w:szCs w:val="18"/>
        </w:rPr>
        <w:t xml:space="preserve"> K</w:t>
      </w:r>
      <w:r>
        <w:rPr>
          <w:sz w:val="18"/>
          <w:szCs w:val="18"/>
        </w:rPr>
        <w:t>.</w:t>
      </w:r>
      <w:r w:rsidRPr="003B3901">
        <w:rPr>
          <w:sz w:val="18"/>
          <w:szCs w:val="18"/>
        </w:rPr>
        <w:t>M</w:t>
      </w:r>
      <w:r>
        <w:rPr>
          <w:sz w:val="18"/>
          <w:szCs w:val="18"/>
        </w:rPr>
        <w:t>.</w:t>
      </w:r>
      <w:r w:rsidRPr="003B3901">
        <w:rPr>
          <w:sz w:val="18"/>
          <w:szCs w:val="18"/>
        </w:rPr>
        <w:t>N</w:t>
      </w:r>
      <w:r>
        <w:rPr>
          <w:sz w:val="18"/>
          <w:szCs w:val="18"/>
        </w:rPr>
        <w:t>. 2011a</w:t>
      </w:r>
      <w:r w:rsidRPr="003B3901">
        <w:rPr>
          <w:sz w:val="18"/>
          <w:szCs w:val="18"/>
        </w:rPr>
        <w:t xml:space="preserve">. </w:t>
      </w:r>
      <w:r w:rsidRPr="003B3901">
        <w:rPr>
          <w:bCs/>
          <w:i/>
          <w:sz w:val="18"/>
          <w:szCs w:val="18"/>
        </w:rPr>
        <w:t>Handbook of Flood Loss Potentials and Assessment Meth</w:t>
      </w:r>
      <w:r>
        <w:rPr>
          <w:bCs/>
          <w:i/>
          <w:sz w:val="18"/>
          <w:szCs w:val="18"/>
        </w:rPr>
        <w:t>ods in Non-agricultural Sectors:</w:t>
      </w:r>
      <w:r w:rsidRPr="003B3901">
        <w:rPr>
          <w:bCs/>
          <w:i/>
          <w:sz w:val="18"/>
          <w:szCs w:val="18"/>
        </w:rPr>
        <w:t xml:space="preserve"> A case study of Bangladesh</w:t>
      </w:r>
      <w:r w:rsidRPr="003B3901">
        <w:rPr>
          <w:bCs/>
          <w:sz w:val="18"/>
          <w:szCs w:val="18"/>
        </w:rPr>
        <w:t>, VDM Publishers, Germany</w:t>
      </w:r>
      <w:r>
        <w:rPr>
          <w:bCs/>
          <w:sz w:val="18"/>
          <w:szCs w:val="18"/>
        </w:rPr>
        <w:t>.</w:t>
      </w:r>
      <w:r>
        <w:rPr>
          <w:sz w:val="20"/>
          <w:szCs w:val="20"/>
        </w:rPr>
        <w:t>See also GED’s Manual 201, Planning Commission, Dhaka.</w:t>
      </w:r>
    </w:p>
    <w:p w:rsidR="00EA3B8B" w:rsidRPr="003B3901" w:rsidRDefault="00EA3B8B" w:rsidP="009F468D">
      <w:pPr>
        <w:pStyle w:val="FootnoteText"/>
        <w:rPr>
          <w:lang w:val="en-US"/>
        </w:rPr>
      </w:pPr>
    </w:p>
  </w:footnote>
  <w:footnote w:id="89">
    <w:p w:rsidR="00EA3B8B" w:rsidRPr="00395B06" w:rsidRDefault="00EA3B8B" w:rsidP="009F468D">
      <w:pPr>
        <w:pStyle w:val="EndnoteText"/>
        <w:rPr>
          <w:rFonts w:asciiTheme="minorHAnsi" w:hAnsiTheme="minorHAnsi"/>
          <w:sz w:val="18"/>
          <w:szCs w:val="18"/>
          <w:lang w:val="en-GB"/>
        </w:rPr>
      </w:pPr>
      <w:r w:rsidRPr="00395B06">
        <w:rPr>
          <w:rStyle w:val="FootnoteReference"/>
          <w:rFonts w:asciiTheme="minorHAnsi" w:hAnsiTheme="minorHAnsi"/>
          <w:sz w:val="18"/>
          <w:szCs w:val="18"/>
        </w:rPr>
        <w:footnoteRef/>
      </w:r>
      <w:r w:rsidRPr="00395B06">
        <w:rPr>
          <w:rFonts w:asciiTheme="minorHAnsi" w:hAnsiTheme="minorHAnsi"/>
          <w:sz w:val="18"/>
          <w:szCs w:val="18"/>
          <w:lang w:val="en-GB"/>
        </w:rPr>
        <w:t>Nandi, P. 2014a.</w:t>
      </w:r>
      <w:r w:rsidRPr="00395B06">
        <w:rPr>
          <w:rFonts w:asciiTheme="minorHAnsi" w:hAnsiTheme="minorHAnsi"/>
          <w:i/>
          <w:sz w:val="18"/>
          <w:szCs w:val="18"/>
          <w:lang w:val="en-GB"/>
        </w:rPr>
        <w:t>Project cost effectiveness and efficiency through Value for Money Analysis</w:t>
      </w:r>
      <w:r w:rsidRPr="00395B06">
        <w:rPr>
          <w:rFonts w:asciiTheme="minorHAnsi" w:hAnsiTheme="minorHAnsi"/>
          <w:sz w:val="18"/>
          <w:szCs w:val="18"/>
          <w:lang w:val="en-GB"/>
        </w:rPr>
        <w:t xml:space="preserve">.  FFF Model, Dhaka.  </w:t>
      </w:r>
    </w:p>
  </w:footnote>
  <w:footnote w:id="90">
    <w:p w:rsidR="00EA3B8B" w:rsidRPr="00395B06" w:rsidRDefault="00EA3B8B" w:rsidP="009F468D">
      <w:pPr>
        <w:pStyle w:val="EndnoteText"/>
        <w:ind w:left="180" w:hanging="180"/>
        <w:rPr>
          <w:rFonts w:asciiTheme="minorHAnsi" w:hAnsiTheme="minorHAnsi"/>
          <w:sz w:val="18"/>
          <w:szCs w:val="18"/>
          <w:lang w:val="en-GB"/>
        </w:rPr>
      </w:pPr>
      <w:r w:rsidRPr="00395B06">
        <w:rPr>
          <w:rStyle w:val="FootnoteReference"/>
          <w:rFonts w:asciiTheme="minorHAnsi" w:hAnsiTheme="minorHAnsi"/>
          <w:sz w:val="18"/>
          <w:szCs w:val="18"/>
        </w:rPr>
        <w:footnoteRef/>
      </w:r>
      <w:r w:rsidRPr="00395B06">
        <w:rPr>
          <w:rFonts w:asciiTheme="minorHAnsi" w:hAnsiTheme="minorHAnsi"/>
          <w:sz w:val="18"/>
          <w:szCs w:val="18"/>
          <w:lang w:val="en-GB"/>
        </w:rPr>
        <w:t>Nandi, P. 2014b.</w:t>
      </w:r>
      <w:r w:rsidRPr="00395B06">
        <w:rPr>
          <w:rFonts w:asciiTheme="minorHAnsi" w:hAnsiTheme="minorHAnsi"/>
          <w:i/>
          <w:sz w:val="18"/>
          <w:szCs w:val="18"/>
          <w:lang w:val="en-GB"/>
        </w:rPr>
        <w:t>Application of innovative CBA measures mainstreaming and transformation in coastal Bangladesh</w:t>
      </w:r>
      <w:r w:rsidRPr="00395B06">
        <w:rPr>
          <w:rFonts w:asciiTheme="minorHAnsi" w:hAnsiTheme="minorHAnsi"/>
          <w:sz w:val="18"/>
          <w:szCs w:val="18"/>
          <w:lang w:val="en-GB"/>
        </w:rPr>
        <w:t>.The Guardian, June.</w:t>
      </w:r>
    </w:p>
  </w:footnote>
  <w:footnote w:id="91">
    <w:p w:rsidR="00EA3B8B" w:rsidRPr="00395B06" w:rsidRDefault="00EA3B8B" w:rsidP="009F468D">
      <w:pPr>
        <w:autoSpaceDE w:val="0"/>
        <w:autoSpaceDN w:val="0"/>
        <w:adjustRightInd w:val="0"/>
        <w:spacing w:line="240" w:lineRule="auto"/>
        <w:ind w:left="180" w:hanging="180"/>
        <w:jc w:val="both"/>
        <w:rPr>
          <w:i/>
          <w:sz w:val="18"/>
          <w:szCs w:val="18"/>
        </w:rPr>
      </w:pPr>
      <w:r w:rsidRPr="00395B06">
        <w:rPr>
          <w:rStyle w:val="FootnoteReference"/>
          <w:sz w:val="18"/>
          <w:szCs w:val="18"/>
        </w:rPr>
        <w:footnoteRef/>
      </w:r>
      <w:r w:rsidRPr="00395B06">
        <w:rPr>
          <w:sz w:val="18"/>
          <w:szCs w:val="18"/>
        </w:rPr>
        <w:t xml:space="preserve">Islam, K. M. N. and </w:t>
      </w:r>
      <w:r w:rsidRPr="00395B06">
        <w:rPr>
          <w:bCs/>
          <w:sz w:val="18"/>
          <w:szCs w:val="18"/>
        </w:rPr>
        <w:t>Mechler, R. 2007.</w:t>
      </w:r>
      <w:r w:rsidRPr="00395B06">
        <w:rPr>
          <w:bCs/>
          <w:i/>
          <w:sz w:val="18"/>
          <w:szCs w:val="18"/>
        </w:rPr>
        <w:t>An Economic and Cost Benefit Analysis of Adaptation Options, Opportunities and Risks of Climate Change and Disasters</w:t>
      </w:r>
      <w:r w:rsidRPr="00395B06">
        <w:rPr>
          <w:bCs/>
          <w:sz w:val="18"/>
          <w:szCs w:val="18"/>
        </w:rPr>
        <w:t>.</w:t>
      </w:r>
      <w:r w:rsidRPr="00395B06">
        <w:rPr>
          <w:sz w:val="18"/>
          <w:szCs w:val="18"/>
        </w:rPr>
        <w:t>IDS, Sussex University, UK.</w:t>
      </w:r>
    </w:p>
  </w:footnote>
  <w:footnote w:id="92">
    <w:p w:rsidR="00EA3B8B" w:rsidRPr="00395B06" w:rsidRDefault="00EA3B8B" w:rsidP="009F468D">
      <w:pPr>
        <w:pStyle w:val="FootnoteText"/>
        <w:rPr>
          <w:rFonts w:asciiTheme="minorHAnsi" w:hAnsiTheme="minorHAnsi"/>
          <w:sz w:val="18"/>
          <w:szCs w:val="18"/>
          <w:lang w:val="en-US"/>
        </w:rPr>
      </w:pPr>
      <w:r w:rsidRPr="00395B06">
        <w:rPr>
          <w:rStyle w:val="FootnoteReference"/>
          <w:rFonts w:asciiTheme="minorHAnsi" w:hAnsiTheme="minorHAnsi"/>
          <w:sz w:val="18"/>
          <w:szCs w:val="18"/>
        </w:rPr>
        <w:footnoteRef/>
      </w:r>
      <w:r w:rsidRPr="00395B06">
        <w:rPr>
          <w:rFonts w:asciiTheme="minorHAnsi" w:hAnsiTheme="minorHAnsi"/>
          <w:sz w:val="18"/>
          <w:szCs w:val="18"/>
          <w:lang w:val="en-GB"/>
        </w:rPr>
        <w:t>Nandi, P. 2014a.</w:t>
      </w:r>
      <w:r w:rsidRPr="00395B06">
        <w:rPr>
          <w:rFonts w:asciiTheme="minorHAnsi" w:hAnsiTheme="minorHAnsi"/>
          <w:i/>
          <w:sz w:val="18"/>
          <w:szCs w:val="18"/>
          <w:lang w:val="en-GB"/>
        </w:rPr>
        <w:t>Project cost effectiveness and efficiency through Value for Money Analysis</w:t>
      </w:r>
      <w:r w:rsidRPr="00395B06">
        <w:rPr>
          <w:rFonts w:asciiTheme="minorHAnsi" w:hAnsiTheme="minorHAnsi"/>
          <w:sz w:val="18"/>
          <w:szCs w:val="18"/>
          <w:lang w:val="en-GB"/>
        </w:rPr>
        <w:t>.  FFF Model, Dhaka.</w:t>
      </w:r>
    </w:p>
  </w:footnote>
  <w:footnote w:id="93">
    <w:p w:rsidR="00EA3B8B" w:rsidRPr="00395B06" w:rsidRDefault="00EA3B8B" w:rsidP="009F468D">
      <w:pPr>
        <w:pStyle w:val="EndnoteText"/>
        <w:rPr>
          <w:rFonts w:asciiTheme="minorHAnsi" w:hAnsiTheme="minorHAnsi"/>
          <w:sz w:val="18"/>
          <w:szCs w:val="18"/>
          <w:lang w:val="en-GB"/>
        </w:rPr>
      </w:pPr>
      <w:r w:rsidRPr="00395B06">
        <w:rPr>
          <w:rStyle w:val="FootnoteReference"/>
          <w:rFonts w:asciiTheme="minorHAnsi" w:hAnsiTheme="minorHAnsi"/>
          <w:sz w:val="18"/>
          <w:szCs w:val="18"/>
        </w:rPr>
        <w:footnoteRef/>
      </w:r>
      <w:r w:rsidRPr="00395B06">
        <w:rPr>
          <w:rFonts w:asciiTheme="minorHAnsi" w:hAnsiTheme="minorHAnsi"/>
          <w:sz w:val="18"/>
          <w:szCs w:val="18"/>
          <w:lang w:val="en-GB"/>
        </w:rPr>
        <w:t>Nandi, P. 2014a.</w:t>
      </w:r>
      <w:r w:rsidRPr="00395B06">
        <w:rPr>
          <w:rFonts w:asciiTheme="minorHAnsi" w:hAnsiTheme="minorHAnsi"/>
          <w:i/>
          <w:sz w:val="18"/>
          <w:szCs w:val="18"/>
          <w:lang w:val="en-GB"/>
        </w:rPr>
        <w:t>Project cost effectiveness and efficiency through Value for Money Analysis</w:t>
      </w:r>
      <w:r w:rsidRPr="00395B06">
        <w:rPr>
          <w:rFonts w:asciiTheme="minorHAnsi" w:hAnsiTheme="minorHAnsi"/>
          <w:sz w:val="18"/>
          <w:szCs w:val="18"/>
          <w:lang w:val="en-GB"/>
        </w:rPr>
        <w:t xml:space="preserve">.  FFF Model, Dhaka  </w:t>
      </w:r>
    </w:p>
  </w:footnote>
  <w:footnote w:id="94">
    <w:p w:rsidR="00EA3B8B" w:rsidRPr="00395B06" w:rsidRDefault="00EA3B8B" w:rsidP="009F468D">
      <w:pPr>
        <w:pStyle w:val="EndnoteText"/>
        <w:ind w:left="180" w:hanging="180"/>
        <w:rPr>
          <w:rFonts w:asciiTheme="minorHAnsi" w:hAnsiTheme="minorHAnsi"/>
          <w:sz w:val="18"/>
          <w:szCs w:val="18"/>
          <w:lang w:val="en-GB"/>
        </w:rPr>
      </w:pPr>
      <w:r w:rsidRPr="00395B06">
        <w:rPr>
          <w:rStyle w:val="FootnoteReference"/>
          <w:rFonts w:asciiTheme="minorHAnsi" w:hAnsiTheme="minorHAnsi"/>
          <w:sz w:val="18"/>
          <w:szCs w:val="18"/>
        </w:rPr>
        <w:footnoteRef/>
      </w:r>
      <w:r w:rsidRPr="00395B06">
        <w:rPr>
          <w:rFonts w:asciiTheme="minorHAnsi" w:hAnsiTheme="minorHAnsi"/>
          <w:sz w:val="18"/>
          <w:szCs w:val="18"/>
          <w:lang w:val="en-GB"/>
        </w:rPr>
        <w:t>Nandi, P. 2014b.</w:t>
      </w:r>
      <w:r w:rsidRPr="00395B06">
        <w:rPr>
          <w:rFonts w:asciiTheme="minorHAnsi" w:hAnsiTheme="minorHAnsi"/>
          <w:i/>
          <w:sz w:val="18"/>
          <w:szCs w:val="18"/>
          <w:lang w:val="en-GB"/>
        </w:rPr>
        <w:t>Application of innovative CBA measures mainstreaming and transformation in coastal Bangladesh</w:t>
      </w:r>
      <w:r w:rsidRPr="00395B06">
        <w:rPr>
          <w:rFonts w:asciiTheme="minorHAnsi" w:hAnsiTheme="minorHAnsi"/>
          <w:sz w:val="18"/>
          <w:szCs w:val="18"/>
          <w:lang w:val="en-GB"/>
        </w:rPr>
        <w:t>.The Guardian, June</w:t>
      </w:r>
      <w:r>
        <w:rPr>
          <w:rFonts w:asciiTheme="minorHAnsi" w:hAnsiTheme="minorHAnsi"/>
          <w:sz w:val="18"/>
          <w:szCs w:val="18"/>
          <w:lang w:val="en-GB"/>
        </w:rPr>
        <w:t>.</w:t>
      </w:r>
    </w:p>
  </w:footnote>
  <w:footnote w:id="95">
    <w:p w:rsidR="00EA3B8B" w:rsidRPr="007214DB" w:rsidRDefault="00EA3B8B" w:rsidP="009F468D">
      <w:pPr>
        <w:tabs>
          <w:tab w:val="left" w:pos="-720"/>
          <w:tab w:val="left" w:pos="180"/>
          <w:tab w:val="left" w:pos="720"/>
          <w:tab w:val="left" w:pos="1440"/>
        </w:tabs>
        <w:autoSpaceDE w:val="0"/>
        <w:autoSpaceDN w:val="0"/>
        <w:adjustRightInd w:val="0"/>
        <w:spacing w:line="240" w:lineRule="auto"/>
        <w:ind w:left="180" w:hanging="180"/>
        <w:jc w:val="both"/>
        <w:rPr>
          <w:bCs/>
          <w:sz w:val="18"/>
          <w:szCs w:val="18"/>
        </w:rPr>
      </w:pPr>
      <w:r>
        <w:rPr>
          <w:rStyle w:val="FootnoteReference"/>
        </w:rPr>
        <w:footnoteRef/>
      </w:r>
      <w:r w:rsidRPr="003B3901">
        <w:rPr>
          <w:sz w:val="18"/>
          <w:szCs w:val="18"/>
        </w:rPr>
        <w:t>Islam</w:t>
      </w:r>
      <w:r>
        <w:rPr>
          <w:sz w:val="18"/>
          <w:szCs w:val="18"/>
        </w:rPr>
        <w:t>,</w:t>
      </w:r>
      <w:r w:rsidRPr="003B3901">
        <w:rPr>
          <w:sz w:val="18"/>
          <w:szCs w:val="18"/>
        </w:rPr>
        <w:t xml:space="preserve"> K</w:t>
      </w:r>
      <w:r>
        <w:rPr>
          <w:sz w:val="18"/>
          <w:szCs w:val="18"/>
        </w:rPr>
        <w:t>.</w:t>
      </w:r>
      <w:r w:rsidRPr="003B3901">
        <w:rPr>
          <w:sz w:val="18"/>
          <w:szCs w:val="18"/>
        </w:rPr>
        <w:t>M</w:t>
      </w:r>
      <w:r>
        <w:rPr>
          <w:sz w:val="18"/>
          <w:szCs w:val="18"/>
        </w:rPr>
        <w:t>.</w:t>
      </w:r>
      <w:r w:rsidRPr="003B3901">
        <w:rPr>
          <w:sz w:val="18"/>
          <w:szCs w:val="18"/>
        </w:rPr>
        <w:t>N</w:t>
      </w:r>
      <w:r>
        <w:rPr>
          <w:sz w:val="18"/>
          <w:szCs w:val="18"/>
        </w:rPr>
        <w:t>. 2011a</w:t>
      </w:r>
      <w:r w:rsidRPr="003B3901">
        <w:rPr>
          <w:sz w:val="18"/>
          <w:szCs w:val="18"/>
        </w:rPr>
        <w:t xml:space="preserve">. </w:t>
      </w:r>
      <w:r w:rsidRPr="003B3901">
        <w:rPr>
          <w:bCs/>
          <w:i/>
          <w:sz w:val="18"/>
          <w:szCs w:val="18"/>
        </w:rPr>
        <w:t>Handbook of Flood Loss Potentials and Assessment Meth</w:t>
      </w:r>
      <w:r>
        <w:rPr>
          <w:bCs/>
          <w:i/>
          <w:sz w:val="18"/>
          <w:szCs w:val="18"/>
        </w:rPr>
        <w:t>ods in Non-agricultural Sectors:</w:t>
      </w:r>
      <w:r w:rsidRPr="003B3901">
        <w:rPr>
          <w:bCs/>
          <w:i/>
          <w:sz w:val="18"/>
          <w:szCs w:val="18"/>
        </w:rPr>
        <w:t xml:space="preserve"> A case study of Bangladesh</w:t>
      </w:r>
      <w:r w:rsidRPr="003B3901">
        <w:rPr>
          <w:bCs/>
          <w:sz w:val="18"/>
          <w:szCs w:val="18"/>
        </w:rPr>
        <w:t>, VDM Publishers, Germany</w:t>
      </w:r>
      <w:r>
        <w:rPr>
          <w:bCs/>
          <w:sz w:val="18"/>
          <w:szCs w:val="18"/>
        </w:rPr>
        <w:t>.</w:t>
      </w:r>
    </w:p>
  </w:footnote>
  <w:footnote w:id="96">
    <w:p w:rsidR="00EA3B8B" w:rsidRPr="00F91FCA" w:rsidRDefault="00EA3B8B" w:rsidP="009F468D">
      <w:pPr>
        <w:pStyle w:val="FootnoteText"/>
        <w:rPr>
          <w:rFonts w:asciiTheme="minorHAnsi" w:hAnsiTheme="minorHAnsi"/>
          <w:sz w:val="18"/>
          <w:szCs w:val="18"/>
          <w:lang w:val="en-US"/>
        </w:rPr>
      </w:pPr>
      <w:r w:rsidRPr="00F91FCA">
        <w:rPr>
          <w:rStyle w:val="FootnoteReference"/>
          <w:rFonts w:asciiTheme="minorHAnsi" w:hAnsiTheme="minorHAnsi"/>
          <w:sz w:val="18"/>
          <w:szCs w:val="18"/>
        </w:rPr>
        <w:footnoteRef/>
      </w:r>
      <w:r w:rsidRPr="00F91FCA">
        <w:rPr>
          <w:rFonts w:asciiTheme="minorHAnsi" w:hAnsiTheme="minorHAnsi"/>
          <w:sz w:val="18"/>
          <w:szCs w:val="18"/>
          <w:lang w:val="en-US"/>
        </w:rPr>
        <w:t>Ibid.</w:t>
      </w:r>
      <w:r w:rsidRPr="00F91FCA">
        <w:rPr>
          <w:rFonts w:asciiTheme="minorHAnsi" w:hAnsiTheme="minorHAnsi"/>
          <w:sz w:val="18"/>
          <w:szCs w:val="18"/>
        </w:rPr>
        <w:t>See also GED Manual for Instruction, 2014.</w:t>
      </w:r>
    </w:p>
  </w:footnote>
  <w:footnote w:id="97">
    <w:p w:rsidR="00EA3B8B" w:rsidRPr="00F91FCA" w:rsidRDefault="00EA3B8B" w:rsidP="009F468D">
      <w:pPr>
        <w:pStyle w:val="EndnoteText"/>
        <w:spacing w:line="300" w:lineRule="auto"/>
        <w:rPr>
          <w:rFonts w:asciiTheme="minorHAnsi" w:hAnsiTheme="minorHAnsi"/>
          <w:sz w:val="18"/>
          <w:szCs w:val="18"/>
          <w:lang w:val="en-GB"/>
        </w:rPr>
      </w:pPr>
      <w:r w:rsidRPr="00F91FCA">
        <w:rPr>
          <w:rStyle w:val="FootnoteReference"/>
          <w:rFonts w:asciiTheme="minorHAnsi" w:hAnsiTheme="minorHAnsi"/>
          <w:sz w:val="18"/>
          <w:szCs w:val="18"/>
        </w:rPr>
        <w:footnoteRef/>
      </w:r>
      <w:r w:rsidRPr="00F91FCA">
        <w:rPr>
          <w:rFonts w:asciiTheme="minorHAnsi" w:hAnsiTheme="minorHAnsi"/>
          <w:sz w:val="18"/>
          <w:szCs w:val="18"/>
          <w:lang w:val="en-GB"/>
        </w:rPr>
        <w:t>Nandi, P. 2014a.</w:t>
      </w:r>
      <w:r w:rsidRPr="00F91FCA">
        <w:rPr>
          <w:rFonts w:asciiTheme="minorHAnsi" w:hAnsiTheme="minorHAnsi"/>
          <w:i/>
          <w:sz w:val="18"/>
          <w:szCs w:val="18"/>
          <w:lang w:val="en-GB"/>
        </w:rPr>
        <w:t>Project cost effectiveness and efficiency through Value for Money Analysis</w:t>
      </w:r>
      <w:r w:rsidRPr="00F91FCA">
        <w:rPr>
          <w:rFonts w:asciiTheme="minorHAnsi" w:hAnsiTheme="minorHAnsi"/>
          <w:sz w:val="18"/>
          <w:szCs w:val="18"/>
          <w:lang w:val="en-GB"/>
        </w:rPr>
        <w:t xml:space="preserve">.  FFF Model, Dhaka  </w:t>
      </w:r>
    </w:p>
  </w:footnote>
  <w:footnote w:id="98">
    <w:p w:rsidR="00EA3B8B" w:rsidRPr="00F91FCA" w:rsidRDefault="00EA3B8B" w:rsidP="009F468D">
      <w:pPr>
        <w:pStyle w:val="EndnoteText"/>
        <w:spacing w:line="300" w:lineRule="auto"/>
        <w:ind w:left="180" w:hanging="180"/>
        <w:rPr>
          <w:rFonts w:asciiTheme="minorHAnsi" w:hAnsiTheme="minorHAnsi"/>
          <w:sz w:val="18"/>
          <w:szCs w:val="18"/>
          <w:lang w:val="en-GB"/>
        </w:rPr>
      </w:pPr>
      <w:r w:rsidRPr="00F91FCA">
        <w:rPr>
          <w:rStyle w:val="FootnoteReference"/>
          <w:rFonts w:asciiTheme="minorHAnsi" w:hAnsiTheme="minorHAnsi"/>
          <w:sz w:val="18"/>
          <w:szCs w:val="18"/>
        </w:rPr>
        <w:footnoteRef/>
      </w:r>
      <w:r w:rsidRPr="00F91FCA">
        <w:rPr>
          <w:rFonts w:asciiTheme="minorHAnsi" w:hAnsiTheme="minorHAnsi"/>
          <w:sz w:val="18"/>
          <w:szCs w:val="18"/>
          <w:lang w:val="en-GB"/>
        </w:rPr>
        <w:t>Nandi, P. 2014b.</w:t>
      </w:r>
      <w:r w:rsidRPr="00F91FCA">
        <w:rPr>
          <w:rFonts w:asciiTheme="minorHAnsi" w:hAnsiTheme="minorHAnsi"/>
          <w:i/>
          <w:sz w:val="18"/>
          <w:szCs w:val="18"/>
          <w:lang w:val="en-GB"/>
        </w:rPr>
        <w:t>Application of innovative CBA measures mainstreaming and transformation in coastal Bangladesh</w:t>
      </w:r>
      <w:r w:rsidRPr="00F91FCA">
        <w:rPr>
          <w:rFonts w:asciiTheme="minorHAnsi" w:hAnsiTheme="minorHAnsi"/>
          <w:sz w:val="18"/>
          <w:szCs w:val="18"/>
          <w:lang w:val="en-GB"/>
        </w:rPr>
        <w:t xml:space="preserve">. The Guardian, June  </w:t>
      </w:r>
    </w:p>
    <w:p w:rsidR="00EA3B8B" w:rsidRPr="00F91FCA" w:rsidRDefault="00EA3B8B" w:rsidP="009F468D">
      <w:pPr>
        <w:pStyle w:val="FootnoteText"/>
        <w:rPr>
          <w:rFonts w:asciiTheme="minorHAnsi" w:hAnsiTheme="minorHAnsi"/>
          <w:sz w:val="18"/>
          <w:szCs w:val="18"/>
          <w:lang w:val="en-US"/>
        </w:rPr>
      </w:pPr>
    </w:p>
    <w:p w:rsidR="00EA3B8B" w:rsidRPr="00412E6D" w:rsidRDefault="00EA3B8B" w:rsidP="009F468D">
      <w:pPr>
        <w:pStyle w:val="FootnoteText"/>
        <w:rPr>
          <w:lang w:val="en-US"/>
        </w:rPr>
      </w:pPr>
    </w:p>
  </w:footnote>
  <w:footnote w:id="99">
    <w:p w:rsidR="00EA3B8B" w:rsidRPr="0047264C" w:rsidRDefault="00EA3B8B" w:rsidP="0061232B">
      <w:pPr>
        <w:pStyle w:val="FootnoteText"/>
      </w:pPr>
      <w:r>
        <w:rPr>
          <w:rStyle w:val="FootnoteReference"/>
        </w:rPr>
        <w:footnoteRef/>
      </w:r>
      <w:r w:rsidRPr="0047264C">
        <w:rPr>
          <w:sz w:val="16"/>
        </w:rPr>
        <w:t>Scale from 0 to 6: a) handboo</w:t>
      </w:r>
      <w:r>
        <w:rPr>
          <w:sz w:val="16"/>
        </w:rPr>
        <w:t>k</w:t>
      </w:r>
      <w:r w:rsidRPr="0047264C">
        <w:rPr>
          <w:sz w:val="16"/>
        </w:rPr>
        <w:t xml:space="preserve"> for DDM officials published -2 points, b) handboo</w:t>
      </w:r>
      <w:r>
        <w:rPr>
          <w:sz w:val="16"/>
        </w:rPr>
        <w:t>k</w:t>
      </w:r>
      <w:r w:rsidRPr="0047264C">
        <w:rPr>
          <w:sz w:val="16"/>
        </w:rPr>
        <w:t xml:space="preserve"> includes gender sensitive disaster preparedness and response – 1 point, c) handboo</w:t>
      </w:r>
      <w:r>
        <w:rPr>
          <w:sz w:val="16"/>
        </w:rPr>
        <w:t>k</w:t>
      </w:r>
      <w:r w:rsidRPr="0047264C">
        <w:rPr>
          <w:sz w:val="16"/>
        </w:rPr>
        <w:t xml:space="preserve"> includes ris</w:t>
      </w:r>
      <w:r>
        <w:rPr>
          <w:sz w:val="16"/>
        </w:rPr>
        <w:t>k</w:t>
      </w:r>
      <w:r w:rsidRPr="0047264C">
        <w:rPr>
          <w:sz w:val="16"/>
        </w:rPr>
        <w:t xml:space="preserve"> reduction – 1 point, d) handboo</w:t>
      </w:r>
      <w:r>
        <w:rPr>
          <w:sz w:val="16"/>
        </w:rPr>
        <w:t>k</w:t>
      </w:r>
      <w:r w:rsidRPr="0047264C">
        <w:rPr>
          <w:sz w:val="16"/>
        </w:rPr>
        <w:t xml:space="preserve"> includes emergency preparedness – 1 point, e) handboo</w:t>
      </w:r>
      <w:r>
        <w:rPr>
          <w:sz w:val="16"/>
        </w:rPr>
        <w:t>k</w:t>
      </w:r>
      <w:r w:rsidRPr="0047264C">
        <w:rPr>
          <w:sz w:val="16"/>
        </w:rPr>
        <w:t xml:space="preserve"> includes early recovery – 1 point</w:t>
      </w:r>
    </w:p>
  </w:footnote>
  <w:footnote w:id="100">
    <w:p w:rsidR="00EA3B8B" w:rsidRPr="00F25617" w:rsidRDefault="00EA3B8B" w:rsidP="0061232B">
      <w:pPr>
        <w:pStyle w:val="FootnoteText"/>
      </w:pPr>
      <w:r>
        <w:rPr>
          <w:rStyle w:val="FootnoteReference"/>
        </w:rPr>
        <w:footnoteRef/>
      </w:r>
      <w:r w:rsidRPr="00F25617">
        <w:rPr>
          <w:rFonts w:cs="Calibri"/>
          <w:sz w:val="16"/>
        </w:rPr>
        <w:t>Scale from 0 to 3: a) handboo</w:t>
      </w:r>
      <w:r>
        <w:rPr>
          <w:rFonts w:cs="Calibri"/>
          <w:sz w:val="16"/>
        </w:rPr>
        <w:t>k</w:t>
      </w:r>
      <w:r w:rsidRPr="00F25617">
        <w:rPr>
          <w:rFonts w:cs="Calibri"/>
          <w:sz w:val="16"/>
        </w:rPr>
        <w:t xml:space="preserve"> for disaster volunteers published -2 points, b) handboo</w:t>
      </w:r>
      <w:r>
        <w:rPr>
          <w:rFonts w:cs="Calibri"/>
          <w:sz w:val="16"/>
        </w:rPr>
        <w:t>k</w:t>
      </w:r>
      <w:r w:rsidRPr="00F25617">
        <w:rPr>
          <w:rFonts w:cs="Calibri"/>
          <w:sz w:val="16"/>
        </w:rPr>
        <w:t xml:space="preserve"> includes gender sensitive disaster preparedness and response – 1point</w:t>
      </w:r>
    </w:p>
  </w:footnote>
  <w:footnote w:id="101">
    <w:p w:rsidR="00EA3B8B" w:rsidRPr="00143675" w:rsidRDefault="00EA3B8B" w:rsidP="0061232B">
      <w:pPr>
        <w:pStyle w:val="FootnoteText"/>
      </w:pPr>
      <w:r>
        <w:rPr>
          <w:rStyle w:val="FootnoteReference"/>
        </w:rPr>
        <w:footnoteRef/>
      </w:r>
      <w:r>
        <w:t xml:space="preserve">As per ProDoc expected financing amount was 10.85 m. USD from IIDFC but they have not financed for any project supported HHK demo plant, mentioned amounts received from other commercial banks and financial institutions   </w:t>
      </w:r>
    </w:p>
  </w:footnote>
  <w:footnote w:id="102">
    <w:p w:rsidR="00EA3B8B" w:rsidRPr="00A776DB" w:rsidRDefault="00EA3B8B" w:rsidP="0061232B">
      <w:pPr>
        <w:rPr>
          <w:sz w:val="18"/>
        </w:rPr>
      </w:pPr>
      <w:r w:rsidRPr="00A776DB">
        <w:rPr>
          <w:rStyle w:val="FootnoteReference"/>
          <w:sz w:val="18"/>
        </w:rPr>
        <w:footnoteRef/>
      </w:r>
      <w:r w:rsidRPr="00250C83">
        <w:rPr>
          <w:sz w:val="18"/>
        </w:rPr>
        <w:t>http://www.bd.undp.org/content/dam/bangladesh/docs/LegalFramework/Signed%20CPD-BGD_2012-2016.pdf</w:t>
      </w:r>
    </w:p>
  </w:footnote>
  <w:footnote w:id="103">
    <w:p w:rsidR="00EA3B8B" w:rsidRPr="00C809DF" w:rsidRDefault="00EA3B8B" w:rsidP="0061232B">
      <w:pPr>
        <w:rPr>
          <w:sz w:val="18"/>
        </w:rPr>
      </w:pPr>
      <w:r w:rsidRPr="00C809DF">
        <w:rPr>
          <w:rStyle w:val="FootnoteReference"/>
          <w:sz w:val="18"/>
        </w:rPr>
        <w:footnoteRef/>
      </w:r>
      <w:r w:rsidRPr="006D60F0">
        <w:rPr>
          <w:sz w:val="18"/>
        </w:rPr>
        <w:t>http://www.undp.org/content/undp/en/home/librarypage/corporate/Changing_with_the_World_UNDP_Strategic_Plan_2014_17/</w:t>
      </w:r>
    </w:p>
  </w:footnote>
  <w:footnote w:id="104">
    <w:p w:rsidR="00EA3B8B" w:rsidRPr="00C809DF" w:rsidRDefault="00EA3B8B" w:rsidP="0061232B">
      <w:pPr>
        <w:rPr>
          <w:sz w:val="18"/>
        </w:rPr>
      </w:pPr>
      <w:r w:rsidRPr="00C809DF">
        <w:rPr>
          <w:rStyle w:val="FootnoteReference"/>
          <w:sz w:val="18"/>
        </w:rPr>
        <w:footnoteRef/>
      </w:r>
      <w:r w:rsidRPr="00C809DF">
        <w:rPr>
          <w:sz w:val="18"/>
        </w:rPr>
        <w:t xml:space="preserve"> The traditional DAC criterion of impact (changes in people’s lives and development conditions at global, regional and national levels) is not going to be used as it is beyond the scope of outcome evaluations and UNDP initiatives are pitched at the policy level.</w:t>
      </w:r>
    </w:p>
  </w:footnote>
  <w:footnote w:id="105">
    <w:p w:rsidR="00EA3B8B" w:rsidRPr="00C809DF" w:rsidRDefault="00EA3B8B" w:rsidP="0061232B">
      <w:pPr>
        <w:pStyle w:val="FootnoteText"/>
        <w:ind w:left="284" w:hanging="284"/>
        <w:rPr>
          <w:color w:val="000000"/>
          <w:sz w:val="18"/>
          <w:lang w:eastAsia="ja-JP"/>
        </w:rPr>
      </w:pPr>
      <w:r w:rsidRPr="00C809DF">
        <w:rPr>
          <w:rStyle w:val="FootnoteReference"/>
          <w:sz w:val="18"/>
        </w:rPr>
        <w:footnoteRef/>
      </w:r>
      <w:r w:rsidRPr="00C809DF">
        <w:rPr>
          <w:color w:val="000000"/>
          <w:sz w:val="18"/>
          <w:lang w:eastAsia="ja-JP"/>
        </w:rPr>
        <w:t xml:space="preserve"> See </w:t>
      </w:r>
      <w:r w:rsidRPr="00C809DF">
        <w:rPr>
          <w:i/>
          <w:color w:val="000000"/>
          <w:sz w:val="18"/>
          <w:lang w:eastAsia="ja-JP"/>
        </w:rPr>
        <w:t>Introduction to Mixed Methods in Impact Evaluation</w:t>
      </w:r>
      <w:r w:rsidRPr="00C809DF">
        <w:rPr>
          <w:color w:val="000000"/>
          <w:sz w:val="18"/>
          <w:lang w:eastAsia="ja-JP"/>
        </w:rPr>
        <w:t xml:space="preserve">, Bamberger M., 2000, Impact Evaluation Notes, No. 3. August 2012, </w:t>
      </w:r>
      <w:r w:rsidRPr="006D60F0">
        <w:rPr>
          <w:sz w:val="18"/>
        </w:rPr>
        <w:t>http://www.interaction.org/sites/default/files/Mixed%20Methods%20in%20Impact%20Evaluation%20(English).pdf</w:t>
      </w:r>
    </w:p>
  </w:footnote>
  <w:footnote w:id="106">
    <w:p w:rsidR="00EA3B8B" w:rsidRPr="009843B6" w:rsidRDefault="00EA3B8B" w:rsidP="0061232B">
      <w:pPr>
        <w:pStyle w:val="FootnoteText"/>
        <w:rPr>
          <w:sz w:val="18"/>
        </w:rPr>
      </w:pPr>
      <w:r w:rsidRPr="009843B6">
        <w:rPr>
          <w:rStyle w:val="FootnoteReference"/>
          <w:sz w:val="18"/>
        </w:rPr>
        <w:footnoteRef/>
      </w:r>
      <w:r w:rsidRPr="006D60F0">
        <w:rPr>
          <w:sz w:val="18"/>
        </w:rPr>
        <w:t>http://www.undp.org/content/undp/en/home/librarypage/corporate/Changing_with_the_World_UNDP_Strategic_Plan_2014_17/</w:t>
      </w:r>
    </w:p>
  </w:footnote>
  <w:footnote w:id="107">
    <w:p w:rsidR="00EA3B8B" w:rsidRPr="00250C83" w:rsidRDefault="00EA3B8B" w:rsidP="0061232B">
      <w:pPr>
        <w:spacing w:after="0" w:line="240" w:lineRule="auto"/>
        <w:rPr>
          <w:sz w:val="18"/>
        </w:rPr>
      </w:pPr>
      <w:r w:rsidRPr="005A3029">
        <w:rPr>
          <w:rStyle w:val="FootnoteReference"/>
          <w:sz w:val="18"/>
        </w:rPr>
        <w:footnoteRef/>
      </w:r>
      <w:r w:rsidRPr="006D60F0">
        <w:rPr>
          <w:sz w:val="18"/>
        </w:rPr>
        <w:t>http://www.uneval.org/papersandpubs/documentdetail.jsp?doc_id=102</w:t>
      </w:r>
    </w:p>
  </w:footnote>
  <w:footnote w:id="108">
    <w:p w:rsidR="00EA3B8B" w:rsidRPr="001C4418" w:rsidRDefault="00EA3B8B" w:rsidP="0061232B">
      <w:pPr>
        <w:spacing w:after="0" w:line="240" w:lineRule="auto"/>
        <w:rPr>
          <w:sz w:val="18"/>
        </w:rPr>
      </w:pPr>
      <w:r w:rsidRPr="001C4418">
        <w:rPr>
          <w:rStyle w:val="FootnoteReference"/>
          <w:sz w:val="18"/>
        </w:rPr>
        <w:footnoteRef/>
      </w:r>
      <w:r w:rsidRPr="006D60F0">
        <w:rPr>
          <w:sz w:val="18"/>
        </w:rPr>
        <w:t>http://web.undp.org/evaluation/documents/guidance/UNDP_Guidance_on_Outcome-Level%20_Evaluation_2011.pdf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BD14582_"/>
      </v:shape>
    </w:pict>
  </w:numPicBullet>
  <w:abstractNum w:abstractNumId="0" w15:restartNumberingAfterBreak="0">
    <w:nsid w:val="F49654B8"/>
    <w:multiLevelType w:val="hybridMultilevel"/>
    <w:tmpl w:val="4A77510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894EE873"/>
    <w:styleLink w:val="List51"/>
    <w:lvl w:ilvl="0">
      <w:start w:val="1"/>
      <w:numFmt w:val="decimal"/>
      <w:lvlText w:val="%1."/>
      <w:lvlJc w:val="left"/>
      <w:rPr>
        <w:rFonts w:ascii="Calibri" w:eastAsia="Calibri" w:hAnsi="Calibri" w:cs="Calibri" w:hint="default"/>
        <w:b/>
        <w:bCs/>
        <w:color w:val="000000"/>
        <w:position w:val="0"/>
        <w:u w:color="000000"/>
      </w:rPr>
    </w:lvl>
    <w:lvl w:ilvl="1">
      <w:start w:val="1"/>
      <w:numFmt w:val="decimal"/>
      <w:lvlText w:val="%1.%2."/>
      <w:lvlJc w:val="left"/>
      <w:rPr>
        <w:rFonts w:ascii="Calibri" w:eastAsia="Calibri" w:hAnsi="Calibri" w:cs="Calibri" w:hint="default"/>
        <w:b/>
        <w:bCs/>
        <w:color w:val="000000"/>
        <w:position w:val="0"/>
        <w:u w:color="000000"/>
      </w:rPr>
    </w:lvl>
    <w:lvl w:ilvl="2">
      <w:start w:val="1"/>
      <w:numFmt w:val="decimal"/>
      <w:lvlText w:val="%1.%2.%3."/>
      <w:lvlJc w:val="left"/>
      <w:rPr>
        <w:rFonts w:ascii="Calibri" w:eastAsia="Calibri" w:hAnsi="Calibri" w:cs="Calibri" w:hint="default"/>
        <w:b/>
        <w:bCs/>
        <w:color w:val="000000"/>
        <w:position w:val="0"/>
        <w:u w:color="000000"/>
      </w:rPr>
    </w:lvl>
    <w:lvl w:ilvl="3">
      <w:start w:val="1"/>
      <w:numFmt w:val="decimal"/>
      <w:lvlText w:val="%1.%2.%3.%4."/>
      <w:lvlJc w:val="left"/>
      <w:rPr>
        <w:rFonts w:ascii="Calibri" w:eastAsia="Calibri" w:hAnsi="Calibri" w:cs="Calibri" w:hint="default"/>
        <w:b/>
        <w:bCs/>
        <w:color w:val="000000"/>
        <w:position w:val="0"/>
        <w:u w:color="000000"/>
      </w:rPr>
    </w:lvl>
    <w:lvl w:ilvl="4">
      <w:start w:val="1"/>
      <w:numFmt w:val="decimal"/>
      <w:lvlText w:val="%1.%2.%3.%4.%5."/>
      <w:lvlJc w:val="left"/>
      <w:rPr>
        <w:rFonts w:ascii="Calibri" w:eastAsia="Calibri" w:hAnsi="Calibri" w:cs="Calibri" w:hint="default"/>
        <w:b/>
        <w:bCs/>
        <w:color w:val="000000"/>
        <w:position w:val="0"/>
        <w:u w:color="000000"/>
      </w:rPr>
    </w:lvl>
    <w:lvl w:ilvl="5">
      <w:start w:val="1"/>
      <w:numFmt w:val="decimal"/>
      <w:lvlText w:val="%1.%2.%3.%4.%5.%6."/>
      <w:lvlJc w:val="left"/>
      <w:rPr>
        <w:rFonts w:ascii="Calibri" w:eastAsia="Calibri" w:hAnsi="Calibri" w:cs="Calibri" w:hint="default"/>
        <w:b/>
        <w:bCs/>
        <w:color w:val="000000"/>
        <w:position w:val="0"/>
        <w:u w:color="000000"/>
      </w:rPr>
    </w:lvl>
    <w:lvl w:ilvl="6">
      <w:start w:val="1"/>
      <w:numFmt w:val="decimal"/>
      <w:lvlText w:val="%1.%2.%3.%4.%5.%6.%7."/>
      <w:lvlJc w:val="left"/>
      <w:rPr>
        <w:rFonts w:ascii="Calibri" w:eastAsia="Calibri" w:hAnsi="Calibri" w:cs="Calibri" w:hint="default"/>
        <w:b/>
        <w:bCs/>
        <w:color w:val="000000"/>
        <w:position w:val="0"/>
        <w:u w:color="000000"/>
      </w:rPr>
    </w:lvl>
    <w:lvl w:ilvl="7">
      <w:start w:val="1"/>
      <w:numFmt w:val="decimal"/>
      <w:lvlText w:val="%1.%2.%3.%4.%5.%6.%7.%8."/>
      <w:lvlJc w:val="left"/>
      <w:rPr>
        <w:rFonts w:ascii="Calibri" w:eastAsia="Calibri" w:hAnsi="Calibri" w:cs="Calibri" w:hint="default"/>
        <w:b/>
        <w:bCs/>
        <w:color w:val="000000"/>
        <w:position w:val="0"/>
        <w:u w:color="000000"/>
      </w:rPr>
    </w:lvl>
    <w:lvl w:ilvl="8">
      <w:start w:val="1"/>
      <w:numFmt w:val="decimal"/>
      <w:lvlText w:val="%1.%2.%3.%4.%5.%6.%7.%8.%9."/>
      <w:lvlJc w:val="left"/>
      <w:rPr>
        <w:rFonts w:ascii="Calibri" w:eastAsia="Calibri" w:hAnsi="Calibri" w:cs="Calibri" w:hint="default"/>
        <w:b/>
        <w:bCs/>
        <w:color w:val="000000"/>
        <w:position w:val="0"/>
        <w:u w:color="00000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6"/>
    <w:multiLevelType w:val="multilevel"/>
    <w:tmpl w:val="894EE876"/>
    <w:lvl w:ilvl="0">
      <w:start w:val="1"/>
      <w:numFmt w:val="lowerRoman"/>
      <w:lvlText w:val="%1)"/>
      <w:lvlJc w:val="left"/>
      <w:rPr>
        <w:rFonts w:hint="default"/>
        <w:color w:val="000000"/>
        <w:position w:val="0"/>
        <w:u w:color="000000"/>
        <w:rtl w:val="0"/>
        <w:lang w:val="en-US"/>
      </w:rPr>
    </w:lvl>
    <w:lvl w:ilvl="1">
      <w:start w:val="1"/>
      <w:numFmt w:val="lowerLetter"/>
      <w:lvlText w:val="%2."/>
      <w:lvlJc w:val="left"/>
      <w:rPr>
        <w:rFonts w:hint="default"/>
        <w:color w:val="000000"/>
        <w:position w:val="0"/>
        <w:u w:color="000000"/>
        <w:rtl w:val="0"/>
        <w:lang w:val="en-US"/>
      </w:rPr>
    </w:lvl>
    <w:lvl w:ilvl="2">
      <w:start w:val="1"/>
      <w:numFmt w:val="lowerRoman"/>
      <w:lvlText w:val="%3."/>
      <w:lvlJc w:val="left"/>
      <w:rPr>
        <w:rFonts w:hint="default"/>
        <w:color w:val="000000"/>
        <w:position w:val="0"/>
        <w:u w:color="000000"/>
        <w:rtl w:val="0"/>
        <w:lang w:val="en-US"/>
      </w:rPr>
    </w:lvl>
    <w:lvl w:ilvl="3">
      <w:start w:val="1"/>
      <w:numFmt w:val="decimal"/>
      <w:lvlText w:val="%4."/>
      <w:lvlJc w:val="left"/>
      <w:rPr>
        <w:rFonts w:hint="default"/>
        <w:color w:val="000000"/>
        <w:position w:val="0"/>
        <w:u w:color="000000"/>
        <w:rtl w:val="0"/>
        <w:lang w:val="en-US"/>
      </w:rPr>
    </w:lvl>
    <w:lvl w:ilvl="4">
      <w:start w:val="1"/>
      <w:numFmt w:val="lowerLetter"/>
      <w:lvlText w:val="%5."/>
      <w:lvlJc w:val="left"/>
      <w:rPr>
        <w:rFonts w:hint="default"/>
        <w:color w:val="000000"/>
        <w:position w:val="0"/>
        <w:u w:color="000000"/>
        <w:rtl w:val="0"/>
        <w:lang w:val="en-US"/>
      </w:rPr>
    </w:lvl>
    <w:lvl w:ilvl="5">
      <w:start w:val="1"/>
      <w:numFmt w:val="lowerRoman"/>
      <w:lvlText w:val="%6."/>
      <w:lvlJc w:val="left"/>
      <w:rPr>
        <w:rFonts w:hint="default"/>
        <w:color w:val="000000"/>
        <w:position w:val="0"/>
        <w:u w:color="000000"/>
        <w:rtl w:val="0"/>
        <w:lang w:val="en-US"/>
      </w:rPr>
    </w:lvl>
    <w:lvl w:ilvl="6">
      <w:start w:val="1"/>
      <w:numFmt w:val="decimal"/>
      <w:lvlText w:val="%7."/>
      <w:lvlJc w:val="left"/>
      <w:rPr>
        <w:rFonts w:hint="default"/>
        <w:color w:val="000000"/>
        <w:position w:val="0"/>
        <w:u w:color="000000"/>
        <w:rtl w:val="0"/>
        <w:lang w:val="en-US"/>
      </w:rPr>
    </w:lvl>
    <w:lvl w:ilvl="7">
      <w:start w:val="1"/>
      <w:numFmt w:val="lowerLetter"/>
      <w:lvlText w:val="%8."/>
      <w:lvlJc w:val="left"/>
      <w:rPr>
        <w:rFonts w:hint="default"/>
        <w:color w:val="000000"/>
        <w:position w:val="0"/>
        <w:u w:color="000000"/>
        <w:rtl w:val="0"/>
        <w:lang w:val="en-US"/>
      </w:rPr>
    </w:lvl>
    <w:lvl w:ilvl="8">
      <w:start w:val="1"/>
      <w:numFmt w:val="lowerRoman"/>
      <w:lvlText w:val="%9."/>
      <w:lvlJc w:val="left"/>
      <w:rPr>
        <w:rFonts w:hint="default"/>
        <w:color w:val="000000"/>
        <w:position w:val="0"/>
        <w:u w:color="000000"/>
        <w:rtl w:val="0"/>
        <w:lang w:val="en-US"/>
      </w:rPr>
    </w:lvl>
  </w:abstractNum>
  <w:abstractNum w:abstractNumId="4"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C"/>
    <w:multiLevelType w:val="multilevel"/>
    <w:tmpl w:val="FE40A7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12"/>
    <w:multiLevelType w:val="multilevel"/>
    <w:tmpl w:val="894EE884"/>
    <w:styleLink w:val="List6"/>
    <w:lvl w:ilvl="0">
      <w:numFmt w:val="bullet"/>
      <w:lvlText w:val="•"/>
      <w:lvlJc w:val="left"/>
      <w:pPr>
        <w:tabs>
          <w:tab w:val="num" w:pos="714"/>
        </w:tabs>
        <w:ind w:left="714" w:hanging="357"/>
      </w:pPr>
      <w:rPr>
        <w:rFonts w:ascii="Times New Roman" w:eastAsia="Times New Roman" w:hAnsi="Times New Roman" w:cs="Times New Roman" w:hint="default"/>
        <w:caps w:val="0"/>
        <w:smallCaps w:val="0"/>
        <w:strike w:val="0"/>
        <w:dstrike w:val="0"/>
        <w:color w:val="000000"/>
        <w:spacing w:val="0"/>
        <w:kern w:val="1"/>
        <w:position w:val="0"/>
        <w:sz w:val="22"/>
        <w:szCs w:val="22"/>
        <w:u w:val="none" w:color="000000"/>
        <w:vertAlign w:val="baseline"/>
        <w:em w:val="none"/>
        <w:lang w:val="en-US"/>
      </w:rPr>
    </w:lvl>
    <w:lvl w:ilvl="1">
      <w:start w:val="1"/>
      <w:numFmt w:val="bullet"/>
      <w:lvlText w:val="o"/>
      <w:lvlJc w:val="left"/>
      <w:pPr>
        <w:tabs>
          <w:tab w:val="num" w:pos="1410"/>
        </w:tabs>
        <w:ind w:left="1410" w:hanging="330"/>
      </w:pPr>
      <w:rPr>
        <w:rFonts w:ascii="Cambria" w:eastAsia="Cambria" w:hAnsi="Cambria" w:cs="Cambria" w:hint="default"/>
        <w:caps w:val="0"/>
        <w:smallCaps w:val="0"/>
        <w:strike w:val="0"/>
        <w:dstrike w:val="0"/>
        <w:color w:val="000000"/>
        <w:spacing w:val="0"/>
        <w:kern w:val="1"/>
        <w:position w:val="0"/>
        <w:sz w:val="22"/>
        <w:szCs w:val="22"/>
        <w:u w:val="none" w:color="000000"/>
        <w:vertAlign w:val="baseline"/>
        <w:em w:val="none"/>
        <w:lang w:val="en-US"/>
      </w:rPr>
    </w:lvl>
    <w:lvl w:ilvl="2">
      <w:start w:val="1"/>
      <w:numFmt w:val="bullet"/>
      <w:lvlText w:val="▪"/>
      <w:lvlJc w:val="left"/>
      <w:pPr>
        <w:tabs>
          <w:tab w:val="num" w:pos="2130"/>
        </w:tabs>
        <w:ind w:left="2130" w:hanging="330"/>
      </w:pPr>
      <w:rPr>
        <w:rFonts w:ascii="Cambria" w:eastAsia="Cambria" w:hAnsi="Cambria" w:cs="Cambria" w:hint="default"/>
        <w:caps w:val="0"/>
        <w:smallCaps w:val="0"/>
        <w:strike w:val="0"/>
        <w:dstrike w:val="0"/>
        <w:color w:val="000000"/>
        <w:spacing w:val="0"/>
        <w:kern w:val="1"/>
        <w:position w:val="0"/>
        <w:sz w:val="22"/>
        <w:szCs w:val="22"/>
        <w:u w:val="none" w:color="000000"/>
        <w:vertAlign w:val="baseline"/>
        <w:em w:val="none"/>
        <w:lang w:val="en-US"/>
      </w:rPr>
    </w:lvl>
    <w:lvl w:ilvl="3">
      <w:start w:val="1"/>
      <w:numFmt w:val="bullet"/>
      <w:lvlText w:val="•"/>
      <w:lvlJc w:val="left"/>
      <w:pPr>
        <w:tabs>
          <w:tab w:val="num" w:pos="2850"/>
        </w:tabs>
        <w:ind w:left="2850" w:hanging="330"/>
      </w:pPr>
      <w:rPr>
        <w:rFonts w:ascii="Cambria" w:eastAsia="Cambria" w:hAnsi="Cambria" w:cs="Cambria" w:hint="default"/>
        <w:caps w:val="0"/>
        <w:smallCaps w:val="0"/>
        <w:strike w:val="0"/>
        <w:dstrike w:val="0"/>
        <w:color w:val="000000"/>
        <w:spacing w:val="0"/>
        <w:kern w:val="1"/>
        <w:position w:val="0"/>
        <w:sz w:val="22"/>
        <w:szCs w:val="22"/>
        <w:u w:val="none" w:color="000000"/>
        <w:vertAlign w:val="baseline"/>
        <w:em w:val="none"/>
        <w:lang w:val="en-US"/>
      </w:rPr>
    </w:lvl>
    <w:lvl w:ilvl="4">
      <w:start w:val="1"/>
      <w:numFmt w:val="bullet"/>
      <w:lvlText w:val="o"/>
      <w:lvlJc w:val="left"/>
      <w:pPr>
        <w:tabs>
          <w:tab w:val="num" w:pos="3570"/>
        </w:tabs>
        <w:ind w:left="3570" w:hanging="330"/>
      </w:pPr>
      <w:rPr>
        <w:rFonts w:ascii="Cambria" w:eastAsia="Cambria" w:hAnsi="Cambria" w:cs="Cambria" w:hint="default"/>
        <w:caps w:val="0"/>
        <w:smallCaps w:val="0"/>
        <w:strike w:val="0"/>
        <w:dstrike w:val="0"/>
        <w:color w:val="000000"/>
        <w:spacing w:val="0"/>
        <w:kern w:val="1"/>
        <w:position w:val="0"/>
        <w:sz w:val="22"/>
        <w:szCs w:val="22"/>
        <w:u w:val="none" w:color="000000"/>
        <w:vertAlign w:val="baseline"/>
        <w:em w:val="none"/>
        <w:lang w:val="en-US"/>
      </w:rPr>
    </w:lvl>
    <w:lvl w:ilvl="5">
      <w:start w:val="1"/>
      <w:numFmt w:val="bullet"/>
      <w:lvlText w:val="▪"/>
      <w:lvlJc w:val="left"/>
      <w:pPr>
        <w:tabs>
          <w:tab w:val="num" w:pos="4290"/>
        </w:tabs>
        <w:ind w:left="4290" w:hanging="330"/>
      </w:pPr>
      <w:rPr>
        <w:rFonts w:ascii="Cambria" w:eastAsia="Cambria" w:hAnsi="Cambria" w:cs="Cambria" w:hint="default"/>
        <w:caps w:val="0"/>
        <w:smallCaps w:val="0"/>
        <w:strike w:val="0"/>
        <w:dstrike w:val="0"/>
        <w:color w:val="000000"/>
        <w:spacing w:val="0"/>
        <w:kern w:val="1"/>
        <w:position w:val="0"/>
        <w:sz w:val="22"/>
        <w:szCs w:val="22"/>
        <w:u w:val="none" w:color="000000"/>
        <w:vertAlign w:val="baseline"/>
        <w:em w:val="none"/>
        <w:lang w:val="en-US"/>
      </w:rPr>
    </w:lvl>
    <w:lvl w:ilvl="6">
      <w:start w:val="1"/>
      <w:numFmt w:val="bullet"/>
      <w:lvlText w:val="•"/>
      <w:lvlJc w:val="left"/>
      <w:pPr>
        <w:tabs>
          <w:tab w:val="num" w:pos="5010"/>
        </w:tabs>
        <w:ind w:left="5010" w:hanging="330"/>
      </w:pPr>
      <w:rPr>
        <w:rFonts w:ascii="Cambria" w:eastAsia="Cambria" w:hAnsi="Cambria" w:cs="Cambria" w:hint="default"/>
        <w:caps w:val="0"/>
        <w:smallCaps w:val="0"/>
        <w:strike w:val="0"/>
        <w:dstrike w:val="0"/>
        <w:color w:val="000000"/>
        <w:spacing w:val="0"/>
        <w:kern w:val="1"/>
        <w:position w:val="0"/>
        <w:sz w:val="22"/>
        <w:szCs w:val="22"/>
        <w:u w:val="none" w:color="000000"/>
        <w:vertAlign w:val="baseline"/>
        <w:em w:val="none"/>
        <w:lang w:val="en-US"/>
      </w:rPr>
    </w:lvl>
    <w:lvl w:ilvl="7">
      <w:start w:val="1"/>
      <w:numFmt w:val="bullet"/>
      <w:lvlText w:val="o"/>
      <w:lvlJc w:val="left"/>
      <w:pPr>
        <w:tabs>
          <w:tab w:val="num" w:pos="5730"/>
        </w:tabs>
        <w:ind w:left="5730" w:hanging="330"/>
      </w:pPr>
      <w:rPr>
        <w:rFonts w:ascii="Cambria" w:eastAsia="Cambria" w:hAnsi="Cambria" w:cs="Cambria" w:hint="default"/>
        <w:caps w:val="0"/>
        <w:smallCaps w:val="0"/>
        <w:strike w:val="0"/>
        <w:dstrike w:val="0"/>
        <w:color w:val="000000"/>
        <w:spacing w:val="0"/>
        <w:kern w:val="1"/>
        <w:position w:val="0"/>
        <w:sz w:val="22"/>
        <w:szCs w:val="22"/>
        <w:u w:val="none" w:color="000000"/>
        <w:vertAlign w:val="baseline"/>
        <w:em w:val="none"/>
        <w:lang w:val="en-US"/>
      </w:rPr>
    </w:lvl>
    <w:lvl w:ilvl="8">
      <w:start w:val="1"/>
      <w:numFmt w:val="bullet"/>
      <w:lvlText w:val="▪"/>
      <w:lvlJc w:val="left"/>
      <w:pPr>
        <w:tabs>
          <w:tab w:val="num" w:pos="6450"/>
        </w:tabs>
        <w:ind w:left="6450" w:hanging="330"/>
      </w:pPr>
      <w:rPr>
        <w:rFonts w:ascii="Cambria" w:eastAsia="Cambria" w:hAnsi="Cambria" w:cs="Cambria" w:hint="default"/>
        <w:caps w:val="0"/>
        <w:smallCaps w:val="0"/>
        <w:strike w:val="0"/>
        <w:dstrike w:val="0"/>
        <w:color w:val="000000"/>
        <w:spacing w:val="0"/>
        <w:kern w:val="1"/>
        <w:position w:val="0"/>
        <w:sz w:val="22"/>
        <w:szCs w:val="22"/>
        <w:u w:val="none" w:color="000000"/>
        <w:vertAlign w:val="baseline"/>
        <w:em w:val="none"/>
        <w:lang w:val="en-US"/>
      </w:rPr>
    </w:lvl>
  </w:abstractNum>
  <w:abstractNum w:abstractNumId="7" w15:restartNumberingAfterBreak="0">
    <w:nsid w:val="00000015"/>
    <w:multiLevelType w:val="multilevel"/>
    <w:tmpl w:val="894EE87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17"/>
    <w:multiLevelType w:val="multilevel"/>
    <w:tmpl w:val="894EE889"/>
    <w:styleLink w:val="List7"/>
    <w:lvl w:ilvl="0">
      <w:numFmt w:val="bullet"/>
      <w:lvlText w:val="•"/>
      <w:lvlJc w:val="left"/>
      <w:pPr>
        <w:tabs>
          <w:tab w:val="num" w:pos="714"/>
        </w:tabs>
        <w:ind w:left="714" w:hanging="357"/>
      </w:pPr>
      <w:rPr>
        <w:rFonts w:ascii="Times New Roman" w:eastAsia="Times New Roman" w:hAnsi="Times New Roman" w:cs="Times New Roman" w:hint="default"/>
        <w:caps w:val="0"/>
        <w:smallCaps w:val="0"/>
        <w:strike w:val="0"/>
        <w:dstrike w:val="0"/>
        <w:color w:val="000000"/>
        <w:spacing w:val="0"/>
        <w:kern w:val="1"/>
        <w:position w:val="0"/>
        <w:sz w:val="22"/>
        <w:szCs w:val="22"/>
        <w:u w:val="none" w:color="000000"/>
        <w:vertAlign w:val="baseline"/>
        <w:em w:val="none"/>
        <w:lang w:val="en-US"/>
      </w:rPr>
    </w:lvl>
    <w:lvl w:ilvl="1">
      <w:start w:val="1"/>
      <w:numFmt w:val="bullet"/>
      <w:lvlText w:val="o"/>
      <w:lvlJc w:val="left"/>
      <w:pPr>
        <w:tabs>
          <w:tab w:val="num" w:pos="1410"/>
        </w:tabs>
        <w:ind w:left="1410" w:hanging="330"/>
      </w:pPr>
      <w:rPr>
        <w:rFonts w:ascii="Cambria" w:eastAsia="Cambria" w:hAnsi="Cambria" w:cs="Cambria" w:hint="default"/>
        <w:caps w:val="0"/>
        <w:smallCaps w:val="0"/>
        <w:strike w:val="0"/>
        <w:dstrike w:val="0"/>
        <w:color w:val="000000"/>
        <w:spacing w:val="0"/>
        <w:kern w:val="1"/>
        <w:position w:val="0"/>
        <w:sz w:val="22"/>
        <w:szCs w:val="22"/>
        <w:u w:val="none" w:color="000000"/>
        <w:vertAlign w:val="baseline"/>
        <w:em w:val="none"/>
        <w:lang w:val="en-US"/>
      </w:rPr>
    </w:lvl>
    <w:lvl w:ilvl="2">
      <w:start w:val="1"/>
      <w:numFmt w:val="bullet"/>
      <w:lvlText w:val="▪"/>
      <w:lvlJc w:val="left"/>
      <w:pPr>
        <w:tabs>
          <w:tab w:val="num" w:pos="2130"/>
        </w:tabs>
        <w:ind w:left="2130" w:hanging="330"/>
      </w:pPr>
      <w:rPr>
        <w:rFonts w:ascii="Cambria" w:eastAsia="Cambria" w:hAnsi="Cambria" w:cs="Cambria" w:hint="default"/>
        <w:caps w:val="0"/>
        <w:smallCaps w:val="0"/>
        <w:strike w:val="0"/>
        <w:dstrike w:val="0"/>
        <w:color w:val="000000"/>
        <w:spacing w:val="0"/>
        <w:kern w:val="1"/>
        <w:position w:val="0"/>
        <w:sz w:val="22"/>
        <w:szCs w:val="22"/>
        <w:u w:val="none" w:color="000000"/>
        <w:vertAlign w:val="baseline"/>
        <w:em w:val="none"/>
        <w:lang w:val="en-US"/>
      </w:rPr>
    </w:lvl>
    <w:lvl w:ilvl="3">
      <w:start w:val="1"/>
      <w:numFmt w:val="bullet"/>
      <w:lvlText w:val="•"/>
      <w:lvlJc w:val="left"/>
      <w:pPr>
        <w:tabs>
          <w:tab w:val="num" w:pos="2850"/>
        </w:tabs>
        <w:ind w:left="2850" w:hanging="330"/>
      </w:pPr>
      <w:rPr>
        <w:rFonts w:ascii="Cambria" w:eastAsia="Cambria" w:hAnsi="Cambria" w:cs="Cambria" w:hint="default"/>
        <w:caps w:val="0"/>
        <w:smallCaps w:val="0"/>
        <w:strike w:val="0"/>
        <w:dstrike w:val="0"/>
        <w:color w:val="000000"/>
        <w:spacing w:val="0"/>
        <w:kern w:val="1"/>
        <w:position w:val="0"/>
        <w:sz w:val="22"/>
        <w:szCs w:val="22"/>
        <w:u w:val="none" w:color="000000"/>
        <w:vertAlign w:val="baseline"/>
        <w:em w:val="none"/>
        <w:lang w:val="en-US"/>
      </w:rPr>
    </w:lvl>
    <w:lvl w:ilvl="4">
      <w:start w:val="1"/>
      <w:numFmt w:val="bullet"/>
      <w:lvlText w:val="o"/>
      <w:lvlJc w:val="left"/>
      <w:pPr>
        <w:tabs>
          <w:tab w:val="num" w:pos="3570"/>
        </w:tabs>
        <w:ind w:left="3570" w:hanging="330"/>
      </w:pPr>
      <w:rPr>
        <w:rFonts w:ascii="Cambria" w:eastAsia="Cambria" w:hAnsi="Cambria" w:cs="Cambria" w:hint="default"/>
        <w:caps w:val="0"/>
        <w:smallCaps w:val="0"/>
        <w:strike w:val="0"/>
        <w:dstrike w:val="0"/>
        <w:color w:val="000000"/>
        <w:spacing w:val="0"/>
        <w:kern w:val="1"/>
        <w:position w:val="0"/>
        <w:sz w:val="22"/>
        <w:szCs w:val="22"/>
        <w:u w:val="none" w:color="000000"/>
        <w:vertAlign w:val="baseline"/>
        <w:em w:val="none"/>
        <w:lang w:val="en-US"/>
      </w:rPr>
    </w:lvl>
    <w:lvl w:ilvl="5">
      <w:start w:val="1"/>
      <w:numFmt w:val="bullet"/>
      <w:lvlText w:val="▪"/>
      <w:lvlJc w:val="left"/>
      <w:pPr>
        <w:tabs>
          <w:tab w:val="num" w:pos="4290"/>
        </w:tabs>
        <w:ind w:left="4290" w:hanging="330"/>
      </w:pPr>
      <w:rPr>
        <w:rFonts w:ascii="Cambria" w:eastAsia="Cambria" w:hAnsi="Cambria" w:cs="Cambria" w:hint="default"/>
        <w:caps w:val="0"/>
        <w:smallCaps w:val="0"/>
        <w:strike w:val="0"/>
        <w:dstrike w:val="0"/>
        <w:color w:val="000000"/>
        <w:spacing w:val="0"/>
        <w:kern w:val="1"/>
        <w:position w:val="0"/>
        <w:sz w:val="22"/>
        <w:szCs w:val="22"/>
        <w:u w:val="none" w:color="000000"/>
        <w:vertAlign w:val="baseline"/>
        <w:em w:val="none"/>
        <w:lang w:val="en-US"/>
      </w:rPr>
    </w:lvl>
    <w:lvl w:ilvl="6">
      <w:start w:val="1"/>
      <w:numFmt w:val="bullet"/>
      <w:lvlText w:val="•"/>
      <w:lvlJc w:val="left"/>
      <w:pPr>
        <w:tabs>
          <w:tab w:val="num" w:pos="5010"/>
        </w:tabs>
        <w:ind w:left="5010" w:hanging="330"/>
      </w:pPr>
      <w:rPr>
        <w:rFonts w:ascii="Cambria" w:eastAsia="Cambria" w:hAnsi="Cambria" w:cs="Cambria" w:hint="default"/>
        <w:caps w:val="0"/>
        <w:smallCaps w:val="0"/>
        <w:strike w:val="0"/>
        <w:dstrike w:val="0"/>
        <w:color w:val="000000"/>
        <w:spacing w:val="0"/>
        <w:kern w:val="1"/>
        <w:position w:val="0"/>
        <w:sz w:val="22"/>
        <w:szCs w:val="22"/>
        <w:u w:val="none" w:color="000000"/>
        <w:vertAlign w:val="baseline"/>
        <w:em w:val="none"/>
        <w:lang w:val="en-US"/>
      </w:rPr>
    </w:lvl>
    <w:lvl w:ilvl="7">
      <w:start w:val="1"/>
      <w:numFmt w:val="bullet"/>
      <w:lvlText w:val="o"/>
      <w:lvlJc w:val="left"/>
      <w:pPr>
        <w:tabs>
          <w:tab w:val="num" w:pos="5730"/>
        </w:tabs>
        <w:ind w:left="5730" w:hanging="330"/>
      </w:pPr>
      <w:rPr>
        <w:rFonts w:ascii="Cambria" w:eastAsia="Cambria" w:hAnsi="Cambria" w:cs="Cambria" w:hint="default"/>
        <w:caps w:val="0"/>
        <w:smallCaps w:val="0"/>
        <w:strike w:val="0"/>
        <w:dstrike w:val="0"/>
        <w:color w:val="000000"/>
        <w:spacing w:val="0"/>
        <w:kern w:val="1"/>
        <w:position w:val="0"/>
        <w:sz w:val="22"/>
        <w:szCs w:val="22"/>
        <w:u w:val="none" w:color="000000"/>
        <w:vertAlign w:val="baseline"/>
        <w:em w:val="none"/>
        <w:lang w:val="en-US"/>
      </w:rPr>
    </w:lvl>
    <w:lvl w:ilvl="8">
      <w:start w:val="1"/>
      <w:numFmt w:val="bullet"/>
      <w:lvlText w:val="▪"/>
      <w:lvlJc w:val="left"/>
      <w:pPr>
        <w:tabs>
          <w:tab w:val="num" w:pos="6450"/>
        </w:tabs>
        <w:ind w:left="6450" w:hanging="330"/>
      </w:pPr>
      <w:rPr>
        <w:rFonts w:ascii="Cambria" w:eastAsia="Cambria" w:hAnsi="Cambria" w:cs="Cambria" w:hint="default"/>
        <w:caps w:val="0"/>
        <w:smallCaps w:val="0"/>
        <w:strike w:val="0"/>
        <w:dstrike w:val="0"/>
        <w:color w:val="000000"/>
        <w:spacing w:val="0"/>
        <w:kern w:val="1"/>
        <w:position w:val="0"/>
        <w:sz w:val="22"/>
        <w:szCs w:val="22"/>
        <w:u w:val="none" w:color="000000"/>
        <w:vertAlign w:val="baseline"/>
        <w:em w:val="none"/>
        <w:lang w:val="en-US"/>
      </w:rPr>
    </w:lvl>
  </w:abstractNum>
  <w:abstractNum w:abstractNumId="9" w15:restartNumberingAfterBreak="0">
    <w:nsid w:val="0000001A"/>
    <w:multiLevelType w:val="multilevel"/>
    <w:tmpl w:val="894EE88C"/>
    <w:styleLink w:val="List8"/>
    <w:lvl w:ilvl="0">
      <w:start w:val="1"/>
      <w:numFmt w:val="bullet"/>
      <w:lvlText w:val="•"/>
      <w:lvlJc w:val="left"/>
      <w:pPr>
        <w:tabs>
          <w:tab w:val="num" w:pos="720"/>
        </w:tabs>
        <w:ind w:left="720" w:hanging="360"/>
      </w:pPr>
      <w:rPr>
        <w:rFonts w:ascii="Cambria" w:eastAsia="Cambria" w:hAnsi="Cambria" w:cs="Cambria" w:hint="default"/>
        <w:b/>
        <w:bCs/>
        <w:caps w:val="0"/>
        <w:smallCaps w:val="0"/>
        <w:strike w:val="0"/>
        <w:dstrike w:val="0"/>
        <w:color w:val="000000"/>
        <w:spacing w:val="0"/>
        <w:kern w:val="0"/>
        <w:position w:val="0"/>
        <w:sz w:val="22"/>
        <w:szCs w:val="22"/>
        <w:u w:val="none" w:color="000000"/>
        <w:vertAlign w:val="baseline"/>
        <w:em w:val="none"/>
        <w:lang w:val="en-US"/>
      </w:rPr>
    </w:lvl>
    <w:lvl w:ilvl="1">
      <w:start w:val="1"/>
      <w:numFmt w:val="bullet"/>
      <w:lvlText w:val="o"/>
      <w:lvlJc w:val="left"/>
      <w:pPr>
        <w:tabs>
          <w:tab w:val="num" w:pos="1410"/>
        </w:tabs>
        <w:ind w:left="1410" w:hanging="330"/>
      </w:pPr>
      <w:rPr>
        <w:rFonts w:ascii="Cambria" w:eastAsia="Cambria" w:hAnsi="Cambria" w:cs="Cambria" w:hint="default"/>
        <w:b/>
        <w:bCs/>
        <w:caps w:val="0"/>
        <w:smallCaps w:val="0"/>
        <w:strike w:val="0"/>
        <w:dstrike w:val="0"/>
        <w:color w:val="000000"/>
        <w:spacing w:val="0"/>
        <w:kern w:val="0"/>
        <w:position w:val="0"/>
        <w:sz w:val="22"/>
        <w:szCs w:val="22"/>
        <w:u w:val="none" w:color="000000"/>
        <w:vertAlign w:val="baseline"/>
        <w:em w:val="none"/>
        <w:lang w:val="en-US"/>
      </w:rPr>
    </w:lvl>
    <w:lvl w:ilvl="2">
      <w:start w:val="1"/>
      <w:numFmt w:val="bullet"/>
      <w:lvlText w:val="▪"/>
      <w:lvlJc w:val="left"/>
      <w:pPr>
        <w:tabs>
          <w:tab w:val="num" w:pos="2130"/>
        </w:tabs>
        <w:ind w:left="2130" w:hanging="330"/>
      </w:pPr>
      <w:rPr>
        <w:rFonts w:ascii="Cambria" w:eastAsia="Cambria" w:hAnsi="Cambria" w:cs="Cambria" w:hint="default"/>
        <w:b/>
        <w:bCs/>
        <w:caps w:val="0"/>
        <w:smallCaps w:val="0"/>
        <w:strike w:val="0"/>
        <w:dstrike w:val="0"/>
        <w:color w:val="000000"/>
        <w:spacing w:val="0"/>
        <w:kern w:val="0"/>
        <w:position w:val="0"/>
        <w:sz w:val="22"/>
        <w:szCs w:val="22"/>
        <w:u w:val="none" w:color="000000"/>
        <w:vertAlign w:val="baseline"/>
        <w:em w:val="none"/>
        <w:lang w:val="en-US"/>
      </w:rPr>
    </w:lvl>
    <w:lvl w:ilvl="3">
      <w:start w:val="1"/>
      <w:numFmt w:val="bullet"/>
      <w:lvlText w:val="•"/>
      <w:lvlJc w:val="left"/>
      <w:pPr>
        <w:tabs>
          <w:tab w:val="num" w:pos="2850"/>
        </w:tabs>
        <w:ind w:left="2850" w:hanging="330"/>
      </w:pPr>
      <w:rPr>
        <w:rFonts w:ascii="Cambria" w:eastAsia="Cambria" w:hAnsi="Cambria" w:cs="Cambria" w:hint="default"/>
        <w:b/>
        <w:bCs/>
        <w:caps w:val="0"/>
        <w:smallCaps w:val="0"/>
        <w:strike w:val="0"/>
        <w:dstrike w:val="0"/>
        <w:color w:val="000000"/>
        <w:spacing w:val="0"/>
        <w:kern w:val="0"/>
        <w:position w:val="0"/>
        <w:sz w:val="22"/>
        <w:szCs w:val="22"/>
        <w:u w:val="none" w:color="000000"/>
        <w:vertAlign w:val="baseline"/>
        <w:em w:val="none"/>
        <w:lang w:val="en-US"/>
      </w:rPr>
    </w:lvl>
    <w:lvl w:ilvl="4">
      <w:start w:val="1"/>
      <w:numFmt w:val="bullet"/>
      <w:lvlText w:val="o"/>
      <w:lvlJc w:val="left"/>
      <w:pPr>
        <w:tabs>
          <w:tab w:val="num" w:pos="3570"/>
        </w:tabs>
        <w:ind w:left="3570" w:hanging="330"/>
      </w:pPr>
      <w:rPr>
        <w:rFonts w:ascii="Cambria" w:eastAsia="Cambria" w:hAnsi="Cambria" w:cs="Cambria" w:hint="default"/>
        <w:b/>
        <w:bCs/>
        <w:caps w:val="0"/>
        <w:smallCaps w:val="0"/>
        <w:strike w:val="0"/>
        <w:dstrike w:val="0"/>
        <w:color w:val="000000"/>
        <w:spacing w:val="0"/>
        <w:kern w:val="0"/>
        <w:position w:val="0"/>
        <w:sz w:val="22"/>
        <w:szCs w:val="22"/>
        <w:u w:val="none" w:color="000000"/>
        <w:vertAlign w:val="baseline"/>
        <w:em w:val="none"/>
        <w:lang w:val="en-US"/>
      </w:rPr>
    </w:lvl>
    <w:lvl w:ilvl="5">
      <w:start w:val="1"/>
      <w:numFmt w:val="bullet"/>
      <w:lvlText w:val="▪"/>
      <w:lvlJc w:val="left"/>
      <w:pPr>
        <w:tabs>
          <w:tab w:val="num" w:pos="4290"/>
        </w:tabs>
        <w:ind w:left="4290" w:hanging="330"/>
      </w:pPr>
      <w:rPr>
        <w:rFonts w:ascii="Cambria" w:eastAsia="Cambria" w:hAnsi="Cambria" w:cs="Cambria" w:hint="default"/>
        <w:b/>
        <w:bCs/>
        <w:caps w:val="0"/>
        <w:smallCaps w:val="0"/>
        <w:strike w:val="0"/>
        <w:dstrike w:val="0"/>
        <w:color w:val="000000"/>
        <w:spacing w:val="0"/>
        <w:kern w:val="0"/>
        <w:position w:val="0"/>
        <w:sz w:val="22"/>
        <w:szCs w:val="22"/>
        <w:u w:val="none" w:color="000000"/>
        <w:vertAlign w:val="baseline"/>
        <w:em w:val="none"/>
        <w:lang w:val="en-US"/>
      </w:rPr>
    </w:lvl>
    <w:lvl w:ilvl="6">
      <w:start w:val="1"/>
      <w:numFmt w:val="bullet"/>
      <w:lvlText w:val="•"/>
      <w:lvlJc w:val="left"/>
      <w:pPr>
        <w:tabs>
          <w:tab w:val="num" w:pos="5010"/>
        </w:tabs>
        <w:ind w:left="5010" w:hanging="330"/>
      </w:pPr>
      <w:rPr>
        <w:rFonts w:ascii="Cambria" w:eastAsia="Cambria" w:hAnsi="Cambria" w:cs="Cambria" w:hint="default"/>
        <w:b/>
        <w:bCs/>
        <w:caps w:val="0"/>
        <w:smallCaps w:val="0"/>
        <w:strike w:val="0"/>
        <w:dstrike w:val="0"/>
        <w:color w:val="000000"/>
        <w:spacing w:val="0"/>
        <w:kern w:val="0"/>
        <w:position w:val="0"/>
        <w:sz w:val="22"/>
        <w:szCs w:val="22"/>
        <w:u w:val="none" w:color="000000"/>
        <w:vertAlign w:val="baseline"/>
        <w:em w:val="none"/>
        <w:lang w:val="en-US"/>
      </w:rPr>
    </w:lvl>
    <w:lvl w:ilvl="7">
      <w:start w:val="1"/>
      <w:numFmt w:val="bullet"/>
      <w:lvlText w:val="o"/>
      <w:lvlJc w:val="left"/>
      <w:pPr>
        <w:tabs>
          <w:tab w:val="num" w:pos="5730"/>
        </w:tabs>
        <w:ind w:left="5730" w:hanging="330"/>
      </w:pPr>
      <w:rPr>
        <w:rFonts w:ascii="Cambria" w:eastAsia="Cambria" w:hAnsi="Cambria" w:cs="Cambria" w:hint="default"/>
        <w:b/>
        <w:bCs/>
        <w:caps w:val="0"/>
        <w:smallCaps w:val="0"/>
        <w:strike w:val="0"/>
        <w:dstrike w:val="0"/>
        <w:color w:val="000000"/>
        <w:spacing w:val="0"/>
        <w:kern w:val="0"/>
        <w:position w:val="0"/>
        <w:sz w:val="22"/>
        <w:szCs w:val="22"/>
        <w:u w:val="none" w:color="000000"/>
        <w:vertAlign w:val="baseline"/>
        <w:em w:val="none"/>
        <w:lang w:val="en-US"/>
      </w:rPr>
    </w:lvl>
    <w:lvl w:ilvl="8">
      <w:start w:val="1"/>
      <w:numFmt w:val="bullet"/>
      <w:lvlText w:val="▪"/>
      <w:lvlJc w:val="left"/>
      <w:pPr>
        <w:tabs>
          <w:tab w:val="num" w:pos="6450"/>
        </w:tabs>
        <w:ind w:left="6450" w:hanging="330"/>
      </w:pPr>
      <w:rPr>
        <w:rFonts w:ascii="Cambria" w:eastAsia="Cambria" w:hAnsi="Cambria" w:cs="Cambria" w:hint="default"/>
        <w:b/>
        <w:bCs/>
        <w:caps w:val="0"/>
        <w:smallCaps w:val="0"/>
        <w:strike w:val="0"/>
        <w:dstrike w:val="0"/>
        <w:color w:val="000000"/>
        <w:spacing w:val="0"/>
        <w:kern w:val="0"/>
        <w:position w:val="0"/>
        <w:sz w:val="22"/>
        <w:szCs w:val="22"/>
        <w:u w:val="none" w:color="000000"/>
        <w:vertAlign w:val="baseline"/>
        <w:em w:val="none"/>
        <w:lang w:val="en-US"/>
      </w:rPr>
    </w:lvl>
  </w:abstractNum>
  <w:abstractNum w:abstractNumId="10" w15:restartNumberingAfterBreak="0">
    <w:nsid w:val="00000023"/>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B82380"/>
    <w:multiLevelType w:val="hybridMultilevel"/>
    <w:tmpl w:val="4F96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5F4A69"/>
    <w:multiLevelType w:val="hybridMultilevel"/>
    <w:tmpl w:val="B86A2F4E"/>
    <w:lvl w:ilvl="0" w:tplc="4224F44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5333E5"/>
    <w:multiLevelType w:val="hybridMultilevel"/>
    <w:tmpl w:val="C48CB1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7F272A0"/>
    <w:multiLevelType w:val="hybridMultilevel"/>
    <w:tmpl w:val="735C18EC"/>
    <w:lvl w:ilvl="0" w:tplc="04047948">
      <w:start w:val="1"/>
      <w:numFmt w:val="bullet"/>
      <w:lvlText w:val=""/>
      <w:lvlJc w:val="left"/>
      <w:pPr>
        <w:ind w:left="360" w:hanging="360"/>
      </w:pPr>
      <w:rPr>
        <w:rFonts w:ascii="Symbol" w:hAnsi="Symbol" w:hint="default"/>
        <w:sz w:val="18"/>
        <w:szCs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0DE124DE"/>
    <w:multiLevelType w:val="hybridMultilevel"/>
    <w:tmpl w:val="018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55512B"/>
    <w:multiLevelType w:val="hybridMultilevel"/>
    <w:tmpl w:val="616A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395915"/>
    <w:multiLevelType w:val="hybridMultilevel"/>
    <w:tmpl w:val="8376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1A49C4"/>
    <w:multiLevelType w:val="hybridMultilevel"/>
    <w:tmpl w:val="784679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88440C3"/>
    <w:multiLevelType w:val="hybridMultilevel"/>
    <w:tmpl w:val="77A0A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8B8071E"/>
    <w:multiLevelType w:val="hybridMultilevel"/>
    <w:tmpl w:val="961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6C6750"/>
    <w:multiLevelType w:val="hybridMultilevel"/>
    <w:tmpl w:val="69869942"/>
    <w:lvl w:ilvl="0" w:tplc="39B0A2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4EB891"/>
    <w:multiLevelType w:val="hybridMultilevel"/>
    <w:tmpl w:val="88BC729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E4A2D9E"/>
    <w:multiLevelType w:val="hybridMultilevel"/>
    <w:tmpl w:val="910024C2"/>
    <w:lvl w:ilvl="0" w:tplc="39B0A2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0424A8"/>
    <w:multiLevelType w:val="hybridMultilevel"/>
    <w:tmpl w:val="AF7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B57F58"/>
    <w:multiLevelType w:val="hybridMultilevel"/>
    <w:tmpl w:val="3B9AEB58"/>
    <w:lvl w:ilvl="0" w:tplc="36BC2E48">
      <w:start w:val="1"/>
      <w:numFmt w:val="decimal"/>
      <w:lvlText w:val="%1."/>
      <w:lvlJc w:val="left"/>
      <w:pPr>
        <w:tabs>
          <w:tab w:val="num" w:pos="720"/>
        </w:tabs>
        <w:ind w:left="720" w:hanging="360"/>
      </w:pPr>
    </w:lvl>
    <w:lvl w:ilvl="1" w:tplc="C5A0340A" w:tentative="1">
      <w:start w:val="1"/>
      <w:numFmt w:val="decimal"/>
      <w:lvlText w:val="%2."/>
      <w:lvlJc w:val="left"/>
      <w:pPr>
        <w:tabs>
          <w:tab w:val="num" w:pos="1440"/>
        </w:tabs>
        <w:ind w:left="1440" w:hanging="360"/>
      </w:pPr>
    </w:lvl>
    <w:lvl w:ilvl="2" w:tplc="C9788826" w:tentative="1">
      <w:start w:val="1"/>
      <w:numFmt w:val="decimal"/>
      <w:lvlText w:val="%3."/>
      <w:lvlJc w:val="left"/>
      <w:pPr>
        <w:tabs>
          <w:tab w:val="num" w:pos="2160"/>
        </w:tabs>
        <w:ind w:left="2160" w:hanging="360"/>
      </w:pPr>
    </w:lvl>
    <w:lvl w:ilvl="3" w:tplc="B57ABA38" w:tentative="1">
      <w:start w:val="1"/>
      <w:numFmt w:val="decimal"/>
      <w:lvlText w:val="%4."/>
      <w:lvlJc w:val="left"/>
      <w:pPr>
        <w:tabs>
          <w:tab w:val="num" w:pos="2880"/>
        </w:tabs>
        <w:ind w:left="2880" w:hanging="360"/>
      </w:pPr>
    </w:lvl>
    <w:lvl w:ilvl="4" w:tplc="90F6CF6C" w:tentative="1">
      <w:start w:val="1"/>
      <w:numFmt w:val="decimal"/>
      <w:lvlText w:val="%5."/>
      <w:lvlJc w:val="left"/>
      <w:pPr>
        <w:tabs>
          <w:tab w:val="num" w:pos="3600"/>
        </w:tabs>
        <w:ind w:left="3600" w:hanging="360"/>
      </w:pPr>
    </w:lvl>
    <w:lvl w:ilvl="5" w:tplc="04046142" w:tentative="1">
      <w:start w:val="1"/>
      <w:numFmt w:val="decimal"/>
      <w:lvlText w:val="%6."/>
      <w:lvlJc w:val="left"/>
      <w:pPr>
        <w:tabs>
          <w:tab w:val="num" w:pos="4320"/>
        </w:tabs>
        <w:ind w:left="4320" w:hanging="360"/>
      </w:pPr>
    </w:lvl>
    <w:lvl w:ilvl="6" w:tplc="B14E87BE" w:tentative="1">
      <w:start w:val="1"/>
      <w:numFmt w:val="decimal"/>
      <w:lvlText w:val="%7."/>
      <w:lvlJc w:val="left"/>
      <w:pPr>
        <w:tabs>
          <w:tab w:val="num" w:pos="5040"/>
        </w:tabs>
        <w:ind w:left="5040" w:hanging="360"/>
      </w:pPr>
    </w:lvl>
    <w:lvl w:ilvl="7" w:tplc="ECDA0742" w:tentative="1">
      <w:start w:val="1"/>
      <w:numFmt w:val="decimal"/>
      <w:lvlText w:val="%8."/>
      <w:lvlJc w:val="left"/>
      <w:pPr>
        <w:tabs>
          <w:tab w:val="num" w:pos="5760"/>
        </w:tabs>
        <w:ind w:left="5760" w:hanging="360"/>
      </w:pPr>
    </w:lvl>
    <w:lvl w:ilvl="8" w:tplc="D2746BC2" w:tentative="1">
      <w:start w:val="1"/>
      <w:numFmt w:val="decimal"/>
      <w:lvlText w:val="%9."/>
      <w:lvlJc w:val="left"/>
      <w:pPr>
        <w:tabs>
          <w:tab w:val="num" w:pos="6480"/>
        </w:tabs>
        <w:ind w:left="6480" w:hanging="360"/>
      </w:pPr>
    </w:lvl>
  </w:abstractNum>
  <w:abstractNum w:abstractNumId="26" w15:restartNumberingAfterBreak="0">
    <w:nsid w:val="297C3E8A"/>
    <w:multiLevelType w:val="hybridMultilevel"/>
    <w:tmpl w:val="F9F85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D850D59"/>
    <w:multiLevelType w:val="hybridMultilevel"/>
    <w:tmpl w:val="9B186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CF00C2"/>
    <w:multiLevelType w:val="hybridMultilevel"/>
    <w:tmpl w:val="6E66B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00163B0"/>
    <w:multiLevelType w:val="hybridMultilevel"/>
    <w:tmpl w:val="D872379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0" w15:restartNumberingAfterBreak="0">
    <w:nsid w:val="30EF6F4E"/>
    <w:multiLevelType w:val="hybridMultilevel"/>
    <w:tmpl w:val="BE38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366B9E"/>
    <w:multiLevelType w:val="hybridMultilevel"/>
    <w:tmpl w:val="97FA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501984"/>
    <w:multiLevelType w:val="hybridMultilevel"/>
    <w:tmpl w:val="1904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D635DE"/>
    <w:multiLevelType w:val="hybridMultilevel"/>
    <w:tmpl w:val="0840E6D0"/>
    <w:lvl w:ilvl="0" w:tplc="548E36C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DCF5F7D"/>
    <w:multiLevelType w:val="hybridMultilevel"/>
    <w:tmpl w:val="F58A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493DA9"/>
    <w:multiLevelType w:val="hybridMultilevel"/>
    <w:tmpl w:val="8070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B62EF4"/>
    <w:multiLevelType w:val="hybridMultilevel"/>
    <w:tmpl w:val="E58C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B803E9"/>
    <w:multiLevelType w:val="hybridMultilevel"/>
    <w:tmpl w:val="753CD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2BA0BE2"/>
    <w:multiLevelType w:val="hybridMultilevel"/>
    <w:tmpl w:val="16284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2D63EA1"/>
    <w:multiLevelType w:val="hybridMultilevel"/>
    <w:tmpl w:val="B7609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5923742"/>
    <w:multiLevelType w:val="hybridMultilevel"/>
    <w:tmpl w:val="4C1AE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6846E2F"/>
    <w:multiLevelType w:val="hybridMultilevel"/>
    <w:tmpl w:val="BC7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6D1D1F"/>
    <w:multiLevelType w:val="hybridMultilevel"/>
    <w:tmpl w:val="C1383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B64133E"/>
    <w:multiLevelType w:val="hybridMultilevel"/>
    <w:tmpl w:val="E6CE3362"/>
    <w:lvl w:ilvl="0" w:tplc="39B0A2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B11CEB"/>
    <w:multiLevelType w:val="multilevel"/>
    <w:tmpl w:val="29725AD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D5506DD"/>
    <w:multiLevelType w:val="hybridMultilevel"/>
    <w:tmpl w:val="A5089ABE"/>
    <w:lvl w:ilvl="0" w:tplc="BD062DA0">
      <w:start w:val="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F5419B9"/>
    <w:multiLevelType w:val="hybridMultilevel"/>
    <w:tmpl w:val="06425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04C2A46"/>
    <w:multiLevelType w:val="hybridMultilevel"/>
    <w:tmpl w:val="42B0DFE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8" w15:restartNumberingAfterBreak="0">
    <w:nsid w:val="51C233F9"/>
    <w:multiLevelType w:val="hybridMultilevel"/>
    <w:tmpl w:val="A2C25EB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49" w15:restartNumberingAfterBreak="0">
    <w:nsid w:val="51D17280"/>
    <w:multiLevelType w:val="multilevel"/>
    <w:tmpl w:val="D7463D20"/>
    <w:styleLink w:val="List41"/>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25FDD"/>
    <w:multiLevelType w:val="hybridMultilevel"/>
    <w:tmpl w:val="E042F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7F05B8D"/>
    <w:multiLevelType w:val="hybridMultilevel"/>
    <w:tmpl w:val="06F66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ABF0909"/>
    <w:multiLevelType w:val="multilevel"/>
    <w:tmpl w:val="B3E4C7C8"/>
    <w:lvl w:ilvl="0">
      <w:start w:val="1"/>
      <w:numFmt w:val="decimal"/>
      <w:pStyle w:val="caption-table"/>
      <w:lvlText w:val="Table %1:"/>
      <w:lvlJc w:val="left"/>
      <w:pPr>
        <w:tabs>
          <w:tab w:val="num" w:pos="108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3" w15:restartNumberingAfterBreak="0">
    <w:nsid w:val="5CF6176F"/>
    <w:multiLevelType w:val="hybridMultilevel"/>
    <w:tmpl w:val="CEF2CDDA"/>
    <w:lvl w:ilvl="0" w:tplc="0BFE5574">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1345B0E"/>
    <w:multiLevelType w:val="hybridMultilevel"/>
    <w:tmpl w:val="5686EAEE"/>
    <w:lvl w:ilvl="0" w:tplc="E8906BB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4B83004"/>
    <w:multiLevelType w:val="hybridMultilevel"/>
    <w:tmpl w:val="AA96A986"/>
    <w:styleLink w:val="List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6" w15:restartNumberingAfterBreak="0">
    <w:nsid w:val="65C17BC2"/>
    <w:multiLevelType w:val="hybridMultilevel"/>
    <w:tmpl w:val="43C08266"/>
    <w:lvl w:ilvl="0" w:tplc="39B0A2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562299"/>
    <w:multiLevelType w:val="hybridMultilevel"/>
    <w:tmpl w:val="07D02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7BA117E"/>
    <w:multiLevelType w:val="hybridMultilevel"/>
    <w:tmpl w:val="76CA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177DC6"/>
    <w:multiLevelType w:val="hybridMultilevel"/>
    <w:tmpl w:val="B91277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C972619"/>
    <w:multiLevelType w:val="hybridMultilevel"/>
    <w:tmpl w:val="5ECE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90DE9"/>
    <w:multiLevelType w:val="hybridMultilevel"/>
    <w:tmpl w:val="8EEA12B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2" w15:restartNumberingAfterBreak="0">
    <w:nsid w:val="70DC669A"/>
    <w:multiLevelType w:val="hybridMultilevel"/>
    <w:tmpl w:val="4420E540"/>
    <w:lvl w:ilvl="0" w:tplc="169A996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48C6430"/>
    <w:multiLevelType w:val="hybridMultilevel"/>
    <w:tmpl w:val="FFEA4CEC"/>
    <w:lvl w:ilvl="0" w:tplc="AC4EC2B6">
      <w:numFmt w:val="bullet"/>
      <w:lvlText w:val="-"/>
      <w:lvlJc w:val="left"/>
      <w:pPr>
        <w:ind w:left="36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6CD6BA8"/>
    <w:multiLevelType w:val="hybridMultilevel"/>
    <w:tmpl w:val="D20C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0839A9"/>
    <w:multiLevelType w:val="hybridMultilevel"/>
    <w:tmpl w:val="76A4DD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9904CB8"/>
    <w:multiLevelType w:val="hybridMultilevel"/>
    <w:tmpl w:val="49D02A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7" w15:restartNumberingAfterBreak="0">
    <w:nsid w:val="7B3316E5"/>
    <w:multiLevelType w:val="hybridMultilevel"/>
    <w:tmpl w:val="FE40A718"/>
    <w:styleLink w:val="List31"/>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B35696C"/>
    <w:multiLevelType w:val="hybridMultilevel"/>
    <w:tmpl w:val="2F8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5D5545"/>
    <w:multiLevelType w:val="hybridMultilevel"/>
    <w:tmpl w:val="EC0C419A"/>
    <w:lvl w:ilvl="0" w:tplc="2D8497E4">
      <w:start w:val="1"/>
      <w:numFmt w:val="decimal"/>
      <w:lvlText w:val="%1."/>
      <w:lvlJc w:val="left"/>
      <w:pPr>
        <w:tabs>
          <w:tab w:val="num" w:pos="360"/>
        </w:tabs>
        <w:ind w:left="360" w:hanging="360"/>
      </w:pPr>
    </w:lvl>
    <w:lvl w:ilvl="1" w:tplc="9630191E" w:tentative="1">
      <w:start w:val="1"/>
      <w:numFmt w:val="decimal"/>
      <w:lvlText w:val="%2."/>
      <w:lvlJc w:val="left"/>
      <w:pPr>
        <w:tabs>
          <w:tab w:val="num" w:pos="1080"/>
        </w:tabs>
        <w:ind w:left="1080" w:hanging="360"/>
      </w:pPr>
    </w:lvl>
    <w:lvl w:ilvl="2" w:tplc="DF60E79A" w:tentative="1">
      <w:start w:val="1"/>
      <w:numFmt w:val="decimal"/>
      <w:lvlText w:val="%3."/>
      <w:lvlJc w:val="left"/>
      <w:pPr>
        <w:tabs>
          <w:tab w:val="num" w:pos="1800"/>
        </w:tabs>
        <w:ind w:left="1800" w:hanging="360"/>
      </w:pPr>
    </w:lvl>
    <w:lvl w:ilvl="3" w:tplc="AEE625D6" w:tentative="1">
      <w:start w:val="1"/>
      <w:numFmt w:val="decimal"/>
      <w:lvlText w:val="%4."/>
      <w:lvlJc w:val="left"/>
      <w:pPr>
        <w:tabs>
          <w:tab w:val="num" w:pos="2520"/>
        </w:tabs>
        <w:ind w:left="2520" w:hanging="360"/>
      </w:pPr>
    </w:lvl>
    <w:lvl w:ilvl="4" w:tplc="CDF837A6" w:tentative="1">
      <w:start w:val="1"/>
      <w:numFmt w:val="decimal"/>
      <w:lvlText w:val="%5."/>
      <w:lvlJc w:val="left"/>
      <w:pPr>
        <w:tabs>
          <w:tab w:val="num" w:pos="3240"/>
        </w:tabs>
        <w:ind w:left="3240" w:hanging="360"/>
      </w:pPr>
    </w:lvl>
    <w:lvl w:ilvl="5" w:tplc="5FC816BE" w:tentative="1">
      <w:start w:val="1"/>
      <w:numFmt w:val="decimal"/>
      <w:lvlText w:val="%6."/>
      <w:lvlJc w:val="left"/>
      <w:pPr>
        <w:tabs>
          <w:tab w:val="num" w:pos="3960"/>
        </w:tabs>
        <w:ind w:left="3960" w:hanging="360"/>
      </w:pPr>
    </w:lvl>
    <w:lvl w:ilvl="6" w:tplc="D5DE26FE" w:tentative="1">
      <w:start w:val="1"/>
      <w:numFmt w:val="decimal"/>
      <w:lvlText w:val="%7."/>
      <w:lvlJc w:val="left"/>
      <w:pPr>
        <w:tabs>
          <w:tab w:val="num" w:pos="4680"/>
        </w:tabs>
        <w:ind w:left="4680" w:hanging="360"/>
      </w:pPr>
    </w:lvl>
    <w:lvl w:ilvl="7" w:tplc="5F862310" w:tentative="1">
      <w:start w:val="1"/>
      <w:numFmt w:val="decimal"/>
      <w:lvlText w:val="%8."/>
      <w:lvlJc w:val="left"/>
      <w:pPr>
        <w:tabs>
          <w:tab w:val="num" w:pos="5400"/>
        </w:tabs>
        <w:ind w:left="5400" w:hanging="360"/>
      </w:pPr>
    </w:lvl>
    <w:lvl w:ilvl="8" w:tplc="A6F21EE8" w:tentative="1">
      <w:start w:val="1"/>
      <w:numFmt w:val="decimal"/>
      <w:lvlText w:val="%9."/>
      <w:lvlJc w:val="left"/>
      <w:pPr>
        <w:tabs>
          <w:tab w:val="num" w:pos="6120"/>
        </w:tabs>
        <w:ind w:left="6120" w:hanging="360"/>
      </w:pPr>
    </w:lvl>
  </w:abstractNum>
  <w:abstractNum w:abstractNumId="70" w15:restartNumberingAfterBreak="0">
    <w:nsid w:val="7CDD7EF1"/>
    <w:multiLevelType w:val="hybridMultilevel"/>
    <w:tmpl w:val="81528DD8"/>
    <w:lvl w:ilvl="0" w:tplc="39B0A2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AC4F53"/>
    <w:multiLevelType w:val="hybridMultilevel"/>
    <w:tmpl w:val="CFF2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67"/>
  </w:num>
  <w:num w:numId="3">
    <w:abstractNumId w:val="49"/>
  </w:num>
  <w:num w:numId="4">
    <w:abstractNumId w:val="2"/>
  </w:num>
  <w:num w:numId="5">
    <w:abstractNumId w:val="3"/>
  </w:num>
  <w:num w:numId="6">
    <w:abstractNumId w:val="1"/>
  </w:num>
  <w:num w:numId="7">
    <w:abstractNumId w:val="5"/>
  </w:num>
  <w:num w:numId="8">
    <w:abstractNumId w:val="6"/>
  </w:num>
  <w:num w:numId="9">
    <w:abstractNumId w:val="7"/>
  </w:num>
  <w:num w:numId="10">
    <w:abstractNumId w:val="8"/>
  </w:num>
  <w:num w:numId="11">
    <w:abstractNumId w:val="9"/>
  </w:num>
  <w:num w:numId="12">
    <w:abstractNumId w:val="10"/>
  </w:num>
  <w:num w:numId="13">
    <w:abstractNumId w:val="44"/>
  </w:num>
  <w:num w:numId="14">
    <w:abstractNumId w:val="51"/>
  </w:num>
  <w:num w:numId="15">
    <w:abstractNumId w:val="29"/>
  </w:num>
  <w:num w:numId="16">
    <w:abstractNumId w:val="16"/>
  </w:num>
  <w:num w:numId="17">
    <w:abstractNumId w:val="34"/>
  </w:num>
  <w:num w:numId="18">
    <w:abstractNumId w:val="47"/>
  </w:num>
  <w:num w:numId="19">
    <w:abstractNumId w:val="32"/>
  </w:num>
  <w:num w:numId="20">
    <w:abstractNumId w:val="71"/>
  </w:num>
  <w:num w:numId="21">
    <w:abstractNumId w:val="13"/>
  </w:num>
  <w:num w:numId="22">
    <w:abstractNumId w:val="12"/>
  </w:num>
  <w:num w:numId="23">
    <w:abstractNumId w:val="4"/>
  </w:num>
  <w:num w:numId="24">
    <w:abstractNumId w:val="53"/>
  </w:num>
  <w:num w:numId="25">
    <w:abstractNumId w:val="38"/>
  </w:num>
  <w:num w:numId="26">
    <w:abstractNumId w:val="33"/>
  </w:num>
  <w:num w:numId="27">
    <w:abstractNumId w:val="69"/>
  </w:num>
  <w:num w:numId="28">
    <w:abstractNumId w:val="27"/>
  </w:num>
  <w:num w:numId="29">
    <w:abstractNumId w:val="25"/>
  </w:num>
  <w:num w:numId="30">
    <w:abstractNumId w:val="11"/>
  </w:num>
  <w:num w:numId="31">
    <w:abstractNumId w:val="64"/>
  </w:num>
  <w:num w:numId="32">
    <w:abstractNumId w:val="66"/>
  </w:num>
  <w:num w:numId="33">
    <w:abstractNumId w:val="61"/>
  </w:num>
  <w:num w:numId="34">
    <w:abstractNumId w:val="14"/>
  </w:num>
  <w:num w:numId="35">
    <w:abstractNumId w:val="65"/>
  </w:num>
  <w:num w:numId="36">
    <w:abstractNumId w:val="0"/>
  </w:num>
  <w:num w:numId="37">
    <w:abstractNumId w:val="62"/>
  </w:num>
  <w:num w:numId="38">
    <w:abstractNumId w:val="18"/>
  </w:num>
  <w:num w:numId="39">
    <w:abstractNumId w:val="23"/>
  </w:num>
  <w:num w:numId="40">
    <w:abstractNumId w:val="70"/>
  </w:num>
  <w:num w:numId="41">
    <w:abstractNumId w:val="43"/>
  </w:num>
  <w:num w:numId="42">
    <w:abstractNumId w:val="21"/>
  </w:num>
  <w:num w:numId="43">
    <w:abstractNumId w:val="56"/>
  </w:num>
  <w:num w:numId="44">
    <w:abstractNumId w:val="24"/>
  </w:num>
  <w:num w:numId="45">
    <w:abstractNumId w:val="48"/>
  </w:num>
  <w:num w:numId="46">
    <w:abstractNumId w:val="54"/>
  </w:num>
  <w:num w:numId="47">
    <w:abstractNumId w:val="52"/>
  </w:num>
  <w:num w:numId="48">
    <w:abstractNumId w:val="63"/>
  </w:num>
  <w:num w:numId="49">
    <w:abstractNumId w:val="50"/>
  </w:num>
  <w:num w:numId="50">
    <w:abstractNumId w:val="40"/>
  </w:num>
  <w:num w:numId="51">
    <w:abstractNumId w:val="59"/>
  </w:num>
  <w:num w:numId="52">
    <w:abstractNumId w:val="28"/>
  </w:num>
  <w:num w:numId="53">
    <w:abstractNumId w:val="19"/>
  </w:num>
  <w:num w:numId="54">
    <w:abstractNumId w:val="39"/>
  </w:num>
  <w:num w:numId="55">
    <w:abstractNumId w:val="26"/>
  </w:num>
  <w:num w:numId="56">
    <w:abstractNumId w:val="57"/>
  </w:num>
  <w:num w:numId="57">
    <w:abstractNumId w:val="46"/>
  </w:num>
  <w:num w:numId="58">
    <w:abstractNumId w:val="60"/>
  </w:num>
  <w:num w:numId="59">
    <w:abstractNumId w:val="30"/>
  </w:num>
  <w:num w:numId="60">
    <w:abstractNumId w:val="35"/>
  </w:num>
  <w:num w:numId="61">
    <w:abstractNumId w:val="20"/>
  </w:num>
  <w:num w:numId="62">
    <w:abstractNumId w:val="36"/>
  </w:num>
  <w:num w:numId="63">
    <w:abstractNumId w:val="15"/>
  </w:num>
  <w:num w:numId="64">
    <w:abstractNumId w:val="68"/>
  </w:num>
  <w:num w:numId="65">
    <w:abstractNumId w:val="31"/>
  </w:num>
  <w:num w:numId="66">
    <w:abstractNumId w:val="58"/>
  </w:num>
  <w:num w:numId="67">
    <w:abstractNumId w:val="37"/>
  </w:num>
  <w:num w:numId="68">
    <w:abstractNumId w:val="45"/>
  </w:num>
  <w:num w:numId="69">
    <w:abstractNumId w:val="42"/>
  </w:num>
  <w:num w:numId="70">
    <w:abstractNumId w:val="22"/>
  </w:num>
  <w:num w:numId="71">
    <w:abstractNumId w:val="41"/>
  </w:num>
  <w:num w:numId="72">
    <w:abstractNumId w:val="1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FB"/>
    <w:rsid w:val="0000143A"/>
    <w:rsid w:val="0000156D"/>
    <w:rsid w:val="000020E1"/>
    <w:rsid w:val="000023B1"/>
    <w:rsid w:val="00004311"/>
    <w:rsid w:val="000052AB"/>
    <w:rsid w:val="00005F0E"/>
    <w:rsid w:val="00006575"/>
    <w:rsid w:val="00006B35"/>
    <w:rsid w:val="00006E96"/>
    <w:rsid w:val="0001282C"/>
    <w:rsid w:val="000130A9"/>
    <w:rsid w:val="000166DB"/>
    <w:rsid w:val="00016BDD"/>
    <w:rsid w:val="00020B0D"/>
    <w:rsid w:val="0002100A"/>
    <w:rsid w:val="00021172"/>
    <w:rsid w:val="000215E4"/>
    <w:rsid w:val="00022670"/>
    <w:rsid w:val="0002651F"/>
    <w:rsid w:val="00027FA3"/>
    <w:rsid w:val="000306C5"/>
    <w:rsid w:val="000307DF"/>
    <w:rsid w:val="00032A42"/>
    <w:rsid w:val="00032ED4"/>
    <w:rsid w:val="00032EF7"/>
    <w:rsid w:val="000348DF"/>
    <w:rsid w:val="00034C24"/>
    <w:rsid w:val="0003575A"/>
    <w:rsid w:val="00035A91"/>
    <w:rsid w:val="0004002F"/>
    <w:rsid w:val="0004386D"/>
    <w:rsid w:val="00043D2E"/>
    <w:rsid w:val="00044769"/>
    <w:rsid w:val="00045549"/>
    <w:rsid w:val="00045F07"/>
    <w:rsid w:val="00053E6A"/>
    <w:rsid w:val="000543AE"/>
    <w:rsid w:val="0005496C"/>
    <w:rsid w:val="000553CA"/>
    <w:rsid w:val="00055BD3"/>
    <w:rsid w:val="000608EA"/>
    <w:rsid w:val="0006198D"/>
    <w:rsid w:val="00064A91"/>
    <w:rsid w:val="00064B59"/>
    <w:rsid w:val="00066177"/>
    <w:rsid w:val="00067A4A"/>
    <w:rsid w:val="000706AD"/>
    <w:rsid w:val="000710B2"/>
    <w:rsid w:val="00074997"/>
    <w:rsid w:val="00077B1A"/>
    <w:rsid w:val="0008129C"/>
    <w:rsid w:val="00082961"/>
    <w:rsid w:val="000832A2"/>
    <w:rsid w:val="000832CF"/>
    <w:rsid w:val="00083841"/>
    <w:rsid w:val="0008446E"/>
    <w:rsid w:val="000857C8"/>
    <w:rsid w:val="00085F23"/>
    <w:rsid w:val="000861A3"/>
    <w:rsid w:val="00086A89"/>
    <w:rsid w:val="00087785"/>
    <w:rsid w:val="000900EA"/>
    <w:rsid w:val="0009017C"/>
    <w:rsid w:val="00091E40"/>
    <w:rsid w:val="0009387D"/>
    <w:rsid w:val="00094575"/>
    <w:rsid w:val="00094BE8"/>
    <w:rsid w:val="00096201"/>
    <w:rsid w:val="00096CC3"/>
    <w:rsid w:val="000A0484"/>
    <w:rsid w:val="000A210C"/>
    <w:rsid w:val="000A547A"/>
    <w:rsid w:val="000A6D82"/>
    <w:rsid w:val="000A728E"/>
    <w:rsid w:val="000A72D5"/>
    <w:rsid w:val="000A75C9"/>
    <w:rsid w:val="000B1D6D"/>
    <w:rsid w:val="000B2831"/>
    <w:rsid w:val="000B3B8A"/>
    <w:rsid w:val="000B4B49"/>
    <w:rsid w:val="000B65DC"/>
    <w:rsid w:val="000B6742"/>
    <w:rsid w:val="000B6CAD"/>
    <w:rsid w:val="000B71CF"/>
    <w:rsid w:val="000B781F"/>
    <w:rsid w:val="000B7CC3"/>
    <w:rsid w:val="000C0254"/>
    <w:rsid w:val="000C58C3"/>
    <w:rsid w:val="000C6966"/>
    <w:rsid w:val="000C7B37"/>
    <w:rsid w:val="000D05D5"/>
    <w:rsid w:val="000D0EC9"/>
    <w:rsid w:val="000D1EA1"/>
    <w:rsid w:val="000D2093"/>
    <w:rsid w:val="000D2269"/>
    <w:rsid w:val="000D244D"/>
    <w:rsid w:val="000D2603"/>
    <w:rsid w:val="000D3E54"/>
    <w:rsid w:val="000D49E5"/>
    <w:rsid w:val="000D4E19"/>
    <w:rsid w:val="000D7DAB"/>
    <w:rsid w:val="000E04E6"/>
    <w:rsid w:val="000E1489"/>
    <w:rsid w:val="000E2AA5"/>
    <w:rsid w:val="000E32FF"/>
    <w:rsid w:val="000E59F6"/>
    <w:rsid w:val="000E5CB0"/>
    <w:rsid w:val="000E6883"/>
    <w:rsid w:val="000E6AFC"/>
    <w:rsid w:val="000F3207"/>
    <w:rsid w:val="000F4DD7"/>
    <w:rsid w:val="000F500D"/>
    <w:rsid w:val="000F65BE"/>
    <w:rsid w:val="00102EB2"/>
    <w:rsid w:val="001046F9"/>
    <w:rsid w:val="00105CC8"/>
    <w:rsid w:val="00106486"/>
    <w:rsid w:val="001108B3"/>
    <w:rsid w:val="00110F57"/>
    <w:rsid w:val="001110E9"/>
    <w:rsid w:val="00112A9D"/>
    <w:rsid w:val="00113F09"/>
    <w:rsid w:val="00120114"/>
    <w:rsid w:val="00120B97"/>
    <w:rsid w:val="00120FA2"/>
    <w:rsid w:val="001219B8"/>
    <w:rsid w:val="001247FE"/>
    <w:rsid w:val="00124D9E"/>
    <w:rsid w:val="001258AE"/>
    <w:rsid w:val="00126803"/>
    <w:rsid w:val="00127A4D"/>
    <w:rsid w:val="001306C7"/>
    <w:rsid w:val="001339FD"/>
    <w:rsid w:val="00133BD5"/>
    <w:rsid w:val="00134271"/>
    <w:rsid w:val="00135217"/>
    <w:rsid w:val="00135437"/>
    <w:rsid w:val="00135E5E"/>
    <w:rsid w:val="00135EEC"/>
    <w:rsid w:val="00135F19"/>
    <w:rsid w:val="00137D76"/>
    <w:rsid w:val="00141098"/>
    <w:rsid w:val="001418FA"/>
    <w:rsid w:val="001425B3"/>
    <w:rsid w:val="00142EB9"/>
    <w:rsid w:val="00142FB7"/>
    <w:rsid w:val="0014339A"/>
    <w:rsid w:val="00144DA4"/>
    <w:rsid w:val="00145F3A"/>
    <w:rsid w:val="00150811"/>
    <w:rsid w:val="00152177"/>
    <w:rsid w:val="0015241B"/>
    <w:rsid w:val="00155698"/>
    <w:rsid w:val="00155D50"/>
    <w:rsid w:val="001563CC"/>
    <w:rsid w:val="0015644C"/>
    <w:rsid w:val="0015741C"/>
    <w:rsid w:val="00157474"/>
    <w:rsid w:val="00160696"/>
    <w:rsid w:val="001613FF"/>
    <w:rsid w:val="001619E4"/>
    <w:rsid w:val="00161CD8"/>
    <w:rsid w:val="0017207C"/>
    <w:rsid w:val="00172E49"/>
    <w:rsid w:val="00172EE6"/>
    <w:rsid w:val="00173641"/>
    <w:rsid w:val="00174204"/>
    <w:rsid w:val="00176355"/>
    <w:rsid w:val="001800A0"/>
    <w:rsid w:val="001803C2"/>
    <w:rsid w:val="00180720"/>
    <w:rsid w:val="00180CDD"/>
    <w:rsid w:val="00181165"/>
    <w:rsid w:val="00182E71"/>
    <w:rsid w:val="00190477"/>
    <w:rsid w:val="00191435"/>
    <w:rsid w:val="00191F53"/>
    <w:rsid w:val="001925B5"/>
    <w:rsid w:val="00192D80"/>
    <w:rsid w:val="001948AB"/>
    <w:rsid w:val="00196BB0"/>
    <w:rsid w:val="00196CC8"/>
    <w:rsid w:val="001A02E4"/>
    <w:rsid w:val="001A1144"/>
    <w:rsid w:val="001A2FE5"/>
    <w:rsid w:val="001A547F"/>
    <w:rsid w:val="001A5BB6"/>
    <w:rsid w:val="001A61B9"/>
    <w:rsid w:val="001A7A81"/>
    <w:rsid w:val="001B0340"/>
    <w:rsid w:val="001B147A"/>
    <w:rsid w:val="001B22C0"/>
    <w:rsid w:val="001B27C4"/>
    <w:rsid w:val="001B3A82"/>
    <w:rsid w:val="001B6376"/>
    <w:rsid w:val="001B6B15"/>
    <w:rsid w:val="001B75A5"/>
    <w:rsid w:val="001B7C35"/>
    <w:rsid w:val="001C0967"/>
    <w:rsid w:val="001C0AD8"/>
    <w:rsid w:val="001C0F29"/>
    <w:rsid w:val="001C168E"/>
    <w:rsid w:val="001C2F2B"/>
    <w:rsid w:val="001C55AF"/>
    <w:rsid w:val="001C673A"/>
    <w:rsid w:val="001C7D1B"/>
    <w:rsid w:val="001D0287"/>
    <w:rsid w:val="001D0E21"/>
    <w:rsid w:val="001D1B32"/>
    <w:rsid w:val="001D421C"/>
    <w:rsid w:val="001D441F"/>
    <w:rsid w:val="001D4C22"/>
    <w:rsid w:val="001D4C99"/>
    <w:rsid w:val="001D4DEB"/>
    <w:rsid w:val="001D5628"/>
    <w:rsid w:val="001D78F8"/>
    <w:rsid w:val="001E01AD"/>
    <w:rsid w:val="001E161B"/>
    <w:rsid w:val="001E2C60"/>
    <w:rsid w:val="001E2F76"/>
    <w:rsid w:val="001E3275"/>
    <w:rsid w:val="001E368D"/>
    <w:rsid w:val="001E5281"/>
    <w:rsid w:val="001E56CA"/>
    <w:rsid w:val="001E6740"/>
    <w:rsid w:val="001E67D7"/>
    <w:rsid w:val="001E6B8A"/>
    <w:rsid w:val="001E6F3F"/>
    <w:rsid w:val="001E7A34"/>
    <w:rsid w:val="001F0F7A"/>
    <w:rsid w:val="001F1332"/>
    <w:rsid w:val="001F2059"/>
    <w:rsid w:val="001F2566"/>
    <w:rsid w:val="001F43FD"/>
    <w:rsid w:val="001F4D9A"/>
    <w:rsid w:val="001F578A"/>
    <w:rsid w:val="001F5B34"/>
    <w:rsid w:val="001F5FEE"/>
    <w:rsid w:val="0020169C"/>
    <w:rsid w:val="00203901"/>
    <w:rsid w:val="00206796"/>
    <w:rsid w:val="00207490"/>
    <w:rsid w:val="00212F1D"/>
    <w:rsid w:val="0021527C"/>
    <w:rsid w:val="00220A7D"/>
    <w:rsid w:val="00222CC9"/>
    <w:rsid w:val="00224942"/>
    <w:rsid w:val="00224BF9"/>
    <w:rsid w:val="00225E4A"/>
    <w:rsid w:val="00231102"/>
    <w:rsid w:val="00231CDB"/>
    <w:rsid w:val="0023273C"/>
    <w:rsid w:val="0023347E"/>
    <w:rsid w:val="00235188"/>
    <w:rsid w:val="002351B4"/>
    <w:rsid w:val="00235F30"/>
    <w:rsid w:val="00235FF0"/>
    <w:rsid w:val="00236984"/>
    <w:rsid w:val="002374C0"/>
    <w:rsid w:val="00240A7B"/>
    <w:rsid w:val="00242743"/>
    <w:rsid w:val="0024325E"/>
    <w:rsid w:val="002437C0"/>
    <w:rsid w:val="00243FE8"/>
    <w:rsid w:val="00244AA4"/>
    <w:rsid w:val="0024515F"/>
    <w:rsid w:val="00245711"/>
    <w:rsid w:val="00255134"/>
    <w:rsid w:val="00255A8C"/>
    <w:rsid w:val="002560BD"/>
    <w:rsid w:val="00257011"/>
    <w:rsid w:val="00257E15"/>
    <w:rsid w:val="00262527"/>
    <w:rsid w:val="002631F1"/>
    <w:rsid w:val="00264DF6"/>
    <w:rsid w:val="002664FA"/>
    <w:rsid w:val="00267279"/>
    <w:rsid w:val="00267724"/>
    <w:rsid w:val="00267A57"/>
    <w:rsid w:val="00270734"/>
    <w:rsid w:val="002711F8"/>
    <w:rsid w:val="00273280"/>
    <w:rsid w:val="00275B5D"/>
    <w:rsid w:val="002767A0"/>
    <w:rsid w:val="00277374"/>
    <w:rsid w:val="00280CA3"/>
    <w:rsid w:val="002829FC"/>
    <w:rsid w:val="00282E9E"/>
    <w:rsid w:val="0028380E"/>
    <w:rsid w:val="0028390B"/>
    <w:rsid w:val="00283A3D"/>
    <w:rsid w:val="0028566D"/>
    <w:rsid w:val="0028571A"/>
    <w:rsid w:val="00285950"/>
    <w:rsid w:val="002921F2"/>
    <w:rsid w:val="00295A69"/>
    <w:rsid w:val="00295D9E"/>
    <w:rsid w:val="002964A0"/>
    <w:rsid w:val="002A1755"/>
    <w:rsid w:val="002A3600"/>
    <w:rsid w:val="002A7461"/>
    <w:rsid w:val="002B29D5"/>
    <w:rsid w:val="002B31BB"/>
    <w:rsid w:val="002B5823"/>
    <w:rsid w:val="002B61FC"/>
    <w:rsid w:val="002B6C88"/>
    <w:rsid w:val="002C0658"/>
    <w:rsid w:val="002C1F32"/>
    <w:rsid w:val="002C2243"/>
    <w:rsid w:val="002C3296"/>
    <w:rsid w:val="002C44C1"/>
    <w:rsid w:val="002C46CA"/>
    <w:rsid w:val="002C471E"/>
    <w:rsid w:val="002C5137"/>
    <w:rsid w:val="002D0CB6"/>
    <w:rsid w:val="002D25A2"/>
    <w:rsid w:val="002D3949"/>
    <w:rsid w:val="002D4029"/>
    <w:rsid w:val="002D4C55"/>
    <w:rsid w:val="002E0294"/>
    <w:rsid w:val="002E181F"/>
    <w:rsid w:val="002E31A6"/>
    <w:rsid w:val="002E3354"/>
    <w:rsid w:val="002E38B5"/>
    <w:rsid w:val="002E3B38"/>
    <w:rsid w:val="002E4A6D"/>
    <w:rsid w:val="002E4A99"/>
    <w:rsid w:val="002E78FA"/>
    <w:rsid w:val="002F0E6E"/>
    <w:rsid w:val="002F10D3"/>
    <w:rsid w:val="002F14CF"/>
    <w:rsid w:val="002F3DE1"/>
    <w:rsid w:val="002F400F"/>
    <w:rsid w:val="002F4B7C"/>
    <w:rsid w:val="002F5BD7"/>
    <w:rsid w:val="003005DF"/>
    <w:rsid w:val="00301867"/>
    <w:rsid w:val="0030378A"/>
    <w:rsid w:val="00303AF8"/>
    <w:rsid w:val="00304617"/>
    <w:rsid w:val="00304A48"/>
    <w:rsid w:val="0030525D"/>
    <w:rsid w:val="00306F32"/>
    <w:rsid w:val="00307EDB"/>
    <w:rsid w:val="00310B43"/>
    <w:rsid w:val="003121A2"/>
    <w:rsid w:val="00312BBF"/>
    <w:rsid w:val="00313BF2"/>
    <w:rsid w:val="0031551B"/>
    <w:rsid w:val="00315925"/>
    <w:rsid w:val="00315CB7"/>
    <w:rsid w:val="00315D21"/>
    <w:rsid w:val="00315F0A"/>
    <w:rsid w:val="003161AB"/>
    <w:rsid w:val="0031698E"/>
    <w:rsid w:val="00320CA6"/>
    <w:rsid w:val="00320F87"/>
    <w:rsid w:val="003214F6"/>
    <w:rsid w:val="00322D73"/>
    <w:rsid w:val="00324CBE"/>
    <w:rsid w:val="003254EA"/>
    <w:rsid w:val="00331D56"/>
    <w:rsid w:val="0033218A"/>
    <w:rsid w:val="00334239"/>
    <w:rsid w:val="00335797"/>
    <w:rsid w:val="003403B6"/>
    <w:rsid w:val="00340E0C"/>
    <w:rsid w:val="0034120B"/>
    <w:rsid w:val="00341624"/>
    <w:rsid w:val="00341A6B"/>
    <w:rsid w:val="00342400"/>
    <w:rsid w:val="00342E1D"/>
    <w:rsid w:val="00346612"/>
    <w:rsid w:val="00347C81"/>
    <w:rsid w:val="00351073"/>
    <w:rsid w:val="00351463"/>
    <w:rsid w:val="00351D6A"/>
    <w:rsid w:val="00352082"/>
    <w:rsid w:val="00353698"/>
    <w:rsid w:val="003600E1"/>
    <w:rsid w:val="0036025D"/>
    <w:rsid w:val="00360D1E"/>
    <w:rsid w:val="0036239E"/>
    <w:rsid w:val="0036280D"/>
    <w:rsid w:val="003655B9"/>
    <w:rsid w:val="0036623A"/>
    <w:rsid w:val="003674FB"/>
    <w:rsid w:val="0037127A"/>
    <w:rsid w:val="00371561"/>
    <w:rsid w:val="00372EBC"/>
    <w:rsid w:val="00372FDF"/>
    <w:rsid w:val="00373618"/>
    <w:rsid w:val="003741C9"/>
    <w:rsid w:val="00374499"/>
    <w:rsid w:val="00375317"/>
    <w:rsid w:val="0038015D"/>
    <w:rsid w:val="00380534"/>
    <w:rsid w:val="0038073C"/>
    <w:rsid w:val="00381350"/>
    <w:rsid w:val="0038137A"/>
    <w:rsid w:val="003819E2"/>
    <w:rsid w:val="00381D24"/>
    <w:rsid w:val="003833B6"/>
    <w:rsid w:val="003836B7"/>
    <w:rsid w:val="00383AF2"/>
    <w:rsid w:val="00385DAA"/>
    <w:rsid w:val="003862AF"/>
    <w:rsid w:val="00386BEC"/>
    <w:rsid w:val="00391F88"/>
    <w:rsid w:val="003928F5"/>
    <w:rsid w:val="0039358B"/>
    <w:rsid w:val="00393614"/>
    <w:rsid w:val="00394CE8"/>
    <w:rsid w:val="00397923"/>
    <w:rsid w:val="00397F09"/>
    <w:rsid w:val="003A1111"/>
    <w:rsid w:val="003A111B"/>
    <w:rsid w:val="003A46FE"/>
    <w:rsid w:val="003A6FF8"/>
    <w:rsid w:val="003A7AD7"/>
    <w:rsid w:val="003B035B"/>
    <w:rsid w:val="003B03A6"/>
    <w:rsid w:val="003B2586"/>
    <w:rsid w:val="003B3504"/>
    <w:rsid w:val="003B3941"/>
    <w:rsid w:val="003B57DF"/>
    <w:rsid w:val="003B5931"/>
    <w:rsid w:val="003B5AA8"/>
    <w:rsid w:val="003B6D7F"/>
    <w:rsid w:val="003C09FE"/>
    <w:rsid w:val="003C142E"/>
    <w:rsid w:val="003C1685"/>
    <w:rsid w:val="003C1DF7"/>
    <w:rsid w:val="003C2547"/>
    <w:rsid w:val="003C25D7"/>
    <w:rsid w:val="003C3A00"/>
    <w:rsid w:val="003C6762"/>
    <w:rsid w:val="003C6BE0"/>
    <w:rsid w:val="003C7432"/>
    <w:rsid w:val="003D1A52"/>
    <w:rsid w:val="003D2C68"/>
    <w:rsid w:val="003D51C2"/>
    <w:rsid w:val="003D5210"/>
    <w:rsid w:val="003D588A"/>
    <w:rsid w:val="003D6A6C"/>
    <w:rsid w:val="003D6B69"/>
    <w:rsid w:val="003D7988"/>
    <w:rsid w:val="003E0617"/>
    <w:rsid w:val="003E1677"/>
    <w:rsid w:val="003E2B04"/>
    <w:rsid w:val="003E2F66"/>
    <w:rsid w:val="003E53A1"/>
    <w:rsid w:val="003E633D"/>
    <w:rsid w:val="003E6577"/>
    <w:rsid w:val="003F08D4"/>
    <w:rsid w:val="003F26F2"/>
    <w:rsid w:val="003F27A3"/>
    <w:rsid w:val="003F27FB"/>
    <w:rsid w:val="003F2D8B"/>
    <w:rsid w:val="003F3D53"/>
    <w:rsid w:val="003F3EA9"/>
    <w:rsid w:val="003F4000"/>
    <w:rsid w:val="003F5983"/>
    <w:rsid w:val="0040189D"/>
    <w:rsid w:val="00402F8A"/>
    <w:rsid w:val="004039F4"/>
    <w:rsid w:val="004044AC"/>
    <w:rsid w:val="00405050"/>
    <w:rsid w:val="00406737"/>
    <w:rsid w:val="004109C5"/>
    <w:rsid w:val="00410DF4"/>
    <w:rsid w:val="00411178"/>
    <w:rsid w:val="004121AF"/>
    <w:rsid w:val="004126CB"/>
    <w:rsid w:val="00413218"/>
    <w:rsid w:val="00415B19"/>
    <w:rsid w:val="00416D08"/>
    <w:rsid w:val="004172B4"/>
    <w:rsid w:val="00417C7F"/>
    <w:rsid w:val="00417D08"/>
    <w:rsid w:val="00420513"/>
    <w:rsid w:val="004211FA"/>
    <w:rsid w:val="004214E8"/>
    <w:rsid w:val="0042299D"/>
    <w:rsid w:val="00423667"/>
    <w:rsid w:val="00423BB4"/>
    <w:rsid w:val="004242E9"/>
    <w:rsid w:val="00425A04"/>
    <w:rsid w:val="00425E41"/>
    <w:rsid w:val="00426DB8"/>
    <w:rsid w:val="00426F82"/>
    <w:rsid w:val="00427A24"/>
    <w:rsid w:val="004312D3"/>
    <w:rsid w:val="00431D21"/>
    <w:rsid w:val="00434AFB"/>
    <w:rsid w:val="0043536A"/>
    <w:rsid w:val="004371AA"/>
    <w:rsid w:val="0044066F"/>
    <w:rsid w:val="00446F8C"/>
    <w:rsid w:val="00447BDB"/>
    <w:rsid w:val="00450F86"/>
    <w:rsid w:val="0045173C"/>
    <w:rsid w:val="0045259C"/>
    <w:rsid w:val="00454E2D"/>
    <w:rsid w:val="00455E34"/>
    <w:rsid w:val="004570C7"/>
    <w:rsid w:val="00462B47"/>
    <w:rsid w:val="00462F9C"/>
    <w:rsid w:val="00464D21"/>
    <w:rsid w:val="00466C78"/>
    <w:rsid w:val="00472C3B"/>
    <w:rsid w:val="00472E44"/>
    <w:rsid w:val="00474E86"/>
    <w:rsid w:val="00476D0D"/>
    <w:rsid w:val="00477BDA"/>
    <w:rsid w:val="004801F6"/>
    <w:rsid w:val="00481DCC"/>
    <w:rsid w:val="004834AA"/>
    <w:rsid w:val="00485CFF"/>
    <w:rsid w:val="00486BBA"/>
    <w:rsid w:val="00487595"/>
    <w:rsid w:val="0049088B"/>
    <w:rsid w:val="004915A3"/>
    <w:rsid w:val="00491675"/>
    <w:rsid w:val="004935AF"/>
    <w:rsid w:val="00493FB6"/>
    <w:rsid w:val="004968E7"/>
    <w:rsid w:val="004A1912"/>
    <w:rsid w:val="004A2510"/>
    <w:rsid w:val="004A2D53"/>
    <w:rsid w:val="004A3B21"/>
    <w:rsid w:val="004A61F7"/>
    <w:rsid w:val="004A6DB6"/>
    <w:rsid w:val="004B2D69"/>
    <w:rsid w:val="004B3BD7"/>
    <w:rsid w:val="004B5D45"/>
    <w:rsid w:val="004B7556"/>
    <w:rsid w:val="004C1476"/>
    <w:rsid w:val="004C3803"/>
    <w:rsid w:val="004C3C28"/>
    <w:rsid w:val="004C543A"/>
    <w:rsid w:val="004C5941"/>
    <w:rsid w:val="004C5B39"/>
    <w:rsid w:val="004C7996"/>
    <w:rsid w:val="004D1399"/>
    <w:rsid w:val="004D411C"/>
    <w:rsid w:val="004D7857"/>
    <w:rsid w:val="004D7A17"/>
    <w:rsid w:val="004E2AC6"/>
    <w:rsid w:val="004E3316"/>
    <w:rsid w:val="004E5FA8"/>
    <w:rsid w:val="004F189E"/>
    <w:rsid w:val="004F434A"/>
    <w:rsid w:val="004F4D65"/>
    <w:rsid w:val="004F59E9"/>
    <w:rsid w:val="004F6F91"/>
    <w:rsid w:val="004F7733"/>
    <w:rsid w:val="005010E5"/>
    <w:rsid w:val="00501219"/>
    <w:rsid w:val="005019A1"/>
    <w:rsid w:val="005031EA"/>
    <w:rsid w:val="00504523"/>
    <w:rsid w:val="00505B0E"/>
    <w:rsid w:val="0050674B"/>
    <w:rsid w:val="00512E38"/>
    <w:rsid w:val="00513118"/>
    <w:rsid w:val="00513B7F"/>
    <w:rsid w:val="005142D5"/>
    <w:rsid w:val="005147FB"/>
    <w:rsid w:val="00514AA9"/>
    <w:rsid w:val="005169DB"/>
    <w:rsid w:val="00516BE0"/>
    <w:rsid w:val="00520004"/>
    <w:rsid w:val="005234FA"/>
    <w:rsid w:val="00524084"/>
    <w:rsid w:val="00524B14"/>
    <w:rsid w:val="0052507B"/>
    <w:rsid w:val="005252B3"/>
    <w:rsid w:val="00525AE5"/>
    <w:rsid w:val="00525CEB"/>
    <w:rsid w:val="00527157"/>
    <w:rsid w:val="00530BC2"/>
    <w:rsid w:val="00531037"/>
    <w:rsid w:val="00531508"/>
    <w:rsid w:val="0053212B"/>
    <w:rsid w:val="005328DC"/>
    <w:rsid w:val="00534E8C"/>
    <w:rsid w:val="00535191"/>
    <w:rsid w:val="00536C9D"/>
    <w:rsid w:val="0053768F"/>
    <w:rsid w:val="00537E26"/>
    <w:rsid w:val="00540617"/>
    <w:rsid w:val="005411FD"/>
    <w:rsid w:val="005437D2"/>
    <w:rsid w:val="0054478D"/>
    <w:rsid w:val="005449AF"/>
    <w:rsid w:val="0054627A"/>
    <w:rsid w:val="00546323"/>
    <w:rsid w:val="00546367"/>
    <w:rsid w:val="0054647D"/>
    <w:rsid w:val="00546EC0"/>
    <w:rsid w:val="00546F5C"/>
    <w:rsid w:val="00547118"/>
    <w:rsid w:val="0055019D"/>
    <w:rsid w:val="0055094E"/>
    <w:rsid w:val="00555232"/>
    <w:rsid w:val="00555A20"/>
    <w:rsid w:val="00556E35"/>
    <w:rsid w:val="00557F39"/>
    <w:rsid w:val="005601AC"/>
    <w:rsid w:val="005604BF"/>
    <w:rsid w:val="00560CAB"/>
    <w:rsid w:val="005614AB"/>
    <w:rsid w:val="00562F7A"/>
    <w:rsid w:val="005657F8"/>
    <w:rsid w:val="00565EA8"/>
    <w:rsid w:val="00567263"/>
    <w:rsid w:val="00567F73"/>
    <w:rsid w:val="005750BC"/>
    <w:rsid w:val="005750C7"/>
    <w:rsid w:val="0057612B"/>
    <w:rsid w:val="0057707D"/>
    <w:rsid w:val="0058096D"/>
    <w:rsid w:val="005832D8"/>
    <w:rsid w:val="0058382C"/>
    <w:rsid w:val="00583D52"/>
    <w:rsid w:val="00584025"/>
    <w:rsid w:val="005920F3"/>
    <w:rsid w:val="005929F1"/>
    <w:rsid w:val="005935B0"/>
    <w:rsid w:val="0059424C"/>
    <w:rsid w:val="00594E29"/>
    <w:rsid w:val="00595088"/>
    <w:rsid w:val="00595368"/>
    <w:rsid w:val="00596DC0"/>
    <w:rsid w:val="00596F71"/>
    <w:rsid w:val="005A0448"/>
    <w:rsid w:val="005A3607"/>
    <w:rsid w:val="005A417E"/>
    <w:rsid w:val="005A469A"/>
    <w:rsid w:val="005B498E"/>
    <w:rsid w:val="005B5473"/>
    <w:rsid w:val="005B566A"/>
    <w:rsid w:val="005B6A08"/>
    <w:rsid w:val="005B73EE"/>
    <w:rsid w:val="005C12E1"/>
    <w:rsid w:val="005C18F0"/>
    <w:rsid w:val="005C3B8E"/>
    <w:rsid w:val="005C3C56"/>
    <w:rsid w:val="005C541C"/>
    <w:rsid w:val="005C65FE"/>
    <w:rsid w:val="005C6E11"/>
    <w:rsid w:val="005D2108"/>
    <w:rsid w:val="005D40FB"/>
    <w:rsid w:val="005D46FB"/>
    <w:rsid w:val="005E045C"/>
    <w:rsid w:val="005E0C65"/>
    <w:rsid w:val="005E2453"/>
    <w:rsid w:val="005E7A1D"/>
    <w:rsid w:val="005F04D3"/>
    <w:rsid w:val="005F0807"/>
    <w:rsid w:val="005F0E86"/>
    <w:rsid w:val="005F2AD7"/>
    <w:rsid w:val="005F32AC"/>
    <w:rsid w:val="005F32FC"/>
    <w:rsid w:val="005F3406"/>
    <w:rsid w:val="005F52ED"/>
    <w:rsid w:val="005F5DBB"/>
    <w:rsid w:val="005F5DC3"/>
    <w:rsid w:val="005F6635"/>
    <w:rsid w:val="00600362"/>
    <w:rsid w:val="00601A89"/>
    <w:rsid w:val="00601D08"/>
    <w:rsid w:val="006020FA"/>
    <w:rsid w:val="00602457"/>
    <w:rsid w:val="006030E5"/>
    <w:rsid w:val="00604379"/>
    <w:rsid w:val="00611BC7"/>
    <w:rsid w:val="0061232B"/>
    <w:rsid w:val="00612450"/>
    <w:rsid w:val="006125E6"/>
    <w:rsid w:val="006134A8"/>
    <w:rsid w:val="0061397F"/>
    <w:rsid w:val="00613D1F"/>
    <w:rsid w:val="00614D7F"/>
    <w:rsid w:val="0062258F"/>
    <w:rsid w:val="006259DB"/>
    <w:rsid w:val="006272A2"/>
    <w:rsid w:val="0063316A"/>
    <w:rsid w:val="00634EA8"/>
    <w:rsid w:val="00635D0E"/>
    <w:rsid w:val="006360F7"/>
    <w:rsid w:val="00636555"/>
    <w:rsid w:val="00637187"/>
    <w:rsid w:val="00637374"/>
    <w:rsid w:val="00637A65"/>
    <w:rsid w:val="00642321"/>
    <w:rsid w:val="00644CA3"/>
    <w:rsid w:val="0064542D"/>
    <w:rsid w:val="0064631E"/>
    <w:rsid w:val="00646FED"/>
    <w:rsid w:val="006506F9"/>
    <w:rsid w:val="00651A88"/>
    <w:rsid w:val="006529F1"/>
    <w:rsid w:val="00653DA9"/>
    <w:rsid w:val="006553B6"/>
    <w:rsid w:val="00655F60"/>
    <w:rsid w:val="00656F23"/>
    <w:rsid w:val="00656FFE"/>
    <w:rsid w:val="00662A20"/>
    <w:rsid w:val="00662A7B"/>
    <w:rsid w:val="00663037"/>
    <w:rsid w:val="00664E10"/>
    <w:rsid w:val="00665972"/>
    <w:rsid w:val="006667EE"/>
    <w:rsid w:val="00670BFA"/>
    <w:rsid w:val="006716F3"/>
    <w:rsid w:val="00674CBA"/>
    <w:rsid w:val="00675394"/>
    <w:rsid w:val="006811AB"/>
    <w:rsid w:val="006820C9"/>
    <w:rsid w:val="006821D7"/>
    <w:rsid w:val="0068281A"/>
    <w:rsid w:val="00684647"/>
    <w:rsid w:val="00684BB0"/>
    <w:rsid w:val="00684F30"/>
    <w:rsid w:val="006871E2"/>
    <w:rsid w:val="00690FAF"/>
    <w:rsid w:val="00691D80"/>
    <w:rsid w:val="0069201D"/>
    <w:rsid w:val="00692684"/>
    <w:rsid w:val="00693D60"/>
    <w:rsid w:val="00695048"/>
    <w:rsid w:val="00695ECC"/>
    <w:rsid w:val="006A1ADD"/>
    <w:rsid w:val="006A2D67"/>
    <w:rsid w:val="006A2DCC"/>
    <w:rsid w:val="006A630C"/>
    <w:rsid w:val="006A7123"/>
    <w:rsid w:val="006A7797"/>
    <w:rsid w:val="006A77AE"/>
    <w:rsid w:val="006B0276"/>
    <w:rsid w:val="006B1567"/>
    <w:rsid w:val="006B2384"/>
    <w:rsid w:val="006B250C"/>
    <w:rsid w:val="006B28A0"/>
    <w:rsid w:val="006B30EB"/>
    <w:rsid w:val="006B33E1"/>
    <w:rsid w:val="006B34EC"/>
    <w:rsid w:val="006B4DFC"/>
    <w:rsid w:val="006B533D"/>
    <w:rsid w:val="006B53DA"/>
    <w:rsid w:val="006B5618"/>
    <w:rsid w:val="006B5C0C"/>
    <w:rsid w:val="006B7717"/>
    <w:rsid w:val="006C11FC"/>
    <w:rsid w:val="006C1581"/>
    <w:rsid w:val="006C343F"/>
    <w:rsid w:val="006C49A0"/>
    <w:rsid w:val="006C59D9"/>
    <w:rsid w:val="006C6FCC"/>
    <w:rsid w:val="006C741F"/>
    <w:rsid w:val="006D07B0"/>
    <w:rsid w:val="006D0A0E"/>
    <w:rsid w:val="006D3877"/>
    <w:rsid w:val="006D4B56"/>
    <w:rsid w:val="006D63BA"/>
    <w:rsid w:val="006E1FE6"/>
    <w:rsid w:val="006E21F7"/>
    <w:rsid w:val="006E23E7"/>
    <w:rsid w:val="006E348D"/>
    <w:rsid w:val="006E39AE"/>
    <w:rsid w:val="006E3BCF"/>
    <w:rsid w:val="006E4403"/>
    <w:rsid w:val="006E4582"/>
    <w:rsid w:val="006E558E"/>
    <w:rsid w:val="006E5BF3"/>
    <w:rsid w:val="006E7EC0"/>
    <w:rsid w:val="006E7F35"/>
    <w:rsid w:val="006F63AF"/>
    <w:rsid w:val="006F7604"/>
    <w:rsid w:val="006F7C1B"/>
    <w:rsid w:val="007014C1"/>
    <w:rsid w:val="007047AE"/>
    <w:rsid w:val="0070511C"/>
    <w:rsid w:val="0070683C"/>
    <w:rsid w:val="007069DD"/>
    <w:rsid w:val="007069EE"/>
    <w:rsid w:val="007107B3"/>
    <w:rsid w:val="00711A83"/>
    <w:rsid w:val="00714CA5"/>
    <w:rsid w:val="007165E0"/>
    <w:rsid w:val="00716A29"/>
    <w:rsid w:val="00716DF3"/>
    <w:rsid w:val="00716F8E"/>
    <w:rsid w:val="00720D3A"/>
    <w:rsid w:val="007223C8"/>
    <w:rsid w:val="00722DE3"/>
    <w:rsid w:val="00722ECC"/>
    <w:rsid w:val="00723AF0"/>
    <w:rsid w:val="00723BFA"/>
    <w:rsid w:val="007243A9"/>
    <w:rsid w:val="00724CC2"/>
    <w:rsid w:val="00731839"/>
    <w:rsid w:val="00732A5C"/>
    <w:rsid w:val="00733267"/>
    <w:rsid w:val="00733B44"/>
    <w:rsid w:val="00740732"/>
    <w:rsid w:val="00742EE3"/>
    <w:rsid w:val="0075025D"/>
    <w:rsid w:val="00750A47"/>
    <w:rsid w:val="00750D3F"/>
    <w:rsid w:val="0075200C"/>
    <w:rsid w:val="007523A2"/>
    <w:rsid w:val="00752406"/>
    <w:rsid w:val="00754110"/>
    <w:rsid w:val="00754A7E"/>
    <w:rsid w:val="007571BA"/>
    <w:rsid w:val="007609EC"/>
    <w:rsid w:val="007612CD"/>
    <w:rsid w:val="007617A6"/>
    <w:rsid w:val="00761D6D"/>
    <w:rsid w:val="00765390"/>
    <w:rsid w:val="0076563D"/>
    <w:rsid w:val="007667CF"/>
    <w:rsid w:val="00766A7A"/>
    <w:rsid w:val="00767AEB"/>
    <w:rsid w:val="00767B4D"/>
    <w:rsid w:val="00771B1A"/>
    <w:rsid w:val="00772D00"/>
    <w:rsid w:val="007807B4"/>
    <w:rsid w:val="00780872"/>
    <w:rsid w:val="00781D21"/>
    <w:rsid w:val="00782C76"/>
    <w:rsid w:val="007849B7"/>
    <w:rsid w:val="00784C18"/>
    <w:rsid w:val="00784E8B"/>
    <w:rsid w:val="007852F8"/>
    <w:rsid w:val="0078655A"/>
    <w:rsid w:val="00786A43"/>
    <w:rsid w:val="00791155"/>
    <w:rsid w:val="0079148F"/>
    <w:rsid w:val="00794846"/>
    <w:rsid w:val="0079547C"/>
    <w:rsid w:val="007956CE"/>
    <w:rsid w:val="00797863"/>
    <w:rsid w:val="007A0640"/>
    <w:rsid w:val="007A129D"/>
    <w:rsid w:val="007A290D"/>
    <w:rsid w:val="007A361A"/>
    <w:rsid w:val="007A3FF4"/>
    <w:rsid w:val="007A6772"/>
    <w:rsid w:val="007A72F4"/>
    <w:rsid w:val="007B009A"/>
    <w:rsid w:val="007B1432"/>
    <w:rsid w:val="007B23A7"/>
    <w:rsid w:val="007B4567"/>
    <w:rsid w:val="007B466F"/>
    <w:rsid w:val="007B5CAC"/>
    <w:rsid w:val="007B653C"/>
    <w:rsid w:val="007B69A0"/>
    <w:rsid w:val="007B74BB"/>
    <w:rsid w:val="007C0FFE"/>
    <w:rsid w:val="007C14D2"/>
    <w:rsid w:val="007C18B8"/>
    <w:rsid w:val="007C2633"/>
    <w:rsid w:val="007C2860"/>
    <w:rsid w:val="007C2B95"/>
    <w:rsid w:val="007C2F34"/>
    <w:rsid w:val="007C36B5"/>
    <w:rsid w:val="007C3BCB"/>
    <w:rsid w:val="007C3D53"/>
    <w:rsid w:val="007C5AD7"/>
    <w:rsid w:val="007C657C"/>
    <w:rsid w:val="007C6FA4"/>
    <w:rsid w:val="007C73AA"/>
    <w:rsid w:val="007D20B3"/>
    <w:rsid w:val="007D2274"/>
    <w:rsid w:val="007D2DE0"/>
    <w:rsid w:val="007D30B0"/>
    <w:rsid w:val="007D3A11"/>
    <w:rsid w:val="007D3AE6"/>
    <w:rsid w:val="007D43CB"/>
    <w:rsid w:val="007D6383"/>
    <w:rsid w:val="007D69D0"/>
    <w:rsid w:val="007D6A1E"/>
    <w:rsid w:val="007E36F7"/>
    <w:rsid w:val="007E38F3"/>
    <w:rsid w:val="007E5D53"/>
    <w:rsid w:val="007E667E"/>
    <w:rsid w:val="007E7FF1"/>
    <w:rsid w:val="007F1057"/>
    <w:rsid w:val="007F40D8"/>
    <w:rsid w:val="007F5398"/>
    <w:rsid w:val="007F5996"/>
    <w:rsid w:val="007F6A74"/>
    <w:rsid w:val="007F779A"/>
    <w:rsid w:val="0080189C"/>
    <w:rsid w:val="00801A08"/>
    <w:rsid w:val="008040D0"/>
    <w:rsid w:val="0080555A"/>
    <w:rsid w:val="008055D6"/>
    <w:rsid w:val="00805805"/>
    <w:rsid w:val="00805DEB"/>
    <w:rsid w:val="0080623E"/>
    <w:rsid w:val="00806AFB"/>
    <w:rsid w:val="00810197"/>
    <w:rsid w:val="008104D4"/>
    <w:rsid w:val="00810FD9"/>
    <w:rsid w:val="00811245"/>
    <w:rsid w:val="00814521"/>
    <w:rsid w:val="00816445"/>
    <w:rsid w:val="00816695"/>
    <w:rsid w:val="008166CF"/>
    <w:rsid w:val="0081697F"/>
    <w:rsid w:val="0082491E"/>
    <w:rsid w:val="00824B84"/>
    <w:rsid w:val="00824C0A"/>
    <w:rsid w:val="0082594B"/>
    <w:rsid w:val="00825D9A"/>
    <w:rsid w:val="0082610F"/>
    <w:rsid w:val="00826C10"/>
    <w:rsid w:val="00826DAD"/>
    <w:rsid w:val="00830F5E"/>
    <w:rsid w:val="00831A2F"/>
    <w:rsid w:val="008343D5"/>
    <w:rsid w:val="008348CE"/>
    <w:rsid w:val="008360C9"/>
    <w:rsid w:val="008376E8"/>
    <w:rsid w:val="00837842"/>
    <w:rsid w:val="0083792A"/>
    <w:rsid w:val="00837BC4"/>
    <w:rsid w:val="00837CD9"/>
    <w:rsid w:val="008405AB"/>
    <w:rsid w:val="00841115"/>
    <w:rsid w:val="0084359D"/>
    <w:rsid w:val="00843749"/>
    <w:rsid w:val="0084440C"/>
    <w:rsid w:val="00844642"/>
    <w:rsid w:val="0084491B"/>
    <w:rsid w:val="008453C1"/>
    <w:rsid w:val="00846084"/>
    <w:rsid w:val="0085021F"/>
    <w:rsid w:val="00851DBE"/>
    <w:rsid w:val="0085276D"/>
    <w:rsid w:val="008553A1"/>
    <w:rsid w:val="00863585"/>
    <w:rsid w:val="0086386A"/>
    <w:rsid w:val="00866132"/>
    <w:rsid w:val="00866FCD"/>
    <w:rsid w:val="00867798"/>
    <w:rsid w:val="00867F81"/>
    <w:rsid w:val="008704B9"/>
    <w:rsid w:val="00870E77"/>
    <w:rsid w:val="00871452"/>
    <w:rsid w:val="008721C4"/>
    <w:rsid w:val="00872EFC"/>
    <w:rsid w:val="00876456"/>
    <w:rsid w:val="0088114A"/>
    <w:rsid w:val="00882315"/>
    <w:rsid w:val="00882338"/>
    <w:rsid w:val="008835D9"/>
    <w:rsid w:val="00883D3B"/>
    <w:rsid w:val="008854D9"/>
    <w:rsid w:val="00885742"/>
    <w:rsid w:val="00885A0A"/>
    <w:rsid w:val="0089008D"/>
    <w:rsid w:val="00891807"/>
    <w:rsid w:val="00891937"/>
    <w:rsid w:val="00891979"/>
    <w:rsid w:val="00891FFE"/>
    <w:rsid w:val="00893F56"/>
    <w:rsid w:val="00894D25"/>
    <w:rsid w:val="008A04DE"/>
    <w:rsid w:val="008A4987"/>
    <w:rsid w:val="008A5BFB"/>
    <w:rsid w:val="008A68A9"/>
    <w:rsid w:val="008B073E"/>
    <w:rsid w:val="008B17D0"/>
    <w:rsid w:val="008B2932"/>
    <w:rsid w:val="008B4505"/>
    <w:rsid w:val="008B52A8"/>
    <w:rsid w:val="008B564A"/>
    <w:rsid w:val="008B6064"/>
    <w:rsid w:val="008B61F1"/>
    <w:rsid w:val="008B7682"/>
    <w:rsid w:val="008C059C"/>
    <w:rsid w:val="008C11EF"/>
    <w:rsid w:val="008C2AB5"/>
    <w:rsid w:val="008C3298"/>
    <w:rsid w:val="008C5315"/>
    <w:rsid w:val="008C7815"/>
    <w:rsid w:val="008C7A8E"/>
    <w:rsid w:val="008D14A3"/>
    <w:rsid w:val="008D1EC5"/>
    <w:rsid w:val="008D267C"/>
    <w:rsid w:val="008D27DA"/>
    <w:rsid w:val="008D5672"/>
    <w:rsid w:val="008D610F"/>
    <w:rsid w:val="008E0C05"/>
    <w:rsid w:val="008E0DAF"/>
    <w:rsid w:val="008E15A6"/>
    <w:rsid w:val="008E2216"/>
    <w:rsid w:val="008F0825"/>
    <w:rsid w:val="008F0BAC"/>
    <w:rsid w:val="008F117B"/>
    <w:rsid w:val="008F20FA"/>
    <w:rsid w:val="008F2EB8"/>
    <w:rsid w:val="008F4A3E"/>
    <w:rsid w:val="008F6C9B"/>
    <w:rsid w:val="008F700E"/>
    <w:rsid w:val="008F79E7"/>
    <w:rsid w:val="009015B2"/>
    <w:rsid w:val="009032FD"/>
    <w:rsid w:val="00903BAB"/>
    <w:rsid w:val="00905B4D"/>
    <w:rsid w:val="00907EDA"/>
    <w:rsid w:val="00915193"/>
    <w:rsid w:val="009165A5"/>
    <w:rsid w:val="00921324"/>
    <w:rsid w:val="009222DF"/>
    <w:rsid w:val="0092332C"/>
    <w:rsid w:val="009241C7"/>
    <w:rsid w:val="00924EA0"/>
    <w:rsid w:val="00927283"/>
    <w:rsid w:val="0093011B"/>
    <w:rsid w:val="00931385"/>
    <w:rsid w:val="00931E59"/>
    <w:rsid w:val="0093235F"/>
    <w:rsid w:val="00932412"/>
    <w:rsid w:val="0093320B"/>
    <w:rsid w:val="0093493B"/>
    <w:rsid w:val="00934D6E"/>
    <w:rsid w:val="0093669A"/>
    <w:rsid w:val="00936F40"/>
    <w:rsid w:val="009373FC"/>
    <w:rsid w:val="00937A33"/>
    <w:rsid w:val="009428B3"/>
    <w:rsid w:val="009436F5"/>
    <w:rsid w:val="00943C02"/>
    <w:rsid w:val="00944871"/>
    <w:rsid w:val="00944B42"/>
    <w:rsid w:val="00945BAA"/>
    <w:rsid w:val="00946894"/>
    <w:rsid w:val="00947542"/>
    <w:rsid w:val="00947A33"/>
    <w:rsid w:val="00947FB3"/>
    <w:rsid w:val="009506B2"/>
    <w:rsid w:val="009511DC"/>
    <w:rsid w:val="00951D5F"/>
    <w:rsid w:val="00951DBC"/>
    <w:rsid w:val="00952C6C"/>
    <w:rsid w:val="0095362C"/>
    <w:rsid w:val="00954B08"/>
    <w:rsid w:val="009561EF"/>
    <w:rsid w:val="009562FD"/>
    <w:rsid w:val="00956CF8"/>
    <w:rsid w:val="00960380"/>
    <w:rsid w:val="009618B1"/>
    <w:rsid w:val="0096223F"/>
    <w:rsid w:val="00962294"/>
    <w:rsid w:val="00962757"/>
    <w:rsid w:val="00964245"/>
    <w:rsid w:val="00965355"/>
    <w:rsid w:val="0097218D"/>
    <w:rsid w:val="0097236E"/>
    <w:rsid w:val="00972817"/>
    <w:rsid w:val="00973BA4"/>
    <w:rsid w:val="00975138"/>
    <w:rsid w:val="00977AD4"/>
    <w:rsid w:val="00977F66"/>
    <w:rsid w:val="0098062D"/>
    <w:rsid w:val="00981264"/>
    <w:rsid w:val="009833F7"/>
    <w:rsid w:val="00984CBB"/>
    <w:rsid w:val="009869E3"/>
    <w:rsid w:val="00986DCD"/>
    <w:rsid w:val="009876FE"/>
    <w:rsid w:val="00987ECA"/>
    <w:rsid w:val="00991D5A"/>
    <w:rsid w:val="00991DB5"/>
    <w:rsid w:val="009939E8"/>
    <w:rsid w:val="00996CCF"/>
    <w:rsid w:val="009A046C"/>
    <w:rsid w:val="009A2749"/>
    <w:rsid w:val="009A4DE3"/>
    <w:rsid w:val="009A63DB"/>
    <w:rsid w:val="009A7894"/>
    <w:rsid w:val="009B0712"/>
    <w:rsid w:val="009B1C91"/>
    <w:rsid w:val="009B2700"/>
    <w:rsid w:val="009B28DD"/>
    <w:rsid w:val="009B301C"/>
    <w:rsid w:val="009B5497"/>
    <w:rsid w:val="009B7DFC"/>
    <w:rsid w:val="009C1493"/>
    <w:rsid w:val="009C2A20"/>
    <w:rsid w:val="009C2FEE"/>
    <w:rsid w:val="009C3BCC"/>
    <w:rsid w:val="009D0F27"/>
    <w:rsid w:val="009D1AD9"/>
    <w:rsid w:val="009D350D"/>
    <w:rsid w:val="009D42CB"/>
    <w:rsid w:val="009D7091"/>
    <w:rsid w:val="009E0DB2"/>
    <w:rsid w:val="009E2A3F"/>
    <w:rsid w:val="009E40F2"/>
    <w:rsid w:val="009E5687"/>
    <w:rsid w:val="009E65B7"/>
    <w:rsid w:val="009F172F"/>
    <w:rsid w:val="009F292D"/>
    <w:rsid w:val="009F3C06"/>
    <w:rsid w:val="009F3E2B"/>
    <w:rsid w:val="009F468D"/>
    <w:rsid w:val="009F490A"/>
    <w:rsid w:val="009F4D4A"/>
    <w:rsid w:val="009F58B3"/>
    <w:rsid w:val="009F753B"/>
    <w:rsid w:val="009F7B24"/>
    <w:rsid w:val="00A01016"/>
    <w:rsid w:val="00A01929"/>
    <w:rsid w:val="00A026E8"/>
    <w:rsid w:val="00A03946"/>
    <w:rsid w:val="00A046D3"/>
    <w:rsid w:val="00A05063"/>
    <w:rsid w:val="00A05288"/>
    <w:rsid w:val="00A0577E"/>
    <w:rsid w:val="00A05A2A"/>
    <w:rsid w:val="00A05B43"/>
    <w:rsid w:val="00A062F0"/>
    <w:rsid w:val="00A068AF"/>
    <w:rsid w:val="00A068B0"/>
    <w:rsid w:val="00A109A2"/>
    <w:rsid w:val="00A11A75"/>
    <w:rsid w:val="00A13374"/>
    <w:rsid w:val="00A13C9D"/>
    <w:rsid w:val="00A13D29"/>
    <w:rsid w:val="00A2054B"/>
    <w:rsid w:val="00A232E8"/>
    <w:rsid w:val="00A23853"/>
    <w:rsid w:val="00A23E17"/>
    <w:rsid w:val="00A243E5"/>
    <w:rsid w:val="00A26997"/>
    <w:rsid w:val="00A26ABD"/>
    <w:rsid w:val="00A26E17"/>
    <w:rsid w:val="00A26FDF"/>
    <w:rsid w:val="00A27871"/>
    <w:rsid w:val="00A27897"/>
    <w:rsid w:val="00A301CF"/>
    <w:rsid w:val="00A3121B"/>
    <w:rsid w:val="00A31BE7"/>
    <w:rsid w:val="00A3460B"/>
    <w:rsid w:val="00A3517A"/>
    <w:rsid w:val="00A353BA"/>
    <w:rsid w:val="00A36FBB"/>
    <w:rsid w:val="00A37082"/>
    <w:rsid w:val="00A37E76"/>
    <w:rsid w:val="00A413DC"/>
    <w:rsid w:val="00A4167C"/>
    <w:rsid w:val="00A42012"/>
    <w:rsid w:val="00A42B14"/>
    <w:rsid w:val="00A44064"/>
    <w:rsid w:val="00A4512C"/>
    <w:rsid w:val="00A45F6D"/>
    <w:rsid w:val="00A50CEE"/>
    <w:rsid w:val="00A52A63"/>
    <w:rsid w:val="00A540D5"/>
    <w:rsid w:val="00A551AF"/>
    <w:rsid w:val="00A603FA"/>
    <w:rsid w:val="00A61138"/>
    <w:rsid w:val="00A61448"/>
    <w:rsid w:val="00A6172C"/>
    <w:rsid w:val="00A624B3"/>
    <w:rsid w:val="00A65D2B"/>
    <w:rsid w:val="00A6602C"/>
    <w:rsid w:val="00A6639D"/>
    <w:rsid w:val="00A672C9"/>
    <w:rsid w:val="00A67997"/>
    <w:rsid w:val="00A70940"/>
    <w:rsid w:val="00A745E2"/>
    <w:rsid w:val="00A77403"/>
    <w:rsid w:val="00A80441"/>
    <w:rsid w:val="00A82AC9"/>
    <w:rsid w:val="00A83B68"/>
    <w:rsid w:val="00A84FFE"/>
    <w:rsid w:val="00A85214"/>
    <w:rsid w:val="00A86368"/>
    <w:rsid w:val="00A87411"/>
    <w:rsid w:val="00A90552"/>
    <w:rsid w:val="00A913C4"/>
    <w:rsid w:val="00A91859"/>
    <w:rsid w:val="00A92078"/>
    <w:rsid w:val="00A92450"/>
    <w:rsid w:val="00A930DA"/>
    <w:rsid w:val="00A94F22"/>
    <w:rsid w:val="00A96B87"/>
    <w:rsid w:val="00AA1B84"/>
    <w:rsid w:val="00AA2030"/>
    <w:rsid w:val="00AA27C9"/>
    <w:rsid w:val="00AA288B"/>
    <w:rsid w:val="00AA2FEA"/>
    <w:rsid w:val="00AA3AF6"/>
    <w:rsid w:val="00AA43CD"/>
    <w:rsid w:val="00AA617C"/>
    <w:rsid w:val="00AA6197"/>
    <w:rsid w:val="00AA68DA"/>
    <w:rsid w:val="00AB06B7"/>
    <w:rsid w:val="00AB08EC"/>
    <w:rsid w:val="00AB0E44"/>
    <w:rsid w:val="00AB1FA3"/>
    <w:rsid w:val="00AB2C59"/>
    <w:rsid w:val="00AB493A"/>
    <w:rsid w:val="00AC0975"/>
    <w:rsid w:val="00AC1BDD"/>
    <w:rsid w:val="00AC2DCF"/>
    <w:rsid w:val="00AC3D20"/>
    <w:rsid w:val="00AC445A"/>
    <w:rsid w:val="00AC71E4"/>
    <w:rsid w:val="00AD1FF4"/>
    <w:rsid w:val="00AD21D9"/>
    <w:rsid w:val="00AD23AE"/>
    <w:rsid w:val="00AD35B8"/>
    <w:rsid w:val="00AD391E"/>
    <w:rsid w:val="00AD5027"/>
    <w:rsid w:val="00AD64DF"/>
    <w:rsid w:val="00AD6ECE"/>
    <w:rsid w:val="00AE011E"/>
    <w:rsid w:val="00AE20B8"/>
    <w:rsid w:val="00AE2B43"/>
    <w:rsid w:val="00AE2F5F"/>
    <w:rsid w:val="00AE380A"/>
    <w:rsid w:val="00AE6C48"/>
    <w:rsid w:val="00AF1674"/>
    <w:rsid w:val="00AF1904"/>
    <w:rsid w:val="00AF2492"/>
    <w:rsid w:val="00AF36A2"/>
    <w:rsid w:val="00AF4E71"/>
    <w:rsid w:val="00AF6150"/>
    <w:rsid w:val="00B02260"/>
    <w:rsid w:val="00B02C89"/>
    <w:rsid w:val="00B03AD4"/>
    <w:rsid w:val="00B04053"/>
    <w:rsid w:val="00B04607"/>
    <w:rsid w:val="00B10408"/>
    <w:rsid w:val="00B12700"/>
    <w:rsid w:val="00B13400"/>
    <w:rsid w:val="00B1350A"/>
    <w:rsid w:val="00B169A0"/>
    <w:rsid w:val="00B21B29"/>
    <w:rsid w:val="00B2265A"/>
    <w:rsid w:val="00B22FDA"/>
    <w:rsid w:val="00B237A5"/>
    <w:rsid w:val="00B23EF7"/>
    <w:rsid w:val="00B24145"/>
    <w:rsid w:val="00B31295"/>
    <w:rsid w:val="00B32640"/>
    <w:rsid w:val="00B35BFE"/>
    <w:rsid w:val="00B36C91"/>
    <w:rsid w:val="00B37BEB"/>
    <w:rsid w:val="00B41518"/>
    <w:rsid w:val="00B42741"/>
    <w:rsid w:val="00B4392D"/>
    <w:rsid w:val="00B43D41"/>
    <w:rsid w:val="00B43FAB"/>
    <w:rsid w:val="00B44B8E"/>
    <w:rsid w:val="00B45F85"/>
    <w:rsid w:val="00B47112"/>
    <w:rsid w:val="00B5169E"/>
    <w:rsid w:val="00B51C85"/>
    <w:rsid w:val="00B52312"/>
    <w:rsid w:val="00B5242C"/>
    <w:rsid w:val="00B52512"/>
    <w:rsid w:val="00B5375E"/>
    <w:rsid w:val="00B53995"/>
    <w:rsid w:val="00B53C68"/>
    <w:rsid w:val="00B5498E"/>
    <w:rsid w:val="00B54CD1"/>
    <w:rsid w:val="00B56D04"/>
    <w:rsid w:val="00B57C99"/>
    <w:rsid w:val="00B60B9A"/>
    <w:rsid w:val="00B624E7"/>
    <w:rsid w:val="00B62CBD"/>
    <w:rsid w:val="00B64AB6"/>
    <w:rsid w:val="00B652A0"/>
    <w:rsid w:val="00B659B1"/>
    <w:rsid w:val="00B6774E"/>
    <w:rsid w:val="00B7067A"/>
    <w:rsid w:val="00B70A0E"/>
    <w:rsid w:val="00B7270E"/>
    <w:rsid w:val="00B72BA0"/>
    <w:rsid w:val="00B75491"/>
    <w:rsid w:val="00B75531"/>
    <w:rsid w:val="00B77982"/>
    <w:rsid w:val="00B805B3"/>
    <w:rsid w:val="00B805D3"/>
    <w:rsid w:val="00B81D5F"/>
    <w:rsid w:val="00B8216F"/>
    <w:rsid w:val="00B829DC"/>
    <w:rsid w:val="00B840BC"/>
    <w:rsid w:val="00B84A5E"/>
    <w:rsid w:val="00B86F61"/>
    <w:rsid w:val="00B8700B"/>
    <w:rsid w:val="00B91041"/>
    <w:rsid w:val="00B91125"/>
    <w:rsid w:val="00B91749"/>
    <w:rsid w:val="00BA07B4"/>
    <w:rsid w:val="00BA164A"/>
    <w:rsid w:val="00BA348B"/>
    <w:rsid w:val="00BA38E3"/>
    <w:rsid w:val="00BA3D63"/>
    <w:rsid w:val="00BA54E5"/>
    <w:rsid w:val="00BB0A95"/>
    <w:rsid w:val="00BB189A"/>
    <w:rsid w:val="00BB4775"/>
    <w:rsid w:val="00BB5082"/>
    <w:rsid w:val="00BB7675"/>
    <w:rsid w:val="00BC0A8C"/>
    <w:rsid w:val="00BC0C1E"/>
    <w:rsid w:val="00BC1E89"/>
    <w:rsid w:val="00BC5B5D"/>
    <w:rsid w:val="00BC7323"/>
    <w:rsid w:val="00BD212A"/>
    <w:rsid w:val="00BD2257"/>
    <w:rsid w:val="00BD321F"/>
    <w:rsid w:val="00BD32E3"/>
    <w:rsid w:val="00BD5819"/>
    <w:rsid w:val="00BD64B2"/>
    <w:rsid w:val="00BD6812"/>
    <w:rsid w:val="00BE0410"/>
    <w:rsid w:val="00BE04A4"/>
    <w:rsid w:val="00BE2569"/>
    <w:rsid w:val="00BE2B0D"/>
    <w:rsid w:val="00BE34A0"/>
    <w:rsid w:val="00BE410E"/>
    <w:rsid w:val="00BE4325"/>
    <w:rsid w:val="00BE77FC"/>
    <w:rsid w:val="00BF0CC6"/>
    <w:rsid w:val="00BF41E2"/>
    <w:rsid w:val="00BF4426"/>
    <w:rsid w:val="00BF6060"/>
    <w:rsid w:val="00BF6A66"/>
    <w:rsid w:val="00BF7E33"/>
    <w:rsid w:val="00C014E4"/>
    <w:rsid w:val="00C031CD"/>
    <w:rsid w:val="00C04741"/>
    <w:rsid w:val="00C05843"/>
    <w:rsid w:val="00C064AC"/>
    <w:rsid w:val="00C06F0A"/>
    <w:rsid w:val="00C100FD"/>
    <w:rsid w:val="00C12BC8"/>
    <w:rsid w:val="00C13414"/>
    <w:rsid w:val="00C1374A"/>
    <w:rsid w:val="00C144D7"/>
    <w:rsid w:val="00C14760"/>
    <w:rsid w:val="00C15129"/>
    <w:rsid w:val="00C1541C"/>
    <w:rsid w:val="00C154A6"/>
    <w:rsid w:val="00C155FF"/>
    <w:rsid w:val="00C1616F"/>
    <w:rsid w:val="00C20275"/>
    <w:rsid w:val="00C2054A"/>
    <w:rsid w:val="00C20989"/>
    <w:rsid w:val="00C20E38"/>
    <w:rsid w:val="00C21B6F"/>
    <w:rsid w:val="00C21CBE"/>
    <w:rsid w:val="00C25091"/>
    <w:rsid w:val="00C25187"/>
    <w:rsid w:val="00C252D7"/>
    <w:rsid w:val="00C27F8C"/>
    <w:rsid w:val="00C3018F"/>
    <w:rsid w:val="00C30A3B"/>
    <w:rsid w:val="00C3220E"/>
    <w:rsid w:val="00C3339A"/>
    <w:rsid w:val="00C336EC"/>
    <w:rsid w:val="00C34B3C"/>
    <w:rsid w:val="00C3518A"/>
    <w:rsid w:val="00C41A4A"/>
    <w:rsid w:val="00C44212"/>
    <w:rsid w:val="00C44771"/>
    <w:rsid w:val="00C450AE"/>
    <w:rsid w:val="00C45A6D"/>
    <w:rsid w:val="00C46A76"/>
    <w:rsid w:val="00C46FCF"/>
    <w:rsid w:val="00C47F69"/>
    <w:rsid w:val="00C52D9E"/>
    <w:rsid w:val="00C553CF"/>
    <w:rsid w:val="00C56927"/>
    <w:rsid w:val="00C57A65"/>
    <w:rsid w:val="00C617B3"/>
    <w:rsid w:val="00C61C12"/>
    <w:rsid w:val="00C61EA4"/>
    <w:rsid w:val="00C63625"/>
    <w:rsid w:val="00C63CB7"/>
    <w:rsid w:val="00C645CF"/>
    <w:rsid w:val="00C64632"/>
    <w:rsid w:val="00C6544B"/>
    <w:rsid w:val="00C67CFF"/>
    <w:rsid w:val="00C70427"/>
    <w:rsid w:val="00C7279B"/>
    <w:rsid w:val="00C73BF5"/>
    <w:rsid w:val="00C73EEE"/>
    <w:rsid w:val="00C755C1"/>
    <w:rsid w:val="00C7646B"/>
    <w:rsid w:val="00C77507"/>
    <w:rsid w:val="00C8061D"/>
    <w:rsid w:val="00C80B86"/>
    <w:rsid w:val="00C8180D"/>
    <w:rsid w:val="00C81917"/>
    <w:rsid w:val="00C826DE"/>
    <w:rsid w:val="00C843FD"/>
    <w:rsid w:val="00C85526"/>
    <w:rsid w:val="00C862F3"/>
    <w:rsid w:val="00C923F0"/>
    <w:rsid w:val="00C93880"/>
    <w:rsid w:val="00C947B5"/>
    <w:rsid w:val="00C949E7"/>
    <w:rsid w:val="00C94A83"/>
    <w:rsid w:val="00C96D1D"/>
    <w:rsid w:val="00C96E7F"/>
    <w:rsid w:val="00C9748C"/>
    <w:rsid w:val="00CA0EC5"/>
    <w:rsid w:val="00CA2674"/>
    <w:rsid w:val="00CA7063"/>
    <w:rsid w:val="00CA7A27"/>
    <w:rsid w:val="00CB06BE"/>
    <w:rsid w:val="00CB0F9D"/>
    <w:rsid w:val="00CB1BE7"/>
    <w:rsid w:val="00CB2F30"/>
    <w:rsid w:val="00CB3F0D"/>
    <w:rsid w:val="00CB5169"/>
    <w:rsid w:val="00CB6556"/>
    <w:rsid w:val="00CB7D46"/>
    <w:rsid w:val="00CC19C6"/>
    <w:rsid w:val="00CC404A"/>
    <w:rsid w:val="00CC5264"/>
    <w:rsid w:val="00CC62B1"/>
    <w:rsid w:val="00CD0632"/>
    <w:rsid w:val="00CD086E"/>
    <w:rsid w:val="00CD23D1"/>
    <w:rsid w:val="00CD3CA3"/>
    <w:rsid w:val="00CD3DA8"/>
    <w:rsid w:val="00CD46A6"/>
    <w:rsid w:val="00CD51D8"/>
    <w:rsid w:val="00CD5D1E"/>
    <w:rsid w:val="00CD6D6F"/>
    <w:rsid w:val="00CE15A1"/>
    <w:rsid w:val="00CE1CF7"/>
    <w:rsid w:val="00CE2D17"/>
    <w:rsid w:val="00CE331A"/>
    <w:rsid w:val="00CE4ED4"/>
    <w:rsid w:val="00CE5444"/>
    <w:rsid w:val="00CE558E"/>
    <w:rsid w:val="00CE62A5"/>
    <w:rsid w:val="00CF28AA"/>
    <w:rsid w:val="00CF2F9B"/>
    <w:rsid w:val="00CF4E9E"/>
    <w:rsid w:val="00CF513F"/>
    <w:rsid w:val="00CF6374"/>
    <w:rsid w:val="00D00DCB"/>
    <w:rsid w:val="00D01600"/>
    <w:rsid w:val="00D0504D"/>
    <w:rsid w:val="00D05ADC"/>
    <w:rsid w:val="00D06088"/>
    <w:rsid w:val="00D06E47"/>
    <w:rsid w:val="00D075EE"/>
    <w:rsid w:val="00D0780D"/>
    <w:rsid w:val="00D100B4"/>
    <w:rsid w:val="00D10FCA"/>
    <w:rsid w:val="00D14D5F"/>
    <w:rsid w:val="00D15FD4"/>
    <w:rsid w:val="00D20555"/>
    <w:rsid w:val="00D21C2F"/>
    <w:rsid w:val="00D22584"/>
    <w:rsid w:val="00D22754"/>
    <w:rsid w:val="00D24BBD"/>
    <w:rsid w:val="00D25A17"/>
    <w:rsid w:val="00D266B9"/>
    <w:rsid w:val="00D27C81"/>
    <w:rsid w:val="00D3081E"/>
    <w:rsid w:val="00D33522"/>
    <w:rsid w:val="00D37CD1"/>
    <w:rsid w:val="00D407A7"/>
    <w:rsid w:val="00D41DAF"/>
    <w:rsid w:val="00D444A0"/>
    <w:rsid w:val="00D44FD8"/>
    <w:rsid w:val="00D450D5"/>
    <w:rsid w:val="00D451AF"/>
    <w:rsid w:val="00D460B3"/>
    <w:rsid w:val="00D46F42"/>
    <w:rsid w:val="00D50B11"/>
    <w:rsid w:val="00D53779"/>
    <w:rsid w:val="00D539CA"/>
    <w:rsid w:val="00D55306"/>
    <w:rsid w:val="00D55451"/>
    <w:rsid w:val="00D56AFE"/>
    <w:rsid w:val="00D57142"/>
    <w:rsid w:val="00D60A2D"/>
    <w:rsid w:val="00D626A5"/>
    <w:rsid w:val="00D63187"/>
    <w:rsid w:val="00D63AFA"/>
    <w:rsid w:val="00D65838"/>
    <w:rsid w:val="00D65E3C"/>
    <w:rsid w:val="00D65EDF"/>
    <w:rsid w:val="00D71600"/>
    <w:rsid w:val="00D71C5C"/>
    <w:rsid w:val="00D71E1C"/>
    <w:rsid w:val="00D7230A"/>
    <w:rsid w:val="00D72388"/>
    <w:rsid w:val="00D724FD"/>
    <w:rsid w:val="00D73861"/>
    <w:rsid w:val="00D73EF5"/>
    <w:rsid w:val="00D75E14"/>
    <w:rsid w:val="00D80EF7"/>
    <w:rsid w:val="00D81C46"/>
    <w:rsid w:val="00D82424"/>
    <w:rsid w:val="00D868DA"/>
    <w:rsid w:val="00D916DD"/>
    <w:rsid w:val="00D9523D"/>
    <w:rsid w:val="00D963FD"/>
    <w:rsid w:val="00DA0655"/>
    <w:rsid w:val="00DA1149"/>
    <w:rsid w:val="00DA2FD7"/>
    <w:rsid w:val="00DA360C"/>
    <w:rsid w:val="00DA3857"/>
    <w:rsid w:val="00DA395F"/>
    <w:rsid w:val="00DA562F"/>
    <w:rsid w:val="00DA6A23"/>
    <w:rsid w:val="00DA783F"/>
    <w:rsid w:val="00DA7B82"/>
    <w:rsid w:val="00DB06C6"/>
    <w:rsid w:val="00DB518F"/>
    <w:rsid w:val="00DB7125"/>
    <w:rsid w:val="00DC1915"/>
    <w:rsid w:val="00DC1A39"/>
    <w:rsid w:val="00DC2170"/>
    <w:rsid w:val="00DC2834"/>
    <w:rsid w:val="00DC2BEC"/>
    <w:rsid w:val="00DC2D5B"/>
    <w:rsid w:val="00DC314D"/>
    <w:rsid w:val="00DC4B86"/>
    <w:rsid w:val="00DC5167"/>
    <w:rsid w:val="00DC660C"/>
    <w:rsid w:val="00DC712A"/>
    <w:rsid w:val="00DC7285"/>
    <w:rsid w:val="00DC7A7F"/>
    <w:rsid w:val="00DD004D"/>
    <w:rsid w:val="00DD42D8"/>
    <w:rsid w:val="00DD7F9D"/>
    <w:rsid w:val="00DE0FF3"/>
    <w:rsid w:val="00DE14BA"/>
    <w:rsid w:val="00DE28B1"/>
    <w:rsid w:val="00DE42A2"/>
    <w:rsid w:val="00DE51AE"/>
    <w:rsid w:val="00DF010F"/>
    <w:rsid w:val="00DF12FF"/>
    <w:rsid w:val="00DF13E0"/>
    <w:rsid w:val="00DF21E0"/>
    <w:rsid w:val="00DF28E4"/>
    <w:rsid w:val="00DF3668"/>
    <w:rsid w:val="00DF3771"/>
    <w:rsid w:val="00DF49BD"/>
    <w:rsid w:val="00DF4CF3"/>
    <w:rsid w:val="00DF6607"/>
    <w:rsid w:val="00DF67EC"/>
    <w:rsid w:val="00DF6A16"/>
    <w:rsid w:val="00DF6F37"/>
    <w:rsid w:val="00E012EB"/>
    <w:rsid w:val="00E0231D"/>
    <w:rsid w:val="00E02F12"/>
    <w:rsid w:val="00E032A7"/>
    <w:rsid w:val="00E03499"/>
    <w:rsid w:val="00E03C84"/>
    <w:rsid w:val="00E05678"/>
    <w:rsid w:val="00E057BC"/>
    <w:rsid w:val="00E05D1A"/>
    <w:rsid w:val="00E05DD2"/>
    <w:rsid w:val="00E05EFA"/>
    <w:rsid w:val="00E06A6F"/>
    <w:rsid w:val="00E06B20"/>
    <w:rsid w:val="00E06DBB"/>
    <w:rsid w:val="00E07CFE"/>
    <w:rsid w:val="00E105C3"/>
    <w:rsid w:val="00E1187E"/>
    <w:rsid w:val="00E12CFA"/>
    <w:rsid w:val="00E13E0B"/>
    <w:rsid w:val="00E1455F"/>
    <w:rsid w:val="00E1518A"/>
    <w:rsid w:val="00E16A12"/>
    <w:rsid w:val="00E16B98"/>
    <w:rsid w:val="00E20909"/>
    <w:rsid w:val="00E20E3F"/>
    <w:rsid w:val="00E218DC"/>
    <w:rsid w:val="00E24447"/>
    <w:rsid w:val="00E25997"/>
    <w:rsid w:val="00E259C8"/>
    <w:rsid w:val="00E25B43"/>
    <w:rsid w:val="00E26045"/>
    <w:rsid w:val="00E26656"/>
    <w:rsid w:val="00E26CC7"/>
    <w:rsid w:val="00E30548"/>
    <w:rsid w:val="00E318BD"/>
    <w:rsid w:val="00E32519"/>
    <w:rsid w:val="00E32E4A"/>
    <w:rsid w:val="00E34022"/>
    <w:rsid w:val="00E34E70"/>
    <w:rsid w:val="00E353C7"/>
    <w:rsid w:val="00E36B29"/>
    <w:rsid w:val="00E36ED4"/>
    <w:rsid w:val="00E4025B"/>
    <w:rsid w:val="00E405C4"/>
    <w:rsid w:val="00E422DE"/>
    <w:rsid w:val="00E45681"/>
    <w:rsid w:val="00E4677E"/>
    <w:rsid w:val="00E4723E"/>
    <w:rsid w:val="00E4785A"/>
    <w:rsid w:val="00E47CB8"/>
    <w:rsid w:val="00E5018C"/>
    <w:rsid w:val="00E50C05"/>
    <w:rsid w:val="00E52DFE"/>
    <w:rsid w:val="00E52E6B"/>
    <w:rsid w:val="00E53896"/>
    <w:rsid w:val="00E56F16"/>
    <w:rsid w:val="00E5731A"/>
    <w:rsid w:val="00E60CFF"/>
    <w:rsid w:val="00E6306A"/>
    <w:rsid w:val="00E64F02"/>
    <w:rsid w:val="00E65EA0"/>
    <w:rsid w:val="00E662F7"/>
    <w:rsid w:val="00E663AE"/>
    <w:rsid w:val="00E66F99"/>
    <w:rsid w:val="00E67185"/>
    <w:rsid w:val="00E6762C"/>
    <w:rsid w:val="00E702C9"/>
    <w:rsid w:val="00E756C0"/>
    <w:rsid w:val="00E773AB"/>
    <w:rsid w:val="00E77616"/>
    <w:rsid w:val="00E80429"/>
    <w:rsid w:val="00E828FC"/>
    <w:rsid w:val="00E839EF"/>
    <w:rsid w:val="00E84761"/>
    <w:rsid w:val="00E84BAD"/>
    <w:rsid w:val="00E8559A"/>
    <w:rsid w:val="00E864A0"/>
    <w:rsid w:val="00E8719D"/>
    <w:rsid w:val="00E878E8"/>
    <w:rsid w:val="00E90177"/>
    <w:rsid w:val="00E906C0"/>
    <w:rsid w:val="00E9096D"/>
    <w:rsid w:val="00E9320D"/>
    <w:rsid w:val="00E95B2A"/>
    <w:rsid w:val="00E965B1"/>
    <w:rsid w:val="00E96836"/>
    <w:rsid w:val="00E96D2F"/>
    <w:rsid w:val="00EA062F"/>
    <w:rsid w:val="00EA124E"/>
    <w:rsid w:val="00EA2F17"/>
    <w:rsid w:val="00EA3AFD"/>
    <w:rsid w:val="00EA3B8B"/>
    <w:rsid w:val="00EB2A52"/>
    <w:rsid w:val="00EB2C8C"/>
    <w:rsid w:val="00EB3B86"/>
    <w:rsid w:val="00EB5448"/>
    <w:rsid w:val="00EC07C0"/>
    <w:rsid w:val="00EC19D3"/>
    <w:rsid w:val="00EC2B17"/>
    <w:rsid w:val="00EC474F"/>
    <w:rsid w:val="00EC56F1"/>
    <w:rsid w:val="00EC6139"/>
    <w:rsid w:val="00EC615F"/>
    <w:rsid w:val="00EC6EEF"/>
    <w:rsid w:val="00ED03B6"/>
    <w:rsid w:val="00ED1475"/>
    <w:rsid w:val="00ED1F16"/>
    <w:rsid w:val="00ED4434"/>
    <w:rsid w:val="00ED66A8"/>
    <w:rsid w:val="00ED7B94"/>
    <w:rsid w:val="00ED7E94"/>
    <w:rsid w:val="00EE19B0"/>
    <w:rsid w:val="00EE1DFD"/>
    <w:rsid w:val="00EE379D"/>
    <w:rsid w:val="00EE3E68"/>
    <w:rsid w:val="00EE41EB"/>
    <w:rsid w:val="00EE45D2"/>
    <w:rsid w:val="00EF317C"/>
    <w:rsid w:val="00EF3A17"/>
    <w:rsid w:val="00EF4350"/>
    <w:rsid w:val="00EF690A"/>
    <w:rsid w:val="00EF70E3"/>
    <w:rsid w:val="00F01513"/>
    <w:rsid w:val="00F01C49"/>
    <w:rsid w:val="00F03472"/>
    <w:rsid w:val="00F042CB"/>
    <w:rsid w:val="00F0460D"/>
    <w:rsid w:val="00F04ED9"/>
    <w:rsid w:val="00F05D88"/>
    <w:rsid w:val="00F064C2"/>
    <w:rsid w:val="00F07CAF"/>
    <w:rsid w:val="00F10C5F"/>
    <w:rsid w:val="00F140F6"/>
    <w:rsid w:val="00F15119"/>
    <w:rsid w:val="00F20078"/>
    <w:rsid w:val="00F21EDE"/>
    <w:rsid w:val="00F22884"/>
    <w:rsid w:val="00F23C17"/>
    <w:rsid w:val="00F24418"/>
    <w:rsid w:val="00F24596"/>
    <w:rsid w:val="00F25695"/>
    <w:rsid w:val="00F25C2F"/>
    <w:rsid w:val="00F3141D"/>
    <w:rsid w:val="00F31FE5"/>
    <w:rsid w:val="00F32061"/>
    <w:rsid w:val="00F3218B"/>
    <w:rsid w:val="00F32848"/>
    <w:rsid w:val="00F33018"/>
    <w:rsid w:val="00F34126"/>
    <w:rsid w:val="00F3685C"/>
    <w:rsid w:val="00F3689B"/>
    <w:rsid w:val="00F36EA8"/>
    <w:rsid w:val="00F42A22"/>
    <w:rsid w:val="00F435DA"/>
    <w:rsid w:val="00F4419C"/>
    <w:rsid w:val="00F445C0"/>
    <w:rsid w:val="00F44B30"/>
    <w:rsid w:val="00F464C8"/>
    <w:rsid w:val="00F464FD"/>
    <w:rsid w:val="00F47E6F"/>
    <w:rsid w:val="00F5307E"/>
    <w:rsid w:val="00F5337F"/>
    <w:rsid w:val="00F54DAA"/>
    <w:rsid w:val="00F57457"/>
    <w:rsid w:val="00F577B5"/>
    <w:rsid w:val="00F63871"/>
    <w:rsid w:val="00F653F8"/>
    <w:rsid w:val="00F65608"/>
    <w:rsid w:val="00F65EE8"/>
    <w:rsid w:val="00F723B1"/>
    <w:rsid w:val="00F73378"/>
    <w:rsid w:val="00F74140"/>
    <w:rsid w:val="00F74D46"/>
    <w:rsid w:val="00F75BF9"/>
    <w:rsid w:val="00F75C16"/>
    <w:rsid w:val="00F75C90"/>
    <w:rsid w:val="00F776A4"/>
    <w:rsid w:val="00F77E68"/>
    <w:rsid w:val="00F8033F"/>
    <w:rsid w:val="00F81026"/>
    <w:rsid w:val="00F8173E"/>
    <w:rsid w:val="00F81DE8"/>
    <w:rsid w:val="00F84381"/>
    <w:rsid w:val="00F860E7"/>
    <w:rsid w:val="00F86A26"/>
    <w:rsid w:val="00F86B59"/>
    <w:rsid w:val="00F86F0C"/>
    <w:rsid w:val="00F87A33"/>
    <w:rsid w:val="00F915E8"/>
    <w:rsid w:val="00F9299E"/>
    <w:rsid w:val="00F94431"/>
    <w:rsid w:val="00F94F5C"/>
    <w:rsid w:val="00F950A5"/>
    <w:rsid w:val="00F96C4D"/>
    <w:rsid w:val="00F9740A"/>
    <w:rsid w:val="00FA16D9"/>
    <w:rsid w:val="00FA1947"/>
    <w:rsid w:val="00FA29FF"/>
    <w:rsid w:val="00FA3885"/>
    <w:rsid w:val="00FA3D48"/>
    <w:rsid w:val="00FA469C"/>
    <w:rsid w:val="00FA5F78"/>
    <w:rsid w:val="00FA7736"/>
    <w:rsid w:val="00FA7922"/>
    <w:rsid w:val="00FB0346"/>
    <w:rsid w:val="00FB3FF7"/>
    <w:rsid w:val="00FB5319"/>
    <w:rsid w:val="00FB5826"/>
    <w:rsid w:val="00FB63BB"/>
    <w:rsid w:val="00FB7C4C"/>
    <w:rsid w:val="00FC0104"/>
    <w:rsid w:val="00FC198A"/>
    <w:rsid w:val="00FC1C68"/>
    <w:rsid w:val="00FC27C8"/>
    <w:rsid w:val="00FC31E4"/>
    <w:rsid w:val="00FC3407"/>
    <w:rsid w:val="00FC3E5D"/>
    <w:rsid w:val="00FC4B77"/>
    <w:rsid w:val="00FC559A"/>
    <w:rsid w:val="00FC74D4"/>
    <w:rsid w:val="00FC75EF"/>
    <w:rsid w:val="00FD03D6"/>
    <w:rsid w:val="00FD2DC4"/>
    <w:rsid w:val="00FD56B8"/>
    <w:rsid w:val="00FD62D1"/>
    <w:rsid w:val="00FE0823"/>
    <w:rsid w:val="00FE0D01"/>
    <w:rsid w:val="00FE0FBC"/>
    <w:rsid w:val="00FE2BD7"/>
    <w:rsid w:val="00FE34B0"/>
    <w:rsid w:val="00FE40E0"/>
    <w:rsid w:val="00FE5EFC"/>
    <w:rsid w:val="00FE63D2"/>
    <w:rsid w:val="00FF1F0A"/>
    <w:rsid w:val="00FF39D9"/>
    <w:rsid w:val="00FF442D"/>
    <w:rsid w:val="00FF4998"/>
    <w:rsid w:val="00FF63A5"/>
    <w:rsid w:val="0F73AF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26DFC2B3-2D29-456B-90E6-519694FE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355"/>
    <w:pPr>
      <w:spacing w:after="200" w:line="276" w:lineRule="auto"/>
    </w:pPr>
    <w:rPr>
      <w:sz w:val="22"/>
      <w:szCs w:val="22"/>
      <w:lang w:val="en-CA" w:eastAsia="en-CA"/>
    </w:rPr>
  </w:style>
  <w:style w:type="paragraph" w:styleId="Heading1">
    <w:name w:val="heading 1"/>
    <w:basedOn w:val="Normal"/>
    <w:link w:val="Heading1Char"/>
    <w:qFormat/>
    <w:rsid w:val="009511D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5B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7B69A0"/>
    <w:pPr>
      <w:ind w:left="720"/>
      <w:contextualSpacing/>
    </w:pPr>
  </w:style>
  <w:style w:type="paragraph" w:styleId="Header">
    <w:name w:val="header"/>
    <w:basedOn w:val="Normal"/>
    <w:link w:val="HeaderChar"/>
    <w:uiPriority w:val="99"/>
    <w:unhideWhenUsed/>
    <w:rsid w:val="008343D5"/>
    <w:pPr>
      <w:tabs>
        <w:tab w:val="center" w:pos="4680"/>
        <w:tab w:val="right" w:pos="9360"/>
      </w:tabs>
    </w:pPr>
  </w:style>
  <w:style w:type="character" w:customStyle="1" w:styleId="HeaderChar">
    <w:name w:val="Header Char"/>
    <w:link w:val="Header"/>
    <w:uiPriority w:val="99"/>
    <w:rsid w:val="008343D5"/>
    <w:rPr>
      <w:sz w:val="22"/>
      <w:szCs w:val="22"/>
      <w:lang w:val="en-CA" w:eastAsia="en-CA"/>
    </w:rPr>
  </w:style>
  <w:style w:type="paragraph" w:styleId="Footer">
    <w:name w:val="footer"/>
    <w:basedOn w:val="Normal"/>
    <w:link w:val="FooterChar"/>
    <w:uiPriority w:val="99"/>
    <w:unhideWhenUsed/>
    <w:rsid w:val="008343D5"/>
    <w:pPr>
      <w:tabs>
        <w:tab w:val="center" w:pos="4680"/>
        <w:tab w:val="right" w:pos="9360"/>
      </w:tabs>
    </w:pPr>
  </w:style>
  <w:style w:type="character" w:customStyle="1" w:styleId="FooterChar">
    <w:name w:val="Footer Char"/>
    <w:link w:val="Footer"/>
    <w:uiPriority w:val="99"/>
    <w:rsid w:val="008343D5"/>
    <w:rPr>
      <w:sz w:val="22"/>
      <w:szCs w:val="22"/>
      <w:lang w:val="en-CA" w:eastAsia="en-CA"/>
    </w:rPr>
  </w:style>
  <w:style w:type="paragraph" w:styleId="BalloonText">
    <w:name w:val="Balloon Text"/>
    <w:basedOn w:val="Normal"/>
    <w:link w:val="BalloonTextChar"/>
    <w:unhideWhenUsed/>
    <w:rsid w:val="00F3689B"/>
    <w:pPr>
      <w:spacing w:after="0" w:line="240" w:lineRule="auto"/>
    </w:pPr>
    <w:rPr>
      <w:rFonts w:ascii="Tahoma" w:hAnsi="Tahoma"/>
      <w:sz w:val="16"/>
      <w:szCs w:val="16"/>
    </w:rPr>
  </w:style>
  <w:style w:type="character" w:customStyle="1" w:styleId="BalloonTextChar">
    <w:name w:val="Balloon Text Char"/>
    <w:link w:val="BalloonText"/>
    <w:rsid w:val="00F3689B"/>
    <w:rPr>
      <w:rFonts w:ascii="Tahoma" w:hAnsi="Tahoma" w:cs="Tahoma"/>
      <w:sz w:val="16"/>
      <w:szCs w:val="16"/>
    </w:rPr>
  </w:style>
  <w:style w:type="character" w:styleId="FootnoteReference">
    <w:name w:val="footnote reference"/>
    <w:aliases w:val="ftref,16 Point,Superscript 6 Point"/>
    <w:rsid w:val="004B2D69"/>
    <w:rPr>
      <w:vertAlign w:val="superscript"/>
    </w:rPr>
  </w:style>
  <w:style w:type="character" w:styleId="Hyperlink">
    <w:name w:val="Hyperlink"/>
    <w:rsid w:val="004B2D69"/>
    <w:rPr>
      <w:color w:val="0000FF"/>
      <w:u w:val="single"/>
    </w:rPr>
  </w:style>
  <w:style w:type="paragraph" w:styleId="FootnoteText">
    <w:name w:val="footnote text"/>
    <w:basedOn w:val="Normal"/>
    <w:link w:val="FootnoteTextChar"/>
    <w:unhideWhenUsed/>
    <w:rsid w:val="009F292D"/>
    <w:rPr>
      <w:sz w:val="20"/>
      <w:szCs w:val="20"/>
    </w:rPr>
  </w:style>
  <w:style w:type="character" w:customStyle="1" w:styleId="FootnoteTextChar">
    <w:name w:val="Footnote Text Char"/>
    <w:link w:val="FootnoteText"/>
    <w:rsid w:val="009F292D"/>
    <w:rPr>
      <w:lang w:val="en-CA" w:eastAsia="en-CA"/>
    </w:rPr>
  </w:style>
  <w:style w:type="table" w:customStyle="1" w:styleId="LightList-Accent11">
    <w:name w:val="Light List - Accent 11"/>
    <w:basedOn w:val="TableNormal"/>
    <w:uiPriority w:val="61"/>
    <w:rsid w:val="0052715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uiPriority w:val="60"/>
    <w:rsid w:val="00E0567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rsid w:val="000215E4"/>
    <w:pPr>
      <w:spacing w:after="200" w:line="276" w:lineRule="auto"/>
    </w:pPr>
    <w:rPr>
      <w:rFonts w:eastAsia="Calibri" w:cs="Calibri"/>
      <w:color w:val="000000"/>
      <w:sz w:val="22"/>
      <w:szCs w:val="22"/>
      <w:u w:color="000000"/>
      <w:lang w:val="en-CA" w:eastAsia="en-CA"/>
    </w:rPr>
  </w:style>
  <w:style w:type="paragraph" w:customStyle="1" w:styleId="Default">
    <w:name w:val="Default"/>
    <w:autoRedefine/>
    <w:rsid w:val="00BB189A"/>
    <w:rPr>
      <w:rFonts w:ascii="Arial" w:eastAsia="Arial" w:hAnsi="Arial" w:cs="Arial"/>
      <w:color w:val="000000"/>
      <w:sz w:val="24"/>
      <w:szCs w:val="24"/>
      <w:u w:color="000000"/>
      <w:lang w:eastAsia="en-CA"/>
    </w:rPr>
  </w:style>
  <w:style w:type="paragraph" w:customStyle="1" w:styleId="LightList-Accent110">
    <w:name w:val="Light List - Accent 110"/>
    <w:autoRedefine/>
    <w:rsid w:val="00BB189A"/>
    <w:rPr>
      <w:rFonts w:eastAsia="Calibri" w:cs="Calibri"/>
      <w:color w:val="000000"/>
      <w:sz w:val="22"/>
      <w:szCs w:val="22"/>
      <w:u w:color="000000"/>
      <w:lang w:eastAsia="en-CA"/>
    </w:rPr>
  </w:style>
  <w:style w:type="paragraph" w:customStyle="1" w:styleId="MediumShading2-Accent11">
    <w:name w:val="Medium Shading 2 - Accent 11"/>
    <w:rsid w:val="00BB189A"/>
    <w:rPr>
      <w:rFonts w:eastAsia="Calibri" w:cs="Calibri"/>
      <w:color w:val="000000"/>
      <w:sz w:val="22"/>
      <w:szCs w:val="22"/>
      <w:u w:color="000000"/>
      <w:lang w:eastAsia="en-CA"/>
    </w:rPr>
  </w:style>
  <w:style w:type="paragraph" w:customStyle="1" w:styleId="NormalWeb1">
    <w:name w:val="Normal (Web)1"/>
    <w:rsid w:val="00BB189A"/>
    <w:pPr>
      <w:spacing w:before="100" w:after="100"/>
    </w:pPr>
    <w:rPr>
      <w:rFonts w:ascii="Times New Roman" w:hAnsi="Times New Roman"/>
      <w:color w:val="000000"/>
      <w:sz w:val="24"/>
      <w:szCs w:val="24"/>
      <w:u w:color="000000"/>
      <w:lang w:eastAsia="en-CA"/>
    </w:rPr>
  </w:style>
  <w:style w:type="numbering" w:customStyle="1" w:styleId="List0">
    <w:name w:val="List 0"/>
    <w:basedOn w:val="NoList"/>
    <w:semiHidden/>
    <w:rsid w:val="008B17D0"/>
    <w:pPr>
      <w:numPr>
        <w:numId w:val="1"/>
      </w:numPr>
    </w:pPr>
  </w:style>
  <w:style w:type="character" w:customStyle="1" w:styleId="Hyperlink0">
    <w:name w:val="Hyperlink.0"/>
    <w:rsid w:val="008B17D0"/>
    <w:rPr>
      <w:color w:val="000000"/>
      <w:sz w:val="18"/>
      <w:szCs w:val="18"/>
      <w:u w:val="none" w:color="000000"/>
      <w:rtl w:val="0"/>
    </w:rPr>
  </w:style>
  <w:style w:type="paragraph" w:customStyle="1" w:styleId="FootnoteText1">
    <w:name w:val="Footnote Text1"/>
    <w:rsid w:val="008B17D0"/>
    <w:pPr>
      <w:spacing w:after="200" w:line="276" w:lineRule="auto"/>
    </w:pPr>
    <w:rPr>
      <w:rFonts w:eastAsia="Calibri" w:cs="Calibri"/>
      <w:color w:val="000000"/>
      <w:u w:color="000000"/>
      <w:lang w:eastAsia="en-CA"/>
    </w:rPr>
  </w:style>
  <w:style w:type="numbering" w:customStyle="1" w:styleId="List31">
    <w:name w:val="List 31"/>
    <w:basedOn w:val="NoList"/>
    <w:semiHidden/>
    <w:rsid w:val="008B17D0"/>
    <w:pPr>
      <w:numPr>
        <w:numId w:val="2"/>
      </w:numPr>
    </w:pPr>
  </w:style>
  <w:style w:type="numbering" w:customStyle="1" w:styleId="List41">
    <w:name w:val="List 41"/>
    <w:basedOn w:val="NoList"/>
    <w:semiHidden/>
    <w:rsid w:val="008B17D0"/>
    <w:pPr>
      <w:numPr>
        <w:numId w:val="3"/>
      </w:numPr>
    </w:pPr>
  </w:style>
  <w:style w:type="numbering" w:customStyle="1" w:styleId="List51">
    <w:name w:val="List 51"/>
    <w:basedOn w:val="NoList"/>
    <w:semiHidden/>
    <w:rsid w:val="008B17D0"/>
    <w:pPr>
      <w:numPr>
        <w:numId w:val="6"/>
      </w:numPr>
    </w:pPr>
  </w:style>
  <w:style w:type="numbering" w:customStyle="1" w:styleId="List6">
    <w:name w:val="List 6"/>
    <w:basedOn w:val="NoList"/>
    <w:semiHidden/>
    <w:rsid w:val="008B17D0"/>
    <w:pPr>
      <w:numPr>
        <w:numId w:val="8"/>
      </w:numPr>
    </w:pPr>
  </w:style>
  <w:style w:type="numbering" w:customStyle="1" w:styleId="List7">
    <w:name w:val="List 7"/>
    <w:basedOn w:val="NoList"/>
    <w:semiHidden/>
    <w:rsid w:val="008B17D0"/>
    <w:pPr>
      <w:numPr>
        <w:numId w:val="10"/>
      </w:numPr>
    </w:pPr>
  </w:style>
  <w:style w:type="numbering" w:customStyle="1" w:styleId="List8">
    <w:name w:val="List 8"/>
    <w:basedOn w:val="NoList"/>
    <w:semiHidden/>
    <w:rsid w:val="008B17D0"/>
    <w:pPr>
      <w:numPr>
        <w:numId w:val="11"/>
      </w:numPr>
    </w:pPr>
  </w:style>
  <w:style w:type="character" w:styleId="CommentReference">
    <w:name w:val="annotation reference"/>
    <w:rsid w:val="008B17D0"/>
    <w:rPr>
      <w:sz w:val="16"/>
      <w:szCs w:val="16"/>
    </w:rPr>
  </w:style>
  <w:style w:type="paragraph" w:styleId="CommentText">
    <w:name w:val="annotation text"/>
    <w:basedOn w:val="Normal"/>
    <w:link w:val="CommentTextChar"/>
    <w:uiPriority w:val="99"/>
    <w:rsid w:val="008B17D0"/>
    <w:rPr>
      <w:rFonts w:eastAsia="Calibri" w:cs="Calibri"/>
      <w:color w:val="000000"/>
      <w:sz w:val="20"/>
      <w:szCs w:val="20"/>
      <w:u w:color="000000"/>
      <w:lang w:val="en-US" w:eastAsia="en-US"/>
    </w:rPr>
  </w:style>
  <w:style w:type="character" w:customStyle="1" w:styleId="CommentTextChar">
    <w:name w:val="Comment Text Char"/>
    <w:basedOn w:val="DefaultParagraphFont"/>
    <w:link w:val="CommentText"/>
    <w:uiPriority w:val="99"/>
    <w:rsid w:val="008B17D0"/>
    <w:rPr>
      <w:rFonts w:eastAsia="Calibri" w:cs="Calibri"/>
      <w:color w:val="000000"/>
      <w:u w:color="000000"/>
    </w:rPr>
  </w:style>
  <w:style w:type="paragraph" w:customStyle="1" w:styleId="FootnoteText2">
    <w:name w:val="Footnote Text2"/>
    <w:rsid w:val="00AA617C"/>
    <w:rPr>
      <w:rFonts w:eastAsia="Calibri" w:cs="Calibri"/>
      <w:color w:val="000000"/>
      <w:u w:color="000000"/>
      <w:lang w:eastAsia="en-CA"/>
    </w:rPr>
  </w:style>
  <w:style w:type="paragraph" w:customStyle="1" w:styleId="TableNormalParagraph">
    <w:name w:val="Table Normal Paragraph"/>
    <w:autoRedefine/>
    <w:rsid w:val="006C1581"/>
    <w:rPr>
      <w:rFonts w:eastAsia="Calibri" w:cs="Calibri"/>
      <w:color w:val="000000"/>
      <w:u w:color="000000"/>
      <w:lang w:eastAsia="en-CA"/>
    </w:rPr>
  </w:style>
  <w:style w:type="numbering" w:customStyle="1" w:styleId="List1">
    <w:name w:val="List 1"/>
    <w:basedOn w:val="NoList"/>
    <w:semiHidden/>
    <w:rsid w:val="006C1581"/>
  </w:style>
  <w:style w:type="numbering" w:customStyle="1" w:styleId="List21">
    <w:name w:val="List 21"/>
    <w:basedOn w:val="NoList"/>
    <w:semiHidden/>
    <w:rsid w:val="006C1581"/>
  </w:style>
  <w:style w:type="paragraph" w:styleId="EndnoteText">
    <w:name w:val="endnote text"/>
    <w:basedOn w:val="Normal"/>
    <w:link w:val="EndnoteTextChar"/>
    <w:unhideWhenUsed/>
    <w:rsid w:val="0004386D"/>
    <w:rPr>
      <w:sz w:val="20"/>
      <w:szCs w:val="20"/>
    </w:rPr>
  </w:style>
  <w:style w:type="character" w:customStyle="1" w:styleId="EndnoteTextChar">
    <w:name w:val="Endnote Text Char"/>
    <w:basedOn w:val="DefaultParagraphFont"/>
    <w:link w:val="EndnoteText"/>
    <w:rsid w:val="0004386D"/>
    <w:rPr>
      <w:lang w:val="en-CA" w:eastAsia="en-CA"/>
    </w:rPr>
  </w:style>
  <w:style w:type="character" w:styleId="EndnoteReference">
    <w:name w:val="endnote reference"/>
    <w:basedOn w:val="DefaultParagraphFont"/>
    <w:unhideWhenUsed/>
    <w:rsid w:val="0004386D"/>
    <w:rPr>
      <w:vertAlign w:val="superscript"/>
    </w:rPr>
  </w:style>
  <w:style w:type="table" w:styleId="MediumShading2-Accent5">
    <w:name w:val="Medium Shading 2 Accent 5"/>
    <w:basedOn w:val="TableNormal"/>
    <w:uiPriority w:val="64"/>
    <w:rsid w:val="0038137A"/>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782C76"/>
  </w:style>
  <w:style w:type="paragraph" w:styleId="CommentSubject">
    <w:name w:val="annotation subject"/>
    <w:basedOn w:val="CommentText"/>
    <w:next w:val="CommentText"/>
    <w:link w:val="CommentSubjectChar"/>
    <w:uiPriority w:val="99"/>
    <w:semiHidden/>
    <w:unhideWhenUsed/>
    <w:rsid w:val="00FE63D2"/>
    <w:pPr>
      <w:spacing w:line="240" w:lineRule="auto"/>
    </w:pPr>
    <w:rPr>
      <w:rFonts w:eastAsia="Times New Roman" w:cs="Times New Roman"/>
      <w:b/>
      <w:bCs/>
      <w:color w:val="auto"/>
      <w:lang w:val="en-CA" w:eastAsia="en-CA"/>
    </w:rPr>
  </w:style>
  <w:style w:type="character" w:customStyle="1" w:styleId="CommentSubjectChar">
    <w:name w:val="Comment Subject Char"/>
    <w:basedOn w:val="CommentTextChar"/>
    <w:link w:val="CommentSubject"/>
    <w:uiPriority w:val="99"/>
    <w:semiHidden/>
    <w:rsid w:val="00FE63D2"/>
    <w:rPr>
      <w:rFonts w:eastAsia="Calibri" w:cs="Calibri"/>
      <w:b/>
      <w:bCs/>
      <w:color w:val="000000"/>
      <w:u w:color="000000"/>
      <w:lang w:val="en-CA" w:eastAsia="en-CA"/>
    </w:rPr>
  </w:style>
  <w:style w:type="paragraph" w:customStyle="1" w:styleId="bodytext">
    <w:name w:val="bodytext"/>
    <w:basedOn w:val="Normal"/>
    <w:rsid w:val="00954B08"/>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rsid w:val="009511DC"/>
    <w:rPr>
      <w:rFonts w:ascii="Times New Roman" w:hAnsi="Times New Roman"/>
      <w:b/>
      <w:bCs/>
      <w:kern w:val="36"/>
      <w:sz w:val="48"/>
      <w:szCs w:val="48"/>
      <w:lang w:val="en-CA" w:eastAsia="en-CA"/>
    </w:rPr>
  </w:style>
  <w:style w:type="character" w:styleId="PageNumber">
    <w:name w:val="page number"/>
    <w:basedOn w:val="DefaultParagraphFont"/>
    <w:rsid w:val="009511DC"/>
  </w:style>
  <w:style w:type="paragraph" w:customStyle="1" w:styleId="Listenabsatz1">
    <w:name w:val="Listenabsatz1"/>
    <w:basedOn w:val="Normal"/>
    <w:rsid w:val="009511DC"/>
    <w:pPr>
      <w:suppressAutoHyphens/>
      <w:overflowPunct w:val="0"/>
      <w:autoSpaceDE w:val="0"/>
      <w:autoSpaceDN w:val="0"/>
      <w:adjustRightInd w:val="0"/>
      <w:ind w:left="720"/>
      <w:textAlignment w:val="baseline"/>
    </w:pPr>
    <w:rPr>
      <w:kern w:val="1"/>
      <w:szCs w:val="20"/>
      <w:lang w:eastAsia="de-AT"/>
    </w:rPr>
  </w:style>
  <w:style w:type="paragraph" w:customStyle="1" w:styleId="yiv5955851812msonormal">
    <w:name w:val="yiv5955851812msonormal"/>
    <w:basedOn w:val="Normal"/>
    <w:rsid w:val="009511DC"/>
    <w:pPr>
      <w:spacing w:before="100" w:beforeAutospacing="1" w:after="100" w:afterAutospacing="1" w:line="240" w:lineRule="auto"/>
    </w:pPr>
    <w:rPr>
      <w:rFonts w:ascii="Times New Roman" w:hAnsi="Times New Roman"/>
      <w:sz w:val="24"/>
      <w:szCs w:val="24"/>
    </w:rPr>
  </w:style>
  <w:style w:type="paragraph" w:styleId="NormalWeb">
    <w:name w:val="Normal (Web)"/>
    <w:basedOn w:val="Normal"/>
    <w:rsid w:val="009511DC"/>
    <w:pPr>
      <w:spacing w:before="100" w:beforeAutospacing="1" w:after="100" w:afterAutospacing="1" w:line="240" w:lineRule="auto"/>
    </w:pPr>
    <w:rPr>
      <w:rFonts w:ascii="Times New Roman" w:hAnsi="Times New Roman"/>
      <w:sz w:val="24"/>
      <w:szCs w:val="24"/>
    </w:rPr>
  </w:style>
  <w:style w:type="character" w:customStyle="1" w:styleId="roarquestion">
    <w:name w:val="roar_question"/>
    <w:basedOn w:val="DefaultParagraphFont"/>
    <w:rsid w:val="009511DC"/>
  </w:style>
  <w:style w:type="paragraph" w:styleId="Caption">
    <w:name w:val="caption"/>
    <w:basedOn w:val="Normal"/>
    <w:next w:val="Normal"/>
    <w:uiPriority w:val="35"/>
    <w:unhideWhenUsed/>
    <w:qFormat/>
    <w:rsid w:val="009511DC"/>
    <w:pPr>
      <w:keepNext/>
      <w:spacing w:line="240" w:lineRule="auto"/>
    </w:pPr>
    <w:rPr>
      <w:rFonts w:asciiTheme="minorHAnsi" w:eastAsiaTheme="minorHAnsi" w:hAnsiTheme="minorHAnsi" w:cstheme="minorBidi"/>
      <w:b/>
      <w:bCs/>
      <w:color w:val="4F81BD" w:themeColor="accent1"/>
      <w:sz w:val="18"/>
      <w:szCs w:val="18"/>
    </w:rPr>
  </w:style>
  <w:style w:type="paragraph" w:customStyle="1" w:styleId="style182">
    <w:name w:val="style182"/>
    <w:basedOn w:val="Normal"/>
    <w:rsid w:val="009511D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qFormat/>
    <w:rsid w:val="009511DC"/>
    <w:rPr>
      <w:b/>
      <w:bCs/>
    </w:rPr>
  </w:style>
  <w:style w:type="character" w:customStyle="1" w:styleId="Caption1">
    <w:name w:val="Caption1"/>
    <w:basedOn w:val="DefaultParagraphFont"/>
    <w:rsid w:val="009511DC"/>
  </w:style>
  <w:style w:type="paragraph" w:customStyle="1" w:styleId="caption-table">
    <w:name w:val="caption-table"/>
    <w:basedOn w:val="Normal"/>
    <w:rsid w:val="009511DC"/>
    <w:pPr>
      <w:numPr>
        <w:numId w:val="47"/>
      </w:numPr>
      <w:spacing w:after="0" w:line="220" w:lineRule="exact"/>
    </w:pPr>
    <w:rPr>
      <w:rFonts w:ascii="Times New Roman" w:hAnsi="Times New Roman"/>
      <w:szCs w:val="24"/>
      <w:lang w:val="en-GB"/>
    </w:rPr>
  </w:style>
  <w:style w:type="table" w:styleId="MediumShading1-Accent6">
    <w:name w:val="Medium Shading 1 Accent 6"/>
    <w:basedOn w:val="TableNormal"/>
    <w:uiPriority w:val="63"/>
    <w:rsid w:val="009511DC"/>
    <w:rPr>
      <w:rFonts w:asciiTheme="minorHAnsi" w:eastAsiaTheme="minorEastAsia" w:hAnsiTheme="minorHAnsi" w:cstheme="minorBidi"/>
      <w:sz w:val="22"/>
      <w:szCs w:val="22"/>
      <w:lang w:val="en-CA" w:eastAsia="en-C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Caption2">
    <w:name w:val="Caption2"/>
    <w:basedOn w:val="DefaultParagraphFont"/>
    <w:rsid w:val="0095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24245">
      <w:bodyDiv w:val="1"/>
      <w:marLeft w:val="0"/>
      <w:marRight w:val="0"/>
      <w:marTop w:val="0"/>
      <w:marBottom w:val="0"/>
      <w:divBdr>
        <w:top w:val="none" w:sz="0" w:space="0" w:color="auto"/>
        <w:left w:val="none" w:sz="0" w:space="0" w:color="auto"/>
        <w:bottom w:val="none" w:sz="0" w:space="0" w:color="auto"/>
        <w:right w:val="none" w:sz="0" w:space="0" w:color="auto"/>
      </w:divBdr>
    </w:div>
    <w:div w:id="421532542">
      <w:bodyDiv w:val="1"/>
      <w:marLeft w:val="0"/>
      <w:marRight w:val="0"/>
      <w:marTop w:val="0"/>
      <w:marBottom w:val="0"/>
      <w:divBdr>
        <w:top w:val="none" w:sz="0" w:space="0" w:color="auto"/>
        <w:left w:val="none" w:sz="0" w:space="0" w:color="auto"/>
        <w:bottom w:val="none" w:sz="0" w:space="0" w:color="auto"/>
        <w:right w:val="none" w:sz="0" w:space="0" w:color="auto"/>
      </w:divBdr>
    </w:div>
    <w:div w:id="501312955">
      <w:bodyDiv w:val="1"/>
      <w:marLeft w:val="0"/>
      <w:marRight w:val="0"/>
      <w:marTop w:val="0"/>
      <w:marBottom w:val="0"/>
      <w:divBdr>
        <w:top w:val="none" w:sz="0" w:space="0" w:color="auto"/>
        <w:left w:val="none" w:sz="0" w:space="0" w:color="auto"/>
        <w:bottom w:val="none" w:sz="0" w:space="0" w:color="auto"/>
        <w:right w:val="none" w:sz="0" w:space="0" w:color="auto"/>
      </w:divBdr>
    </w:div>
    <w:div w:id="710501674">
      <w:bodyDiv w:val="1"/>
      <w:marLeft w:val="0"/>
      <w:marRight w:val="0"/>
      <w:marTop w:val="0"/>
      <w:marBottom w:val="0"/>
      <w:divBdr>
        <w:top w:val="none" w:sz="0" w:space="0" w:color="auto"/>
        <w:left w:val="none" w:sz="0" w:space="0" w:color="auto"/>
        <w:bottom w:val="none" w:sz="0" w:space="0" w:color="auto"/>
        <w:right w:val="none" w:sz="0" w:space="0" w:color="auto"/>
      </w:divBdr>
    </w:div>
    <w:div w:id="210353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m.bd/webhp?sourceid=chrome-instant&amp;ion=1&amp;espv=2&amp;ie=UTF-8" TargetMode="External"/><Relationship Id="rId18" Type="http://schemas.openxmlformats.org/officeDocument/2006/relationships/image" Target="media/image7.png"/><Relationship Id="rId26" Type="http://schemas.openxmlformats.org/officeDocument/2006/relationships/hyperlink" Target="http://norway.org.bd/" TargetMode="External"/><Relationship Id="rId3" Type="http://schemas.openxmlformats.org/officeDocument/2006/relationships/styles" Target="styles.xml"/><Relationship Id="rId21" Type="http://schemas.openxmlformats.org/officeDocument/2006/relationships/hyperlink" Target="http://www.dmic.org.bd/e-librar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d.undp.org/content/dam/bangladesh/docs/legalframework/signed%2520cpd-bgd_2012-2016.pdf" TargetMode="External"/><Relationship Id="rId17" Type="http://schemas.openxmlformats.org/officeDocument/2006/relationships/image" Target="media/image6.jpeg"/><Relationship Id="rId25" Type="http://schemas.openxmlformats.org/officeDocument/2006/relationships/hyperlink" Target="http://europa.eu/index_en.htm" TargetMode="External"/><Relationship Id="rId33" Type="http://schemas.openxmlformats.org/officeDocument/2006/relationships/hyperlink" Target="http://www.cdmprm.org.bd/" TargetMode="External"/><Relationship Id="rId2" Type="http://schemas.openxmlformats.org/officeDocument/2006/relationships/numbering" Target="numbering.xml"/><Relationship Id="rId16" Type="http://schemas.openxmlformats.org/officeDocument/2006/relationships/image" Target="cid:image005.png@01D0921C.0445B080" TargetMode="External"/><Relationship Id="rId20" Type="http://schemas.openxmlformats.org/officeDocument/2006/relationships/hyperlink" Target="http://elearning.cdmp.org.bd/" TargetMode="External"/><Relationship Id="rId29" Type="http://schemas.openxmlformats.org/officeDocument/2006/relationships/hyperlink" Target="http://www.dmic.org.bd/d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dfid.gov.uk/" TargetMode="External"/><Relationship Id="rId32" Type="http://schemas.openxmlformats.org/officeDocument/2006/relationships/hyperlink" Target="http://www.dmic.org.bd/inmap"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ausaid.gov.au/" TargetMode="External"/><Relationship Id="rId28" Type="http://schemas.openxmlformats.org/officeDocument/2006/relationships/hyperlink" Target="http://www.dmic.org.bd/4w/"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www.dmic.org.bd/factshe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ightingglobal.org/ifc-partners-with-giz-in-bangladesh-to-increase-energy-access-for-off-grid-communities/" TargetMode="External"/><Relationship Id="rId22" Type="http://schemas.openxmlformats.org/officeDocument/2006/relationships/hyperlink" Target="http://180.211.164.220/ccdb/Home.aspx" TargetMode="External"/><Relationship Id="rId27" Type="http://schemas.openxmlformats.org/officeDocument/2006/relationships/hyperlink" Target="http://www.sida.se/English/" TargetMode="External"/><Relationship Id="rId30" Type="http://schemas.openxmlformats.org/officeDocument/2006/relationships/hyperlink" Target="http://www.cdmp.org.bd/csdb"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d.undp.org/content/dam/bangladesh/docs/legalframework/signed%2520cpd-bgd_2012-2016.pdf" TargetMode="External"/><Relationship Id="rId2" Type="http://schemas.openxmlformats.org/officeDocument/2006/relationships/hyperlink" Target="https://www.lightingglobal.org/ifc-partners-with-giz-in-bangladesh-to-increase-energy-access-for-off-grid-communities/" TargetMode="External"/><Relationship Id="rId1" Type="http://schemas.openxmlformats.org/officeDocument/2006/relationships/hyperlink" Target="http://www.bd.undp.org/content/dam/bangladesh/docs/legalframework/signed%2520cpd-bgd_2012-2016.pdf" TargetMode="External"/><Relationship Id="rId4" Type="http://schemas.openxmlformats.org/officeDocument/2006/relationships/hyperlink" Target="http://www.bd.undp.org/content/dam/bangladesh/docs/legalframework/signed%2520cpd-bgd_2012-201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7919-6143-4D6B-905F-F12C82BD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234</Pages>
  <Words>89384</Words>
  <Characters>509495</Characters>
  <Application>Microsoft Office Word</Application>
  <DocSecurity>0</DocSecurity>
  <Lines>4245</Lines>
  <Paragraphs>1195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Md Hashan Ali</cp:lastModifiedBy>
  <cp:revision>4</cp:revision>
  <cp:lastPrinted>2015-07-20T18:23:00Z</cp:lastPrinted>
  <dcterms:created xsi:type="dcterms:W3CDTF">2015-07-20T18:23:00Z</dcterms:created>
  <dcterms:modified xsi:type="dcterms:W3CDTF">2015-12-13T05:06:00Z</dcterms:modified>
</cp:coreProperties>
</file>