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5F" w:rsidRDefault="0020485F" w:rsidP="0020485F">
      <w:pPr>
        <w:pStyle w:val="En-tte"/>
        <w:jc w:val="center"/>
        <w:rPr>
          <w:rFonts w:ascii="Times New Roman" w:hAnsi="Times New Roman"/>
          <w:b/>
          <w:sz w:val="18"/>
          <w:szCs w:val="18"/>
        </w:rPr>
      </w:pPr>
      <w:bookmarkStart w:id="0" w:name="_Toc272401154"/>
      <w:bookmarkStart w:id="1" w:name="_Toc272401635"/>
      <w:r>
        <w:rPr>
          <w:rFonts w:ascii="Times New Roman" w:hAnsi="Times New Roman"/>
          <w:b/>
          <w:sz w:val="18"/>
          <w:szCs w:val="18"/>
        </w:rPr>
        <w:t>République du Niger</w:t>
      </w:r>
    </w:p>
    <w:p w:rsidR="0020485F" w:rsidRDefault="0020485F" w:rsidP="0020485F">
      <w:pPr>
        <w:pStyle w:val="En-tte"/>
        <w:jc w:val="center"/>
        <w:rPr>
          <w:rFonts w:ascii="Times New Roman" w:hAnsi="Times New Roman"/>
          <w:b/>
          <w:sz w:val="18"/>
          <w:szCs w:val="18"/>
        </w:rPr>
      </w:pPr>
      <w:r>
        <w:rPr>
          <w:rFonts w:ascii="Times New Roman" w:hAnsi="Times New Roman"/>
          <w:b/>
          <w:sz w:val="18"/>
          <w:szCs w:val="18"/>
        </w:rPr>
        <w:t>Ministère de l’Energie et du Pétrole</w:t>
      </w:r>
    </w:p>
    <w:p w:rsidR="0020485F" w:rsidRDefault="0020485F" w:rsidP="0020485F">
      <w:pPr>
        <w:spacing w:after="0" w:line="240" w:lineRule="auto"/>
        <w:jc w:val="both"/>
        <w:rPr>
          <w:rFonts w:asciiTheme="minorHAnsi" w:hAnsiTheme="minorHAnsi" w:cstheme="minorHAnsi"/>
          <w:b/>
          <w:sz w:val="24"/>
          <w:szCs w:val="24"/>
          <w:u w:val="single"/>
        </w:rPr>
      </w:pPr>
      <w:r>
        <w:rPr>
          <w:rFonts w:asciiTheme="minorHAnsi" w:hAnsiTheme="minorHAnsi" w:cstheme="minorHAnsi"/>
          <w:b/>
          <w:noProof/>
          <w:sz w:val="24"/>
          <w:szCs w:val="24"/>
          <w:u w:val="single"/>
        </w:rPr>
        <w:pict>
          <v:rect id="_x0000_s1027" style="position:absolute;left:0;text-align:left;margin-left:147.4pt;margin-top:9.1pt;width:118.5pt;height:123pt;z-index:251661312" strokecolor="white [3212]">
            <v:textbox>
              <w:txbxContent>
                <w:p w:rsidR="0020485F" w:rsidRDefault="0020485F" w:rsidP="0020485F">
                  <w:r>
                    <w:rPr>
                      <w:noProof/>
                    </w:rPr>
                    <w:drawing>
                      <wp:inline distT="0" distB="0" distL="0" distR="0">
                        <wp:extent cx="1312545" cy="1534384"/>
                        <wp:effectExtent l="1905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312545" cy="1534384"/>
                                </a:xfrm>
                                <a:prstGeom prst="rect">
                                  <a:avLst/>
                                </a:prstGeom>
                                <a:noFill/>
                                <a:ln w="9525">
                                  <a:noFill/>
                                  <a:miter lim="800000"/>
                                  <a:headEnd/>
                                  <a:tailEnd/>
                                </a:ln>
                              </pic:spPr>
                            </pic:pic>
                          </a:graphicData>
                        </a:graphic>
                      </wp:inline>
                    </w:drawing>
                  </w:r>
                </w:p>
              </w:txbxContent>
            </v:textbox>
          </v:rect>
        </w:pict>
      </w:r>
      <w:r>
        <w:rPr>
          <w:rFonts w:asciiTheme="minorHAnsi" w:hAnsiTheme="minorHAnsi" w:cstheme="minorHAnsi"/>
          <w:b/>
          <w:noProof/>
          <w:sz w:val="24"/>
          <w:szCs w:val="24"/>
          <w:u w:val="single"/>
        </w:rPr>
        <w:pict>
          <v:rect id="_x0000_s1026" style="position:absolute;left:0;text-align:left;margin-left:-39.35pt;margin-top:9.1pt;width:132.75pt;height:132.75pt;z-index:251660288" strokecolor="white [3212]">
            <v:textbox>
              <w:txbxContent>
                <w:p w:rsidR="0020485F" w:rsidRDefault="0020485F" w:rsidP="0020485F">
                  <w:r>
                    <w:rPr>
                      <w:rFonts w:ascii="Times New Roman" w:hAnsi="Times New Roman"/>
                      <w:noProof/>
                      <w:sz w:val="24"/>
                      <w:szCs w:val="24"/>
                    </w:rPr>
                    <w:drawing>
                      <wp:inline distT="0" distB="0" distL="0" distR="0">
                        <wp:extent cx="1695450" cy="1466850"/>
                        <wp:effectExtent l="19050" t="0" r="0" b="0"/>
                        <wp:docPr id="7" name="Image 5" descr="C:\Users\Utilisateur\Desktop\sophie_cartes_nig\armoiries_nig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Utilisateur\Desktop\sophie_cartes_nig\armoiries_niger (2).png"/>
                                <pic:cNvPicPr>
                                  <a:picLocks noChangeAspect="1" noChangeArrowheads="1"/>
                                </pic:cNvPicPr>
                              </pic:nvPicPr>
                              <pic:blipFill>
                                <a:blip r:embed="rId8"/>
                                <a:srcRect/>
                                <a:stretch>
                                  <a:fillRect/>
                                </a:stretch>
                              </pic:blipFill>
                              <pic:spPr bwMode="auto">
                                <a:xfrm>
                                  <a:off x="0" y="0"/>
                                  <a:ext cx="1695450" cy="1466850"/>
                                </a:xfrm>
                                <a:prstGeom prst="rect">
                                  <a:avLst/>
                                </a:prstGeom>
                                <a:noFill/>
                                <a:ln w="9525">
                                  <a:noFill/>
                                  <a:miter lim="800000"/>
                                  <a:headEnd/>
                                  <a:tailEnd/>
                                </a:ln>
                              </pic:spPr>
                            </pic:pic>
                          </a:graphicData>
                        </a:graphic>
                      </wp:inline>
                    </w:drawing>
                  </w:r>
                </w:p>
              </w:txbxContent>
            </v:textbox>
          </v:rect>
        </w:pict>
      </w:r>
    </w:p>
    <w:p w:rsidR="0020485F" w:rsidRDefault="0020485F" w:rsidP="0020485F">
      <w:pPr>
        <w:spacing w:after="0" w:line="240" w:lineRule="auto"/>
        <w:jc w:val="both"/>
        <w:rPr>
          <w:rFonts w:asciiTheme="minorHAnsi" w:hAnsiTheme="minorHAnsi" w:cstheme="minorHAnsi"/>
          <w:b/>
          <w:sz w:val="24"/>
          <w:szCs w:val="24"/>
          <w:u w:val="single"/>
        </w:rPr>
      </w:pPr>
      <w:r>
        <w:rPr>
          <w:rFonts w:asciiTheme="minorHAnsi" w:hAnsiTheme="minorHAnsi" w:cstheme="minorHAnsi"/>
          <w:b/>
          <w:noProof/>
          <w:sz w:val="24"/>
          <w:szCs w:val="24"/>
          <w:u w:val="single"/>
        </w:rPr>
        <w:pict>
          <v:rect id="_x0000_s1028" style="position:absolute;left:0;text-align:left;margin-left:356.65pt;margin-top:10.8pt;width:113.25pt;height:159.75pt;z-index:251662336" strokecolor="white [3212]">
            <v:textbox>
              <w:txbxContent>
                <w:p w:rsidR="0020485F" w:rsidRDefault="0020485F" w:rsidP="0020485F">
                  <w:r w:rsidRPr="009B73FB">
                    <w:rPr>
                      <w:noProof/>
                    </w:rPr>
                    <w:drawing>
                      <wp:inline distT="0" distB="0" distL="0" distR="0">
                        <wp:extent cx="1143000" cy="1771650"/>
                        <wp:effectExtent l="19050" t="0" r="0" b="0"/>
                        <wp:docPr id="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1143000" cy="1771650"/>
                                </a:xfrm>
                                <a:prstGeom prst="rect">
                                  <a:avLst/>
                                </a:prstGeom>
                                <a:noFill/>
                                <a:ln w="9525">
                                  <a:noFill/>
                                  <a:miter lim="800000"/>
                                  <a:headEnd/>
                                  <a:tailEnd/>
                                </a:ln>
                              </pic:spPr>
                            </pic:pic>
                          </a:graphicData>
                        </a:graphic>
                      </wp:inline>
                    </w:drawing>
                  </w:r>
                </w:p>
              </w:txbxContent>
            </v:textbox>
          </v:rect>
        </w:pict>
      </w: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Pr="009B73FB" w:rsidRDefault="0020485F" w:rsidP="0020485F">
      <w:pPr>
        <w:spacing w:after="0" w:line="240" w:lineRule="auto"/>
        <w:jc w:val="both"/>
        <w:rPr>
          <w:rFonts w:ascii="Times New Roman" w:hAnsi="Times New Roman"/>
          <w:sz w:val="24"/>
          <w:szCs w:val="24"/>
        </w:rPr>
      </w:pPr>
    </w:p>
    <w:p w:rsidR="0020485F" w:rsidRPr="00075BB3" w:rsidRDefault="0020485F" w:rsidP="0020485F">
      <w:pPr>
        <w:spacing w:after="0" w:line="240" w:lineRule="auto"/>
        <w:jc w:val="both"/>
        <w:rPr>
          <w:rFonts w:ascii="Times New Roman" w:hAnsi="Times New Roman"/>
          <w:b/>
          <w:sz w:val="24"/>
          <w:szCs w:val="24"/>
        </w:rPr>
      </w:pPr>
      <w:r w:rsidRPr="00075BB3">
        <w:rPr>
          <w:rFonts w:ascii="Times New Roman" w:hAnsi="Times New Roman"/>
          <w:b/>
          <w:sz w:val="24"/>
          <w:szCs w:val="24"/>
        </w:rPr>
        <w:t>PROJET  D’Intégration de la réduction des émissions de Gaz à Effet de Serre dans le Programme Rural d’Accès aux Services Energétiques du Niger  PRASE-FEM.</w:t>
      </w: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Pr="00075BB3" w:rsidRDefault="0020485F" w:rsidP="0020485F">
      <w:pPr>
        <w:pBdr>
          <w:top w:val="single" w:sz="4" w:space="1" w:color="auto"/>
          <w:left w:val="single" w:sz="4" w:space="4" w:color="auto"/>
          <w:bottom w:val="single" w:sz="4" w:space="1" w:color="auto"/>
          <w:right w:val="single" w:sz="4" w:space="31" w:color="auto"/>
        </w:pBdr>
        <w:spacing w:after="0" w:line="240" w:lineRule="auto"/>
        <w:jc w:val="both"/>
        <w:rPr>
          <w:rFonts w:asciiTheme="minorHAnsi" w:hAnsiTheme="minorHAnsi" w:cstheme="minorHAnsi"/>
          <w:b/>
          <w:sz w:val="36"/>
          <w:szCs w:val="36"/>
          <w:u w:val="single"/>
        </w:rPr>
      </w:pPr>
      <w:r w:rsidRPr="00075BB3">
        <w:rPr>
          <w:rFonts w:ascii="Times New Roman" w:hAnsi="Times New Roman"/>
          <w:b/>
          <w:sz w:val="36"/>
          <w:szCs w:val="36"/>
        </w:rPr>
        <w:t>Termes de référence de l’évaluation à mi-parcours du projet d’Intégration de la réduction des émissions de Gaz à Effet de Serre dans le Programme Rural d’Accès aux Services Energétique PRASE/FEM</w:t>
      </w: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r>
        <w:rPr>
          <w:rFonts w:asciiTheme="minorHAnsi" w:hAnsiTheme="minorHAnsi" w:cstheme="minorHAnsi"/>
          <w:b/>
          <w:noProof/>
          <w:sz w:val="24"/>
          <w:szCs w:val="24"/>
          <w:u w:val="single"/>
        </w:rPr>
        <w:lastRenderedPageBreak/>
        <w:pict>
          <v:rect id="_x0000_s1029" style="position:absolute;left:0;text-align:left;margin-left:-53.6pt;margin-top:-58.85pt;width:566.25pt;height:426.75pt;z-index:251663360" strokecolor="white [3212]">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5103"/>
                  </w:tblGrid>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Lieu d’affectation :</w:t>
                        </w:r>
                      </w:p>
                    </w:tc>
                    <w:tc>
                      <w:tcPr>
                        <w:tcW w:w="5103" w:type="dxa"/>
                      </w:tcPr>
                      <w:p w:rsidR="0020485F" w:rsidRDefault="0020485F" w:rsidP="00075BB3">
                        <w:pPr>
                          <w:pBdr>
                            <w:bottom w:val="single" w:sz="4" w:space="1" w:color="auto"/>
                          </w:pBdr>
                        </w:pPr>
                        <w:r>
                          <w:t>Niamey, avec éventuellement déplacement sur le terrain</w:t>
                        </w: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Date de clôture :</w:t>
                        </w:r>
                      </w:p>
                    </w:tc>
                    <w:tc>
                      <w:tcPr>
                        <w:tcW w:w="5103" w:type="dxa"/>
                      </w:tcPr>
                      <w:p w:rsidR="0020485F" w:rsidRDefault="0020485F" w:rsidP="00075BB3">
                        <w:pPr>
                          <w:pBdr>
                            <w:bottom w:val="single" w:sz="4" w:space="1" w:color="auto"/>
                          </w:pBdr>
                        </w:pPr>
                        <w:r>
                          <w:t>30  avril 2015</w:t>
                        </w: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Unité Organisationnelle :</w:t>
                        </w:r>
                      </w:p>
                    </w:tc>
                    <w:tc>
                      <w:tcPr>
                        <w:tcW w:w="5103" w:type="dxa"/>
                      </w:tcPr>
                      <w:p w:rsidR="0020485F" w:rsidRDefault="0020485F" w:rsidP="00075BB3">
                        <w:pPr>
                          <w:pBdr>
                            <w:bottom w:val="single" w:sz="4" w:space="1" w:color="auto"/>
                          </w:pBdr>
                        </w:pPr>
                        <w:r>
                          <w:t>Projet pilote de développement des PTFM</w:t>
                        </w:r>
                      </w:p>
                      <w:p w:rsidR="0020485F" w:rsidRDefault="0020485F" w:rsidP="00075BB3">
                        <w:pPr>
                          <w:pBdr>
                            <w:bottom w:val="single" w:sz="4" w:space="1" w:color="auto"/>
                          </w:pBdr>
                          <w:jc w:val="both"/>
                        </w:pPr>
                        <w:r>
                          <w:t>TEL 00 227 20 72 49 72</w:t>
                        </w:r>
                      </w:p>
                      <w:p w:rsidR="0020485F" w:rsidRPr="001907B6" w:rsidRDefault="0020485F" w:rsidP="00075BB3">
                        <w:pPr>
                          <w:pBdr>
                            <w:bottom w:val="single" w:sz="4" w:space="1" w:color="auto"/>
                          </w:pBdr>
                          <w:jc w:val="both"/>
                        </w:pPr>
                        <w:r>
                          <w:t>BP : 11207 rues de la tarka</w:t>
                        </w:r>
                        <w:r w:rsidRPr="001907B6">
                          <w:t xml:space="preserve"> Niamey République du Niger </w:t>
                        </w:r>
                      </w:p>
                      <w:p w:rsidR="0020485F" w:rsidRDefault="0020485F" w:rsidP="00075BB3">
                        <w:pPr>
                          <w:pBdr>
                            <w:bottom w:val="single" w:sz="4" w:space="1" w:color="auto"/>
                          </w:pBdr>
                        </w:pP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Type de Contact :</w:t>
                        </w:r>
                      </w:p>
                    </w:tc>
                    <w:tc>
                      <w:tcPr>
                        <w:tcW w:w="5103" w:type="dxa"/>
                      </w:tcPr>
                      <w:p w:rsidR="0020485F" w:rsidRPr="001907B6" w:rsidRDefault="0020485F" w:rsidP="00075BB3">
                        <w:pPr>
                          <w:pBdr>
                            <w:bottom w:val="single" w:sz="4" w:space="1" w:color="auto"/>
                          </w:pBdr>
                          <w:autoSpaceDE w:val="0"/>
                          <w:autoSpaceDN w:val="0"/>
                          <w:adjustRightInd w:val="0"/>
                          <w:jc w:val="both"/>
                        </w:pPr>
                        <w:r w:rsidRPr="001907B6">
                          <w:t xml:space="preserve">Programme des Nations Unies </w:t>
                        </w:r>
                      </w:p>
                      <w:p w:rsidR="0020485F" w:rsidRPr="001907B6" w:rsidRDefault="0020485F" w:rsidP="00075BB3">
                        <w:pPr>
                          <w:pBdr>
                            <w:bottom w:val="single" w:sz="4" w:space="1" w:color="auto"/>
                          </w:pBdr>
                          <w:jc w:val="both"/>
                        </w:pPr>
                        <w:r w:rsidRPr="001907B6">
                          <w:t xml:space="preserve">Pour le Développement (PNUD BP 11207 TEL 00 227 20 73 21 04  Niamey République du Niger </w:t>
                        </w:r>
                      </w:p>
                      <w:p w:rsidR="0020485F" w:rsidRDefault="0020485F" w:rsidP="00075BB3">
                        <w:pPr>
                          <w:pBdr>
                            <w:bottom w:val="single" w:sz="4" w:space="1" w:color="auto"/>
                          </w:pBdr>
                        </w:pP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Langues :</w:t>
                        </w:r>
                      </w:p>
                    </w:tc>
                    <w:tc>
                      <w:tcPr>
                        <w:tcW w:w="5103" w:type="dxa"/>
                      </w:tcPr>
                      <w:p w:rsidR="0020485F" w:rsidRDefault="0020485F" w:rsidP="00075BB3">
                        <w:pPr>
                          <w:pBdr>
                            <w:bottom w:val="single" w:sz="4" w:space="1" w:color="auto"/>
                          </w:pBdr>
                        </w:pPr>
                        <w:r>
                          <w:t>Français écrit et parlé</w:t>
                        </w: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 xml:space="preserve">Date de démarrage </w:t>
                        </w:r>
                        <w:r w:rsidRPr="00B04129">
                          <w:t>(date le candidat retenu doit commencer le travail)</w:t>
                        </w:r>
                        <w:r w:rsidRPr="0047784D">
                          <w:rPr>
                            <w:b/>
                          </w:rPr>
                          <w:t> :</w:t>
                        </w:r>
                      </w:p>
                    </w:tc>
                    <w:tc>
                      <w:tcPr>
                        <w:tcW w:w="5103" w:type="dxa"/>
                      </w:tcPr>
                      <w:p w:rsidR="0020485F" w:rsidRDefault="0020485F" w:rsidP="00BE2D03">
                        <w:pPr>
                          <w:pBdr>
                            <w:bottom w:val="single" w:sz="4" w:space="1" w:color="auto"/>
                          </w:pBdr>
                        </w:pPr>
                        <w:r>
                          <w:t xml:space="preserve">Le 05mai </w:t>
                        </w:r>
                        <w:r w:rsidRPr="00534D28">
                          <w:t>201</w:t>
                        </w:r>
                        <w:r>
                          <w:t>5</w:t>
                        </w: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Durée du Contrat :</w:t>
                        </w:r>
                      </w:p>
                    </w:tc>
                    <w:tc>
                      <w:tcPr>
                        <w:tcW w:w="5103" w:type="dxa"/>
                      </w:tcPr>
                      <w:p w:rsidR="0020485F" w:rsidRDefault="0020485F" w:rsidP="00075BB3">
                        <w:pPr>
                          <w:pBdr>
                            <w:bottom w:val="single" w:sz="4" w:space="1" w:color="auto"/>
                          </w:pBdr>
                        </w:pPr>
                        <w:r>
                          <w:t xml:space="preserve">03 semaines </w:t>
                        </w:r>
                      </w:p>
                    </w:tc>
                  </w:tr>
                  <w:tr w:rsidR="0020485F" w:rsidTr="00075BB3">
                    <w:trPr>
                      <w:jc w:val="center"/>
                    </w:trPr>
                    <w:tc>
                      <w:tcPr>
                        <w:tcW w:w="5495" w:type="dxa"/>
                        <w:shd w:val="clear" w:color="auto" w:fill="E0E0E0"/>
                      </w:tcPr>
                      <w:p w:rsidR="0020485F" w:rsidRPr="0047784D" w:rsidRDefault="0020485F" w:rsidP="00075BB3">
                        <w:pPr>
                          <w:pBdr>
                            <w:bottom w:val="single" w:sz="4" w:space="1" w:color="auto"/>
                          </w:pBdr>
                          <w:rPr>
                            <w:b/>
                          </w:rPr>
                        </w:pPr>
                        <w:r w:rsidRPr="0047784D">
                          <w:rPr>
                            <w:b/>
                          </w:rPr>
                          <w:t>Nombre de jours effectifs de travail :</w:t>
                        </w:r>
                      </w:p>
                    </w:tc>
                    <w:tc>
                      <w:tcPr>
                        <w:tcW w:w="5103" w:type="dxa"/>
                      </w:tcPr>
                      <w:p w:rsidR="0020485F" w:rsidRDefault="0020485F" w:rsidP="00075BB3">
                        <w:pPr>
                          <w:pBdr>
                            <w:bottom w:val="single" w:sz="4" w:space="1" w:color="auto"/>
                          </w:pBdr>
                        </w:pPr>
                        <w:r w:rsidRPr="00E747DF">
                          <w:rPr>
                            <w:rFonts w:asciiTheme="minorHAnsi" w:hAnsiTheme="minorHAnsi"/>
                            <w:sz w:val="24"/>
                            <w:szCs w:val="24"/>
                          </w:rPr>
                          <w:t>2</w:t>
                        </w:r>
                        <w:r>
                          <w:rPr>
                            <w:rFonts w:asciiTheme="minorHAnsi" w:hAnsiTheme="minorHAnsi"/>
                            <w:sz w:val="24"/>
                            <w:szCs w:val="24"/>
                          </w:rPr>
                          <w:t>1</w:t>
                        </w:r>
                        <w:r w:rsidRPr="00E747DF">
                          <w:rPr>
                            <w:rFonts w:asciiTheme="minorHAnsi" w:hAnsiTheme="minorHAnsi"/>
                            <w:sz w:val="24"/>
                            <w:szCs w:val="24"/>
                          </w:rPr>
                          <w:t xml:space="preserve"> jours ouvrables</w:t>
                        </w:r>
                      </w:p>
                    </w:tc>
                  </w:tr>
                </w:tbl>
                <w:p w:rsidR="0020485F" w:rsidRDefault="0020485F" w:rsidP="0020485F"/>
              </w:txbxContent>
            </v:textbox>
          </v:rect>
        </w:pict>
      </w: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p>
    <w:p w:rsidR="0020485F" w:rsidRDefault="0020485F" w:rsidP="0020485F">
      <w:pPr>
        <w:spacing w:after="0"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1.</w:t>
      </w:r>
      <w:r w:rsidRPr="008A33FF">
        <w:rPr>
          <w:rFonts w:asciiTheme="minorHAnsi" w:hAnsiTheme="minorHAnsi" w:cstheme="minorHAnsi"/>
          <w:b/>
          <w:sz w:val="24"/>
          <w:szCs w:val="24"/>
          <w:u w:val="single"/>
        </w:rPr>
        <w:t>Contexte</w:t>
      </w:r>
    </w:p>
    <w:p w:rsidR="0020485F" w:rsidRPr="008A33FF" w:rsidRDefault="0020485F" w:rsidP="0020485F">
      <w:pPr>
        <w:spacing w:after="0" w:line="240" w:lineRule="auto"/>
        <w:jc w:val="both"/>
        <w:rPr>
          <w:rFonts w:asciiTheme="minorHAnsi" w:hAnsiTheme="minorHAnsi" w:cstheme="minorHAnsi"/>
          <w:b/>
          <w:sz w:val="24"/>
          <w:szCs w:val="24"/>
          <w:u w:val="single"/>
        </w:rPr>
      </w:pPr>
    </w:p>
    <w:p w:rsidR="0020485F" w:rsidRPr="008A33FF" w:rsidRDefault="0020485F" w:rsidP="0020485F">
      <w:p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Le 12 janvier 2006, les Etats Membres de la CEDEAO et de l’UEMOA ont décidé (Décision A/Déc.24/0106) de s’engager dans une politique régionale ambitieuse pour accroître l’accès de leurs populations aux services énergétiques modernes. Cette politique se fixe pour objectif, à l’horizon 2015, de permettre au moins à la moitié de la population d’accéder aux services énergétiques modernes : soit un accès - de 36 millions de foyers supplémentaires et plus de 49 000 localités supplémentaires - à des services énergétiques modernes. Ceci revient à une multiplication par quatre par rapport au nombre de personnes desservies en 2005.</w:t>
      </w:r>
    </w:p>
    <w:p w:rsidR="0020485F" w:rsidRPr="008A33FF" w:rsidRDefault="0020485F" w:rsidP="0020485F">
      <w:pPr>
        <w:spacing w:after="0" w:line="240" w:lineRule="auto"/>
        <w:jc w:val="both"/>
        <w:rPr>
          <w:rFonts w:asciiTheme="minorHAnsi" w:hAnsiTheme="minorHAnsi" w:cstheme="minorHAnsi"/>
          <w:sz w:val="24"/>
          <w:szCs w:val="24"/>
        </w:rPr>
      </w:pPr>
    </w:p>
    <w:p w:rsidR="0020485F" w:rsidRPr="008A33FF" w:rsidRDefault="0020485F" w:rsidP="0020485F">
      <w:p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Le Gouvernement du Niger, a su traduire cette ambition partagée des Etats Membres de la CEDEAO en une vision nationale avec l’appui du PNUD-PREP, à travers un programme de référence pour l’accès aux services énergétiques modernes (PRASE) adopté le 7 avril 2009 et approuvé le 04 janvier 2010 (par Décret Présidentiel n°2010-004/PRN/MME).</w:t>
      </w:r>
    </w:p>
    <w:p w:rsidR="0020485F" w:rsidRPr="008A33FF" w:rsidRDefault="0020485F" w:rsidP="0020485F">
      <w:p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Le PRASE est un programme fédérateur qui s'inscrit dans la durée couvrant progressivement tout le territoire national. Le (PRASE a démarré  à travers le Projet d’Accès Aux Services Énergétiques (PASE)  de la facilité énergie de l’Union Européenne  ainsi que du projet de Réduction des gaz à effet de dans la commune rurale de Safo.</w:t>
      </w:r>
    </w:p>
    <w:p w:rsidR="0020485F" w:rsidRPr="008A33FF" w:rsidRDefault="0020485F" w:rsidP="0020485F">
      <w:pPr>
        <w:spacing w:after="0" w:line="240" w:lineRule="auto"/>
        <w:jc w:val="both"/>
        <w:rPr>
          <w:rFonts w:asciiTheme="minorHAnsi" w:hAnsiTheme="minorHAnsi" w:cstheme="minorHAnsi"/>
          <w:sz w:val="24"/>
          <w:szCs w:val="24"/>
        </w:rPr>
      </w:pPr>
    </w:p>
    <w:p w:rsidR="0020485F" w:rsidRPr="008A33FF" w:rsidRDefault="0020485F" w:rsidP="0020485F">
      <w:p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Le Niger a obtenu le financement du  projet de Réduction des gaz à effet de serre FEM/GEF .</w:t>
      </w:r>
    </w:p>
    <w:p w:rsidR="0020485F" w:rsidRPr="008A33FF" w:rsidRDefault="0020485F" w:rsidP="0020485F">
      <w:pPr>
        <w:spacing w:after="0" w:line="240" w:lineRule="auto"/>
        <w:jc w:val="both"/>
        <w:rPr>
          <w:rFonts w:asciiTheme="minorHAnsi" w:hAnsiTheme="minorHAnsi" w:cstheme="minorHAnsi"/>
          <w:sz w:val="24"/>
          <w:szCs w:val="24"/>
        </w:rPr>
      </w:pPr>
    </w:p>
    <w:p w:rsidR="0020485F" w:rsidRPr="008A33FF" w:rsidRDefault="0020485F" w:rsidP="0020485F">
      <w:pPr>
        <w:jc w:val="both"/>
        <w:rPr>
          <w:rFonts w:asciiTheme="minorHAnsi" w:hAnsiTheme="minorHAnsi" w:cstheme="minorHAnsi"/>
          <w:sz w:val="24"/>
          <w:szCs w:val="24"/>
        </w:rPr>
      </w:pPr>
      <w:r w:rsidRPr="008A33FF">
        <w:rPr>
          <w:rFonts w:asciiTheme="minorHAnsi" w:hAnsiTheme="minorHAnsi" w:cstheme="minorHAnsi"/>
          <w:sz w:val="24"/>
          <w:szCs w:val="24"/>
        </w:rPr>
        <w:lastRenderedPageBreak/>
        <w:t>Ce projet vise à prendre en compte la réduction des émissions de gaz à effet de serre dans la réalisation du Programme national de Référence d'Accès aux Services Energétiques modernes (PRASE) au Niger. Le projet va contribuer à la promotion des énergies propres et éviter l’émission de gaz à effet de serre. Il sera réalisé à travers les composantes suivantes :</w:t>
      </w:r>
    </w:p>
    <w:p w:rsidR="0020485F" w:rsidRPr="008A33FF" w:rsidRDefault="0020485F" w:rsidP="0020485F">
      <w:pPr>
        <w:jc w:val="both"/>
        <w:rPr>
          <w:rFonts w:asciiTheme="minorHAnsi" w:hAnsiTheme="minorHAnsi" w:cstheme="minorHAnsi"/>
          <w:sz w:val="24"/>
          <w:szCs w:val="24"/>
        </w:rPr>
      </w:pPr>
    </w:p>
    <w:p w:rsidR="0020485F" w:rsidRPr="008A33FF" w:rsidRDefault="0020485F" w:rsidP="0020485F">
      <w:pPr>
        <w:numPr>
          <w:ilvl w:val="0"/>
          <w:numId w:val="1"/>
        </w:num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Renforcement des capacités institutionnelles en matière de réduction d’émission de gaz à effet de serre dans le cadre du programme national d'accès aux services énergétiques modernes ;</w:t>
      </w:r>
    </w:p>
    <w:p w:rsidR="0020485F" w:rsidRPr="008A33FF" w:rsidRDefault="0020485F" w:rsidP="0020485F">
      <w:pPr>
        <w:numPr>
          <w:ilvl w:val="0"/>
          <w:numId w:val="1"/>
        </w:num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Réduction d’émission de gaz à effet de serre dans la fourniture des services énergétiques aux infrastructures collectives décentralisées (santé, éducation, eau, etc.) ;</w:t>
      </w:r>
    </w:p>
    <w:p w:rsidR="0020485F" w:rsidRPr="008A33FF" w:rsidRDefault="0020485F" w:rsidP="0020485F">
      <w:pPr>
        <w:numPr>
          <w:ilvl w:val="0"/>
          <w:numId w:val="1"/>
        </w:num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Réduction d’émission de gaz à effet de serre dans la fourniture des services énergétiques aux infrastructures productives (agriculture, plates forme multifonctionnelles) ;</w:t>
      </w:r>
    </w:p>
    <w:p w:rsidR="0020485F" w:rsidRPr="008A33FF" w:rsidRDefault="0020485F" w:rsidP="0020485F">
      <w:pPr>
        <w:numPr>
          <w:ilvl w:val="0"/>
          <w:numId w:val="1"/>
        </w:num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Réduction d’émission de gaz à effet de serre dans la fourniture des services énergétiques domestiques ;</w:t>
      </w:r>
    </w:p>
    <w:p w:rsidR="0020485F" w:rsidRPr="008A33FF" w:rsidRDefault="0020485F" w:rsidP="0020485F">
      <w:pPr>
        <w:numPr>
          <w:ilvl w:val="0"/>
          <w:numId w:val="1"/>
        </w:num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Capitalisation et consolidation de la capacité et des acquis des acteurs en matière d’émission de gaz à effet de serre ;</w:t>
      </w:r>
    </w:p>
    <w:p w:rsidR="0020485F" w:rsidRPr="008A33FF" w:rsidRDefault="0020485F" w:rsidP="0020485F">
      <w:pPr>
        <w:numPr>
          <w:ilvl w:val="0"/>
          <w:numId w:val="1"/>
        </w:numPr>
        <w:spacing w:after="0" w:line="240" w:lineRule="auto"/>
        <w:jc w:val="both"/>
        <w:rPr>
          <w:rFonts w:asciiTheme="minorHAnsi" w:hAnsiTheme="minorHAnsi" w:cstheme="minorHAnsi"/>
          <w:sz w:val="24"/>
          <w:szCs w:val="24"/>
        </w:rPr>
      </w:pPr>
      <w:r w:rsidRPr="008A33FF">
        <w:rPr>
          <w:rFonts w:asciiTheme="minorHAnsi" w:hAnsiTheme="minorHAnsi" w:cstheme="minorHAnsi"/>
          <w:sz w:val="24"/>
          <w:szCs w:val="24"/>
        </w:rPr>
        <w:t>Gestion du projet.</w:t>
      </w:r>
    </w:p>
    <w:p w:rsidR="0020485F" w:rsidRPr="008A33FF" w:rsidRDefault="0020485F" w:rsidP="0020485F">
      <w:pPr>
        <w:spacing w:after="120" w:line="240" w:lineRule="auto"/>
        <w:jc w:val="both"/>
        <w:rPr>
          <w:rFonts w:asciiTheme="minorHAnsi" w:hAnsiTheme="minorHAnsi" w:cstheme="minorHAnsi"/>
          <w:b/>
          <w:sz w:val="24"/>
          <w:szCs w:val="24"/>
          <w:u w:val="single"/>
        </w:rPr>
      </w:pPr>
    </w:p>
    <w:p w:rsidR="0020485F" w:rsidRDefault="0020485F" w:rsidP="0020485F">
      <w:pPr>
        <w:spacing w:after="120"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2. </w:t>
      </w:r>
      <w:r w:rsidRPr="008A33FF">
        <w:rPr>
          <w:rFonts w:asciiTheme="minorHAnsi" w:hAnsiTheme="minorHAnsi" w:cstheme="minorHAnsi"/>
          <w:b/>
          <w:sz w:val="24"/>
          <w:szCs w:val="24"/>
          <w:u w:val="single"/>
        </w:rPr>
        <w:t>Objectifs de la prestation</w:t>
      </w:r>
      <w:r>
        <w:rPr>
          <w:rFonts w:asciiTheme="minorHAnsi" w:hAnsiTheme="minorHAnsi" w:cstheme="minorHAnsi"/>
          <w:b/>
          <w:sz w:val="24"/>
          <w:szCs w:val="24"/>
          <w:u w:val="single"/>
        </w:rPr>
        <w:t xml:space="preserve"> : </w:t>
      </w:r>
    </w:p>
    <w:p w:rsidR="0020485F" w:rsidRPr="008C3B52" w:rsidRDefault="0020485F" w:rsidP="0020485F">
      <w:pPr>
        <w:tabs>
          <w:tab w:val="num" w:pos="927"/>
        </w:tabs>
        <w:spacing w:line="240" w:lineRule="auto"/>
        <w:jc w:val="both"/>
        <w:rPr>
          <w:sz w:val="24"/>
          <w:szCs w:val="24"/>
        </w:rPr>
      </w:pPr>
      <w:r w:rsidRPr="008C3B52">
        <w:rPr>
          <w:sz w:val="24"/>
          <w:szCs w:val="24"/>
        </w:rPr>
        <w:t>Il s’agira, à travers cette évaluation</w:t>
      </w:r>
      <w:r>
        <w:rPr>
          <w:sz w:val="24"/>
          <w:szCs w:val="24"/>
        </w:rPr>
        <w:t xml:space="preserve"> à mi parcours</w:t>
      </w:r>
      <w:r w:rsidRPr="008C3B52">
        <w:rPr>
          <w:sz w:val="24"/>
          <w:szCs w:val="24"/>
        </w:rPr>
        <w:t xml:space="preserve">, d’apprécier la réalisation des objectifs du projet et de tirer des enseignements qui peuvent améliorer la durabilité des effets et acquis de ce projet ainsi que  favoriser l’amélioration globale des différentes interventions au Niger des programmes du PNUD et </w:t>
      </w:r>
      <w:r>
        <w:rPr>
          <w:sz w:val="24"/>
          <w:szCs w:val="24"/>
        </w:rPr>
        <w:t>ses partenaires</w:t>
      </w:r>
      <w:r w:rsidRPr="008C3B52">
        <w:rPr>
          <w:sz w:val="24"/>
          <w:szCs w:val="24"/>
        </w:rPr>
        <w:t xml:space="preserve">. Les principaux objectifs visés sont:  </w:t>
      </w:r>
    </w:p>
    <w:p w:rsidR="0020485F" w:rsidRPr="008C3B52" w:rsidRDefault="0020485F" w:rsidP="0020485F">
      <w:pPr>
        <w:numPr>
          <w:ilvl w:val="0"/>
          <w:numId w:val="12"/>
        </w:numPr>
        <w:spacing w:after="0" w:line="240" w:lineRule="auto"/>
        <w:jc w:val="both"/>
        <w:rPr>
          <w:sz w:val="24"/>
          <w:szCs w:val="24"/>
        </w:rPr>
      </w:pPr>
      <w:r w:rsidRPr="008C3B52">
        <w:rPr>
          <w:sz w:val="24"/>
          <w:szCs w:val="24"/>
        </w:rPr>
        <w:t>Evaluer la pertinence, la performance et le succès du projet dans la réalisation de ses objectifs</w:t>
      </w:r>
    </w:p>
    <w:p w:rsidR="0020485F" w:rsidRPr="008C3B52" w:rsidRDefault="0020485F" w:rsidP="0020485F">
      <w:pPr>
        <w:numPr>
          <w:ilvl w:val="0"/>
          <w:numId w:val="12"/>
        </w:numPr>
        <w:spacing w:after="0" w:line="240" w:lineRule="auto"/>
        <w:jc w:val="both"/>
        <w:rPr>
          <w:sz w:val="24"/>
          <w:szCs w:val="24"/>
        </w:rPr>
      </w:pPr>
      <w:r w:rsidRPr="008C3B52">
        <w:rPr>
          <w:sz w:val="24"/>
          <w:szCs w:val="24"/>
        </w:rPr>
        <w:t>Identifier les effets et apprécier la durabilité des résultats du projet y compris la contribution à l’accès à l’énergie en zone rurale, l’intégration des questions relatives à l’accès à l’énergie</w:t>
      </w:r>
      <w:r>
        <w:rPr>
          <w:sz w:val="24"/>
          <w:szCs w:val="24"/>
        </w:rPr>
        <w:t xml:space="preserve"> propre</w:t>
      </w:r>
      <w:r w:rsidRPr="008C3B52">
        <w:rPr>
          <w:sz w:val="24"/>
          <w:szCs w:val="24"/>
        </w:rPr>
        <w:t xml:space="preserve"> en zone rurale dans les stratégies et politiques locales et nationales de développement, et la contribution à la réduction de la pauvreté.  </w:t>
      </w:r>
    </w:p>
    <w:p w:rsidR="0020485F" w:rsidRPr="008C3B52" w:rsidRDefault="0020485F" w:rsidP="0020485F">
      <w:pPr>
        <w:numPr>
          <w:ilvl w:val="0"/>
          <w:numId w:val="12"/>
        </w:numPr>
        <w:spacing w:after="0" w:line="240" w:lineRule="auto"/>
        <w:jc w:val="both"/>
      </w:pPr>
      <w:r w:rsidRPr="008C3B52">
        <w:t>Analyser et déterminer les éléments permettant le passage à l’échelle et la pérennité des différents et importants investissements ;</w:t>
      </w:r>
    </w:p>
    <w:p w:rsidR="0020485F" w:rsidRPr="008C3B52" w:rsidRDefault="0020485F" w:rsidP="0020485F">
      <w:pPr>
        <w:spacing w:after="0" w:line="240" w:lineRule="auto"/>
        <w:ind w:left="360"/>
        <w:jc w:val="both"/>
      </w:pPr>
    </w:p>
    <w:p w:rsidR="0020485F" w:rsidRPr="008C3B52" w:rsidRDefault="0020485F" w:rsidP="0020485F">
      <w:pPr>
        <w:numPr>
          <w:ilvl w:val="0"/>
          <w:numId w:val="12"/>
        </w:numPr>
        <w:spacing w:after="0" w:line="240" w:lineRule="auto"/>
        <w:jc w:val="both"/>
        <w:rPr>
          <w:sz w:val="24"/>
          <w:szCs w:val="24"/>
        </w:rPr>
      </w:pPr>
      <w:r w:rsidRPr="008C3B52">
        <w:rPr>
          <w:sz w:val="24"/>
          <w:szCs w:val="24"/>
        </w:rPr>
        <w:t xml:space="preserve">Identifier/documenter les leçons apprises et formuler des recommandations pour la conception et la mise en œuvre de politiques </w:t>
      </w:r>
      <w:r w:rsidRPr="008C3B52">
        <w:rPr>
          <w:sz w:val="24"/>
          <w:szCs w:val="24"/>
        </w:rPr>
        <w:t>énergétiques.</w:t>
      </w:r>
    </w:p>
    <w:p w:rsidR="0020485F" w:rsidRPr="008C3B52" w:rsidRDefault="0020485F" w:rsidP="0020485F">
      <w:pPr>
        <w:tabs>
          <w:tab w:val="num" w:pos="927"/>
        </w:tabs>
        <w:jc w:val="both"/>
        <w:rPr>
          <w:sz w:val="24"/>
          <w:szCs w:val="24"/>
          <w:lang w:eastAsia="en-US"/>
        </w:rPr>
      </w:pPr>
    </w:p>
    <w:p w:rsidR="0020485F" w:rsidRPr="008C3B52" w:rsidRDefault="0020485F" w:rsidP="0020485F">
      <w:pPr>
        <w:tabs>
          <w:tab w:val="num" w:pos="927"/>
        </w:tabs>
        <w:jc w:val="both"/>
        <w:rPr>
          <w:sz w:val="24"/>
          <w:szCs w:val="24"/>
          <w:lang w:eastAsia="en-US"/>
        </w:rPr>
      </w:pPr>
      <w:r w:rsidRPr="008C3B52">
        <w:rPr>
          <w:sz w:val="24"/>
          <w:szCs w:val="24"/>
          <w:lang w:eastAsia="en-US"/>
        </w:rPr>
        <w:t xml:space="preserve">Comme partie intégrante du cycle du projet, l’évaluation analysera les réalisations du projet en comparaison avec ses objectifs initiaux. L’évaluation analysera  l’effectivité, l’efficience, la pertinence, l’impact, et la viabilité du projet. En outre, elle identifiera les facteurs ayant facilité ou, au contraire, entravé la réalisation de ses objectifs.   </w:t>
      </w:r>
    </w:p>
    <w:p w:rsidR="0020485F" w:rsidRPr="008C3B52" w:rsidRDefault="0020485F" w:rsidP="0020485F">
      <w:pPr>
        <w:tabs>
          <w:tab w:val="num" w:pos="927"/>
        </w:tabs>
        <w:jc w:val="both"/>
        <w:rPr>
          <w:sz w:val="24"/>
          <w:szCs w:val="24"/>
          <w:lang w:eastAsia="en-US"/>
        </w:rPr>
      </w:pPr>
      <w:r w:rsidRPr="008C3B52">
        <w:rPr>
          <w:sz w:val="24"/>
          <w:szCs w:val="24"/>
          <w:lang w:eastAsia="en-US"/>
        </w:rPr>
        <w:lastRenderedPageBreak/>
        <w:t xml:space="preserve">L’évaluation </w:t>
      </w:r>
      <w:r>
        <w:rPr>
          <w:sz w:val="24"/>
          <w:szCs w:val="24"/>
          <w:lang w:eastAsia="en-US"/>
        </w:rPr>
        <w:t xml:space="preserve">à mi parcours </w:t>
      </w:r>
      <w:r w:rsidRPr="008C3B52">
        <w:rPr>
          <w:sz w:val="24"/>
          <w:szCs w:val="24"/>
          <w:lang w:eastAsia="en-US"/>
        </w:rPr>
        <w:t xml:space="preserve">s’intéressera en plus aux questions de performance, de conception du projet, de stratégie du projet, de reporting, de Suivi-Evaluation, d’utilisation d’assistance technique, de relation avec les partenaires et d’utilisation effective des ressources financières. </w:t>
      </w:r>
    </w:p>
    <w:p w:rsidR="0020485F" w:rsidRPr="008A33FF" w:rsidRDefault="0020485F" w:rsidP="0020485F">
      <w:pPr>
        <w:spacing w:after="120" w:line="240" w:lineRule="auto"/>
        <w:jc w:val="both"/>
        <w:rPr>
          <w:rFonts w:asciiTheme="minorHAnsi" w:hAnsiTheme="minorHAnsi" w:cstheme="minorHAnsi"/>
          <w:b/>
          <w:sz w:val="24"/>
          <w:szCs w:val="24"/>
          <w:u w:val="single"/>
        </w:rPr>
      </w:pPr>
    </w:p>
    <w:p w:rsidR="0020485F" w:rsidRDefault="00CB0329" w:rsidP="0020485F">
      <w:pPr>
        <w:spacing w:after="0"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3.</w:t>
      </w:r>
      <w:r w:rsidRPr="008A33FF">
        <w:rPr>
          <w:rFonts w:asciiTheme="minorHAnsi" w:hAnsiTheme="minorHAnsi" w:cstheme="minorHAnsi"/>
          <w:b/>
          <w:sz w:val="24"/>
          <w:szCs w:val="24"/>
          <w:u w:val="single"/>
        </w:rPr>
        <w:t xml:space="preserve"> Description</w:t>
      </w:r>
      <w:r w:rsidR="0020485F" w:rsidRPr="008A33FF">
        <w:rPr>
          <w:rFonts w:asciiTheme="minorHAnsi" w:hAnsiTheme="minorHAnsi" w:cstheme="minorHAnsi"/>
          <w:b/>
          <w:sz w:val="24"/>
          <w:szCs w:val="24"/>
          <w:u w:val="single"/>
        </w:rPr>
        <w:t xml:space="preserve"> des tâches et responsabilités :</w:t>
      </w:r>
    </w:p>
    <w:p w:rsidR="0020485F" w:rsidRDefault="0020485F" w:rsidP="0020485F">
      <w:pPr>
        <w:spacing w:after="0" w:line="240" w:lineRule="auto"/>
        <w:jc w:val="both"/>
        <w:rPr>
          <w:rFonts w:asciiTheme="minorHAnsi" w:hAnsiTheme="minorHAnsi" w:cstheme="minorHAnsi"/>
          <w:b/>
          <w:sz w:val="24"/>
          <w:szCs w:val="24"/>
          <w:u w:val="single"/>
        </w:rPr>
      </w:pPr>
    </w:p>
    <w:p w:rsidR="0020485F" w:rsidRPr="008A33FF" w:rsidRDefault="0020485F" w:rsidP="0020485F">
      <w:pPr>
        <w:spacing w:after="120" w:line="240" w:lineRule="auto"/>
        <w:jc w:val="both"/>
        <w:rPr>
          <w:rFonts w:asciiTheme="minorHAnsi" w:hAnsiTheme="minorHAnsi" w:cstheme="minorHAnsi"/>
          <w:b/>
          <w:sz w:val="24"/>
          <w:szCs w:val="24"/>
          <w:u w:val="single"/>
        </w:rPr>
      </w:pPr>
      <w:r w:rsidRPr="008A33FF">
        <w:rPr>
          <w:rFonts w:asciiTheme="minorHAnsi" w:hAnsiTheme="minorHAnsi" w:cstheme="minorHAnsi"/>
          <w:sz w:val="24"/>
          <w:szCs w:val="24"/>
        </w:rPr>
        <w:t xml:space="preserve">Le projet a été entamé le 30 juillet 2012 et se trouve dans sa </w:t>
      </w:r>
      <w:r w:rsidRPr="008A33FF">
        <w:rPr>
          <w:rFonts w:asciiTheme="minorHAnsi" w:hAnsiTheme="minorHAnsi" w:cstheme="minorHAnsi"/>
          <w:color w:val="000000"/>
          <w:sz w:val="24"/>
          <w:szCs w:val="24"/>
        </w:rPr>
        <w:t>troisième année</w:t>
      </w:r>
      <w:r w:rsidRPr="008A33FF">
        <w:rPr>
          <w:rFonts w:asciiTheme="minorHAnsi" w:hAnsiTheme="minorHAnsi" w:cstheme="minorHAnsi"/>
          <w:sz w:val="24"/>
          <w:szCs w:val="24"/>
        </w:rPr>
        <w:t xml:space="preserve"> de mise en œuvre. Conformément aux directives du PNUD-GEF relatives à l'examen à mi-parcours, le processus a été initié avant la présentation du deuxième Rapport de mise en œuvre de projets (PIR). </w:t>
      </w:r>
      <w:r w:rsidRPr="008A33FF">
        <w:rPr>
          <w:rFonts w:asciiTheme="minorHAnsi" w:hAnsiTheme="minorHAnsi" w:cstheme="minorHAnsi"/>
          <w:color w:val="000000"/>
          <w:sz w:val="24"/>
          <w:szCs w:val="24"/>
        </w:rPr>
        <w:t xml:space="preserve">Le processus d'examen à mi-parcours doit suivre les directives énoncées dans le document </w:t>
      </w:r>
      <w:r w:rsidRPr="008A33FF">
        <w:rPr>
          <w:rFonts w:asciiTheme="minorHAnsi" w:hAnsiTheme="minorHAnsi" w:cstheme="minorHAnsi"/>
          <w:i/>
          <w:sz w:val="24"/>
          <w:szCs w:val="24"/>
        </w:rPr>
        <w:t>Directives pour la conduite de l'examen à mi-parcours des projets du PNUD financés par le GEF</w:t>
      </w:r>
      <w:r w:rsidRPr="008A33FF">
        <w:rPr>
          <w:rFonts w:asciiTheme="minorHAnsi" w:hAnsiTheme="minorHAnsi" w:cstheme="minorHAnsi"/>
          <w:sz w:val="24"/>
          <w:szCs w:val="24"/>
        </w:rPr>
        <w:t xml:space="preserve"> (</w:t>
      </w:r>
      <w:hyperlink r:id="rId10" w:history="1">
        <w:r w:rsidRPr="008A33FF">
          <w:rPr>
            <w:rStyle w:val="Lienhypertexte"/>
            <w:rFonts w:asciiTheme="minorHAnsi" w:hAnsiTheme="minorHAnsi" w:cstheme="minorHAnsi"/>
            <w:sz w:val="24"/>
            <w:szCs w:val="24"/>
          </w:rPr>
          <w:t>http://web.undp.org/evaluation/documents/guidance/GEF/GEF-TE-Guide_FRE.pdf</w:t>
        </w:r>
      </w:hyperlink>
    </w:p>
    <w:bookmarkEnd w:id="0"/>
    <w:bookmarkEnd w:id="1"/>
    <w:p w:rsidR="0020485F" w:rsidRPr="00BE2D03" w:rsidRDefault="0020485F" w:rsidP="0020485F">
      <w:pPr>
        <w:pStyle w:val="p28"/>
        <w:spacing w:line="240" w:lineRule="auto"/>
        <w:ind w:left="0" w:firstLine="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L’équipe sera composée de deux consultants indépendants qui conduiront l’examen à mi-parcours. Le consultant international sera le chef d’équipe et doit avoir des connaissances et une expérience considérables concernant les programmes opérationnels du FEM. Il est spécialement exigé du consultant international d’avoir une bonne connaissance des questions liées à l’accès à l’énergie et aux services énergétiques modernes (en particulier les énergies renouvelables), une compréhension scientifique pertinente et une expérience profonde des techniques d’évaluation de projet, particulièrement ceux financés par le FEM.</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Le consultant national doit avoir une expérience confirmée dans le domaine de l’accès à l’énergie en milieu rural et en développement local ainsi qu’une bonne connaissance de la zone d’intervention.</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A33FF" w:rsidRDefault="0020485F" w:rsidP="0020485F">
      <w:pPr>
        <w:pStyle w:val="p28"/>
        <w:spacing w:line="240" w:lineRule="auto"/>
        <w:ind w:left="360" w:hanging="360"/>
        <w:jc w:val="both"/>
        <w:rPr>
          <w:rFonts w:asciiTheme="minorHAnsi" w:hAnsiTheme="minorHAnsi" w:cstheme="minorHAnsi"/>
          <w:szCs w:val="24"/>
          <w:lang w:val="fr-FR"/>
        </w:rPr>
      </w:pPr>
      <w:r w:rsidRPr="00854B3A">
        <w:rPr>
          <w:rFonts w:asciiTheme="minorHAnsi" w:eastAsiaTheme="minorEastAsia" w:hAnsiTheme="minorHAnsi" w:cstheme="minorHAnsi"/>
          <w:snapToGrid/>
          <w:szCs w:val="24"/>
          <w:lang w:val="fr-FR" w:eastAsia="fr-FR"/>
        </w:rPr>
        <w:t>L’équipe chargée de l’examen à mi-parcours procédera d’abord à l’examen des documents du projet (Fiche d’identité du projet (FIP), Plan d’initiation du projet du PNUD, Politique de sauvegardes environnementales et sociales du PNUD, Rapport d’initiation de projet, PIR, outils de suivi finalisés du domaine d’intervention du GEF, procès-verbaux de réunions du Comité d’évaluation du projet, lignes directrices financières et administratives appliquées par l’équipe du projet, lignes directrices,</w:t>
      </w:r>
      <w:r w:rsidRPr="008A33FF">
        <w:rPr>
          <w:rFonts w:asciiTheme="minorHAnsi" w:hAnsiTheme="minorHAnsi" w:cstheme="minorHAnsi"/>
          <w:szCs w:val="24"/>
          <w:lang w:val="fr-FR"/>
        </w:rPr>
        <w:t xml:space="preserve"> manuels et systèmes opérationnelles du projet, etc.) fournis par l’équipe du projet et l’Unité mandatrice. L’équipe chargée de l’examen à mi-parcours participera ensuite un atelier d’initiation à l’examen à mi-parcours, de manière à comprendre plus précisément les objectifs et les méthodes de l’examen à mi-parcours, et par la suite, pour l’élaboration du rapport initial d’examen à mi-parcours. La mission pour l’examen à mi-parcours consistera ensuite à mener des entretiens et des visites sur place (liste préliminaire des sites). </w:t>
      </w:r>
    </w:p>
    <w:p w:rsidR="0020485F" w:rsidRPr="008A33FF" w:rsidRDefault="0020485F" w:rsidP="0020485F">
      <w:pPr>
        <w:jc w:val="both"/>
        <w:rPr>
          <w:rFonts w:asciiTheme="minorHAnsi" w:hAnsiTheme="minorHAnsi" w:cstheme="minorHAnsi"/>
          <w:sz w:val="24"/>
          <w:szCs w:val="24"/>
        </w:rPr>
      </w:pPr>
    </w:p>
    <w:p w:rsidR="0020485F" w:rsidRPr="008A33FF" w:rsidRDefault="0020485F" w:rsidP="0020485F">
      <w:pPr>
        <w:rPr>
          <w:rFonts w:asciiTheme="minorHAnsi" w:hAnsiTheme="minorHAnsi" w:cstheme="minorHAnsi"/>
          <w:sz w:val="24"/>
          <w:szCs w:val="24"/>
        </w:rPr>
      </w:pPr>
      <w:r w:rsidRPr="008A33FF">
        <w:rPr>
          <w:rFonts w:asciiTheme="minorHAnsi" w:hAnsiTheme="minorHAnsi" w:cstheme="minorHAnsi"/>
          <w:sz w:val="24"/>
          <w:szCs w:val="24"/>
        </w:rPr>
        <w:t xml:space="preserve">L’équipe chargée de l’examen à mi-parcours évaluera les progrès accomplis dans les domaines liés au projet dans les quatre catégories mentionnées ci-après. Veuillez consulter le document </w:t>
      </w:r>
      <w:r w:rsidRPr="008A33FF">
        <w:rPr>
          <w:rFonts w:asciiTheme="minorHAnsi" w:hAnsiTheme="minorHAnsi" w:cstheme="minorHAnsi"/>
          <w:i/>
          <w:sz w:val="24"/>
          <w:szCs w:val="24"/>
        </w:rPr>
        <w:t xml:space="preserve">Directives pour la conduite de l’examen à mi-parcours des projets appuyés par le PNUD et financés par le </w:t>
      </w:r>
      <w:r w:rsidRPr="008A33FF">
        <w:rPr>
          <w:rFonts w:asciiTheme="minorHAnsi" w:hAnsiTheme="minorHAnsi" w:cstheme="minorHAnsi"/>
          <w:i/>
          <w:sz w:val="24"/>
          <w:szCs w:val="24"/>
        </w:rPr>
        <w:lastRenderedPageBreak/>
        <w:t>GEF</w:t>
      </w:r>
      <w:r w:rsidRPr="008A33FF">
        <w:rPr>
          <w:rFonts w:asciiTheme="minorHAnsi" w:hAnsiTheme="minorHAnsi" w:cstheme="minorHAnsi"/>
          <w:sz w:val="24"/>
          <w:szCs w:val="24"/>
        </w:rPr>
        <w:t>(</w:t>
      </w:r>
      <w:hyperlink r:id="rId11" w:history="1">
        <w:r w:rsidRPr="008A33FF">
          <w:rPr>
            <w:rStyle w:val="Lienhypertexte"/>
            <w:rFonts w:asciiTheme="minorHAnsi" w:hAnsiTheme="minorHAnsi" w:cstheme="minorHAnsi"/>
            <w:sz w:val="24"/>
            <w:szCs w:val="24"/>
          </w:rPr>
          <w:t>http://web.undp.org/evaluation/documents/guidance/GEF/GEF-TE-Guide_FRE.pdf</w:t>
        </w:r>
      </w:hyperlink>
      <w:r w:rsidRPr="008A33FF">
        <w:rPr>
          <w:rFonts w:asciiTheme="minorHAnsi" w:hAnsiTheme="minorHAnsi" w:cstheme="minorHAnsi"/>
          <w:sz w:val="24"/>
          <w:szCs w:val="24"/>
        </w:rPr>
        <w:t>) pour obtenir une description détaillée de ces catégories. Une évaluation globale n’est pas nécessaire.</w:t>
      </w:r>
    </w:p>
    <w:p w:rsidR="0020485F" w:rsidRPr="00BE2D03" w:rsidRDefault="0020485F" w:rsidP="0020485F">
      <w:pPr>
        <w:ind w:left="360"/>
        <w:jc w:val="both"/>
        <w:rPr>
          <w:rFonts w:asciiTheme="minorHAnsi" w:hAnsiTheme="minorHAnsi" w:cstheme="minorHAnsi"/>
          <w:b/>
          <w:color w:val="000000"/>
          <w:sz w:val="24"/>
        </w:rPr>
      </w:pPr>
      <w:r>
        <w:rPr>
          <w:rFonts w:asciiTheme="minorHAnsi" w:hAnsiTheme="minorHAnsi" w:cstheme="minorHAnsi"/>
          <w:b/>
          <w:color w:val="000000"/>
          <w:sz w:val="24"/>
        </w:rPr>
        <w:t>4.</w:t>
      </w:r>
      <w:r w:rsidRPr="00BE2D03">
        <w:rPr>
          <w:rFonts w:asciiTheme="minorHAnsi" w:hAnsiTheme="minorHAnsi" w:cstheme="minorHAnsi"/>
          <w:b/>
          <w:color w:val="000000"/>
          <w:sz w:val="24"/>
        </w:rPr>
        <w:t xml:space="preserve"> Stratégie du projet</w:t>
      </w:r>
    </w:p>
    <w:p w:rsidR="0020485F" w:rsidRPr="008A33FF" w:rsidRDefault="0020485F" w:rsidP="0020485F">
      <w:pPr>
        <w:ind w:firstLine="270"/>
        <w:jc w:val="both"/>
        <w:rPr>
          <w:rFonts w:asciiTheme="minorHAnsi" w:hAnsiTheme="minorHAnsi" w:cstheme="minorHAnsi"/>
          <w:i/>
          <w:sz w:val="24"/>
          <w:szCs w:val="24"/>
        </w:rPr>
      </w:pPr>
      <w:r w:rsidRPr="008A33FF">
        <w:rPr>
          <w:rFonts w:asciiTheme="minorHAnsi" w:hAnsiTheme="minorHAnsi" w:cstheme="minorHAnsi"/>
          <w:i/>
          <w:sz w:val="24"/>
          <w:szCs w:val="24"/>
        </w:rPr>
        <w:t xml:space="preserve">Conception du projet : </w:t>
      </w:r>
    </w:p>
    <w:p w:rsidR="0020485F" w:rsidRPr="008A33FF" w:rsidRDefault="0020485F" w:rsidP="0020485F">
      <w:pPr>
        <w:pStyle w:val="Paragraphedeliste"/>
        <w:numPr>
          <w:ilvl w:val="0"/>
          <w:numId w:val="3"/>
        </w:numPr>
        <w:spacing w:before="120"/>
        <w:ind w:left="630"/>
        <w:contextualSpacing w:val="0"/>
        <w:jc w:val="both"/>
        <w:rPr>
          <w:rFonts w:asciiTheme="minorHAnsi" w:hAnsiTheme="minorHAnsi" w:cstheme="minorHAnsi"/>
          <w:color w:val="000000"/>
          <w:sz w:val="24"/>
        </w:rPr>
      </w:pPr>
      <w:r w:rsidRPr="008A33FF">
        <w:rPr>
          <w:rFonts w:asciiTheme="minorHAnsi" w:hAnsiTheme="minorHAnsi" w:cstheme="minorHAnsi"/>
          <w:sz w:val="24"/>
        </w:rPr>
        <w:t>Analyser le problème auquel s’attaque le projet et les hypothèses de base</w:t>
      </w:r>
      <w:r w:rsidRPr="008A33FF">
        <w:rPr>
          <w:rFonts w:asciiTheme="minorHAnsi" w:hAnsiTheme="minorHAnsi" w:cstheme="minorHAnsi"/>
          <w:color w:val="000000"/>
          <w:sz w:val="24"/>
        </w:rPr>
        <w:t>. Passer en revue les conséquences de toute hypothèse erronée ou de tout changement contextuel sur la réalisation des résultats du projet tel qu’énoncés dans le Document de projet.</w:t>
      </w:r>
    </w:p>
    <w:p w:rsidR="0020485F" w:rsidRPr="008A33FF" w:rsidRDefault="0020485F" w:rsidP="0020485F">
      <w:pPr>
        <w:pStyle w:val="Paragraphedeliste"/>
        <w:numPr>
          <w:ilvl w:val="0"/>
          <w:numId w:val="2"/>
        </w:numPr>
        <w:ind w:left="630"/>
        <w:contextualSpacing w:val="0"/>
        <w:jc w:val="both"/>
        <w:rPr>
          <w:rFonts w:asciiTheme="minorHAnsi" w:hAnsiTheme="minorHAnsi" w:cstheme="minorHAnsi"/>
          <w:sz w:val="24"/>
        </w:rPr>
      </w:pPr>
      <w:r w:rsidRPr="008A33FF">
        <w:rPr>
          <w:rFonts w:asciiTheme="minorHAnsi" w:hAnsiTheme="minorHAnsi" w:cstheme="minorHAnsi"/>
          <w:sz w:val="24"/>
        </w:rPr>
        <w:t>Examiner la pertinence de la stratégie du projet évalué et examiner si c’est le moyen le plus efficace d’atteindre les résultats escomptés</w:t>
      </w:r>
      <w:r w:rsidRPr="008A33FF">
        <w:rPr>
          <w:rFonts w:asciiTheme="minorHAnsi" w:hAnsiTheme="minorHAnsi" w:cstheme="minorHAnsi"/>
          <w:color w:val="000000"/>
          <w:sz w:val="24"/>
        </w:rPr>
        <w:t>.</w:t>
      </w:r>
    </w:p>
    <w:p w:rsidR="0020485F" w:rsidRPr="008A33FF" w:rsidRDefault="0020485F" w:rsidP="0020485F">
      <w:pPr>
        <w:pStyle w:val="Paragraphedeliste"/>
        <w:numPr>
          <w:ilvl w:val="0"/>
          <w:numId w:val="2"/>
        </w:numPr>
        <w:ind w:left="630"/>
        <w:contextualSpacing w:val="0"/>
        <w:jc w:val="both"/>
        <w:rPr>
          <w:rFonts w:asciiTheme="minorHAnsi" w:hAnsiTheme="minorHAnsi" w:cstheme="minorHAnsi"/>
          <w:sz w:val="24"/>
        </w:rPr>
      </w:pPr>
      <w:r w:rsidRPr="008A33FF">
        <w:rPr>
          <w:rFonts w:asciiTheme="minorHAnsi" w:hAnsiTheme="minorHAnsi" w:cstheme="minorHAnsi"/>
          <w:sz w:val="24"/>
        </w:rPr>
        <w:t xml:space="preserve">Examiner la façon dont le projet répond aux priorités du pays </w:t>
      </w:r>
    </w:p>
    <w:p w:rsidR="0020485F" w:rsidRPr="008A33FF" w:rsidRDefault="0020485F" w:rsidP="0020485F">
      <w:pPr>
        <w:pStyle w:val="Paragraphedeliste"/>
        <w:numPr>
          <w:ilvl w:val="0"/>
          <w:numId w:val="2"/>
        </w:numPr>
        <w:ind w:left="630"/>
        <w:contextualSpacing w:val="0"/>
        <w:jc w:val="both"/>
        <w:rPr>
          <w:rFonts w:asciiTheme="minorHAnsi" w:hAnsiTheme="minorHAnsi" w:cstheme="minorHAnsi"/>
          <w:b/>
          <w:sz w:val="24"/>
        </w:rPr>
      </w:pPr>
      <w:r w:rsidRPr="008A33FF">
        <w:rPr>
          <w:rFonts w:asciiTheme="minorHAnsi" w:hAnsiTheme="minorHAnsi" w:cstheme="minorHAnsi"/>
          <w:sz w:val="24"/>
        </w:rPr>
        <w:t xml:space="preserve">Examiner les processus décisionnels </w:t>
      </w:r>
    </w:p>
    <w:p w:rsidR="0020485F" w:rsidRPr="008A33FF" w:rsidRDefault="0020485F" w:rsidP="0020485F">
      <w:pPr>
        <w:pStyle w:val="Paragraphedeliste"/>
        <w:ind w:left="630"/>
        <w:jc w:val="both"/>
        <w:rPr>
          <w:rFonts w:asciiTheme="minorHAnsi" w:hAnsiTheme="minorHAnsi" w:cstheme="minorHAnsi"/>
          <w:sz w:val="24"/>
        </w:rPr>
      </w:pPr>
    </w:p>
    <w:p w:rsidR="0020485F" w:rsidRPr="008A33FF" w:rsidRDefault="0020485F" w:rsidP="0020485F">
      <w:pPr>
        <w:jc w:val="both"/>
        <w:rPr>
          <w:rFonts w:asciiTheme="minorHAnsi" w:hAnsiTheme="minorHAnsi" w:cstheme="minorHAnsi"/>
          <w:sz w:val="24"/>
          <w:szCs w:val="24"/>
        </w:rPr>
      </w:pPr>
      <w:r w:rsidRPr="008A33FF">
        <w:rPr>
          <w:rFonts w:asciiTheme="minorHAnsi" w:hAnsiTheme="minorHAnsi" w:cstheme="minorHAnsi"/>
          <w:i/>
          <w:sz w:val="24"/>
          <w:szCs w:val="24"/>
          <w:u w:val="single"/>
        </w:rPr>
        <w:t>Cadre de résultats/cadre logique</w:t>
      </w:r>
      <w:r w:rsidRPr="008A33FF">
        <w:rPr>
          <w:rFonts w:asciiTheme="minorHAnsi" w:hAnsiTheme="minorHAnsi" w:cstheme="minorHAnsi"/>
          <w:sz w:val="24"/>
          <w:szCs w:val="24"/>
        </w:rPr>
        <w:t>:</w:t>
      </w:r>
    </w:p>
    <w:p w:rsidR="0020485F" w:rsidRPr="008A33FF" w:rsidRDefault="0020485F" w:rsidP="0020485F">
      <w:pPr>
        <w:pStyle w:val="Paragraphedeliste"/>
        <w:numPr>
          <w:ilvl w:val="0"/>
          <w:numId w:val="3"/>
        </w:numPr>
        <w:spacing w:before="120"/>
        <w:contextualSpacing w:val="0"/>
        <w:jc w:val="both"/>
        <w:rPr>
          <w:rFonts w:asciiTheme="minorHAnsi" w:hAnsiTheme="minorHAnsi" w:cstheme="minorHAnsi"/>
          <w:sz w:val="24"/>
        </w:rPr>
      </w:pPr>
      <w:r w:rsidRPr="008A33FF">
        <w:rPr>
          <w:rFonts w:asciiTheme="minorHAnsi" w:hAnsiTheme="minorHAnsi" w:cstheme="minorHAnsi"/>
          <w:color w:val="000000"/>
          <w:sz w:val="24"/>
        </w:rPr>
        <w:t>Procéder à une analyse critique des indicateurs et cibles du cadre logique du projet, évaluer la mesure dans laquelle les cibles à mi-parcours sont « SMART » (spécifiques, mesurables, réalisables, appropriées et limitées dans le temps), et proposer des modifications/révisions spécifiques aux cibles et indicateurs lorsque nécessaire.</w:t>
      </w:r>
    </w:p>
    <w:p w:rsidR="0020485F" w:rsidRPr="008A33FF" w:rsidRDefault="0020485F" w:rsidP="0020485F">
      <w:pPr>
        <w:pStyle w:val="Paragraphedeliste"/>
        <w:numPr>
          <w:ilvl w:val="0"/>
          <w:numId w:val="3"/>
        </w:numPr>
        <w:spacing w:before="120"/>
        <w:contextualSpacing w:val="0"/>
        <w:jc w:val="both"/>
        <w:rPr>
          <w:rFonts w:asciiTheme="minorHAnsi" w:hAnsiTheme="minorHAnsi" w:cstheme="minorHAnsi"/>
          <w:sz w:val="24"/>
        </w:rPr>
      </w:pPr>
      <w:r w:rsidRPr="008A33FF">
        <w:rPr>
          <w:rFonts w:asciiTheme="minorHAnsi" w:hAnsiTheme="minorHAnsi" w:cstheme="minorHAnsi"/>
          <w:sz w:val="24"/>
        </w:rPr>
        <w:t>Examiner si les progrès réalisés à ce jour ont produit, ou pourraient produire à l’avenir, des effets bénéfiques pour le développement (par exemple, génération de revenus, égalité des sexes et autonomisation des femmes, meilleure gouvernance, etc...) qu’il faudrait intégrer au cadre de résultats du projet et suivre annuellement</w:t>
      </w:r>
      <w:r w:rsidRPr="008A33FF">
        <w:rPr>
          <w:rFonts w:asciiTheme="minorHAnsi" w:hAnsiTheme="minorHAnsi" w:cstheme="minorHAnsi"/>
          <w:i/>
          <w:sz w:val="24"/>
        </w:rPr>
        <w:t>.</w:t>
      </w:r>
    </w:p>
    <w:p w:rsidR="0020485F" w:rsidRPr="008A33FF" w:rsidRDefault="0020485F" w:rsidP="0020485F">
      <w:pPr>
        <w:pStyle w:val="Paragraphedeliste"/>
        <w:ind w:left="630"/>
        <w:jc w:val="both"/>
        <w:rPr>
          <w:rFonts w:asciiTheme="minorHAnsi" w:hAnsiTheme="minorHAnsi" w:cstheme="minorHAnsi"/>
          <w:b/>
          <w:sz w:val="24"/>
        </w:rPr>
      </w:pPr>
    </w:p>
    <w:p w:rsidR="0020485F" w:rsidRPr="008A33FF" w:rsidRDefault="0020485F" w:rsidP="0020485F">
      <w:pPr>
        <w:pStyle w:val="Paragraphedeliste"/>
        <w:ind w:left="270"/>
        <w:contextualSpacing w:val="0"/>
        <w:jc w:val="both"/>
        <w:rPr>
          <w:rFonts w:asciiTheme="minorHAnsi" w:hAnsiTheme="minorHAnsi" w:cstheme="minorHAnsi"/>
          <w:b/>
          <w:sz w:val="24"/>
        </w:rPr>
      </w:pPr>
      <w:r>
        <w:rPr>
          <w:rFonts w:asciiTheme="minorHAnsi" w:hAnsiTheme="minorHAnsi" w:cstheme="minorHAnsi"/>
          <w:b/>
          <w:sz w:val="24"/>
        </w:rPr>
        <w:t>5.</w:t>
      </w:r>
      <w:r w:rsidRPr="008A33FF">
        <w:rPr>
          <w:rFonts w:asciiTheme="minorHAnsi" w:hAnsiTheme="minorHAnsi" w:cstheme="minorHAnsi"/>
          <w:b/>
          <w:sz w:val="24"/>
        </w:rPr>
        <w:t xml:space="preserve"> Progrès vers la réalisation de résultats</w:t>
      </w:r>
    </w:p>
    <w:p w:rsidR="0020485F" w:rsidRPr="006F205A" w:rsidRDefault="0020485F" w:rsidP="0020485F">
      <w:pPr>
        <w:pStyle w:val="Paragraphedeliste"/>
        <w:numPr>
          <w:ilvl w:val="0"/>
          <w:numId w:val="4"/>
        </w:numPr>
        <w:ind w:left="662"/>
        <w:contextualSpacing w:val="0"/>
        <w:jc w:val="both"/>
        <w:rPr>
          <w:rFonts w:asciiTheme="minorHAnsi" w:hAnsiTheme="minorHAnsi" w:cstheme="minorHAnsi"/>
          <w:b/>
          <w:sz w:val="24"/>
        </w:rPr>
      </w:pPr>
      <w:r w:rsidRPr="008A33FF">
        <w:rPr>
          <w:rFonts w:asciiTheme="minorHAnsi" w:hAnsiTheme="minorHAnsi" w:cstheme="minorHAnsi"/>
          <w:color w:val="000000"/>
          <w:sz w:val="24"/>
        </w:rPr>
        <w:t xml:space="preserve">Passer en revue les indicateurs du cadre logique à la lumière des progrès accomplis vers la réalisation des cibles de fin de projet ; remplir la Matrice des progrès vers la réalisation des résultats, comme indiqué dans les </w:t>
      </w:r>
      <w:r w:rsidRPr="008A33FF">
        <w:rPr>
          <w:rFonts w:asciiTheme="minorHAnsi" w:hAnsiTheme="minorHAnsi" w:cstheme="minorHAnsi"/>
          <w:i/>
          <w:sz w:val="24"/>
        </w:rPr>
        <w:t xml:space="preserve">Directives pour la conduite de l’examen à mi-parcours des projets appuyés par le PNUD et financés par le GEF </w:t>
      </w:r>
      <w:r w:rsidRPr="008A33FF">
        <w:rPr>
          <w:rFonts w:asciiTheme="minorHAnsi" w:hAnsiTheme="minorHAnsi" w:cstheme="minorHAnsi"/>
          <w:color w:val="000000"/>
          <w:sz w:val="24"/>
        </w:rPr>
        <w:t>; les progrès sont désignés par couleur selon le principe des « feux tricolores » en fonction du niveau de progrès obtenus pour chaque réalisation ; formuler des recommandations pour les secteurs entrant dans la catégorie « </w:t>
      </w:r>
      <w:r w:rsidRPr="008A33FF">
        <w:rPr>
          <w:rFonts w:asciiTheme="minorHAnsi" w:hAnsiTheme="minorHAnsi" w:cstheme="minorHAnsi"/>
          <w:sz w:val="24"/>
        </w:rPr>
        <w:t>Ne sont pas en voie de réalisation » (en rouge)</w:t>
      </w:r>
    </w:p>
    <w:p w:rsidR="0020485F" w:rsidRDefault="0020485F" w:rsidP="0020485F">
      <w:pPr>
        <w:pStyle w:val="Lgende"/>
        <w:keepNext/>
        <w:spacing w:after="0"/>
        <w:ind w:left="360"/>
        <w:jc w:val="both"/>
        <w:rPr>
          <w:rFonts w:asciiTheme="minorHAnsi" w:hAnsiTheme="minorHAnsi" w:cstheme="minorHAnsi"/>
          <w:sz w:val="24"/>
          <w:szCs w:val="24"/>
          <w:lang w:val="fr-FR"/>
        </w:rPr>
      </w:pPr>
    </w:p>
    <w:p w:rsidR="0020485F" w:rsidRDefault="0020485F" w:rsidP="0020485F">
      <w:pPr>
        <w:pStyle w:val="Lgende"/>
        <w:keepNext/>
        <w:spacing w:after="0"/>
        <w:ind w:left="360"/>
        <w:jc w:val="both"/>
        <w:rPr>
          <w:rFonts w:asciiTheme="minorHAnsi" w:hAnsiTheme="minorHAnsi" w:cstheme="minorHAnsi"/>
          <w:sz w:val="24"/>
          <w:szCs w:val="24"/>
          <w:lang w:val="fr-FR"/>
        </w:rPr>
      </w:pPr>
    </w:p>
    <w:p w:rsidR="0020485F" w:rsidRDefault="0020485F" w:rsidP="0020485F">
      <w:pPr>
        <w:pStyle w:val="Lgende"/>
        <w:keepNext/>
        <w:spacing w:after="0"/>
        <w:ind w:left="360"/>
        <w:jc w:val="both"/>
        <w:rPr>
          <w:rFonts w:asciiTheme="minorHAnsi" w:hAnsiTheme="minorHAnsi" w:cstheme="minorHAnsi"/>
          <w:sz w:val="24"/>
          <w:szCs w:val="24"/>
          <w:lang w:val="fr-FR"/>
        </w:rPr>
      </w:pPr>
      <w:r w:rsidRPr="008A33FF">
        <w:rPr>
          <w:rFonts w:asciiTheme="minorHAnsi" w:hAnsiTheme="minorHAnsi" w:cstheme="minorHAnsi"/>
          <w:sz w:val="24"/>
          <w:szCs w:val="24"/>
          <w:lang w:val="fr-FR"/>
        </w:rPr>
        <w:t>Tableau. Matrice des progrès vers la réalisation des résultats (Réalisations obtenues à la lumière des cibles de fin de projet)</w:t>
      </w:r>
    </w:p>
    <w:p w:rsidR="0020485F" w:rsidRPr="00660A39" w:rsidRDefault="0020485F" w:rsidP="0020485F">
      <w:pPr>
        <w:rPr>
          <w:lang w:eastAsia="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134"/>
        <w:gridCol w:w="1134"/>
        <w:gridCol w:w="1559"/>
        <w:gridCol w:w="1163"/>
        <w:gridCol w:w="850"/>
        <w:gridCol w:w="1247"/>
        <w:gridCol w:w="1134"/>
        <w:gridCol w:w="1418"/>
      </w:tblGrid>
      <w:tr w:rsidR="0020485F" w:rsidRPr="008A33FF" w:rsidTr="00DA7DE0">
        <w:trPr>
          <w:cantSplit/>
          <w:trHeight w:val="629"/>
        </w:trPr>
        <w:tc>
          <w:tcPr>
            <w:tcW w:w="1277"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lastRenderedPageBreak/>
              <w:t xml:space="preserve">Stratégie de projet </w:t>
            </w:r>
          </w:p>
        </w:tc>
        <w:tc>
          <w:tcPr>
            <w:tcW w:w="1134"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Indicateur</w:t>
            </w:r>
            <w:r w:rsidRPr="006F205A">
              <w:rPr>
                <w:rStyle w:val="Appelnotedebasdep"/>
                <w:rFonts w:asciiTheme="minorHAnsi" w:eastAsiaTheme="majorEastAsia" w:hAnsiTheme="minorHAnsi" w:cstheme="minorHAnsi"/>
                <w:b/>
                <w:sz w:val="20"/>
                <w:szCs w:val="20"/>
              </w:rPr>
              <w:footnoteReference w:id="2"/>
            </w:r>
          </w:p>
        </w:tc>
        <w:tc>
          <w:tcPr>
            <w:tcW w:w="1134"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Niveau de référence</w:t>
            </w:r>
            <w:r w:rsidRPr="006F205A">
              <w:rPr>
                <w:rStyle w:val="Appelnotedebasdep"/>
                <w:rFonts w:asciiTheme="minorHAnsi" w:eastAsiaTheme="majorEastAsia" w:hAnsiTheme="minorHAnsi" w:cstheme="minorHAnsi"/>
                <w:b/>
                <w:sz w:val="20"/>
                <w:szCs w:val="20"/>
              </w:rPr>
              <w:footnoteReference w:id="3"/>
            </w:r>
          </w:p>
        </w:tc>
        <w:tc>
          <w:tcPr>
            <w:tcW w:w="1559"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Niveau lors du premier PIR (auto-déclaré)</w:t>
            </w:r>
          </w:p>
        </w:tc>
        <w:tc>
          <w:tcPr>
            <w:tcW w:w="1163"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Cible à mi-parcours</w:t>
            </w:r>
            <w:r w:rsidRPr="006F205A">
              <w:rPr>
                <w:rStyle w:val="Appelnotedebasdep"/>
                <w:rFonts w:asciiTheme="minorHAnsi" w:eastAsiaTheme="majorEastAsia" w:hAnsiTheme="minorHAnsi" w:cstheme="minorHAnsi"/>
                <w:b/>
                <w:sz w:val="20"/>
                <w:szCs w:val="20"/>
              </w:rPr>
              <w:footnoteReference w:id="4"/>
            </w:r>
          </w:p>
        </w:tc>
        <w:tc>
          <w:tcPr>
            <w:tcW w:w="850"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 xml:space="preserve">Cible à la fin du projet </w:t>
            </w:r>
          </w:p>
        </w:tc>
        <w:tc>
          <w:tcPr>
            <w:tcW w:w="1247"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Niveau et évaluation à mi-parcours</w:t>
            </w:r>
            <w:r w:rsidRPr="006F205A">
              <w:rPr>
                <w:rStyle w:val="Appelnotedebasdep"/>
                <w:rFonts w:asciiTheme="minorHAnsi" w:eastAsiaTheme="majorEastAsia" w:hAnsiTheme="minorHAnsi" w:cstheme="minorHAnsi"/>
                <w:b/>
                <w:sz w:val="20"/>
                <w:szCs w:val="20"/>
              </w:rPr>
              <w:footnoteReference w:id="5"/>
            </w:r>
          </w:p>
        </w:tc>
        <w:tc>
          <w:tcPr>
            <w:tcW w:w="1134"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Évaluation obtenue</w:t>
            </w:r>
            <w:r w:rsidRPr="006F205A">
              <w:rPr>
                <w:rStyle w:val="Appelnotedebasdep"/>
                <w:rFonts w:asciiTheme="minorHAnsi" w:eastAsiaTheme="majorEastAsia" w:hAnsiTheme="minorHAnsi" w:cstheme="minorHAnsi"/>
                <w:b/>
                <w:sz w:val="20"/>
                <w:szCs w:val="20"/>
              </w:rPr>
              <w:footnoteReference w:id="6"/>
            </w:r>
          </w:p>
        </w:tc>
        <w:tc>
          <w:tcPr>
            <w:tcW w:w="1418" w:type="dxa"/>
            <w:shd w:val="clear" w:color="auto" w:fill="D9D9D9"/>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Justification de l’évaluation</w:t>
            </w:r>
          </w:p>
        </w:tc>
      </w:tr>
      <w:tr w:rsidR="0020485F" w:rsidRPr="008A33FF" w:rsidTr="00DA7DE0">
        <w:trPr>
          <w:cantSplit/>
          <w:trHeight w:val="470"/>
        </w:trPr>
        <w:tc>
          <w:tcPr>
            <w:tcW w:w="127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r w:rsidRPr="006F205A">
              <w:rPr>
                <w:rFonts w:asciiTheme="minorHAnsi" w:hAnsiTheme="minorHAnsi" w:cstheme="minorHAnsi"/>
                <w:b/>
                <w:sz w:val="20"/>
                <w:szCs w:val="20"/>
              </w:rPr>
              <w:t xml:space="preserve">Objectif : </w:t>
            </w:r>
          </w:p>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r w:rsidRPr="006F205A">
              <w:rPr>
                <w:rFonts w:asciiTheme="minorHAnsi" w:hAnsiTheme="minorHAnsi" w:cstheme="minorHAnsi"/>
                <w:sz w:val="20"/>
                <w:szCs w:val="20"/>
              </w:rPr>
              <w:t>Indicateur (si applicable)</w:t>
            </w:r>
          </w:p>
        </w:tc>
        <w:tc>
          <w:tcPr>
            <w:tcW w:w="1134"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559"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63" w:type="dxa"/>
            <w:shd w:val="clear" w:color="auto" w:fill="auto"/>
          </w:tcPr>
          <w:p w:rsidR="0020485F" w:rsidRPr="006F205A" w:rsidRDefault="0020485F" w:rsidP="00DA7DE0">
            <w:pPr>
              <w:jc w:val="both"/>
              <w:rPr>
                <w:rFonts w:asciiTheme="minorHAnsi" w:hAnsiTheme="minorHAnsi" w:cstheme="minorHAnsi"/>
                <w:sz w:val="20"/>
                <w:szCs w:val="20"/>
                <w:highlight w:val="yellow"/>
              </w:rPr>
            </w:pPr>
          </w:p>
        </w:tc>
        <w:tc>
          <w:tcPr>
            <w:tcW w:w="850"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24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418"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r>
      <w:tr w:rsidR="0020485F" w:rsidRPr="008A33FF" w:rsidTr="00DA7DE0">
        <w:trPr>
          <w:cantSplit/>
          <w:trHeight w:val="219"/>
        </w:trPr>
        <w:tc>
          <w:tcPr>
            <w:tcW w:w="1277" w:type="dxa"/>
            <w:vMerge w:val="restart"/>
            <w:shd w:val="clear" w:color="auto" w:fill="auto"/>
          </w:tcPr>
          <w:p w:rsidR="0020485F" w:rsidRPr="006F205A" w:rsidRDefault="0020485F" w:rsidP="00DA7DE0">
            <w:pPr>
              <w:autoSpaceDE w:val="0"/>
              <w:autoSpaceDN w:val="0"/>
              <w:adjustRightInd w:val="0"/>
              <w:jc w:val="both"/>
              <w:rPr>
                <w:rFonts w:asciiTheme="minorHAnsi" w:hAnsiTheme="minorHAnsi" w:cstheme="minorHAnsi"/>
                <w:b/>
                <w:sz w:val="20"/>
                <w:szCs w:val="20"/>
              </w:rPr>
            </w:pPr>
            <w:r w:rsidRPr="006F205A">
              <w:rPr>
                <w:rFonts w:asciiTheme="minorHAnsi" w:hAnsiTheme="minorHAnsi" w:cstheme="minorHAnsi"/>
                <w:b/>
                <w:sz w:val="20"/>
                <w:szCs w:val="20"/>
              </w:rPr>
              <w:t>Réalisation 1:</w:t>
            </w: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r w:rsidRPr="006F205A">
              <w:rPr>
                <w:rFonts w:asciiTheme="minorHAnsi" w:hAnsiTheme="minorHAnsi" w:cstheme="minorHAnsi"/>
                <w:sz w:val="20"/>
                <w:szCs w:val="20"/>
              </w:rPr>
              <w:t>Indicateur 1:</w:t>
            </w:r>
          </w:p>
        </w:tc>
        <w:tc>
          <w:tcPr>
            <w:tcW w:w="1134"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559"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63"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850"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24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vMerge w:val="restart"/>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418" w:type="dxa"/>
            <w:vMerge w:val="restart"/>
          </w:tcPr>
          <w:p w:rsidR="0020485F" w:rsidRPr="006F205A" w:rsidRDefault="0020485F" w:rsidP="00DA7DE0">
            <w:pPr>
              <w:autoSpaceDE w:val="0"/>
              <w:autoSpaceDN w:val="0"/>
              <w:adjustRightInd w:val="0"/>
              <w:jc w:val="both"/>
              <w:rPr>
                <w:rFonts w:asciiTheme="minorHAnsi" w:hAnsiTheme="minorHAnsi" w:cstheme="minorHAnsi"/>
                <w:sz w:val="20"/>
                <w:szCs w:val="20"/>
              </w:rPr>
            </w:pPr>
          </w:p>
        </w:tc>
      </w:tr>
      <w:tr w:rsidR="0020485F" w:rsidRPr="008A33FF" w:rsidTr="00DA7DE0">
        <w:trPr>
          <w:cantSplit/>
          <w:trHeight w:val="150"/>
        </w:trPr>
        <w:tc>
          <w:tcPr>
            <w:tcW w:w="1277" w:type="dxa"/>
            <w:vMerge/>
            <w:shd w:val="clear" w:color="auto" w:fill="auto"/>
          </w:tcPr>
          <w:p w:rsidR="0020485F" w:rsidRPr="006F205A" w:rsidRDefault="0020485F" w:rsidP="00DA7DE0">
            <w:pPr>
              <w:jc w:val="both"/>
              <w:rPr>
                <w:rFonts w:asciiTheme="minorHAnsi" w:hAnsiTheme="minorHAnsi" w:cstheme="minorHAnsi"/>
                <w:b/>
                <w:sz w:val="20"/>
                <w:szCs w:val="20"/>
              </w:rPr>
            </w:pP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r w:rsidRPr="006F205A">
              <w:rPr>
                <w:rFonts w:asciiTheme="minorHAnsi" w:hAnsiTheme="minorHAnsi" w:cstheme="minorHAnsi"/>
                <w:sz w:val="20"/>
                <w:szCs w:val="20"/>
              </w:rPr>
              <w:t>Indicateur 2:</w:t>
            </w:r>
          </w:p>
        </w:tc>
        <w:tc>
          <w:tcPr>
            <w:tcW w:w="1134"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559"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63"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850"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24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vMerge/>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418" w:type="dxa"/>
            <w:vMerge/>
          </w:tcPr>
          <w:p w:rsidR="0020485F" w:rsidRPr="006F205A" w:rsidRDefault="0020485F" w:rsidP="00DA7DE0">
            <w:pPr>
              <w:autoSpaceDE w:val="0"/>
              <w:autoSpaceDN w:val="0"/>
              <w:adjustRightInd w:val="0"/>
              <w:jc w:val="both"/>
              <w:rPr>
                <w:rFonts w:asciiTheme="minorHAnsi" w:hAnsiTheme="minorHAnsi" w:cstheme="minorHAnsi"/>
                <w:sz w:val="20"/>
                <w:szCs w:val="20"/>
              </w:rPr>
            </w:pPr>
          </w:p>
        </w:tc>
      </w:tr>
      <w:tr w:rsidR="0020485F" w:rsidRPr="008A33FF" w:rsidTr="00DA7DE0">
        <w:trPr>
          <w:cantSplit/>
          <w:trHeight w:val="235"/>
        </w:trPr>
        <w:tc>
          <w:tcPr>
            <w:tcW w:w="1277" w:type="dxa"/>
            <w:vMerge w:val="restart"/>
            <w:shd w:val="clear" w:color="auto" w:fill="auto"/>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Réalisation 2:</w:t>
            </w: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r w:rsidRPr="006F205A">
              <w:rPr>
                <w:rFonts w:asciiTheme="minorHAnsi" w:hAnsiTheme="minorHAnsi" w:cstheme="minorHAnsi"/>
                <w:sz w:val="20"/>
                <w:szCs w:val="20"/>
              </w:rPr>
              <w:t>Indicateur 3:</w:t>
            </w:r>
          </w:p>
        </w:tc>
        <w:tc>
          <w:tcPr>
            <w:tcW w:w="1134"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559"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63"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850"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24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vMerge w:val="restart"/>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418" w:type="dxa"/>
            <w:vMerge w:val="restart"/>
          </w:tcPr>
          <w:p w:rsidR="0020485F" w:rsidRPr="006F205A" w:rsidRDefault="0020485F" w:rsidP="00DA7DE0">
            <w:pPr>
              <w:autoSpaceDE w:val="0"/>
              <w:autoSpaceDN w:val="0"/>
              <w:adjustRightInd w:val="0"/>
              <w:jc w:val="both"/>
              <w:rPr>
                <w:rFonts w:asciiTheme="minorHAnsi" w:hAnsiTheme="minorHAnsi" w:cstheme="minorHAnsi"/>
                <w:sz w:val="20"/>
                <w:szCs w:val="20"/>
              </w:rPr>
            </w:pPr>
          </w:p>
        </w:tc>
      </w:tr>
      <w:tr w:rsidR="0020485F" w:rsidRPr="008A33FF" w:rsidTr="00DA7DE0">
        <w:trPr>
          <w:cantSplit/>
          <w:trHeight w:val="150"/>
        </w:trPr>
        <w:tc>
          <w:tcPr>
            <w:tcW w:w="1277" w:type="dxa"/>
            <w:vMerge/>
            <w:shd w:val="clear" w:color="auto" w:fill="auto"/>
          </w:tcPr>
          <w:p w:rsidR="0020485F" w:rsidRPr="006F205A" w:rsidRDefault="0020485F" w:rsidP="00DA7DE0">
            <w:pPr>
              <w:jc w:val="both"/>
              <w:rPr>
                <w:rFonts w:asciiTheme="minorHAnsi" w:hAnsiTheme="minorHAnsi" w:cstheme="minorHAnsi"/>
                <w:b/>
                <w:sz w:val="20"/>
                <w:szCs w:val="20"/>
              </w:rPr>
            </w:pP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r w:rsidRPr="006F205A">
              <w:rPr>
                <w:rFonts w:asciiTheme="minorHAnsi" w:hAnsiTheme="minorHAnsi" w:cstheme="minorHAnsi"/>
                <w:sz w:val="20"/>
                <w:szCs w:val="20"/>
              </w:rPr>
              <w:t>Indicateur 4:</w:t>
            </w:r>
          </w:p>
        </w:tc>
        <w:tc>
          <w:tcPr>
            <w:tcW w:w="1134"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559"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63"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850"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24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vMerge/>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418" w:type="dxa"/>
            <w:vMerge/>
          </w:tcPr>
          <w:p w:rsidR="0020485F" w:rsidRPr="006F205A" w:rsidRDefault="0020485F" w:rsidP="00DA7DE0">
            <w:pPr>
              <w:autoSpaceDE w:val="0"/>
              <w:autoSpaceDN w:val="0"/>
              <w:adjustRightInd w:val="0"/>
              <w:jc w:val="both"/>
              <w:rPr>
                <w:rFonts w:asciiTheme="minorHAnsi" w:hAnsiTheme="minorHAnsi" w:cstheme="minorHAnsi"/>
                <w:sz w:val="20"/>
                <w:szCs w:val="20"/>
              </w:rPr>
            </w:pPr>
          </w:p>
        </w:tc>
      </w:tr>
      <w:tr w:rsidR="0020485F" w:rsidRPr="008A33FF" w:rsidTr="00DA7DE0">
        <w:trPr>
          <w:cantSplit/>
          <w:trHeight w:val="150"/>
        </w:trPr>
        <w:tc>
          <w:tcPr>
            <w:tcW w:w="1277" w:type="dxa"/>
            <w:vMerge/>
            <w:shd w:val="clear" w:color="auto" w:fill="auto"/>
          </w:tcPr>
          <w:p w:rsidR="0020485F" w:rsidRPr="006F205A" w:rsidRDefault="0020485F" w:rsidP="00DA7DE0">
            <w:pPr>
              <w:jc w:val="both"/>
              <w:rPr>
                <w:rFonts w:asciiTheme="minorHAnsi" w:hAnsiTheme="minorHAnsi" w:cstheme="minorHAnsi"/>
                <w:b/>
                <w:sz w:val="20"/>
                <w:szCs w:val="20"/>
              </w:rPr>
            </w:pP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r w:rsidRPr="006F205A">
              <w:rPr>
                <w:rFonts w:asciiTheme="minorHAnsi" w:hAnsiTheme="minorHAnsi" w:cstheme="minorHAnsi"/>
                <w:sz w:val="20"/>
                <w:szCs w:val="20"/>
              </w:rPr>
              <w:t>Etc.</w:t>
            </w:r>
          </w:p>
        </w:tc>
        <w:tc>
          <w:tcPr>
            <w:tcW w:w="1134"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559"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63"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850" w:type="dxa"/>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247" w:type="dxa"/>
            <w:shd w:val="clear" w:color="auto" w:fill="auto"/>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134" w:type="dxa"/>
            <w:vMerge/>
          </w:tcPr>
          <w:p w:rsidR="0020485F" w:rsidRPr="006F205A" w:rsidRDefault="0020485F" w:rsidP="00DA7DE0">
            <w:pPr>
              <w:autoSpaceDE w:val="0"/>
              <w:autoSpaceDN w:val="0"/>
              <w:adjustRightInd w:val="0"/>
              <w:jc w:val="both"/>
              <w:rPr>
                <w:rFonts w:asciiTheme="minorHAnsi" w:hAnsiTheme="minorHAnsi" w:cstheme="minorHAnsi"/>
                <w:sz w:val="20"/>
                <w:szCs w:val="20"/>
              </w:rPr>
            </w:pPr>
          </w:p>
        </w:tc>
        <w:tc>
          <w:tcPr>
            <w:tcW w:w="1418" w:type="dxa"/>
            <w:vMerge/>
          </w:tcPr>
          <w:p w:rsidR="0020485F" w:rsidRPr="006F205A" w:rsidRDefault="0020485F" w:rsidP="00DA7DE0">
            <w:pPr>
              <w:autoSpaceDE w:val="0"/>
              <w:autoSpaceDN w:val="0"/>
              <w:adjustRightInd w:val="0"/>
              <w:jc w:val="both"/>
              <w:rPr>
                <w:rFonts w:asciiTheme="minorHAnsi" w:hAnsiTheme="minorHAnsi" w:cstheme="minorHAnsi"/>
                <w:sz w:val="20"/>
                <w:szCs w:val="20"/>
              </w:rPr>
            </w:pPr>
          </w:p>
        </w:tc>
      </w:tr>
      <w:tr w:rsidR="0020485F" w:rsidRPr="008A33FF" w:rsidTr="00DA7DE0">
        <w:trPr>
          <w:cantSplit/>
          <w:trHeight w:val="150"/>
        </w:trPr>
        <w:tc>
          <w:tcPr>
            <w:tcW w:w="1277" w:type="dxa"/>
            <w:shd w:val="clear" w:color="auto" w:fill="auto"/>
          </w:tcPr>
          <w:p w:rsidR="0020485F" w:rsidRPr="006F205A" w:rsidRDefault="0020485F" w:rsidP="00DA7DE0">
            <w:pPr>
              <w:jc w:val="both"/>
              <w:rPr>
                <w:rFonts w:asciiTheme="minorHAnsi" w:hAnsiTheme="minorHAnsi" w:cstheme="minorHAnsi"/>
                <w:b/>
                <w:sz w:val="20"/>
                <w:szCs w:val="20"/>
              </w:rPr>
            </w:pPr>
            <w:r w:rsidRPr="006F205A">
              <w:rPr>
                <w:rFonts w:asciiTheme="minorHAnsi" w:hAnsiTheme="minorHAnsi" w:cstheme="minorHAnsi"/>
                <w:b/>
                <w:sz w:val="20"/>
                <w:szCs w:val="20"/>
              </w:rPr>
              <w:t>Etc.</w:t>
            </w:r>
          </w:p>
        </w:tc>
        <w:tc>
          <w:tcPr>
            <w:tcW w:w="1134" w:type="dxa"/>
            <w:shd w:val="clear" w:color="auto" w:fill="auto"/>
          </w:tcPr>
          <w:p w:rsidR="0020485F" w:rsidRPr="006F205A" w:rsidRDefault="0020485F" w:rsidP="00DA7DE0">
            <w:pPr>
              <w:jc w:val="both"/>
              <w:rPr>
                <w:rFonts w:asciiTheme="minorHAnsi" w:hAnsiTheme="minorHAnsi" w:cstheme="minorHAnsi"/>
                <w:sz w:val="20"/>
                <w:szCs w:val="20"/>
              </w:rPr>
            </w:pPr>
          </w:p>
        </w:tc>
        <w:tc>
          <w:tcPr>
            <w:tcW w:w="1134" w:type="dxa"/>
            <w:shd w:val="clear" w:color="auto" w:fill="auto"/>
          </w:tcPr>
          <w:p w:rsidR="0020485F" w:rsidRPr="006F205A" w:rsidRDefault="0020485F" w:rsidP="00DA7DE0">
            <w:pPr>
              <w:jc w:val="both"/>
              <w:rPr>
                <w:rFonts w:asciiTheme="minorHAnsi" w:hAnsiTheme="minorHAnsi" w:cstheme="minorHAnsi"/>
                <w:color w:val="000000"/>
                <w:sz w:val="20"/>
                <w:szCs w:val="20"/>
              </w:rPr>
            </w:pPr>
          </w:p>
        </w:tc>
        <w:tc>
          <w:tcPr>
            <w:tcW w:w="1559" w:type="dxa"/>
            <w:shd w:val="clear" w:color="auto" w:fill="auto"/>
          </w:tcPr>
          <w:p w:rsidR="0020485F" w:rsidRPr="006F205A" w:rsidRDefault="0020485F" w:rsidP="00DA7DE0">
            <w:pPr>
              <w:jc w:val="both"/>
              <w:rPr>
                <w:rFonts w:asciiTheme="minorHAnsi" w:hAnsiTheme="minorHAnsi" w:cstheme="minorHAnsi"/>
                <w:b/>
                <w:sz w:val="20"/>
                <w:szCs w:val="20"/>
              </w:rPr>
            </w:pPr>
          </w:p>
        </w:tc>
        <w:tc>
          <w:tcPr>
            <w:tcW w:w="1163" w:type="dxa"/>
            <w:shd w:val="clear" w:color="auto" w:fill="auto"/>
          </w:tcPr>
          <w:p w:rsidR="0020485F" w:rsidRPr="006F205A" w:rsidRDefault="0020485F" w:rsidP="00DA7DE0">
            <w:pPr>
              <w:jc w:val="both"/>
              <w:rPr>
                <w:rFonts w:asciiTheme="minorHAnsi" w:hAnsiTheme="minorHAnsi" w:cstheme="minorHAnsi"/>
                <w:b/>
                <w:sz w:val="20"/>
                <w:szCs w:val="20"/>
              </w:rPr>
            </w:pPr>
          </w:p>
        </w:tc>
        <w:tc>
          <w:tcPr>
            <w:tcW w:w="850" w:type="dxa"/>
          </w:tcPr>
          <w:p w:rsidR="0020485F" w:rsidRPr="006F205A" w:rsidRDefault="0020485F" w:rsidP="00DA7DE0">
            <w:pPr>
              <w:jc w:val="both"/>
              <w:rPr>
                <w:rFonts w:asciiTheme="minorHAnsi" w:hAnsiTheme="minorHAnsi" w:cstheme="minorHAnsi"/>
                <w:b/>
                <w:sz w:val="20"/>
                <w:szCs w:val="20"/>
              </w:rPr>
            </w:pPr>
          </w:p>
        </w:tc>
        <w:tc>
          <w:tcPr>
            <w:tcW w:w="1247" w:type="dxa"/>
            <w:shd w:val="clear" w:color="auto" w:fill="auto"/>
          </w:tcPr>
          <w:p w:rsidR="0020485F" w:rsidRPr="006F205A" w:rsidRDefault="0020485F" w:rsidP="00DA7DE0">
            <w:pPr>
              <w:jc w:val="both"/>
              <w:rPr>
                <w:rFonts w:asciiTheme="minorHAnsi" w:hAnsiTheme="minorHAnsi" w:cstheme="minorHAnsi"/>
                <w:b/>
                <w:sz w:val="20"/>
                <w:szCs w:val="20"/>
              </w:rPr>
            </w:pPr>
          </w:p>
        </w:tc>
        <w:tc>
          <w:tcPr>
            <w:tcW w:w="1134" w:type="dxa"/>
          </w:tcPr>
          <w:p w:rsidR="0020485F" w:rsidRPr="006F205A" w:rsidRDefault="0020485F" w:rsidP="00DA7DE0">
            <w:pPr>
              <w:jc w:val="both"/>
              <w:rPr>
                <w:rFonts w:asciiTheme="minorHAnsi" w:hAnsiTheme="minorHAnsi" w:cstheme="minorHAnsi"/>
                <w:sz w:val="20"/>
                <w:szCs w:val="20"/>
                <w:highlight w:val="yellow"/>
              </w:rPr>
            </w:pPr>
          </w:p>
        </w:tc>
        <w:tc>
          <w:tcPr>
            <w:tcW w:w="1418" w:type="dxa"/>
          </w:tcPr>
          <w:p w:rsidR="0020485F" w:rsidRPr="006F205A" w:rsidRDefault="0020485F" w:rsidP="00DA7DE0">
            <w:pPr>
              <w:jc w:val="both"/>
              <w:rPr>
                <w:rFonts w:asciiTheme="minorHAnsi" w:hAnsiTheme="minorHAnsi" w:cstheme="minorHAnsi"/>
                <w:sz w:val="20"/>
                <w:szCs w:val="20"/>
                <w:highlight w:val="yellow"/>
              </w:rPr>
            </w:pPr>
          </w:p>
        </w:tc>
      </w:tr>
    </w:tbl>
    <w:p w:rsidR="0020485F" w:rsidRPr="008A33FF" w:rsidRDefault="0020485F" w:rsidP="0020485F">
      <w:pPr>
        <w:jc w:val="both"/>
        <w:rPr>
          <w:rFonts w:asciiTheme="minorHAnsi" w:hAnsiTheme="minorHAnsi" w:cstheme="minorHAnsi"/>
          <w:b/>
          <w:sz w:val="24"/>
          <w:szCs w:val="24"/>
        </w:rPr>
      </w:pPr>
    </w:p>
    <w:p w:rsidR="0020485F" w:rsidRDefault="0020485F" w:rsidP="0020485F">
      <w:pPr>
        <w:pStyle w:val="Paragraphedeliste"/>
        <w:ind w:left="360"/>
        <w:jc w:val="both"/>
        <w:rPr>
          <w:rFonts w:asciiTheme="minorHAnsi" w:hAnsiTheme="minorHAnsi" w:cstheme="minorHAnsi"/>
          <w:b/>
          <w:sz w:val="24"/>
          <w:u w:val="single"/>
        </w:rPr>
      </w:pPr>
      <w:r>
        <w:rPr>
          <w:rFonts w:asciiTheme="minorHAnsi" w:hAnsiTheme="minorHAnsi" w:cstheme="minorHAnsi"/>
          <w:b/>
          <w:sz w:val="24"/>
          <w:u w:val="single"/>
        </w:rPr>
        <w:t>6.</w:t>
      </w:r>
      <w:r w:rsidRPr="008A33FF">
        <w:rPr>
          <w:rFonts w:asciiTheme="minorHAnsi" w:hAnsiTheme="minorHAnsi" w:cstheme="minorHAnsi"/>
          <w:b/>
          <w:sz w:val="24"/>
          <w:u w:val="single"/>
        </w:rPr>
        <w:t xml:space="preserve">Grille d’évaluation des indicateurs </w:t>
      </w:r>
    </w:p>
    <w:p w:rsidR="0020485F" w:rsidRPr="006F205A" w:rsidRDefault="0020485F" w:rsidP="0020485F">
      <w:pPr>
        <w:pStyle w:val="Paragraphedeliste"/>
        <w:ind w:left="360"/>
        <w:jc w:val="both"/>
        <w:rPr>
          <w:rFonts w:asciiTheme="minorHAnsi" w:hAnsiTheme="minorHAnsi" w:cstheme="minorHAnsi"/>
          <w:b/>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3093"/>
        <w:gridCol w:w="3268"/>
      </w:tblGrid>
      <w:tr w:rsidR="0020485F" w:rsidRPr="008A33FF" w:rsidTr="00DA7DE0">
        <w:tc>
          <w:tcPr>
            <w:tcW w:w="2880" w:type="dxa"/>
            <w:shd w:val="clear" w:color="auto" w:fill="00B050"/>
          </w:tcPr>
          <w:p w:rsidR="0020485F" w:rsidRPr="008A33FF" w:rsidRDefault="0020485F" w:rsidP="00DA7DE0">
            <w:pPr>
              <w:jc w:val="both"/>
              <w:rPr>
                <w:rFonts w:asciiTheme="minorHAnsi" w:eastAsia="Calibri" w:hAnsiTheme="minorHAnsi" w:cstheme="minorHAnsi"/>
                <w:sz w:val="24"/>
                <w:szCs w:val="24"/>
              </w:rPr>
            </w:pPr>
            <w:r w:rsidRPr="008A33FF">
              <w:rPr>
                <w:rFonts w:asciiTheme="minorHAnsi" w:eastAsia="Calibri" w:hAnsiTheme="minorHAnsi" w:cstheme="minorHAnsi"/>
                <w:sz w:val="24"/>
                <w:szCs w:val="24"/>
              </w:rPr>
              <w:t>Vert = réalisé</w:t>
            </w:r>
          </w:p>
        </w:tc>
        <w:tc>
          <w:tcPr>
            <w:tcW w:w="3150" w:type="dxa"/>
            <w:shd w:val="clear" w:color="auto" w:fill="FFFF00"/>
          </w:tcPr>
          <w:p w:rsidR="0020485F" w:rsidRPr="008A33FF" w:rsidRDefault="0020485F" w:rsidP="00DA7DE0">
            <w:pPr>
              <w:jc w:val="both"/>
              <w:rPr>
                <w:rFonts w:asciiTheme="minorHAnsi" w:eastAsia="Calibri" w:hAnsiTheme="minorHAnsi" w:cstheme="minorHAnsi"/>
                <w:sz w:val="24"/>
                <w:szCs w:val="24"/>
              </w:rPr>
            </w:pPr>
            <w:r w:rsidRPr="008A33FF">
              <w:rPr>
                <w:rFonts w:asciiTheme="minorHAnsi" w:eastAsia="Calibri" w:hAnsiTheme="minorHAnsi" w:cstheme="minorHAnsi"/>
                <w:sz w:val="24"/>
                <w:szCs w:val="24"/>
              </w:rPr>
              <w:t xml:space="preserve">Jaune = en voie de réalisation </w:t>
            </w:r>
          </w:p>
        </w:tc>
        <w:tc>
          <w:tcPr>
            <w:tcW w:w="3330" w:type="dxa"/>
            <w:shd w:val="clear" w:color="auto" w:fill="FF0000"/>
          </w:tcPr>
          <w:p w:rsidR="0020485F" w:rsidRPr="008A33FF" w:rsidRDefault="0020485F" w:rsidP="00DA7DE0">
            <w:pPr>
              <w:jc w:val="both"/>
              <w:rPr>
                <w:rFonts w:asciiTheme="minorHAnsi" w:eastAsia="Calibri" w:hAnsiTheme="minorHAnsi" w:cstheme="minorHAnsi"/>
                <w:sz w:val="24"/>
                <w:szCs w:val="24"/>
              </w:rPr>
            </w:pPr>
            <w:r w:rsidRPr="008A33FF">
              <w:rPr>
                <w:rFonts w:asciiTheme="minorHAnsi" w:eastAsia="Calibri" w:hAnsiTheme="minorHAnsi" w:cstheme="minorHAnsi"/>
                <w:sz w:val="24"/>
                <w:szCs w:val="24"/>
              </w:rPr>
              <w:t xml:space="preserve">Rouge = pas en voie de réalisation </w:t>
            </w:r>
          </w:p>
        </w:tc>
      </w:tr>
    </w:tbl>
    <w:p w:rsidR="0020485F" w:rsidRDefault="0020485F" w:rsidP="0020485F">
      <w:pPr>
        <w:jc w:val="both"/>
        <w:rPr>
          <w:rFonts w:asciiTheme="minorHAnsi" w:hAnsiTheme="minorHAnsi" w:cstheme="minorHAnsi"/>
          <w:sz w:val="24"/>
          <w:szCs w:val="24"/>
        </w:rPr>
      </w:pPr>
    </w:p>
    <w:p w:rsidR="0020485F" w:rsidRDefault="0020485F" w:rsidP="0020485F">
      <w:pPr>
        <w:jc w:val="both"/>
        <w:rPr>
          <w:rFonts w:asciiTheme="minorHAnsi" w:hAnsiTheme="minorHAnsi" w:cstheme="minorHAnsi"/>
          <w:sz w:val="24"/>
          <w:szCs w:val="24"/>
        </w:rPr>
      </w:pPr>
    </w:p>
    <w:p w:rsidR="0020485F" w:rsidRPr="006F205A" w:rsidRDefault="0020485F" w:rsidP="0020485F">
      <w:pPr>
        <w:jc w:val="both"/>
        <w:rPr>
          <w:rFonts w:asciiTheme="minorHAnsi" w:hAnsiTheme="minorHAnsi" w:cstheme="minorHAnsi"/>
          <w:color w:val="000000"/>
          <w:sz w:val="24"/>
          <w:szCs w:val="24"/>
        </w:rPr>
      </w:pPr>
      <w:r w:rsidRPr="008A33FF">
        <w:rPr>
          <w:rFonts w:asciiTheme="minorHAnsi" w:hAnsiTheme="minorHAnsi" w:cstheme="minorHAnsi"/>
          <w:sz w:val="24"/>
          <w:szCs w:val="24"/>
        </w:rPr>
        <w:t>Après analyse des progrès vers l’obtention des réalisations :</w:t>
      </w:r>
    </w:p>
    <w:p w:rsidR="0020485F" w:rsidRPr="008A33FF" w:rsidRDefault="0020485F" w:rsidP="0020485F">
      <w:pPr>
        <w:pStyle w:val="Paragraphedeliste"/>
        <w:numPr>
          <w:ilvl w:val="0"/>
          <w:numId w:val="4"/>
        </w:numPr>
        <w:ind w:left="662"/>
        <w:contextualSpacing w:val="0"/>
        <w:jc w:val="both"/>
        <w:rPr>
          <w:rFonts w:asciiTheme="minorHAnsi" w:hAnsiTheme="minorHAnsi" w:cstheme="minorHAnsi"/>
          <w:b/>
          <w:sz w:val="24"/>
        </w:rPr>
      </w:pPr>
      <w:r w:rsidRPr="008A33FF">
        <w:rPr>
          <w:rFonts w:asciiTheme="minorHAnsi" w:hAnsiTheme="minorHAnsi" w:cstheme="minorHAnsi"/>
          <w:sz w:val="24"/>
        </w:rPr>
        <w:t>Comparer et analyser l’outil de suivi de départ du GEF avec celui réalisé juste avant l’examen à mi-parcours.</w:t>
      </w:r>
    </w:p>
    <w:p w:rsidR="0020485F" w:rsidRPr="008A33FF" w:rsidRDefault="0020485F" w:rsidP="0020485F">
      <w:pPr>
        <w:pStyle w:val="Paragraphedeliste"/>
        <w:numPr>
          <w:ilvl w:val="0"/>
          <w:numId w:val="4"/>
        </w:numPr>
        <w:spacing w:before="120"/>
        <w:ind w:left="660"/>
        <w:contextualSpacing w:val="0"/>
        <w:jc w:val="both"/>
        <w:rPr>
          <w:rFonts w:asciiTheme="minorHAnsi" w:hAnsiTheme="minorHAnsi" w:cstheme="minorHAnsi"/>
          <w:b/>
          <w:sz w:val="24"/>
        </w:rPr>
      </w:pPr>
      <w:r w:rsidRPr="008A33FF">
        <w:rPr>
          <w:rFonts w:asciiTheme="minorHAnsi" w:hAnsiTheme="minorHAnsi" w:cstheme="minorHAnsi"/>
          <w:color w:val="000000"/>
          <w:sz w:val="24"/>
        </w:rPr>
        <w:t xml:space="preserve">Identifier les obstacles entravant toujours la réalisation des objectifs du projet pour la période restante du projet. </w:t>
      </w:r>
    </w:p>
    <w:p w:rsidR="0020485F" w:rsidRPr="008A33FF" w:rsidRDefault="0020485F" w:rsidP="0020485F">
      <w:pPr>
        <w:pStyle w:val="Paragraphedeliste"/>
        <w:numPr>
          <w:ilvl w:val="0"/>
          <w:numId w:val="2"/>
        </w:numPr>
        <w:ind w:left="630"/>
        <w:contextualSpacing w:val="0"/>
        <w:jc w:val="both"/>
        <w:rPr>
          <w:rFonts w:asciiTheme="minorHAnsi" w:hAnsiTheme="minorHAnsi" w:cstheme="minorHAnsi"/>
          <w:color w:val="000000"/>
          <w:sz w:val="24"/>
        </w:rPr>
      </w:pPr>
      <w:r w:rsidRPr="008A33FF">
        <w:rPr>
          <w:rFonts w:asciiTheme="minorHAnsi" w:hAnsiTheme="minorHAnsi" w:cstheme="minorHAnsi"/>
          <w:color w:val="000000"/>
          <w:sz w:val="24"/>
        </w:rPr>
        <w:t>En passant en revue les effets bénéfiques du projet à ce jour, définir les moyens par lesquels on pourrait accroître ces effets.</w:t>
      </w:r>
    </w:p>
    <w:p w:rsidR="0020485F" w:rsidRPr="008A33FF" w:rsidRDefault="0020485F" w:rsidP="0020485F">
      <w:pPr>
        <w:pStyle w:val="Paragraphedeliste"/>
        <w:ind w:left="630"/>
        <w:jc w:val="both"/>
        <w:rPr>
          <w:rFonts w:asciiTheme="minorHAnsi" w:hAnsiTheme="minorHAnsi" w:cstheme="minorHAnsi"/>
          <w:color w:val="000000"/>
          <w:sz w:val="24"/>
        </w:rPr>
      </w:pPr>
    </w:p>
    <w:p w:rsidR="0020485F" w:rsidRDefault="0020485F" w:rsidP="0020485F">
      <w:pPr>
        <w:pStyle w:val="p28"/>
        <w:numPr>
          <w:ilvl w:val="0"/>
          <w:numId w:val="1"/>
        </w:numPr>
        <w:spacing w:line="240" w:lineRule="auto"/>
        <w:jc w:val="both"/>
        <w:rPr>
          <w:rFonts w:asciiTheme="minorHAnsi" w:eastAsiaTheme="minorEastAsia" w:hAnsiTheme="minorHAnsi" w:cstheme="minorHAnsi"/>
          <w:b/>
          <w:snapToGrid/>
          <w:szCs w:val="24"/>
          <w:lang w:val="fr-FR" w:eastAsia="fr-FR"/>
        </w:rPr>
      </w:pPr>
      <w:r w:rsidRPr="00854B3A">
        <w:rPr>
          <w:rFonts w:asciiTheme="minorHAnsi" w:eastAsiaTheme="minorEastAsia" w:hAnsiTheme="minorHAnsi" w:cstheme="minorHAnsi"/>
          <w:b/>
          <w:snapToGrid/>
          <w:szCs w:val="24"/>
          <w:lang w:val="fr-FR" w:eastAsia="fr-FR"/>
        </w:rPr>
        <w:t xml:space="preserve">Mise en œuvre du projet et gestion réactive </w:t>
      </w:r>
    </w:p>
    <w:p w:rsidR="0020485F" w:rsidRPr="00660A39" w:rsidRDefault="0020485F" w:rsidP="0020485F">
      <w:pPr>
        <w:pStyle w:val="p28"/>
        <w:spacing w:line="240" w:lineRule="auto"/>
        <w:ind w:left="720" w:firstLine="0"/>
        <w:jc w:val="both"/>
        <w:rPr>
          <w:rFonts w:asciiTheme="minorHAnsi" w:eastAsiaTheme="minorEastAsia" w:hAnsiTheme="minorHAnsi" w:cstheme="minorHAnsi"/>
          <w:b/>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A l’aide des Directives pour la conduite de l’examen à mi-parcours des projets appuyés par le PNUD et financés par le GEF, évaluer les progrès du projet dans les quatre catégories suivantes :</w:t>
      </w:r>
    </w:p>
    <w:p w:rsidR="0020485F" w:rsidRPr="008A33FF"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eastAsia="fr-FR"/>
        </w:rPr>
      </w:pPr>
      <w:r w:rsidRPr="008A33FF">
        <w:rPr>
          <w:rFonts w:asciiTheme="minorHAnsi" w:eastAsiaTheme="minorEastAsia" w:hAnsiTheme="minorHAnsi" w:cstheme="minorHAnsi"/>
          <w:snapToGrid/>
          <w:szCs w:val="24"/>
          <w:lang w:eastAsia="fr-FR"/>
        </w:rPr>
        <w:t xml:space="preserve">Mécanismes de gestion </w:t>
      </w:r>
    </w:p>
    <w:p w:rsidR="0020485F" w:rsidRPr="008A33FF"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eastAsia="fr-FR"/>
        </w:rPr>
      </w:pPr>
      <w:r w:rsidRPr="008A33FF">
        <w:rPr>
          <w:rFonts w:asciiTheme="minorHAnsi" w:eastAsiaTheme="minorEastAsia" w:hAnsiTheme="minorHAnsi" w:cstheme="minorHAnsi"/>
          <w:snapToGrid/>
          <w:szCs w:val="24"/>
          <w:lang w:eastAsia="fr-FR"/>
        </w:rPr>
        <w:t xml:space="preserve">Planification des activités </w:t>
      </w:r>
    </w:p>
    <w:p w:rsidR="0020485F" w:rsidRPr="008A33FF"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eastAsia="fr-FR"/>
        </w:rPr>
      </w:pPr>
      <w:r w:rsidRPr="008A33FF">
        <w:rPr>
          <w:rFonts w:asciiTheme="minorHAnsi" w:eastAsiaTheme="minorEastAsia" w:hAnsiTheme="minorHAnsi" w:cstheme="minorHAnsi"/>
          <w:snapToGrid/>
          <w:szCs w:val="24"/>
          <w:lang w:eastAsia="fr-FR"/>
        </w:rPr>
        <w:t>Financement et cofinancement</w:t>
      </w:r>
    </w:p>
    <w:p w:rsidR="0020485F" w:rsidRPr="00854B3A"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Systèmes de suivi et d’évaluation au niveau du projet </w:t>
      </w:r>
    </w:p>
    <w:p w:rsidR="0020485F" w:rsidRPr="008A33FF"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eastAsia="fr-FR"/>
        </w:rPr>
      </w:pPr>
      <w:r w:rsidRPr="008A33FF">
        <w:rPr>
          <w:rFonts w:asciiTheme="minorHAnsi" w:eastAsiaTheme="minorEastAsia" w:hAnsiTheme="minorHAnsi" w:cstheme="minorHAnsi"/>
          <w:snapToGrid/>
          <w:szCs w:val="24"/>
          <w:lang w:eastAsia="fr-FR"/>
        </w:rPr>
        <w:t xml:space="preserve">Participation des parties prenantes </w:t>
      </w:r>
    </w:p>
    <w:p w:rsidR="0020485F" w:rsidRPr="008A33FF"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eastAsia="fr-FR"/>
        </w:rPr>
      </w:pPr>
      <w:r w:rsidRPr="008A33FF">
        <w:rPr>
          <w:rFonts w:asciiTheme="minorHAnsi" w:eastAsiaTheme="minorEastAsia" w:hAnsiTheme="minorHAnsi" w:cstheme="minorHAnsi"/>
          <w:snapToGrid/>
          <w:szCs w:val="24"/>
          <w:lang w:eastAsia="fr-FR"/>
        </w:rPr>
        <w:t xml:space="preserve">Communication de données </w:t>
      </w:r>
    </w:p>
    <w:p w:rsidR="0020485F" w:rsidRPr="008A33FF" w:rsidRDefault="0020485F" w:rsidP="0020485F">
      <w:pPr>
        <w:pStyle w:val="p28"/>
        <w:numPr>
          <w:ilvl w:val="0"/>
          <w:numId w:val="10"/>
        </w:numPr>
        <w:spacing w:line="240" w:lineRule="auto"/>
        <w:jc w:val="both"/>
        <w:rPr>
          <w:rFonts w:asciiTheme="minorHAnsi" w:eastAsiaTheme="minorEastAsia" w:hAnsiTheme="minorHAnsi" w:cstheme="minorHAnsi"/>
          <w:snapToGrid/>
          <w:szCs w:val="24"/>
          <w:lang w:eastAsia="fr-FR"/>
        </w:rPr>
      </w:pPr>
      <w:r w:rsidRPr="008A33FF">
        <w:rPr>
          <w:rFonts w:asciiTheme="minorHAnsi" w:eastAsiaTheme="minorEastAsia" w:hAnsiTheme="minorHAnsi" w:cstheme="minorHAnsi"/>
          <w:snapToGrid/>
          <w:szCs w:val="24"/>
          <w:lang w:eastAsia="fr-FR"/>
        </w:rPr>
        <w:t>Communication</w:t>
      </w:r>
    </w:p>
    <w:p w:rsidR="0020485F" w:rsidRPr="008A33FF" w:rsidRDefault="0020485F" w:rsidP="0020485F">
      <w:pPr>
        <w:pStyle w:val="p28"/>
        <w:spacing w:line="240" w:lineRule="auto"/>
        <w:ind w:left="360" w:hanging="360"/>
        <w:jc w:val="both"/>
        <w:rPr>
          <w:rFonts w:asciiTheme="minorHAnsi" w:eastAsiaTheme="minorEastAsia" w:hAnsiTheme="minorHAnsi" w:cstheme="minorHAnsi"/>
          <w:snapToGrid/>
          <w:szCs w:val="24"/>
          <w:lang w:eastAsia="fr-FR"/>
        </w:rPr>
      </w:pPr>
    </w:p>
    <w:p w:rsidR="0020485F" w:rsidRDefault="0020485F" w:rsidP="0020485F">
      <w:pPr>
        <w:pStyle w:val="p28"/>
        <w:spacing w:line="240" w:lineRule="auto"/>
        <w:ind w:left="360" w:hanging="360"/>
        <w:jc w:val="both"/>
        <w:rPr>
          <w:rFonts w:asciiTheme="minorHAnsi" w:eastAsiaTheme="minorEastAsia" w:hAnsiTheme="minorHAnsi" w:cstheme="minorHAnsi"/>
          <w:b/>
          <w:snapToGrid/>
          <w:szCs w:val="24"/>
          <w:lang w:val="fr-FR" w:eastAsia="fr-FR"/>
        </w:rPr>
      </w:pPr>
      <w:r>
        <w:rPr>
          <w:rFonts w:asciiTheme="minorHAnsi" w:eastAsiaTheme="minorEastAsia" w:hAnsiTheme="minorHAnsi" w:cstheme="minorHAnsi"/>
          <w:b/>
          <w:snapToGrid/>
          <w:szCs w:val="24"/>
          <w:lang w:val="fr-FR" w:eastAsia="fr-FR"/>
        </w:rPr>
        <w:t>8.</w:t>
      </w:r>
      <w:r w:rsidRPr="006F205A">
        <w:rPr>
          <w:rFonts w:asciiTheme="minorHAnsi" w:eastAsiaTheme="minorEastAsia" w:hAnsiTheme="minorHAnsi" w:cstheme="minorHAnsi"/>
          <w:b/>
          <w:snapToGrid/>
          <w:szCs w:val="24"/>
          <w:lang w:eastAsia="fr-FR"/>
        </w:rPr>
        <w:t xml:space="preserve">Durabilité </w:t>
      </w:r>
    </w:p>
    <w:p w:rsidR="0020485F" w:rsidRPr="00660A39" w:rsidRDefault="0020485F" w:rsidP="0020485F">
      <w:pPr>
        <w:pStyle w:val="p28"/>
        <w:spacing w:line="240" w:lineRule="auto"/>
        <w:ind w:left="360" w:hanging="360"/>
        <w:jc w:val="both"/>
        <w:rPr>
          <w:rFonts w:asciiTheme="minorHAnsi" w:eastAsiaTheme="minorEastAsia" w:hAnsiTheme="minorHAnsi" w:cstheme="minorHAnsi"/>
          <w:b/>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Evaluer l’ensemble des risques pour la durabilité du projet, dans les quatre catégories suivantes:</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Risques financiers pour la durabilité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Risques socio-économiques pour la durabilité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Risques liés au cadre institutionnel et à la gouvernance pour la durabilité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Risques environnementaux pour la durabilité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Le consultant/l’équipe de l’évaluation à mi-parcours introduira un paragraphe dans le rapport d’examen à mi-parcours, présentant les conclusions fondées sur des données probantes de l’examen à mi-parcours, à la lumière des résultats.</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En outre, le consultant/l’équipe de l’évaluation à mi-parcours devra formuler des recommandations à l’équipe du projet. Ces recommandations devront être présentées sous la forme de propositions succinctes visant à des interventions essentielles qui seront spécifiques, mesurables, réalisables et appropriées. Un tableau regroupant les recommandations peut être intégré dans le résumé du Rapport. Le consultant/l’équipe de l’évaluation à mi-parcours formuleront 15 recommandations au maximum.</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CB0329" w:rsidP="0020485F">
      <w:pPr>
        <w:pStyle w:val="p28"/>
        <w:spacing w:line="240" w:lineRule="auto"/>
        <w:ind w:left="360" w:hanging="360"/>
        <w:jc w:val="both"/>
        <w:rPr>
          <w:rFonts w:asciiTheme="minorHAnsi" w:eastAsiaTheme="minorEastAsia" w:hAnsiTheme="minorHAnsi" w:cstheme="minorHAnsi"/>
          <w:b/>
          <w:snapToGrid/>
          <w:szCs w:val="24"/>
          <w:lang w:val="fr-FR" w:eastAsia="fr-FR"/>
        </w:rPr>
      </w:pPr>
      <w:r>
        <w:rPr>
          <w:rFonts w:asciiTheme="minorHAnsi" w:eastAsiaTheme="minorEastAsia" w:hAnsiTheme="minorHAnsi" w:cstheme="minorHAnsi"/>
          <w:b/>
          <w:snapToGrid/>
          <w:szCs w:val="24"/>
          <w:lang w:val="fr-FR" w:eastAsia="fr-FR"/>
        </w:rPr>
        <w:t>9.</w:t>
      </w:r>
      <w:r w:rsidRPr="00854B3A">
        <w:rPr>
          <w:rFonts w:asciiTheme="minorHAnsi" w:eastAsiaTheme="minorEastAsia" w:hAnsiTheme="minorHAnsi" w:cstheme="minorHAnsi"/>
          <w:b/>
          <w:snapToGrid/>
          <w:szCs w:val="24"/>
          <w:lang w:val="fr-FR" w:eastAsia="fr-FR"/>
        </w:rPr>
        <w:t xml:space="preserve"> Produits</w:t>
      </w:r>
      <w:r w:rsidR="0020485F" w:rsidRPr="00854B3A">
        <w:rPr>
          <w:rFonts w:asciiTheme="minorHAnsi" w:eastAsiaTheme="minorEastAsia" w:hAnsiTheme="minorHAnsi" w:cstheme="minorHAnsi"/>
          <w:b/>
          <w:snapToGrid/>
          <w:szCs w:val="24"/>
          <w:lang w:val="fr-FR" w:eastAsia="fr-FR"/>
        </w:rPr>
        <w:t xml:space="preserve"> escomptés et documents à produire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Le consultant/l’équipe de l’évaluation à mi-parcours préparera et soumettra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Rapport initial d'examen à mi-parcours : l'équipe chargée de l'examen à mi-parcours précise les objectifs et les méthodes pour l'examen à mi-parcours au plus tard 2 semaines avant la mission pour l'examen à mi-parcours. Le rapport devra être envoyé à l'Unité mandatrice et à la direction du projet. Date approximative de présentation du rapport : (date)</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Présentation : les résultats initiaux sont présentés à la direction du projet et à l'Unité mandatrice à la fin de la mission pour l'examen à mi-parcours. Date approximative de présentation : (date)</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Projet de rapport final : le rapport complet avec les annexes devrait être présenté dans les trois semaines suivant la mission pour l'examen à mi-parcours. Date approximative de présentation du rapport : (date)</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lastRenderedPageBreak/>
        <w:t>Rapport final *: le rapport révisé avec les documents détaillant la façon dont les commentaires reçus ont (et n’ont pas) été pris en compte dans le rapport final d'examen à mi-parcours. Le rapport devra être envoyé à l'Unité mandatrice dans la semaine  suivant la réception des commentaires du PNUD sur le projet de rapport. Date approximative de présentation : (date)</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Default="0020485F" w:rsidP="00CB0329">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*Le rapport final d'examen mi-parcours doit être rédigé en anglais. Le cas échéant, l'Unité mandatrice peut organiser la traduction du rapport dans une langue plus couramment parlée par les parties prenantes nationales.</w:t>
      </w:r>
    </w:p>
    <w:p w:rsidR="00CB0329" w:rsidRPr="00CB0329" w:rsidRDefault="00CB0329" w:rsidP="00CB0329">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0" w:firstLine="0"/>
        <w:jc w:val="both"/>
        <w:rPr>
          <w:rFonts w:asciiTheme="minorHAnsi" w:eastAsiaTheme="minorEastAsia" w:hAnsiTheme="minorHAnsi" w:cstheme="minorHAnsi"/>
          <w:b/>
          <w:snapToGrid/>
          <w:szCs w:val="24"/>
          <w:lang w:val="fr-FR" w:eastAsia="fr-FR"/>
        </w:rPr>
      </w:pPr>
      <w:r>
        <w:rPr>
          <w:rFonts w:asciiTheme="minorHAnsi" w:eastAsiaTheme="minorEastAsia" w:hAnsiTheme="minorHAnsi" w:cstheme="minorHAnsi"/>
          <w:b/>
          <w:snapToGrid/>
          <w:szCs w:val="24"/>
          <w:lang w:val="fr-FR" w:eastAsia="fr-FR"/>
        </w:rPr>
        <w:t>10.</w:t>
      </w:r>
      <w:r w:rsidRPr="00854B3A">
        <w:rPr>
          <w:rFonts w:asciiTheme="minorHAnsi" w:eastAsiaTheme="minorEastAsia" w:hAnsiTheme="minorHAnsi" w:cstheme="minorHAnsi"/>
          <w:b/>
          <w:snapToGrid/>
          <w:szCs w:val="24"/>
          <w:lang w:val="fr-FR" w:eastAsia="fr-FR"/>
        </w:rPr>
        <w:t xml:space="preserve"> Dispositions institutionnelles</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C’est l’Unité mandatrice qui a la responsabilité principale de gérer l’examen à mi-parcours. L’Unité mandatrice de l’examen à mi-parcours du projet est (lorsque les projets impliquent un seul pays, c’est le bureau de pays du PNUD qui est l’Unité mandatrice. Lorsque les projets sont régionaux et mis en œuvre conjointement, la responsabilité de gérer l’examen à mi-parcours incombe principalement au pays ou à l’organisme ou à l’organe de coordination régionale – à vérifier avec l’équipe du PNUD-GEF de la région– qui perçoit la plus grande part des fonds du GEF. S’il s’agit de projets internationaux, l’Unité mandatrice peut être la direction du PNUD-GEFou le bureau de pays du PNUD chef de file).</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L’Unité mandatrice passera un contrat avec les consultants et s’assurera que l’équipe chargée de l’examen à mi-parcours disposera en temps utile des indemnités journalières et des facilités de voyage dans le pays. L’équipe du projet aura la responsabilité de prendre contact avec l’équipe chargée de l’examen à mi-parcours afin de lui fournir tous les documents nécessaires, de préparer les entretiens avec les parties prenantes, et d’organiser les visites sur le terrain. </w:t>
      </w:r>
    </w:p>
    <w:p w:rsidR="0020485F"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Default="0020485F" w:rsidP="00CB0329">
      <w:pPr>
        <w:pStyle w:val="p28"/>
        <w:spacing w:line="240" w:lineRule="auto"/>
        <w:ind w:left="360" w:hanging="360"/>
        <w:jc w:val="both"/>
        <w:rPr>
          <w:rFonts w:asciiTheme="minorHAnsi" w:eastAsiaTheme="minorEastAsia" w:hAnsiTheme="minorHAnsi" w:cstheme="minorHAnsi"/>
          <w:b/>
          <w:snapToGrid/>
          <w:szCs w:val="24"/>
          <w:lang w:val="fr-FR" w:eastAsia="fr-FR"/>
        </w:rPr>
      </w:pPr>
      <w:r>
        <w:rPr>
          <w:rFonts w:asciiTheme="minorHAnsi" w:eastAsiaTheme="minorEastAsia" w:hAnsiTheme="minorHAnsi" w:cstheme="minorHAnsi"/>
          <w:b/>
          <w:snapToGrid/>
          <w:szCs w:val="24"/>
          <w:lang w:val="fr-FR" w:eastAsia="fr-FR"/>
        </w:rPr>
        <w:t>11.</w:t>
      </w:r>
      <w:r w:rsidRPr="00854B3A">
        <w:rPr>
          <w:rFonts w:asciiTheme="minorHAnsi" w:eastAsiaTheme="minorEastAsia" w:hAnsiTheme="minorHAnsi" w:cstheme="minorHAnsi"/>
          <w:b/>
          <w:snapToGrid/>
          <w:szCs w:val="24"/>
          <w:lang w:val="fr-FR" w:eastAsia="fr-FR"/>
        </w:rPr>
        <w:t xml:space="preserve"> Durée des activités</w:t>
      </w:r>
    </w:p>
    <w:p w:rsidR="00CB0329" w:rsidRPr="00CB0329" w:rsidRDefault="00CB0329" w:rsidP="00CB0329">
      <w:pPr>
        <w:pStyle w:val="p28"/>
        <w:spacing w:line="240" w:lineRule="auto"/>
        <w:ind w:left="360" w:hanging="360"/>
        <w:jc w:val="both"/>
        <w:rPr>
          <w:rFonts w:asciiTheme="minorHAnsi" w:eastAsiaTheme="minorEastAsia" w:hAnsiTheme="minorHAnsi" w:cstheme="minorHAnsi"/>
          <w:b/>
          <w:snapToGrid/>
          <w:szCs w:val="24"/>
          <w:lang w:val="fr-FR" w:eastAsia="fr-FR"/>
        </w:rPr>
      </w:pPr>
    </w:p>
    <w:p w:rsidR="0020485F"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La durée totale de l’examen à mi-parcours sera d’environ </w:t>
      </w:r>
      <w:r>
        <w:rPr>
          <w:rFonts w:asciiTheme="minorHAnsi" w:eastAsiaTheme="minorEastAsia" w:hAnsiTheme="minorHAnsi" w:cstheme="minorHAnsi"/>
          <w:snapToGrid/>
          <w:szCs w:val="24"/>
          <w:lang w:val="fr-FR" w:eastAsia="fr-FR"/>
        </w:rPr>
        <w:t xml:space="preserve">21 </w:t>
      </w:r>
      <w:r w:rsidRPr="00854B3A">
        <w:rPr>
          <w:rFonts w:asciiTheme="minorHAnsi" w:eastAsiaTheme="minorEastAsia" w:hAnsiTheme="minorHAnsi" w:cstheme="minorHAnsi"/>
          <w:snapToGrid/>
          <w:szCs w:val="24"/>
          <w:lang w:val="fr-FR" w:eastAsia="fr-FR"/>
        </w:rPr>
        <w:t xml:space="preserve"> jours à partir du recrutement du/des consultants. Le calendrier provisoire de l’examen à mi-parcours est le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3376"/>
        <w:gridCol w:w="2999"/>
      </w:tblGrid>
      <w:tr w:rsidR="0020485F" w:rsidRPr="00C231A8" w:rsidTr="00DA7DE0">
        <w:trPr>
          <w:trHeight w:val="440"/>
        </w:trPr>
        <w:tc>
          <w:tcPr>
            <w:tcW w:w="2913" w:type="dxa"/>
            <w:shd w:val="clear" w:color="auto" w:fill="auto"/>
            <w:vAlign w:val="center"/>
          </w:tcPr>
          <w:p w:rsidR="0020485F" w:rsidRPr="00C231A8" w:rsidRDefault="0020485F" w:rsidP="00DA7DE0">
            <w:pPr>
              <w:spacing w:after="0"/>
              <w:rPr>
                <w:b/>
                <w:sz w:val="24"/>
                <w:szCs w:val="24"/>
              </w:rPr>
            </w:pPr>
            <w:r w:rsidRPr="00C231A8">
              <w:rPr>
                <w:b/>
                <w:sz w:val="24"/>
                <w:szCs w:val="24"/>
              </w:rPr>
              <w:t>Activité</w:t>
            </w:r>
          </w:p>
        </w:tc>
        <w:tc>
          <w:tcPr>
            <w:tcW w:w="3376" w:type="dxa"/>
            <w:shd w:val="clear" w:color="auto" w:fill="auto"/>
            <w:vAlign w:val="center"/>
          </w:tcPr>
          <w:p w:rsidR="0020485F" w:rsidRPr="00C231A8" w:rsidRDefault="0020485F" w:rsidP="00DA7DE0">
            <w:pPr>
              <w:spacing w:after="0"/>
              <w:rPr>
                <w:b/>
                <w:sz w:val="24"/>
                <w:szCs w:val="24"/>
              </w:rPr>
            </w:pPr>
            <w:r w:rsidRPr="00C231A8">
              <w:rPr>
                <w:b/>
                <w:sz w:val="24"/>
                <w:szCs w:val="24"/>
              </w:rPr>
              <w:t>Nombre de jours</w:t>
            </w:r>
          </w:p>
        </w:tc>
        <w:tc>
          <w:tcPr>
            <w:tcW w:w="2999" w:type="dxa"/>
            <w:shd w:val="clear" w:color="auto" w:fill="auto"/>
            <w:vAlign w:val="center"/>
          </w:tcPr>
          <w:p w:rsidR="0020485F" w:rsidRPr="00C231A8" w:rsidRDefault="0020485F" w:rsidP="00DA7DE0">
            <w:pPr>
              <w:spacing w:after="0"/>
              <w:rPr>
                <w:b/>
                <w:sz w:val="24"/>
                <w:szCs w:val="24"/>
              </w:rPr>
            </w:pPr>
            <w:r w:rsidRPr="00C231A8">
              <w:rPr>
                <w:b/>
                <w:sz w:val="24"/>
                <w:szCs w:val="24"/>
              </w:rPr>
              <w:t>Date d’achèvement</w:t>
            </w:r>
          </w:p>
        </w:tc>
      </w:tr>
      <w:tr w:rsidR="0020485F" w:rsidRPr="00C231A8" w:rsidTr="00DA7DE0">
        <w:tc>
          <w:tcPr>
            <w:tcW w:w="2913" w:type="dxa"/>
          </w:tcPr>
          <w:p w:rsidR="0020485F" w:rsidRPr="00C231A8" w:rsidRDefault="0020485F" w:rsidP="00DA7DE0">
            <w:pPr>
              <w:spacing w:after="0"/>
              <w:rPr>
                <w:b/>
                <w:sz w:val="24"/>
                <w:szCs w:val="24"/>
              </w:rPr>
            </w:pPr>
            <w:r w:rsidRPr="00C231A8">
              <w:rPr>
                <w:b/>
                <w:sz w:val="24"/>
                <w:szCs w:val="24"/>
              </w:rPr>
              <w:t>Préparation de la mission</w:t>
            </w:r>
          </w:p>
        </w:tc>
        <w:tc>
          <w:tcPr>
            <w:tcW w:w="3376" w:type="dxa"/>
          </w:tcPr>
          <w:p w:rsidR="0020485F" w:rsidRPr="00E747DF" w:rsidRDefault="0020485F" w:rsidP="00DA7DE0">
            <w:pPr>
              <w:spacing w:after="0" w:line="240" w:lineRule="auto"/>
              <w:rPr>
                <w:rFonts w:asciiTheme="minorHAnsi" w:hAnsiTheme="minorHAnsi"/>
                <w:b/>
                <w:sz w:val="24"/>
                <w:szCs w:val="24"/>
              </w:rPr>
            </w:pPr>
            <w:r>
              <w:rPr>
                <w:rFonts w:asciiTheme="minorHAnsi" w:hAnsiTheme="minorHAnsi"/>
                <w:sz w:val="24"/>
                <w:szCs w:val="24"/>
              </w:rPr>
              <w:t>3</w:t>
            </w:r>
            <w:r w:rsidRPr="00E747DF">
              <w:rPr>
                <w:rFonts w:asciiTheme="minorHAnsi" w:hAnsiTheme="minorHAnsi"/>
                <w:sz w:val="24"/>
                <w:szCs w:val="24"/>
              </w:rPr>
              <w:t xml:space="preserve"> jours</w:t>
            </w:r>
          </w:p>
        </w:tc>
        <w:tc>
          <w:tcPr>
            <w:tcW w:w="2999" w:type="dxa"/>
          </w:tcPr>
          <w:p w:rsidR="0020485F" w:rsidRPr="00E747DF" w:rsidRDefault="0020485F" w:rsidP="00DA7DE0">
            <w:pPr>
              <w:spacing w:after="0" w:line="240" w:lineRule="auto"/>
              <w:rPr>
                <w:rFonts w:asciiTheme="minorHAnsi" w:hAnsiTheme="minorHAnsi"/>
                <w:sz w:val="24"/>
                <w:szCs w:val="24"/>
                <w:highlight w:val="lightGray"/>
              </w:rPr>
            </w:pPr>
            <w:r>
              <w:rPr>
                <w:rFonts w:asciiTheme="minorHAnsi" w:hAnsiTheme="minorHAnsi"/>
                <w:sz w:val="24"/>
                <w:szCs w:val="24"/>
              </w:rPr>
              <w:t>8 mai 2015</w:t>
            </w:r>
          </w:p>
        </w:tc>
      </w:tr>
      <w:tr w:rsidR="0020485F" w:rsidRPr="00C231A8" w:rsidTr="00DA7DE0">
        <w:tc>
          <w:tcPr>
            <w:tcW w:w="2913" w:type="dxa"/>
          </w:tcPr>
          <w:p w:rsidR="0020485F" w:rsidRPr="00C231A8" w:rsidRDefault="0020485F" w:rsidP="00DA7DE0">
            <w:pPr>
              <w:spacing w:after="0"/>
              <w:rPr>
                <w:b/>
                <w:sz w:val="24"/>
                <w:szCs w:val="24"/>
              </w:rPr>
            </w:pPr>
            <w:r>
              <w:rPr>
                <w:b/>
                <w:sz w:val="24"/>
                <w:szCs w:val="24"/>
              </w:rPr>
              <w:t>Visite de terrain et entretien avec des acteurs</w:t>
            </w:r>
          </w:p>
        </w:tc>
        <w:tc>
          <w:tcPr>
            <w:tcW w:w="3376" w:type="dxa"/>
          </w:tcPr>
          <w:p w:rsidR="0020485F" w:rsidRPr="00E747DF" w:rsidRDefault="0020485F" w:rsidP="00DA7DE0">
            <w:pPr>
              <w:spacing w:after="0" w:line="240" w:lineRule="auto"/>
              <w:rPr>
                <w:rFonts w:asciiTheme="minorHAnsi" w:hAnsiTheme="minorHAnsi"/>
                <w:b/>
                <w:sz w:val="24"/>
                <w:szCs w:val="24"/>
              </w:rPr>
            </w:pPr>
            <w:r w:rsidRPr="00E747DF">
              <w:rPr>
                <w:rFonts w:asciiTheme="minorHAnsi" w:hAnsiTheme="minorHAnsi"/>
                <w:sz w:val="24"/>
                <w:szCs w:val="24"/>
              </w:rPr>
              <w:t>1</w:t>
            </w:r>
            <w:r>
              <w:rPr>
                <w:rFonts w:asciiTheme="minorHAnsi" w:hAnsiTheme="minorHAnsi"/>
                <w:sz w:val="24"/>
                <w:szCs w:val="24"/>
              </w:rPr>
              <w:t>0</w:t>
            </w:r>
            <w:r w:rsidRPr="00E747DF">
              <w:rPr>
                <w:rFonts w:asciiTheme="minorHAnsi" w:hAnsiTheme="minorHAnsi"/>
                <w:sz w:val="24"/>
                <w:szCs w:val="24"/>
              </w:rPr>
              <w:t xml:space="preserve"> jours</w:t>
            </w:r>
          </w:p>
        </w:tc>
        <w:tc>
          <w:tcPr>
            <w:tcW w:w="2999" w:type="dxa"/>
          </w:tcPr>
          <w:p w:rsidR="0020485F" w:rsidRPr="00E747DF" w:rsidRDefault="0020485F" w:rsidP="00DA7DE0">
            <w:pPr>
              <w:spacing w:after="0" w:line="240" w:lineRule="auto"/>
              <w:rPr>
                <w:rFonts w:asciiTheme="minorHAnsi" w:hAnsiTheme="minorHAnsi"/>
                <w:sz w:val="24"/>
                <w:szCs w:val="24"/>
                <w:highlight w:val="lightGray"/>
              </w:rPr>
            </w:pPr>
            <w:r>
              <w:rPr>
                <w:rFonts w:asciiTheme="minorHAnsi" w:hAnsiTheme="minorHAnsi"/>
                <w:sz w:val="24"/>
                <w:szCs w:val="24"/>
              </w:rPr>
              <w:t>18  mai 2015</w:t>
            </w:r>
          </w:p>
        </w:tc>
      </w:tr>
      <w:tr w:rsidR="0020485F" w:rsidRPr="00C231A8" w:rsidTr="00DA7DE0">
        <w:tc>
          <w:tcPr>
            <w:tcW w:w="2913" w:type="dxa"/>
          </w:tcPr>
          <w:p w:rsidR="0020485F" w:rsidRPr="00C231A8" w:rsidRDefault="0020485F" w:rsidP="00DA7DE0">
            <w:pPr>
              <w:spacing w:after="0"/>
              <w:rPr>
                <w:b/>
                <w:sz w:val="24"/>
                <w:szCs w:val="24"/>
              </w:rPr>
            </w:pPr>
            <w:r w:rsidRPr="00C231A8">
              <w:rPr>
                <w:b/>
                <w:sz w:val="24"/>
                <w:szCs w:val="24"/>
              </w:rPr>
              <w:t xml:space="preserve">Projet de rapport d’évaluation </w:t>
            </w:r>
            <w:r>
              <w:rPr>
                <w:b/>
                <w:sz w:val="24"/>
                <w:szCs w:val="24"/>
              </w:rPr>
              <w:t>y compris esquisse de la phase suivante</w:t>
            </w:r>
          </w:p>
        </w:tc>
        <w:tc>
          <w:tcPr>
            <w:tcW w:w="3376" w:type="dxa"/>
          </w:tcPr>
          <w:p w:rsidR="0020485F" w:rsidRPr="00E747DF" w:rsidRDefault="0020485F" w:rsidP="00DA7DE0">
            <w:pPr>
              <w:spacing w:after="0" w:line="240" w:lineRule="auto"/>
              <w:rPr>
                <w:rFonts w:asciiTheme="minorHAnsi" w:hAnsiTheme="minorHAnsi"/>
                <w:b/>
                <w:sz w:val="24"/>
                <w:szCs w:val="24"/>
              </w:rPr>
            </w:pPr>
            <w:r>
              <w:rPr>
                <w:rFonts w:asciiTheme="minorHAnsi" w:hAnsiTheme="minorHAnsi"/>
                <w:sz w:val="24"/>
                <w:szCs w:val="24"/>
              </w:rPr>
              <w:t>6</w:t>
            </w:r>
            <w:r w:rsidRPr="00E747DF">
              <w:rPr>
                <w:rFonts w:asciiTheme="minorHAnsi" w:hAnsiTheme="minorHAnsi"/>
                <w:sz w:val="24"/>
                <w:szCs w:val="24"/>
              </w:rPr>
              <w:t xml:space="preserve"> jours</w:t>
            </w:r>
          </w:p>
        </w:tc>
        <w:tc>
          <w:tcPr>
            <w:tcW w:w="2999" w:type="dxa"/>
          </w:tcPr>
          <w:p w:rsidR="0020485F" w:rsidRPr="00E747DF" w:rsidRDefault="0020485F" w:rsidP="00DA7DE0">
            <w:pPr>
              <w:spacing w:after="0" w:line="240" w:lineRule="auto"/>
              <w:rPr>
                <w:rFonts w:asciiTheme="minorHAnsi" w:hAnsiTheme="minorHAnsi"/>
                <w:sz w:val="24"/>
                <w:szCs w:val="24"/>
                <w:highlight w:val="lightGray"/>
              </w:rPr>
            </w:pPr>
            <w:r>
              <w:rPr>
                <w:rFonts w:asciiTheme="minorHAnsi" w:hAnsiTheme="minorHAnsi"/>
                <w:sz w:val="24"/>
                <w:szCs w:val="24"/>
              </w:rPr>
              <w:t>24 mai 2015</w:t>
            </w:r>
          </w:p>
        </w:tc>
      </w:tr>
      <w:tr w:rsidR="0020485F" w:rsidRPr="00C231A8" w:rsidTr="00DA7DE0">
        <w:tc>
          <w:tcPr>
            <w:tcW w:w="2913" w:type="dxa"/>
          </w:tcPr>
          <w:p w:rsidR="0020485F" w:rsidRPr="00C231A8" w:rsidRDefault="0020485F" w:rsidP="00DA7DE0">
            <w:pPr>
              <w:spacing w:after="0"/>
              <w:rPr>
                <w:b/>
                <w:sz w:val="24"/>
                <w:szCs w:val="24"/>
              </w:rPr>
            </w:pPr>
            <w:r w:rsidRPr="00C231A8">
              <w:rPr>
                <w:b/>
                <w:sz w:val="24"/>
                <w:szCs w:val="24"/>
              </w:rPr>
              <w:t>Rapport final</w:t>
            </w:r>
          </w:p>
        </w:tc>
        <w:tc>
          <w:tcPr>
            <w:tcW w:w="3376" w:type="dxa"/>
          </w:tcPr>
          <w:p w:rsidR="0020485F" w:rsidRPr="00E747DF" w:rsidRDefault="0020485F" w:rsidP="00DA7DE0">
            <w:pPr>
              <w:spacing w:after="0" w:line="240" w:lineRule="auto"/>
              <w:rPr>
                <w:rFonts w:asciiTheme="minorHAnsi" w:hAnsiTheme="minorHAnsi"/>
                <w:sz w:val="24"/>
                <w:szCs w:val="24"/>
              </w:rPr>
            </w:pPr>
            <w:r w:rsidRPr="00E747DF">
              <w:rPr>
                <w:rFonts w:asciiTheme="minorHAnsi" w:hAnsiTheme="minorHAnsi"/>
                <w:sz w:val="24"/>
                <w:szCs w:val="24"/>
              </w:rPr>
              <w:t>2 Jours</w:t>
            </w:r>
          </w:p>
        </w:tc>
        <w:tc>
          <w:tcPr>
            <w:tcW w:w="2999" w:type="dxa"/>
          </w:tcPr>
          <w:p w:rsidR="0020485F" w:rsidRPr="00E747DF" w:rsidRDefault="0020485F" w:rsidP="00DA7DE0">
            <w:pPr>
              <w:spacing w:after="0" w:line="240" w:lineRule="auto"/>
              <w:rPr>
                <w:rFonts w:asciiTheme="minorHAnsi" w:hAnsiTheme="minorHAnsi"/>
                <w:sz w:val="24"/>
                <w:szCs w:val="24"/>
                <w:highlight w:val="lightGray"/>
              </w:rPr>
            </w:pPr>
            <w:r>
              <w:rPr>
                <w:rFonts w:asciiTheme="minorHAnsi" w:hAnsiTheme="minorHAnsi"/>
                <w:sz w:val="24"/>
                <w:szCs w:val="24"/>
              </w:rPr>
              <w:t>26  mai 2015</w:t>
            </w:r>
          </w:p>
        </w:tc>
      </w:tr>
    </w:tbl>
    <w:p w:rsidR="0020485F" w:rsidRPr="00867B40"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Default="0020485F" w:rsidP="0020485F">
      <w:pPr>
        <w:pStyle w:val="p28"/>
        <w:spacing w:line="240" w:lineRule="auto"/>
        <w:ind w:left="0" w:firstLine="0"/>
        <w:jc w:val="both"/>
        <w:rPr>
          <w:rFonts w:asciiTheme="minorHAnsi" w:hAnsiTheme="minorHAnsi" w:cstheme="minorHAnsi"/>
          <w:b/>
          <w:snapToGrid/>
          <w:szCs w:val="24"/>
          <w:lang w:val="fr-FR" w:eastAsia="fr-FR"/>
        </w:rPr>
      </w:pPr>
    </w:p>
    <w:p w:rsidR="0020485F" w:rsidRPr="006F205A" w:rsidRDefault="0020485F" w:rsidP="0020485F">
      <w:pPr>
        <w:pStyle w:val="p28"/>
        <w:spacing w:line="240" w:lineRule="auto"/>
        <w:ind w:left="0" w:firstLine="0"/>
        <w:jc w:val="both"/>
        <w:rPr>
          <w:rFonts w:asciiTheme="minorHAnsi" w:eastAsiaTheme="minorEastAsia" w:hAnsiTheme="minorHAnsi" w:cstheme="minorHAnsi"/>
          <w:b/>
          <w:snapToGrid/>
          <w:szCs w:val="24"/>
          <w:lang w:eastAsia="fr-FR"/>
        </w:rPr>
      </w:pPr>
      <w:r>
        <w:rPr>
          <w:rFonts w:asciiTheme="minorHAnsi" w:eastAsiaTheme="minorEastAsia" w:hAnsiTheme="minorHAnsi" w:cstheme="minorHAnsi"/>
          <w:b/>
          <w:snapToGrid/>
          <w:szCs w:val="24"/>
          <w:lang w:val="fr-FR" w:eastAsia="fr-FR"/>
        </w:rPr>
        <w:t>12.</w:t>
      </w:r>
      <w:r w:rsidRPr="006F205A">
        <w:rPr>
          <w:rFonts w:asciiTheme="minorHAnsi" w:eastAsiaTheme="minorEastAsia" w:hAnsiTheme="minorHAnsi" w:cstheme="minorHAnsi"/>
          <w:b/>
          <w:snapToGrid/>
          <w:szCs w:val="24"/>
          <w:lang w:eastAsia="fr-FR"/>
        </w:rPr>
        <w:t xml:space="preserve"> Lieu d’affectation</w:t>
      </w:r>
    </w:p>
    <w:p w:rsidR="0020485F" w:rsidRPr="008A33FF" w:rsidRDefault="0020485F" w:rsidP="0020485F">
      <w:pPr>
        <w:pStyle w:val="p28"/>
        <w:spacing w:line="240" w:lineRule="auto"/>
        <w:ind w:left="360" w:hanging="360"/>
        <w:jc w:val="both"/>
        <w:rPr>
          <w:rFonts w:asciiTheme="minorHAnsi" w:eastAsiaTheme="minorEastAsia" w:hAnsiTheme="minorHAnsi" w:cstheme="minorHAnsi"/>
          <w:snapToGrid/>
          <w:szCs w:val="24"/>
          <w:lang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Identifier le lieu d’affectation du consultant pour la durée du contrat, en mentionnant TOUS les lieux où des activités pourraient avoir lieu sur le terrain ou les déplacements nécessaires à l’exécution d’autres s’activités associées, en particulier en cas de déplacements vers des lieux nécessitant une sécurité de Phase I ou au-delà.</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p>
    <w:p w:rsidR="0020485F" w:rsidRDefault="0020485F" w:rsidP="0020485F">
      <w:pPr>
        <w:pStyle w:val="p28"/>
        <w:spacing w:line="240" w:lineRule="auto"/>
        <w:ind w:left="360" w:hanging="360"/>
        <w:jc w:val="both"/>
        <w:rPr>
          <w:rFonts w:asciiTheme="minorHAnsi" w:eastAsiaTheme="minorEastAsia" w:hAnsiTheme="minorHAnsi" w:cstheme="minorHAnsi"/>
          <w:b/>
          <w:snapToGrid/>
          <w:szCs w:val="24"/>
          <w:lang w:val="fr-FR" w:eastAsia="fr-FR"/>
        </w:rPr>
      </w:pPr>
      <w:r>
        <w:rPr>
          <w:rFonts w:asciiTheme="minorHAnsi" w:eastAsiaTheme="minorEastAsia" w:hAnsiTheme="minorHAnsi" w:cstheme="minorHAnsi"/>
          <w:b/>
          <w:snapToGrid/>
          <w:szCs w:val="24"/>
          <w:lang w:val="fr-FR" w:eastAsia="fr-FR"/>
        </w:rPr>
        <w:t>13.</w:t>
      </w:r>
      <w:r w:rsidRPr="00854B3A">
        <w:rPr>
          <w:rFonts w:asciiTheme="minorHAnsi" w:eastAsiaTheme="minorEastAsia" w:hAnsiTheme="minorHAnsi" w:cstheme="minorHAnsi"/>
          <w:b/>
          <w:snapToGrid/>
          <w:szCs w:val="24"/>
          <w:lang w:val="fr-FR" w:eastAsia="fr-FR"/>
        </w:rPr>
        <w:t xml:space="preserve"> Voyage :</w:t>
      </w:r>
    </w:p>
    <w:p w:rsidR="0020485F" w:rsidRPr="006F205A" w:rsidRDefault="0020485F" w:rsidP="0020485F">
      <w:pPr>
        <w:pStyle w:val="p28"/>
        <w:spacing w:line="240" w:lineRule="auto"/>
        <w:ind w:left="360" w:hanging="360"/>
        <w:jc w:val="both"/>
        <w:rPr>
          <w:rFonts w:asciiTheme="minorHAnsi" w:eastAsiaTheme="minorEastAsia" w:hAnsiTheme="minorHAnsi" w:cstheme="minorHAnsi"/>
          <w:b/>
          <w:snapToGrid/>
          <w:szCs w:val="24"/>
          <w:lang w:val="fr-FR" w:eastAsia="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Des voyages internationaux seront requis vers (X pays) pendant la mission pour l’examen mi-parcours;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Une formation à la sécurité de base sur le terrain de niveau II et une formation avancée en matière de sécurité sur le terrain doivent être suivies avec succès avant le voyage ;</w:t>
      </w: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 xml:space="preserve">Les consultants ont la responsabilité de s’assurer de faire les vaccinations nécessaires pour le déplacement dans certains pays, comme l’a prescrit le Directeur médical des Nations Unies. </w:t>
      </w:r>
    </w:p>
    <w:p w:rsidR="0020485F" w:rsidRPr="008A33FF" w:rsidRDefault="0020485F" w:rsidP="0020485F">
      <w:pPr>
        <w:pStyle w:val="Paragraphedeliste"/>
        <w:numPr>
          <w:ilvl w:val="0"/>
          <w:numId w:val="9"/>
        </w:numPr>
        <w:ind w:left="540"/>
        <w:jc w:val="both"/>
        <w:rPr>
          <w:rStyle w:val="Lienhypertexte"/>
          <w:rFonts w:asciiTheme="minorHAnsi" w:hAnsiTheme="minorHAnsi" w:cstheme="minorHAnsi"/>
          <w:sz w:val="24"/>
        </w:rPr>
      </w:pPr>
      <w:r w:rsidRPr="008A33FF">
        <w:rPr>
          <w:rFonts w:asciiTheme="minorHAnsi" w:hAnsiTheme="minorHAnsi" w:cstheme="minorHAnsi"/>
          <w:sz w:val="24"/>
        </w:rPr>
        <w:t xml:space="preserve">Les consultants doivent se conformer aux Directives des Nations Unies relatives à la sécurité énoncées dans </w:t>
      </w:r>
      <w:hyperlink r:id="rId12" w:history="1">
        <w:r w:rsidRPr="008A33FF">
          <w:rPr>
            <w:rStyle w:val="Lienhypertexte"/>
            <w:rFonts w:asciiTheme="minorHAnsi" w:eastAsiaTheme="minorEastAsia" w:hAnsiTheme="minorHAnsi" w:cstheme="minorHAnsi"/>
            <w:sz w:val="24"/>
          </w:rPr>
          <w:t>https://dss.un.org/dssweb/</w:t>
        </w:r>
      </w:hyperlink>
    </w:p>
    <w:p w:rsidR="0020485F" w:rsidRPr="00CB0329" w:rsidRDefault="0020485F" w:rsidP="00CB0329">
      <w:pPr>
        <w:pStyle w:val="p28"/>
        <w:numPr>
          <w:ilvl w:val="0"/>
          <w:numId w:val="9"/>
        </w:numPr>
        <w:tabs>
          <w:tab w:val="clear" w:pos="680"/>
          <w:tab w:val="left" w:pos="0"/>
          <w:tab w:val="left" w:pos="540"/>
        </w:tabs>
        <w:spacing w:line="240" w:lineRule="auto"/>
        <w:ind w:left="540"/>
        <w:jc w:val="both"/>
        <w:rPr>
          <w:rFonts w:asciiTheme="minorHAnsi" w:hAnsiTheme="minorHAnsi" w:cstheme="minorHAnsi"/>
          <w:b/>
          <w:color w:val="336699"/>
          <w:szCs w:val="24"/>
          <w:lang w:val="fr-FR"/>
        </w:rPr>
      </w:pPr>
      <w:r w:rsidRPr="008A33FF">
        <w:rPr>
          <w:rFonts w:asciiTheme="minorHAnsi" w:hAnsiTheme="minorHAnsi" w:cstheme="minorHAnsi"/>
          <w:szCs w:val="24"/>
          <w:lang w:val="fr-FR"/>
        </w:rPr>
        <w:t>Tous les frais de déplacement associés seront couverts et remboursés, conformément au règlement du PNUD, sur présentation du formulaire  F-10 et des documents justificatifs.</w:t>
      </w:r>
    </w:p>
    <w:p w:rsidR="0020485F" w:rsidRDefault="0020485F" w:rsidP="0020485F">
      <w:pPr>
        <w:pStyle w:val="p28"/>
        <w:tabs>
          <w:tab w:val="left" w:pos="0"/>
        </w:tabs>
        <w:spacing w:line="240" w:lineRule="auto"/>
        <w:ind w:left="0" w:firstLine="0"/>
        <w:jc w:val="both"/>
        <w:rPr>
          <w:rFonts w:asciiTheme="minorHAnsi" w:hAnsiTheme="minorHAnsi" w:cstheme="minorHAnsi"/>
          <w:b/>
          <w:szCs w:val="24"/>
          <w:u w:val="single"/>
          <w:lang w:val="fr-FR"/>
        </w:rPr>
      </w:pPr>
    </w:p>
    <w:p w:rsidR="0020485F" w:rsidRPr="00CB0329" w:rsidRDefault="0020485F" w:rsidP="00CB0329">
      <w:pPr>
        <w:pStyle w:val="p28"/>
        <w:tabs>
          <w:tab w:val="left" w:pos="0"/>
        </w:tabs>
        <w:spacing w:line="240" w:lineRule="auto"/>
        <w:ind w:left="0" w:firstLine="0"/>
        <w:jc w:val="both"/>
        <w:rPr>
          <w:rFonts w:asciiTheme="minorHAnsi" w:hAnsiTheme="minorHAnsi" w:cstheme="minorHAnsi"/>
          <w:b/>
          <w:szCs w:val="24"/>
          <w:u w:val="single"/>
          <w:lang w:val="fr-FR"/>
        </w:rPr>
      </w:pPr>
      <w:r>
        <w:rPr>
          <w:rFonts w:asciiTheme="minorHAnsi" w:hAnsiTheme="minorHAnsi" w:cstheme="minorHAnsi"/>
          <w:b/>
          <w:szCs w:val="24"/>
          <w:u w:val="single"/>
          <w:lang w:val="fr-FR"/>
        </w:rPr>
        <w:t>14.</w:t>
      </w:r>
      <w:r w:rsidRPr="008A33FF">
        <w:rPr>
          <w:rFonts w:asciiTheme="minorHAnsi" w:hAnsiTheme="minorHAnsi" w:cstheme="minorHAnsi"/>
          <w:b/>
          <w:szCs w:val="24"/>
          <w:u w:val="single"/>
          <w:lang w:val="fr-FR"/>
        </w:rPr>
        <w:t xml:space="preserve"> COMPÉTENCES ET EXPÉRIENCE EXIGÉES</w:t>
      </w:r>
    </w:p>
    <w:p w:rsidR="0020485F" w:rsidRPr="00CB0329" w:rsidRDefault="0020485F" w:rsidP="00CB0329">
      <w:pPr>
        <w:jc w:val="both"/>
        <w:rPr>
          <w:rFonts w:asciiTheme="minorHAnsi" w:hAnsiTheme="minorHAnsi" w:cstheme="minorHAnsi"/>
          <w:b/>
          <w:bCs/>
          <w:sz w:val="24"/>
          <w:szCs w:val="24"/>
        </w:rPr>
      </w:pPr>
      <w:r>
        <w:rPr>
          <w:rFonts w:asciiTheme="minorHAnsi" w:hAnsiTheme="minorHAnsi" w:cstheme="minorHAnsi"/>
          <w:b/>
          <w:bCs/>
          <w:sz w:val="24"/>
          <w:szCs w:val="24"/>
        </w:rPr>
        <w:t>a.</w:t>
      </w:r>
      <w:r w:rsidRPr="008A33FF">
        <w:rPr>
          <w:rFonts w:asciiTheme="minorHAnsi" w:hAnsiTheme="minorHAnsi" w:cstheme="minorHAnsi"/>
          <w:b/>
          <w:bCs/>
          <w:sz w:val="24"/>
          <w:szCs w:val="24"/>
        </w:rPr>
        <w:t xml:space="preserve"> Qualifications des candidats retenus  </w:t>
      </w:r>
    </w:p>
    <w:p w:rsidR="0020485F" w:rsidRPr="008C3B52" w:rsidRDefault="0020485F" w:rsidP="0020485F">
      <w:pPr>
        <w:numPr>
          <w:ilvl w:val="0"/>
          <w:numId w:val="11"/>
        </w:numPr>
        <w:spacing w:after="0" w:line="240" w:lineRule="auto"/>
      </w:pPr>
      <w:r w:rsidRPr="00854B3A">
        <w:rPr>
          <w:rFonts w:asciiTheme="minorHAnsi" w:eastAsiaTheme="minorEastAsia" w:hAnsiTheme="minorHAnsi" w:cstheme="minorHAnsi"/>
          <w:szCs w:val="24"/>
        </w:rPr>
        <w:t xml:space="preserve">Les consultants seront sélectionnés de manière à ce que l’équipe dispose des compétences maximales dans les domaines suivants : </w:t>
      </w:r>
    </w:p>
    <w:p w:rsidR="0020485F" w:rsidRDefault="0020485F" w:rsidP="0020485F">
      <w:pPr>
        <w:numPr>
          <w:ilvl w:val="0"/>
          <w:numId w:val="11"/>
        </w:numPr>
        <w:spacing w:after="0" w:line="240" w:lineRule="auto"/>
      </w:pPr>
      <w:r>
        <w:t xml:space="preserve">Avoir une bonne connaissance de la problématique d’accès des zones rurales en services énergétiques ; </w:t>
      </w:r>
    </w:p>
    <w:p w:rsidR="0020485F" w:rsidRDefault="0020485F" w:rsidP="0020485F">
      <w:pPr>
        <w:numPr>
          <w:ilvl w:val="0"/>
          <w:numId w:val="11"/>
        </w:numPr>
        <w:spacing w:after="0" w:line="240" w:lineRule="auto"/>
      </w:pPr>
      <w:r>
        <w:t>Avoir une bonne connaissance des programmes/projets à énergies propres ;</w:t>
      </w:r>
    </w:p>
    <w:p w:rsidR="0020485F" w:rsidRDefault="0020485F" w:rsidP="0020485F">
      <w:pPr>
        <w:numPr>
          <w:ilvl w:val="0"/>
          <w:numId w:val="11"/>
        </w:numPr>
        <w:spacing w:after="0" w:line="240" w:lineRule="auto"/>
      </w:pPr>
      <w:r>
        <w:t>Avoir fait une étude similaire dans d’autres pays ;</w:t>
      </w:r>
    </w:p>
    <w:p w:rsidR="0020485F" w:rsidRDefault="0020485F" w:rsidP="0020485F">
      <w:pPr>
        <w:numPr>
          <w:ilvl w:val="0"/>
          <w:numId w:val="11"/>
        </w:numPr>
        <w:spacing w:after="0" w:line="240" w:lineRule="auto"/>
      </w:pPr>
      <w:r>
        <w:t>Avoir un diplôme d’au moins d’ingénieur ou équivalent dans les domaines énergétique et/ou changement climatiques ;</w:t>
      </w:r>
    </w:p>
    <w:p w:rsidR="0020485F" w:rsidRDefault="0020485F" w:rsidP="0020485F">
      <w:pPr>
        <w:numPr>
          <w:ilvl w:val="0"/>
          <w:numId w:val="11"/>
        </w:numPr>
        <w:spacing w:after="0" w:line="240" w:lineRule="auto"/>
      </w:pPr>
      <w:r>
        <w:t>Avoir une excellente maîtrise du français parlé, écrit et la connaissance de l’anglais est un atout ;</w:t>
      </w:r>
    </w:p>
    <w:p w:rsidR="0020485F" w:rsidRDefault="0020485F" w:rsidP="0020485F">
      <w:pPr>
        <w:numPr>
          <w:ilvl w:val="0"/>
          <w:numId w:val="11"/>
        </w:numPr>
        <w:spacing w:after="0" w:line="240" w:lineRule="auto"/>
      </w:pPr>
      <w:r>
        <w:t>Être apte à produire des rapports notamment publications, plaidoyers, programmes, projets, capitalisations, etc.</w:t>
      </w:r>
    </w:p>
    <w:p w:rsidR="0020485F" w:rsidRPr="00854B3A" w:rsidRDefault="0020485F" w:rsidP="0083035C">
      <w:pPr>
        <w:pStyle w:val="p28"/>
        <w:numPr>
          <w:ilvl w:val="0"/>
          <w:numId w:val="14"/>
        </w:numPr>
        <w:spacing w:line="240" w:lineRule="auto"/>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Expérience dans l’application d’indicateurs SMART et dans le remaniement ou la validation des scénarios de départ ;</w:t>
      </w:r>
    </w:p>
    <w:p w:rsidR="0020485F" w:rsidRPr="00854B3A" w:rsidRDefault="0020485F" w:rsidP="0083035C">
      <w:pPr>
        <w:pStyle w:val="p28"/>
        <w:numPr>
          <w:ilvl w:val="0"/>
          <w:numId w:val="14"/>
        </w:numPr>
        <w:spacing w:line="240" w:lineRule="auto"/>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Expérience dans la collaboration avec le GEF ou les évaluations du GEF ;</w:t>
      </w:r>
    </w:p>
    <w:p w:rsidR="0020485F" w:rsidRPr="00854B3A" w:rsidRDefault="0020485F" w:rsidP="0083035C">
      <w:pPr>
        <w:pStyle w:val="p28"/>
        <w:numPr>
          <w:ilvl w:val="0"/>
          <w:numId w:val="14"/>
        </w:numPr>
        <w:spacing w:line="240" w:lineRule="auto"/>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Expérience professionnelle dans (région du projet);</w:t>
      </w:r>
    </w:p>
    <w:p w:rsidR="0020485F" w:rsidRPr="00854B3A" w:rsidRDefault="0020485F" w:rsidP="0083035C">
      <w:pPr>
        <w:pStyle w:val="p28"/>
        <w:numPr>
          <w:ilvl w:val="0"/>
          <w:numId w:val="14"/>
        </w:numPr>
        <w:spacing w:line="240" w:lineRule="auto"/>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Expérience professionnelle d’au moins 10 ans dans des secteurs techniques pertinents ;</w:t>
      </w:r>
    </w:p>
    <w:p w:rsidR="0020485F" w:rsidRPr="00854B3A" w:rsidRDefault="0020485F" w:rsidP="0020485F">
      <w:pPr>
        <w:pStyle w:val="p28"/>
        <w:spacing w:line="240" w:lineRule="auto"/>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Compréhension avérée des questions liées au genre et expérience dans l’évaluation et l’analyse tenant compte du genre.</w:t>
      </w:r>
    </w:p>
    <w:p w:rsidR="0020485F" w:rsidRPr="008A33FF" w:rsidRDefault="0020485F" w:rsidP="0020485F">
      <w:pPr>
        <w:pStyle w:val="Paragraphedeliste"/>
        <w:numPr>
          <w:ilvl w:val="0"/>
          <w:numId w:val="5"/>
        </w:numPr>
        <w:contextualSpacing w:val="0"/>
        <w:jc w:val="both"/>
        <w:rPr>
          <w:rFonts w:asciiTheme="minorHAnsi" w:hAnsiTheme="minorHAnsi" w:cstheme="minorHAnsi"/>
          <w:sz w:val="24"/>
        </w:rPr>
      </w:pPr>
      <w:r w:rsidRPr="008A33FF">
        <w:rPr>
          <w:rFonts w:asciiTheme="minorHAnsi" w:hAnsiTheme="minorHAnsi" w:cstheme="minorHAnsi"/>
          <w:sz w:val="24"/>
        </w:rPr>
        <w:t>Excellente aptitude à la communication ;</w:t>
      </w:r>
    </w:p>
    <w:p w:rsidR="0020485F" w:rsidRPr="008A33FF" w:rsidRDefault="0020485F" w:rsidP="0020485F">
      <w:pPr>
        <w:pStyle w:val="Paragraphedeliste"/>
        <w:numPr>
          <w:ilvl w:val="0"/>
          <w:numId w:val="5"/>
        </w:numPr>
        <w:contextualSpacing w:val="0"/>
        <w:jc w:val="both"/>
        <w:rPr>
          <w:rFonts w:asciiTheme="minorHAnsi" w:hAnsiTheme="minorHAnsi" w:cstheme="minorHAnsi"/>
          <w:sz w:val="24"/>
        </w:rPr>
      </w:pPr>
      <w:r w:rsidRPr="008A33FF">
        <w:rPr>
          <w:rFonts w:asciiTheme="minorHAnsi" w:hAnsiTheme="minorHAnsi" w:cstheme="minorHAnsi"/>
          <w:sz w:val="24"/>
        </w:rPr>
        <w:t>Compétences avérées en matière d’analyse ;</w:t>
      </w:r>
    </w:p>
    <w:p w:rsidR="0020485F" w:rsidRPr="008A33FF" w:rsidRDefault="0020485F" w:rsidP="0020485F">
      <w:pPr>
        <w:pStyle w:val="Paragraphedeliste"/>
        <w:numPr>
          <w:ilvl w:val="0"/>
          <w:numId w:val="5"/>
        </w:numPr>
        <w:contextualSpacing w:val="0"/>
        <w:jc w:val="both"/>
        <w:rPr>
          <w:rFonts w:asciiTheme="minorHAnsi" w:hAnsiTheme="minorHAnsi" w:cstheme="minorHAnsi"/>
          <w:sz w:val="24"/>
        </w:rPr>
      </w:pPr>
      <w:r w:rsidRPr="008A33FF">
        <w:rPr>
          <w:rFonts w:asciiTheme="minorHAnsi" w:hAnsiTheme="minorHAnsi" w:cstheme="minorHAnsi"/>
          <w:sz w:val="24"/>
        </w:rPr>
        <w:t>Expérience dans l’évaluation/la révision de projet dans le système des Nations Unies sera un atout ;</w:t>
      </w:r>
    </w:p>
    <w:p w:rsidR="0020485F" w:rsidRPr="008A33FF" w:rsidRDefault="0020485F" w:rsidP="0020485F">
      <w:pPr>
        <w:pStyle w:val="p28"/>
        <w:tabs>
          <w:tab w:val="clear" w:pos="680"/>
          <w:tab w:val="clear" w:pos="1060"/>
        </w:tabs>
        <w:spacing w:line="240" w:lineRule="auto"/>
        <w:ind w:left="0" w:firstLine="0"/>
        <w:jc w:val="both"/>
        <w:rPr>
          <w:rFonts w:asciiTheme="minorHAnsi" w:hAnsiTheme="minorHAnsi" w:cstheme="minorHAnsi"/>
          <w:b/>
          <w:bCs/>
          <w:i/>
          <w:szCs w:val="24"/>
          <w:lang w:val="fr-FR"/>
        </w:rPr>
      </w:pPr>
      <w:r>
        <w:rPr>
          <w:rFonts w:asciiTheme="minorHAnsi" w:hAnsiTheme="minorHAnsi" w:cstheme="minorHAnsi"/>
          <w:snapToGrid/>
          <w:szCs w:val="24"/>
          <w:lang w:val="fr-FR" w:eastAsia="fr-FR"/>
        </w:rPr>
        <w:lastRenderedPageBreak/>
        <w:t xml:space="preserve">b. </w:t>
      </w:r>
      <w:r w:rsidRPr="008A33FF">
        <w:rPr>
          <w:rFonts w:asciiTheme="minorHAnsi" w:hAnsiTheme="minorHAnsi" w:cstheme="minorHAnsi"/>
          <w:b/>
          <w:bCs/>
          <w:i/>
          <w:szCs w:val="24"/>
          <w:lang w:val="fr-FR"/>
        </w:rPr>
        <w:t>Indépendance des consultants :</w:t>
      </w:r>
    </w:p>
    <w:p w:rsidR="0020485F" w:rsidRPr="008A33FF" w:rsidRDefault="0020485F" w:rsidP="0020485F">
      <w:pPr>
        <w:ind w:left="270"/>
        <w:jc w:val="both"/>
        <w:rPr>
          <w:rFonts w:asciiTheme="minorHAnsi" w:hAnsiTheme="minorHAnsi" w:cstheme="minorHAnsi"/>
          <w:sz w:val="24"/>
          <w:szCs w:val="24"/>
        </w:rPr>
      </w:pPr>
      <w:r w:rsidRPr="008A33FF">
        <w:rPr>
          <w:rFonts w:asciiTheme="minorHAnsi" w:hAnsiTheme="minorHAnsi" w:cstheme="minorHAnsi"/>
          <w:sz w:val="24"/>
          <w:szCs w:val="24"/>
        </w:rPr>
        <w:t xml:space="preserve">Les consultants ne peuvent pas avoir participé à la préparation, la formulation, et/ou la mise en œuvre du projet (y compris la rédaction du Document de projet) et ne devront pas avoir de conflit d’intérêts en relation avec les activités liées au projet. </w:t>
      </w:r>
    </w:p>
    <w:p w:rsidR="0020485F" w:rsidRPr="00660A39" w:rsidRDefault="0020485F" w:rsidP="0020485F">
      <w:pPr>
        <w:jc w:val="both"/>
        <w:rPr>
          <w:rFonts w:asciiTheme="minorHAnsi" w:hAnsiTheme="minorHAnsi" w:cstheme="minorHAnsi"/>
          <w:sz w:val="24"/>
        </w:rPr>
      </w:pPr>
    </w:p>
    <w:p w:rsidR="0020485F" w:rsidRPr="008A33FF" w:rsidRDefault="0020485F" w:rsidP="0020485F">
      <w:pPr>
        <w:pStyle w:val="p28"/>
        <w:tabs>
          <w:tab w:val="clear" w:pos="680"/>
          <w:tab w:val="clear" w:pos="1060"/>
        </w:tabs>
        <w:spacing w:line="240" w:lineRule="auto"/>
        <w:ind w:left="450" w:hanging="425"/>
        <w:jc w:val="both"/>
        <w:rPr>
          <w:rFonts w:asciiTheme="minorHAnsi" w:hAnsiTheme="minorHAnsi" w:cstheme="minorHAnsi"/>
          <w:b/>
          <w:bCs/>
          <w:szCs w:val="24"/>
          <w:u w:val="single"/>
          <w:lang w:val="fr-FR"/>
        </w:rPr>
      </w:pPr>
      <w:r>
        <w:rPr>
          <w:rFonts w:asciiTheme="minorHAnsi" w:hAnsiTheme="minorHAnsi" w:cstheme="minorHAnsi"/>
          <w:b/>
          <w:bCs/>
          <w:szCs w:val="24"/>
          <w:u w:val="single"/>
          <w:lang w:val="fr-FR"/>
        </w:rPr>
        <w:t>15.</w:t>
      </w:r>
      <w:r w:rsidRPr="008A33FF">
        <w:rPr>
          <w:rFonts w:asciiTheme="minorHAnsi" w:hAnsiTheme="minorHAnsi" w:cstheme="minorHAnsi"/>
          <w:b/>
          <w:bCs/>
          <w:szCs w:val="24"/>
          <w:u w:val="single"/>
          <w:lang w:val="fr-FR"/>
        </w:rPr>
        <w:t xml:space="preserve"> PROCESSUS DE PRÉSENTATION DES CANDIDATURES</w:t>
      </w:r>
    </w:p>
    <w:p w:rsidR="0020485F" w:rsidRPr="006F205A" w:rsidRDefault="0020485F" w:rsidP="0020485F">
      <w:pPr>
        <w:pStyle w:val="p28"/>
        <w:tabs>
          <w:tab w:val="clear" w:pos="680"/>
          <w:tab w:val="clear" w:pos="1060"/>
          <w:tab w:val="left" w:pos="7470"/>
        </w:tabs>
        <w:spacing w:line="240" w:lineRule="auto"/>
        <w:ind w:left="450" w:hanging="425"/>
        <w:jc w:val="both"/>
        <w:rPr>
          <w:rFonts w:asciiTheme="minorHAnsi" w:hAnsiTheme="minorHAnsi" w:cstheme="minorHAnsi"/>
          <w:b/>
          <w:bCs/>
          <w:szCs w:val="24"/>
          <w:lang w:val="fr-FR"/>
        </w:rPr>
      </w:pPr>
      <w:r w:rsidRPr="006F205A">
        <w:rPr>
          <w:rFonts w:asciiTheme="minorHAnsi" w:hAnsiTheme="minorHAnsi" w:cstheme="minorHAnsi"/>
          <w:b/>
          <w:bCs/>
          <w:szCs w:val="24"/>
          <w:lang w:val="fr-FR"/>
        </w:rPr>
        <w:tab/>
      </w:r>
      <w:r w:rsidRPr="006F205A">
        <w:rPr>
          <w:rFonts w:asciiTheme="minorHAnsi" w:hAnsiTheme="minorHAnsi" w:cstheme="minorHAnsi"/>
          <w:b/>
          <w:bCs/>
          <w:szCs w:val="24"/>
          <w:lang w:val="fr-FR"/>
        </w:rPr>
        <w:tab/>
      </w:r>
    </w:p>
    <w:p w:rsidR="0020485F" w:rsidRPr="008A33FF" w:rsidRDefault="0020485F" w:rsidP="0020485F">
      <w:pPr>
        <w:pStyle w:val="p28"/>
        <w:tabs>
          <w:tab w:val="clear" w:pos="680"/>
          <w:tab w:val="clear" w:pos="1060"/>
          <w:tab w:val="left" w:pos="7470"/>
        </w:tabs>
        <w:spacing w:line="240" w:lineRule="auto"/>
        <w:ind w:left="450" w:hanging="425"/>
        <w:jc w:val="both"/>
        <w:rPr>
          <w:rFonts w:asciiTheme="minorHAnsi" w:hAnsiTheme="minorHAnsi" w:cstheme="minorHAnsi"/>
          <w:b/>
          <w:bCs/>
          <w:szCs w:val="24"/>
          <w:lang w:val="fr-FR"/>
        </w:rPr>
      </w:pPr>
      <w:r>
        <w:rPr>
          <w:rFonts w:asciiTheme="minorHAnsi" w:hAnsiTheme="minorHAnsi" w:cstheme="minorHAnsi"/>
          <w:b/>
          <w:bCs/>
          <w:szCs w:val="24"/>
          <w:lang w:val="fr-FR"/>
        </w:rPr>
        <w:t>a.</w:t>
      </w:r>
      <w:r w:rsidRPr="008A33FF">
        <w:rPr>
          <w:rFonts w:asciiTheme="minorHAnsi" w:hAnsiTheme="minorHAnsi" w:cstheme="minorHAnsi"/>
          <w:b/>
          <w:bCs/>
          <w:szCs w:val="24"/>
          <w:lang w:val="fr-FR"/>
        </w:rPr>
        <w:t xml:space="preserve">  Proposition financière et modalités de paiement</w:t>
      </w:r>
    </w:p>
    <w:p w:rsidR="0020485F" w:rsidRPr="008A33FF" w:rsidRDefault="0020485F" w:rsidP="0020485F">
      <w:pPr>
        <w:jc w:val="both"/>
        <w:rPr>
          <w:rFonts w:asciiTheme="minorHAnsi" w:hAnsiTheme="minorHAnsi" w:cstheme="minorHAnsi"/>
          <w:i/>
          <w:sz w:val="24"/>
          <w:szCs w:val="24"/>
        </w:rPr>
      </w:pPr>
      <w:r w:rsidRPr="008A33FF">
        <w:rPr>
          <w:rFonts w:asciiTheme="minorHAnsi" w:hAnsiTheme="minorHAnsi" w:cstheme="minorHAnsi"/>
          <w:b/>
          <w:bCs/>
          <w:i/>
          <w:sz w:val="24"/>
          <w:szCs w:val="24"/>
          <w:shd w:val="clear" w:color="auto" w:fill="FFFFFF"/>
        </w:rPr>
        <w:t>Proposition financière :</w:t>
      </w:r>
    </w:p>
    <w:p w:rsidR="0020485F" w:rsidRPr="008A33FF" w:rsidRDefault="0020485F" w:rsidP="0020485F">
      <w:pPr>
        <w:numPr>
          <w:ilvl w:val="0"/>
          <w:numId w:val="8"/>
        </w:numPr>
        <w:shd w:val="clear" w:color="auto" w:fill="FFFFFF"/>
        <w:tabs>
          <w:tab w:val="clear" w:pos="720"/>
          <w:tab w:val="num" w:pos="630"/>
        </w:tabs>
        <w:spacing w:after="0" w:line="240" w:lineRule="auto"/>
        <w:ind w:left="630"/>
        <w:jc w:val="both"/>
        <w:rPr>
          <w:rFonts w:asciiTheme="minorHAnsi" w:hAnsiTheme="minorHAnsi" w:cstheme="minorHAnsi"/>
          <w:sz w:val="24"/>
          <w:szCs w:val="24"/>
        </w:rPr>
      </w:pPr>
      <w:r w:rsidRPr="008A33FF">
        <w:rPr>
          <w:rFonts w:asciiTheme="minorHAnsi" w:hAnsiTheme="minorHAnsi" w:cstheme="minorHAnsi"/>
          <w:sz w:val="24"/>
          <w:szCs w:val="24"/>
        </w:rPr>
        <w:t>Les propositions financières doivent être « tout compris » et indiquer une somme forfaitaire pour la durée totale du contrat. L'expression « tout compris » signifie l'inclusion de tous les frais (honoraires, frais de déplacement, indemnité de subsistance, etc.);</w:t>
      </w:r>
    </w:p>
    <w:p w:rsidR="0020485F" w:rsidRPr="008A33FF" w:rsidRDefault="0020485F" w:rsidP="0020485F">
      <w:pPr>
        <w:pStyle w:val="Paragraphedeliste"/>
        <w:numPr>
          <w:ilvl w:val="0"/>
          <w:numId w:val="8"/>
        </w:numPr>
        <w:tabs>
          <w:tab w:val="clear" w:pos="720"/>
          <w:tab w:val="num" w:pos="630"/>
          <w:tab w:val="left" w:pos="1440"/>
          <w:tab w:val="left" w:pos="9000"/>
        </w:tabs>
        <w:ind w:left="630"/>
        <w:jc w:val="both"/>
        <w:rPr>
          <w:rFonts w:asciiTheme="minorHAnsi" w:hAnsiTheme="minorHAnsi" w:cstheme="minorHAnsi"/>
          <w:sz w:val="24"/>
        </w:rPr>
      </w:pPr>
      <w:r w:rsidRPr="008A33FF">
        <w:rPr>
          <w:rFonts w:asciiTheme="minorHAnsi" w:hAnsiTheme="minorHAnsi" w:cstheme="minorHAnsi"/>
          <w:sz w:val="24"/>
        </w:rPr>
        <w:t>Pour les frais de déplacement, le taux des indemnités journalières de subsistance des Nations Unies est (</w:t>
      </w:r>
      <w:r w:rsidRPr="008A33FF">
        <w:rPr>
          <w:rFonts w:asciiTheme="minorHAnsi" w:hAnsiTheme="minorHAnsi" w:cstheme="minorHAnsi"/>
          <w:i/>
          <w:sz w:val="24"/>
        </w:rPr>
        <w:t>indiquer toutes les destinations de déplacement),</w:t>
      </w:r>
      <w:r w:rsidRPr="008A33FF">
        <w:rPr>
          <w:rFonts w:asciiTheme="minorHAnsi" w:hAnsiTheme="minorHAnsi" w:cstheme="minorHAnsi"/>
          <w:sz w:val="24"/>
        </w:rPr>
        <w:t xml:space="preserve"> et donne une indication du coût de la vie dans les lieux d'affectation/de destination </w:t>
      </w:r>
      <w:r w:rsidRPr="008A33FF">
        <w:rPr>
          <w:rFonts w:asciiTheme="minorHAnsi" w:hAnsiTheme="minorHAnsi" w:cstheme="minorHAnsi"/>
          <w:i/>
          <w:sz w:val="24"/>
        </w:rPr>
        <w:t>(Remarque : les personnes bénéficiant de ce contrat ne sont pas considérés comme des fonctionnaires des Nations Unies et à ce titre, ils n'ont pas droit aux indemnités journalières de subsistance. Toutes les indemnités de subsistance nécessaires à l'exécution des obligations découlant du mandat doivent être incorporées dans la proposition financière, sous forme d'indemnités journalières ou de somme forfaitaire.)</w:t>
      </w:r>
    </w:p>
    <w:p w:rsidR="0020485F" w:rsidRPr="008A33FF" w:rsidRDefault="0020485F" w:rsidP="0020485F">
      <w:pPr>
        <w:pStyle w:val="Paragraphedeliste"/>
        <w:numPr>
          <w:ilvl w:val="0"/>
          <w:numId w:val="8"/>
        </w:numPr>
        <w:tabs>
          <w:tab w:val="clear" w:pos="720"/>
          <w:tab w:val="num" w:pos="630"/>
          <w:tab w:val="left" w:pos="1440"/>
          <w:tab w:val="left" w:pos="9000"/>
        </w:tabs>
        <w:ind w:left="630"/>
        <w:jc w:val="both"/>
        <w:rPr>
          <w:rFonts w:asciiTheme="minorHAnsi" w:eastAsiaTheme="minorEastAsia" w:hAnsiTheme="minorHAnsi" w:cstheme="minorHAnsi"/>
          <w:kern w:val="28"/>
          <w:sz w:val="24"/>
        </w:rPr>
      </w:pPr>
      <w:r w:rsidRPr="008A33FF">
        <w:rPr>
          <w:rFonts w:asciiTheme="minorHAnsi" w:hAnsiTheme="minorHAnsi" w:cstheme="minorHAnsi"/>
          <w:sz w:val="24"/>
        </w:rPr>
        <w:t xml:space="preserve">La somme forfaitaire est fixée indépendamment des changements pouvant intervenir dans les frais encourus. </w:t>
      </w:r>
    </w:p>
    <w:p w:rsidR="0020485F" w:rsidRPr="008A33FF" w:rsidRDefault="0020485F" w:rsidP="0020485F">
      <w:pPr>
        <w:pStyle w:val="p28"/>
        <w:tabs>
          <w:tab w:val="clear" w:pos="680"/>
          <w:tab w:val="clear" w:pos="1060"/>
        </w:tabs>
        <w:spacing w:line="240" w:lineRule="auto"/>
        <w:ind w:left="0" w:firstLine="0"/>
        <w:jc w:val="both"/>
        <w:rPr>
          <w:rFonts w:asciiTheme="minorHAnsi" w:hAnsiTheme="minorHAnsi" w:cstheme="minorHAnsi"/>
          <w:b/>
          <w:bCs/>
          <w:szCs w:val="24"/>
          <w:lang w:val="fr-FR"/>
        </w:rPr>
      </w:pPr>
    </w:p>
    <w:p w:rsidR="0020485F" w:rsidRPr="008A33FF" w:rsidRDefault="0020485F" w:rsidP="0020485F">
      <w:pPr>
        <w:pStyle w:val="p28"/>
        <w:spacing w:line="240" w:lineRule="auto"/>
        <w:ind w:left="360" w:hanging="360"/>
        <w:jc w:val="both"/>
        <w:rPr>
          <w:rFonts w:asciiTheme="minorHAnsi" w:hAnsiTheme="minorHAnsi" w:cstheme="minorHAnsi"/>
          <w:bCs/>
          <w:szCs w:val="24"/>
          <w:lang w:val="fr-FR"/>
        </w:rPr>
      </w:pPr>
      <w:r>
        <w:rPr>
          <w:rFonts w:asciiTheme="minorHAnsi" w:hAnsiTheme="minorHAnsi" w:cstheme="minorHAnsi"/>
          <w:b/>
          <w:bCs/>
          <w:i/>
          <w:szCs w:val="24"/>
          <w:lang w:val="fr-FR"/>
        </w:rPr>
        <w:t xml:space="preserve">b. </w:t>
      </w:r>
      <w:r w:rsidRPr="008A33FF">
        <w:rPr>
          <w:rFonts w:asciiTheme="minorHAnsi" w:hAnsiTheme="minorHAnsi" w:cstheme="minorHAnsi"/>
          <w:b/>
          <w:bCs/>
          <w:i/>
          <w:szCs w:val="24"/>
          <w:lang w:val="fr-FR"/>
        </w:rPr>
        <w:t>Modalités de paiement :</w:t>
      </w:r>
    </w:p>
    <w:p w:rsidR="0020485F" w:rsidRPr="008A33FF" w:rsidRDefault="0020485F" w:rsidP="0020485F">
      <w:pPr>
        <w:pStyle w:val="p28"/>
        <w:spacing w:line="240" w:lineRule="auto"/>
        <w:ind w:left="360" w:hanging="360"/>
        <w:jc w:val="both"/>
        <w:rPr>
          <w:rFonts w:asciiTheme="minorHAnsi" w:hAnsiTheme="minorHAnsi" w:cstheme="minorHAnsi"/>
          <w:bCs/>
          <w:szCs w:val="24"/>
          <w:lang w:val="fr-FR"/>
        </w:rPr>
      </w:pPr>
      <w:r w:rsidRPr="008A33FF">
        <w:rPr>
          <w:rFonts w:asciiTheme="minorHAnsi" w:hAnsiTheme="minorHAnsi" w:cstheme="minorHAnsi"/>
          <w:bCs/>
          <w:szCs w:val="24"/>
          <w:lang w:val="fr-FR"/>
        </w:rPr>
        <w:t>Versement de 10% du paiement après approbation du rapport d’initiation</w:t>
      </w:r>
      <w:r>
        <w:rPr>
          <w:rFonts w:asciiTheme="minorHAnsi" w:hAnsiTheme="minorHAnsi" w:cstheme="minorHAnsi"/>
          <w:bCs/>
          <w:szCs w:val="24"/>
          <w:lang w:val="fr-FR"/>
        </w:rPr>
        <w:t xml:space="preserve"> </w:t>
      </w:r>
      <w:r w:rsidRPr="008A33FF">
        <w:rPr>
          <w:rFonts w:asciiTheme="minorHAnsi" w:hAnsiTheme="minorHAnsi" w:cstheme="minorHAnsi"/>
          <w:bCs/>
          <w:szCs w:val="24"/>
          <w:lang w:val="fr-FR"/>
        </w:rPr>
        <w:t xml:space="preserve">définitif d’examen à mi-parcours </w:t>
      </w:r>
    </w:p>
    <w:p w:rsidR="0020485F" w:rsidRPr="008A33FF" w:rsidRDefault="0020485F" w:rsidP="0020485F">
      <w:pPr>
        <w:pStyle w:val="p28"/>
        <w:spacing w:line="240" w:lineRule="auto"/>
        <w:ind w:left="360" w:hanging="360"/>
        <w:jc w:val="both"/>
        <w:rPr>
          <w:rFonts w:asciiTheme="minorHAnsi" w:hAnsiTheme="minorHAnsi" w:cstheme="minorHAnsi"/>
          <w:bCs/>
          <w:szCs w:val="24"/>
          <w:lang w:val="fr-FR"/>
        </w:rPr>
      </w:pPr>
      <w:r w:rsidRPr="008A33FF">
        <w:rPr>
          <w:rFonts w:asciiTheme="minorHAnsi" w:hAnsiTheme="minorHAnsi" w:cstheme="minorHAnsi"/>
          <w:bCs/>
          <w:szCs w:val="24"/>
          <w:lang w:val="fr-FR"/>
        </w:rPr>
        <w:t>30% après la présentation du projet de rapport d’examen à mi-parcours</w:t>
      </w:r>
    </w:p>
    <w:p w:rsidR="0020485F" w:rsidRPr="008A33FF" w:rsidRDefault="0020485F" w:rsidP="0020485F">
      <w:pPr>
        <w:pStyle w:val="p28"/>
        <w:spacing w:line="240" w:lineRule="auto"/>
        <w:ind w:left="360" w:hanging="360"/>
        <w:jc w:val="both"/>
        <w:rPr>
          <w:rFonts w:asciiTheme="minorHAnsi" w:hAnsiTheme="minorHAnsi" w:cstheme="minorHAnsi"/>
          <w:bCs/>
          <w:szCs w:val="24"/>
          <w:lang w:val="fr-FR"/>
        </w:rPr>
      </w:pPr>
      <w:r w:rsidRPr="008A33FF">
        <w:rPr>
          <w:rFonts w:asciiTheme="minorHAnsi" w:hAnsiTheme="minorHAnsi" w:cstheme="minorHAnsi"/>
          <w:bCs/>
          <w:szCs w:val="24"/>
          <w:lang w:val="fr-FR"/>
        </w:rPr>
        <w:t xml:space="preserve">60% après la finalisation du rapport d’examen à mi-parcours </w:t>
      </w:r>
    </w:p>
    <w:p w:rsidR="0020485F" w:rsidRPr="008A33FF" w:rsidRDefault="0020485F" w:rsidP="0020485F">
      <w:pPr>
        <w:pStyle w:val="p28"/>
        <w:spacing w:line="240" w:lineRule="auto"/>
        <w:ind w:left="360" w:hanging="360"/>
        <w:jc w:val="both"/>
        <w:rPr>
          <w:rFonts w:asciiTheme="minorHAnsi" w:hAnsiTheme="minorHAnsi" w:cstheme="minorHAnsi"/>
          <w:bCs/>
          <w:szCs w:val="24"/>
          <w:lang w:val="fr-FR"/>
        </w:rPr>
      </w:pPr>
    </w:p>
    <w:p w:rsidR="0020485F" w:rsidRPr="00854B3A" w:rsidRDefault="0020485F" w:rsidP="0020485F">
      <w:pPr>
        <w:pStyle w:val="p28"/>
        <w:spacing w:line="240" w:lineRule="auto"/>
        <w:ind w:left="360" w:hanging="360"/>
        <w:jc w:val="both"/>
        <w:rPr>
          <w:rFonts w:asciiTheme="minorHAnsi" w:eastAsiaTheme="minorEastAsia" w:hAnsiTheme="minorHAnsi" w:cstheme="minorHAnsi"/>
          <w:snapToGrid/>
          <w:szCs w:val="24"/>
          <w:lang w:val="fr-FR" w:eastAsia="fr-FR"/>
        </w:rPr>
      </w:pPr>
      <w:r w:rsidRPr="00854B3A">
        <w:rPr>
          <w:rFonts w:asciiTheme="minorHAnsi" w:eastAsiaTheme="minorEastAsia" w:hAnsiTheme="minorHAnsi" w:cstheme="minorHAnsi"/>
          <w:snapToGrid/>
          <w:szCs w:val="24"/>
          <w:lang w:val="fr-FR" w:eastAsia="fr-FR"/>
        </w:rPr>
        <w:t>Ou, conformément à ce qui aura été convenu entre l’Unité mandatrice et l’équipe chargée de l’examen à mi-parcours.</w:t>
      </w:r>
    </w:p>
    <w:p w:rsidR="0020485F" w:rsidRPr="008A33FF" w:rsidRDefault="0020485F" w:rsidP="0020485F">
      <w:pPr>
        <w:pStyle w:val="p28"/>
        <w:tabs>
          <w:tab w:val="clear" w:pos="680"/>
          <w:tab w:val="clear" w:pos="1060"/>
        </w:tabs>
        <w:spacing w:line="240" w:lineRule="auto"/>
        <w:ind w:left="0" w:firstLine="0"/>
        <w:jc w:val="both"/>
        <w:rPr>
          <w:rFonts w:asciiTheme="minorHAnsi" w:hAnsiTheme="minorHAnsi" w:cstheme="minorHAnsi"/>
          <w:szCs w:val="24"/>
          <w:lang w:val="fr-FR"/>
        </w:rPr>
      </w:pPr>
    </w:p>
    <w:p w:rsidR="0020485F" w:rsidRPr="008A33FF" w:rsidRDefault="0020485F" w:rsidP="0020485F">
      <w:pPr>
        <w:pStyle w:val="p28"/>
        <w:tabs>
          <w:tab w:val="clear" w:pos="680"/>
          <w:tab w:val="clear" w:pos="1060"/>
        </w:tabs>
        <w:spacing w:line="240" w:lineRule="auto"/>
        <w:ind w:left="450" w:hanging="425"/>
        <w:jc w:val="both"/>
        <w:rPr>
          <w:rFonts w:asciiTheme="minorHAnsi" w:hAnsiTheme="minorHAnsi" w:cstheme="minorHAnsi"/>
          <w:b/>
          <w:bCs/>
          <w:szCs w:val="24"/>
          <w:lang w:val="fr-FR"/>
        </w:rPr>
      </w:pPr>
      <w:r>
        <w:rPr>
          <w:rFonts w:asciiTheme="minorHAnsi" w:hAnsiTheme="minorHAnsi" w:cstheme="minorHAnsi"/>
          <w:b/>
          <w:bCs/>
          <w:szCs w:val="24"/>
          <w:lang w:val="fr-FR"/>
        </w:rPr>
        <w:t>16.</w:t>
      </w:r>
      <w:r w:rsidRPr="008A33FF">
        <w:rPr>
          <w:rFonts w:asciiTheme="minorHAnsi" w:hAnsiTheme="minorHAnsi" w:cstheme="minorHAnsi"/>
          <w:b/>
          <w:bCs/>
          <w:szCs w:val="24"/>
          <w:lang w:val="fr-FR"/>
        </w:rPr>
        <w:t xml:space="preserve">    Présentation recommandée des offres </w:t>
      </w:r>
    </w:p>
    <w:p w:rsidR="0020485F" w:rsidRPr="008A33FF" w:rsidRDefault="0020485F" w:rsidP="0020485F">
      <w:pPr>
        <w:pStyle w:val="p28"/>
        <w:tabs>
          <w:tab w:val="clear" w:pos="680"/>
          <w:tab w:val="clear" w:pos="1060"/>
        </w:tabs>
        <w:spacing w:line="240" w:lineRule="auto"/>
        <w:ind w:left="450" w:hanging="425"/>
        <w:jc w:val="both"/>
        <w:rPr>
          <w:rFonts w:asciiTheme="minorHAnsi" w:hAnsiTheme="minorHAnsi" w:cstheme="minorHAnsi"/>
          <w:b/>
          <w:bCs/>
          <w:szCs w:val="24"/>
          <w:lang w:val="fr-FR"/>
        </w:rPr>
      </w:pPr>
    </w:p>
    <w:p w:rsidR="0020485F" w:rsidRPr="008A33FF" w:rsidRDefault="0020485F" w:rsidP="0020485F">
      <w:pPr>
        <w:pStyle w:val="Paragraphedeliste"/>
        <w:numPr>
          <w:ilvl w:val="0"/>
          <w:numId w:val="6"/>
        </w:numPr>
        <w:autoSpaceDE w:val="0"/>
        <w:autoSpaceDN w:val="0"/>
        <w:adjustRightInd w:val="0"/>
        <w:contextualSpacing w:val="0"/>
        <w:jc w:val="both"/>
        <w:rPr>
          <w:rFonts w:asciiTheme="minorHAnsi" w:hAnsiTheme="minorHAnsi" w:cstheme="minorHAnsi"/>
          <w:sz w:val="24"/>
        </w:rPr>
      </w:pPr>
      <w:r w:rsidRPr="008A33FF">
        <w:rPr>
          <w:rFonts w:asciiTheme="minorHAnsi" w:hAnsiTheme="minorHAnsi" w:cstheme="minorHAnsi"/>
          <w:b/>
          <w:sz w:val="24"/>
        </w:rPr>
        <w:t xml:space="preserve">Lettre confirmant la manifestation d’intérêt et la disponibilité </w:t>
      </w:r>
      <w:r w:rsidRPr="008A33FF">
        <w:rPr>
          <w:rFonts w:asciiTheme="minorHAnsi" w:hAnsiTheme="minorHAnsi" w:cstheme="minorHAnsi"/>
          <w:sz w:val="24"/>
        </w:rPr>
        <w:t xml:space="preserve">à l’aide du </w:t>
      </w:r>
      <w:r w:rsidRPr="008A33FF">
        <w:rPr>
          <w:rFonts w:asciiTheme="minorHAnsi" w:eastAsiaTheme="minorEastAsia" w:hAnsiTheme="minorHAnsi" w:cstheme="minorHAnsi"/>
          <w:color w:val="00B0F0"/>
          <w:sz w:val="24"/>
        </w:rPr>
        <w:t>modèle</w:t>
      </w:r>
      <w:r w:rsidRPr="008A33FF">
        <w:rPr>
          <w:rStyle w:val="Appelnotedebasdep"/>
          <w:rFonts w:asciiTheme="minorHAnsi" w:eastAsiaTheme="majorEastAsia" w:hAnsiTheme="minorHAnsi" w:cstheme="minorHAnsi"/>
          <w:sz w:val="24"/>
        </w:rPr>
        <w:footnoteRef/>
      </w:r>
      <w:r w:rsidRPr="008A33FF">
        <w:rPr>
          <w:rFonts w:asciiTheme="minorHAnsi" w:hAnsiTheme="minorHAnsi" w:cstheme="minorHAnsi"/>
          <w:sz w:val="24"/>
        </w:rPr>
        <w:t xml:space="preserve"> fourni par le PNUD ;</w:t>
      </w:r>
    </w:p>
    <w:p w:rsidR="0020485F" w:rsidRPr="008A33FF" w:rsidRDefault="0020485F" w:rsidP="0020485F">
      <w:pPr>
        <w:pStyle w:val="Paragraphedeliste"/>
        <w:numPr>
          <w:ilvl w:val="0"/>
          <w:numId w:val="6"/>
        </w:numPr>
        <w:autoSpaceDE w:val="0"/>
        <w:autoSpaceDN w:val="0"/>
        <w:adjustRightInd w:val="0"/>
        <w:contextualSpacing w:val="0"/>
        <w:jc w:val="both"/>
        <w:rPr>
          <w:rStyle w:val="atendertext1"/>
          <w:rFonts w:asciiTheme="minorHAnsi" w:hAnsiTheme="minorHAnsi" w:cstheme="minorHAnsi"/>
          <w:sz w:val="24"/>
        </w:rPr>
      </w:pPr>
      <w:r w:rsidRPr="008A33FF">
        <w:rPr>
          <w:rFonts w:asciiTheme="minorHAnsi" w:hAnsiTheme="minorHAnsi" w:cstheme="minorHAnsi"/>
          <w:b/>
          <w:sz w:val="24"/>
        </w:rPr>
        <w:t xml:space="preserve">CV </w:t>
      </w:r>
      <w:r w:rsidRPr="008A33FF">
        <w:rPr>
          <w:rFonts w:asciiTheme="minorHAnsi" w:hAnsiTheme="minorHAnsi" w:cstheme="minorHAnsi"/>
          <w:sz w:val="24"/>
        </w:rPr>
        <w:t xml:space="preserve">et </w:t>
      </w:r>
      <w:r w:rsidRPr="008A33FF">
        <w:rPr>
          <w:rFonts w:asciiTheme="minorHAnsi" w:hAnsiTheme="minorHAnsi" w:cstheme="minorHAnsi"/>
          <w:b/>
          <w:sz w:val="24"/>
        </w:rPr>
        <w:t>Notice personnelle</w:t>
      </w:r>
      <w:r w:rsidRPr="008A33FF">
        <w:rPr>
          <w:rStyle w:val="atendertext1"/>
          <w:rFonts w:asciiTheme="minorHAnsi" w:eastAsiaTheme="majorEastAsia" w:hAnsiTheme="minorHAnsi" w:cstheme="minorHAnsi"/>
          <w:sz w:val="24"/>
        </w:rPr>
        <w:t>(</w:t>
      </w:r>
      <w:r w:rsidRPr="008A33FF">
        <w:rPr>
          <w:rStyle w:val="atendertext1"/>
          <w:rFonts w:asciiTheme="minorHAnsi" w:eastAsiaTheme="majorEastAsia" w:hAnsiTheme="minorHAnsi" w:cstheme="minorHAnsi"/>
          <w:color w:val="0070C0"/>
          <w:sz w:val="24"/>
          <w:u w:val="single"/>
        </w:rPr>
        <w:t>Formulaire</w:t>
      </w:r>
      <w:r w:rsidRPr="008A33FF">
        <w:rPr>
          <w:rFonts w:asciiTheme="minorHAnsi" w:eastAsiaTheme="minorEastAsia" w:hAnsiTheme="minorHAnsi" w:cstheme="minorHAnsi"/>
          <w:sz w:val="24"/>
        </w:rPr>
        <w:t>P11), indiquant les précédentes expériences dans des projets similaires, les coordonnées (courrier électronique et numéro de téléphone) du candidat et au moins trois références professionnelles ;</w:t>
      </w:r>
    </w:p>
    <w:p w:rsidR="0020485F" w:rsidRPr="008A33FF" w:rsidRDefault="0020485F" w:rsidP="0020485F">
      <w:pPr>
        <w:pStyle w:val="Paragraphedeliste"/>
        <w:numPr>
          <w:ilvl w:val="0"/>
          <w:numId w:val="6"/>
        </w:numPr>
        <w:autoSpaceDE w:val="0"/>
        <w:autoSpaceDN w:val="0"/>
        <w:adjustRightInd w:val="0"/>
        <w:contextualSpacing w:val="0"/>
        <w:jc w:val="both"/>
        <w:rPr>
          <w:rFonts w:asciiTheme="minorHAnsi" w:hAnsiTheme="minorHAnsi" w:cstheme="minorHAnsi"/>
          <w:sz w:val="24"/>
        </w:rPr>
      </w:pPr>
      <w:r w:rsidRPr="008A33FF">
        <w:rPr>
          <w:rFonts w:asciiTheme="minorHAnsi" w:hAnsiTheme="minorHAnsi" w:cstheme="minorHAnsi"/>
          <w:b/>
          <w:sz w:val="24"/>
        </w:rPr>
        <w:t>Brève description de la méthode de travail/proposition technique</w:t>
      </w:r>
      <w:r w:rsidRPr="008A33FF">
        <w:rPr>
          <w:rFonts w:asciiTheme="minorHAnsi" w:hAnsiTheme="minorHAnsi" w:cstheme="minorHAnsi"/>
          <w:sz w:val="24"/>
        </w:rPr>
        <w:t xml:space="preserve"> indiquant les raisons pour lesquelles la personne estime être la mieux placée pour réaliser la mission attribuée, et méthodologie proposée indiquant de quelle manière elle abordera et réalisera la mission attribuée ; ( 1 page au maximum)</w:t>
      </w:r>
    </w:p>
    <w:p w:rsidR="0020485F" w:rsidRPr="008A33FF" w:rsidRDefault="0020485F" w:rsidP="0020485F">
      <w:pPr>
        <w:pStyle w:val="Paragraphedeliste"/>
        <w:numPr>
          <w:ilvl w:val="0"/>
          <w:numId w:val="6"/>
        </w:numPr>
        <w:autoSpaceDE w:val="0"/>
        <w:autoSpaceDN w:val="0"/>
        <w:adjustRightInd w:val="0"/>
        <w:contextualSpacing w:val="0"/>
        <w:jc w:val="both"/>
        <w:rPr>
          <w:rFonts w:asciiTheme="minorHAnsi" w:hAnsiTheme="minorHAnsi" w:cstheme="minorHAnsi"/>
          <w:sz w:val="24"/>
        </w:rPr>
      </w:pPr>
      <w:r w:rsidRPr="008A33FF">
        <w:rPr>
          <w:rFonts w:asciiTheme="minorHAnsi" w:hAnsiTheme="minorHAnsi" w:cstheme="minorHAnsi"/>
          <w:b/>
          <w:sz w:val="24"/>
        </w:rPr>
        <w:lastRenderedPageBreak/>
        <w:t xml:space="preserve">Proposition </w:t>
      </w:r>
      <w:r w:rsidR="005B7192" w:rsidRPr="008A33FF">
        <w:rPr>
          <w:rFonts w:asciiTheme="minorHAnsi" w:hAnsiTheme="minorHAnsi" w:cstheme="minorHAnsi"/>
          <w:b/>
          <w:sz w:val="24"/>
        </w:rPr>
        <w:t>financière</w:t>
      </w:r>
      <w:r w:rsidR="005B7192" w:rsidRPr="008A33FF">
        <w:rPr>
          <w:rFonts w:asciiTheme="minorHAnsi" w:hAnsiTheme="minorHAnsi" w:cstheme="minorHAnsi"/>
          <w:sz w:val="24"/>
        </w:rPr>
        <w:t xml:space="preserve"> indiquant</w:t>
      </w:r>
      <w:r w:rsidRPr="008A33FF">
        <w:rPr>
          <w:rFonts w:asciiTheme="minorHAnsi" w:hAnsiTheme="minorHAnsi" w:cstheme="minorHAnsi"/>
          <w:sz w:val="24"/>
        </w:rPr>
        <w:t xml:space="preserve"> le montant </w:t>
      </w:r>
      <w:r w:rsidR="005B7192" w:rsidRPr="008A33FF">
        <w:rPr>
          <w:rFonts w:asciiTheme="minorHAnsi" w:hAnsiTheme="minorHAnsi" w:cstheme="minorHAnsi"/>
          <w:sz w:val="24"/>
        </w:rPr>
        <w:t>total tout</w:t>
      </w:r>
      <w:r w:rsidRPr="008A33FF">
        <w:rPr>
          <w:rFonts w:asciiTheme="minorHAnsi" w:hAnsiTheme="minorHAnsi" w:cstheme="minorHAnsi"/>
          <w:sz w:val="24"/>
        </w:rPr>
        <w:t xml:space="preserve"> compris du contrat, en répartissant les coûts à l'aide du modèle fourni. Dans le cas où un candidat travaillerait pour une organisation/entreprise/institution et prévoirait</w:t>
      </w:r>
      <w:r w:rsidR="005B7192">
        <w:rPr>
          <w:rFonts w:asciiTheme="minorHAnsi" w:hAnsiTheme="minorHAnsi" w:cstheme="minorHAnsi"/>
          <w:sz w:val="24"/>
        </w:rPr>
        <w:t xml:space="preserve"> </w:t>
      </w:r>
      <w:r w:rsidRPr="008A33FF">
        <w:rPr>
          <w:rFonts w:asciiTheme="minorHAnsi" w:hAnsiTheme="minorHAnsi" w:cstheme="minorHAnsi"/>
          <w:sz w:val="24"/>
        </w:rPr>
        <w:t xml:space="preserve">la facturation par son employeur des frais de </w:t>
      </w:r>
      <w:r w:rsidR="005B7192" w:rsidRPr="008A33FF">
        <w:rPr>
          <w:rFonts w:asciiTheme="minorHAnsi" w:hAnsiTheme="minorHAnsi" w:cstheme="minorHAnsi"/>
          <w:sz w:val="24"/>
        </w:rPr>
        <w:t>gestion relativement</w:t>
      </w:r>
      <w:r w:rsidRPr="008A33FF">
        <w:rPr>
          <w:rFonts w:asciiTheme="minorHAnsi" w:hAnsiTheme="minorHAnsi" w:cstheme="minorHAnsi"/>
          <w:sz w:val="24"/>
        </w:rPr>
        <w:t xml:space="preserve"> à la procédure pour qu’il soit mis à la disposition du PNUD en vertu d’un accord de prêt remboursable(RLA), le candidat devra le signaler ici et s’assurer que tous les frais associés sont compris dans la proposition financière soumise au PNUD.  Voir le modèle de la Lettre de manifestation d'intérêt pour consulter le modèle de proposition financière</w:t>
      </w:r>
    </w:p>
    <w:p w:rsidR="00CB0329" w:rsidRDefault="00CB0329" w:rsidP="00CB0329">
      <w:pPr>
        <w:spacing w:after="0" w:line="240" w:lineRule="auto"/>
        <w:jc w:val="both"/>
        <w:rPr>
          <w:rFonts w:asciiTheme="minorHAnsi" w:hAnsiTheme="minorHAnsi"/>
          <w:b/>
          <w:sz w:val="24"/>
          <w:szCs w:val="24"/>
          <w:u w:val="single"/>
        </w:rPr>
      </w:pPr>
    </w:p>
    <w:p w:rsidR="00CB0329" w:rsidRPr="00E747DF" w:rsidRDefault="00CB0329" w:rsidP="00CB0329">
      <w:pPr>
        <w:spacing w:after="0" w:line="240" w:lineRule="auto"/>
        <w:jc w:val="both"/>
        <w:rPr>
          <w:rFonts w:asciiTheme="minorHAnsi" w:hAnsiTheme="minorHAnsi"/>
          <w:b/>
          <w:i/>
          <w:sz w:val="24"/>
          <w:szCs w:val="24"/>
        </w:rPr>
      </w:pPr>
      <w:r>
        <w:rPr>
          <w:rFonts w:asciiTheme="minorHAnsi" w:hAnsiTheme="minorHAnsi"/>
          <w:b/>
          <w:sz w:val="24"/>
          <w:szCs w:val="24"/>
          <w:u w:val="single"/>
        </w:rPr>
        <w:t>17.</w:t>
      </w:r>
      <w:r w:rsidRPr="00E747DF">
        <w:rPr>
          <w:rFonts w:asciiTheme="minorHAnsi" w:hAnsiTheme="minorHAnsi"/>
          <w:b/>
          <w:sz w:val="24"/>
          <w:szCs w:val="24"/>
          <w:u w:val="single"/>
        </w:rPr>
        <w:t>Critères de sélection </w:t>
      </w:r>
      <w:r w:rsidRPr="00E747DF">
        <w:rPr>
          <w:rFonts w:asciiTheme="minorHAnsi" w:hAnsiTheme="minorHAnsi"/>
          <w:b/>
          <w:sz w:val="24"/>
          <w:szCs w:val="24"/>
        </w:rPr>
        <w:t xml:space="preserve">:     </w:t>
      </w:r>
      <w:r w:rsidRPr="00E747DF">
        <w:rPr>
          <w:rFonts w:asciiTheme="minorHAnsi" w:hAnsiTheme="minorHAnsi"/>
          <w:b/>
          <w:i/>
          <w:sz w:val="24"/>
          <w:szCs w:val="24"/>
        </w:rPr>
        <w:t>sur 100 points</w:t>
      </w:r>
    </w:p>
    <w:p w:rsidR="00CB0329" w:rsidRPr="00E747DF" w:rsidRDefault="00CB0329" w:rsidP="00CB0329">
      <w:pPr>
        <w:spacing w:after="0" w:line="240" w:lineRule="auto"/>
        <w:jc w:val="both"/>
        <w:rPr>
          <w:rFonts w:asciiTheme="minorHAnsi" w:hAnsiTheme="minorHAnsi"/>
          <w:sz w:val="24"/>
          <w:szCs w:val="24"/>
        </w:rPr>
      </w:pPr>
    </w:p>
    <w:p w:rsidR="00CB0329" w:rsidRPr="00E747DF" w:rsidRDefault="00CB0329" w:rsidP="00CB0329">
      <w:pPr>
        <w:numPr>
          <w:ilvl w:val="0"/>
          <w:numId w:val="13"/>
        </w:numPr>
        <w:spacing w:after="0" w:line="240" w:lineRule="auto"/>
        <w:jc w:val="both"/>
        <w:rPr>
          <w:rFonts w:asciiTheme="minorHAnsi" w:hAnsiTheme="minorHAnsi"/>
          <w:sz w:val="24"/>
          <w:szCs w:val="24"/>
        </w:rPr>
      </w:pPr>
      <w:r w:rsidRPr="00E747DF">
        <w:rPr>
          <w:rFonts w:asciiTheme="minorHAnsi" w:hAnsiTheme="minorHAnsi"/>
          <w:sz w:val="24"/>
          <w:szCs w:val="24"/>
        </w:rPr>
        <w:t>Diplômes (20 points) ;</w:t>
      </w:r>
    </w:p>
    <w:p w:rsidR="00CB0329" w:rsidRPr="00E747DF" w:rsidRDefault="00CB0329" w:rsidP="00CB0329">
      <w:pPr>
        <w:numPr>
          <w:ilvl w:val="0"/>
          <w:numId w:val="13"/>
        </w:numPr>
        <w:spacing w:after="0" w:line="240" w:lineRule="auto"/>
        <w:jc w:val="both"/>
        <w:rPr>
          <w:rFonts w:asciiTheme="minorHAnsi" w:hAnsiTheme="minorHAnsi"/>
          <w:sz w:val="24"/>
          <w:szCs w:val="24"/>
        </w:rPr>
      </w:pPr>
      <w:r w:rsidRPr="00E747DF">
        <w:rPr>
          <w:rFonts w:asciiTheme="minorHAnsi" w:hAnsiTheme="minorHAnsi"/>
          <w:sz w:val="24"/>
          <w:szCs w:val="24"/>
        </w:rPr>
        <w:t>Expérience professionnelle dans le domaine d’énergie (minimum 10 ans) (20 points) ;</w:t>
      </w:r>
    </w:p>
    <w:p w:rsidR="00CB0329" w:rsidRPr="00E747DF" w:rsidRDefault="00CB0329" w:rsidP="00CB0329">
      <w:pPr>
        <w:numPr>
          <w:ilvl w:val="0"/>
          <w:numId w:val="13"/>
        </w:numPr>
        <w:spacing w:after="0" w:line="240" w:lineRule="auto"/>
        <w:jc w:val="both"/>
        <w:rPr>
          <w:rFonts w:asciiTheme="minorHAnsi" w:hAnsiTheme="minorHAnsi"/>
          <w:sz w:val="24"/>
          <w:szCs w:val="24"/>
        </w:rPr>
      </w:pPr>
      <w:r w:rsidRPr="00E747DF">
        <w:rPr>
          <w:rFonts w:asciiTheme="minorHAnsi" w:hAnsiTheme="minorHAnsi"/>
          <w:sz w:val="24"/>
          <w:szCs w:val="24"/>
        </w:rPr>
        <w:t>Expériences similaires c’est à dire en évaluation des projets (minimum 10 ans) (30 points) ;</w:t>
      </w:r>
    </w:p>
    <w:p w:rsidR="00CB0329" w:rsidRPr="00E747DF" w:rsidRDefault="00CB0329" w:rsidP="00CB0329">
      <w:pPr>
        <w:numPr>
          <w:ilvl w:val="0"/>
          <w:numId w:val="13"/>
        </w:numPr>
        <w:spacing w:after="0" w:line="240" w:lineRule="auto"/>
        <w:jc w:val="both"/>
        <w:rPr>
          <w:rFonts w:asciiTheme="minorHAnsi" w:hAnsiTheme="minorHAnsi"/>
          <w:sz w:val="24"/>
          <w:szCs w:val="24"/>
        </w:rPr>
      </w:pPr>
      <w:r w:rsidRPr="00E747DF">
        <w:rPr>
          <w:rFonts w:asciiTheme="minorHAnsi" w:hAnsiTheme="minorHAnsi"/>
          <w:sz w:val="24"/>
          <w:szCs w:val="24"/>
        </w:rPr>
        <w:t>Connaissance du terrain (Niger Mar</w:t>
      </w:r>
      <w:r w:rsidR="0083035C">
        <w:rPr>
          <w:rFonts w:asciiTheme="minorHAnsi" w:hAnsiTheme="minorHAnsi"/>
          <w:sz w:val="24"/>
          <w:szCs w:val="24"/>
        </w:rPr>
        <w:t>adi</w:t>
      </w:r>
      <w:r w:rsidRPr="00E747DF">
        <w:rPr>
          <w:rFonts w:asciiTheme="minorHAnsi" w:hAnsiTheme="minorHAnsi"/>
          <w:sz w:val="24"/>
          <w:szCs w:val="24"/>
        </w:rPr>
        <w:t>)  (10 points) ;</w:t>
      </w:r>
    </w:p>
    <w:p w:rsidR="00CB0329" w:rsidRPr="00E747DF" w:rsidRDefault="00CB0329" w:rsidP="00CB0329">
      <w:pPr>
        <w:numPr>
          <w:ilvl w:val="0"/>
          <w:numId w:val="13"/>
        </w:numPr>
        <w:spacing w:after="0" w:line="240" w:lineRule="auto"/>
        <w:jc w:val="both"/>
        <w:rPr>
          <w:rFonts w:asciiTheme="minorHAnsi" w:hAnsiTheme="minorHAnsi"/>
          <w:sz w:val="24"/>
          <w:szCs w:val="24"/>
        </w:rPr>
      </w:pPr>
      <w:r w:rsidRPr="00E747DF">
        <w:rPr>
          <w:rFonts w:asciiTheme="minorHAnsi" w:hAnsiTheme="minorHAnsi"/>
          <w:sz w:val="24"/>
          <w:szCs w:val="24"/>
        </w:rPr>
        <w:t>Expérience de travail avec la communauté, le gouvernement, les PTF ou les Agences du SNU (10 points)</w:t>
      </w:r>
    </w:p>
    <w:p w:rsidR="00CB0329" w:rsidRPr="00CB0329" w:rsidRDefault="00CB0329" w:rsidP="00CB0329">
      <w:pPr>
        <w:numPr>
          <w:ilvl w:val="0"/>
          <w:numId w:val="13"/>
        </w:numPr>
        <w:spacing w:after="0" w:line="240" w:lineRule="auto"/>
        <w:jc w:val="both"/>
        <w:rPr>
          <w:rFonts w:asciiTheme="minorHAnsi" w:hAnsiTheme="minorHAnsi"/>
          <w:sz w:val="24"/>
          <w:szCs w:val="24"/>
        </w:rPr>
      </w:pPr>
      <w:r w:rsidRPr="00E747DF">
        <w:rPr>
          <w:rFonts w:asciiTheme="minorHAnsi" w:hAnsiTheme="minorHAnsi"/>
          <w:sz w:val="24"/>
          <w:szCs w:val="24"/>
        </w:rPr>
        <w:t xml:space="preserve">Méthodologie de consultations (10 points) </w:t>
      </w:r>
    </w:p>
    <w:p w:rsidR="00CB0329" w:rsidRPr="00E747DF" w:rsidRDefault="00CB0329" w:rsidP="00CB0329">
      <w:pPr>
        <w:spacing w:before="100" w:beforeAutospacing="1" w:after="100" w:afterAutospacing="1" w:line="240" w:lineRule="auto"/>
        <w:jc w:val="both"/>
        <w:rPr>
          <w:rFonts w:asciiTheme="minorHAnsi" w:eastAsia="Calibri" w:hAnsiTheme="minorHAnsi"/>
          <w:b/>
          <w:sz w:val="24"/>
          <w:szCs w:val="24"/>
          <w:u w:val="single"/>
        </w:rPr>
      </w:pPr>
      <w:r>
        <w:rPr>
          <w:rFonts w:asciiTheme="minorHAnsi" w:eastAsia="Calibri" w:hAnsiTheme="minorHAnsi"/>
          <w:b/>
          <w:sz w:val="24"/>
          <w:szCs w:val="24"/>
          <w:u w:val="single"/>
        </w:rPr>
        <w:t>18.</w:t>
      </w:r>
      <w:r w:rsidRPr="00E747DF">
        <w:rPr>
          <w:rFonts w:asciiTheme="minorHAnsi" w:eastAsia="Calibri" w:hAnsiTheme="minorHAnsi"/>
          <w:b/>
          <w:sz w:val="24"/>
          <w:szCs w:val="24"/>
          <w:u w:val="single"/>
        </w:rPr>
        <w:t xml:space="preserve">Méthode d’évaluation des offres </w:t>
      </w:r>
    </w:p>
    <w:p w:rsidR="00CB0329" w:rsidRPr="00492A62" w:rsidRDefault="00CB0329" w:rsidP="00CB0329">
      <w:pPr>
        <w:numPr>
          <w:ilvl w:val="0"/>
          <w:numId w:val="13"/>
        </w:numPr>
        <w:spacing w:after="0" w:line="240" w:lineRule="auto"/>
        <w:jc w:val="both"/>
        <w:rPr>
          <w:rFonts w:asciiTheme="minorHAnsi" w:hAnsiTheme="minorHAnsi"/>
          <w:sz w:val="24"/>
          <w:szCs w:val="24"/>
        </w:rPr>
      </w:pPr>
      <w:r w:rsidRPr="00492A62">
        <w:rPr>
          <w:rFonts w:asciiTheme="minorHAnsi" w:hAnsiTheme="minorHAnsi"/>
          <w:sz w:val="24"/>
          <w:szCs w:val="24"/>
        </w:rPr>
        <w:t xml:space="preserve">Seules les candidatures ayant obtenu une note au moins égale à 70 points sur le total des 100 points seront retenues pour une analyse financière ; </w:t>
      </w:r>
    </w:p>
    <w:p w:rsidR="00CB0329" w:rsidRDefault="00CB0329" w:rsidP="00CB0329">
      <w:pPr>
        <w:numPr>
          <w:ilvl w:val="0"/>
          <w:numId w:val="13"/>
        </w:numPr>
        <w:spacing w:after="0" w:line="240" w:lineRule="auto"/>
        <w:jc w:val="both"/>
        <w:rPr>
          <w:rFonts w:asciiTheme="minorHAnsi" w:hAnsiTheme="minorHAnsi"/>
          <w:sz w:val="24"/>
          <w:szCs w:val="24"/>
        </w:rPr>
      </w:pPr>
      <w:r w:rsidRPr="00492A62">
        <w:rPr>
          <w:rFonts w:asciiTheme="minorHAnsi" w:hAnsiTheme="minorHAnsi"/>
          <w:sz w:val="24"/>
          <w:szCs w:val="24"/>
        </w:rPr>
        <w:t>La méthode d’évaluation qui sera utilisée est celle du meilleur rapport qualité/prix (score combiné). L’offre technique comptera pour 70% dans l’évaluation globale, l’offre financière comptera pour 30%.</w:t>
      </w:r>
    </w:p>
    <w:p w:rsidR="00CB0329" w:rsidRPr="00CB0329" w:rsidRDefault="00CB0329" w:rsidP="00CB0329">
      <w:pPr>
        <w:numPr>
          <w:ilvl w:val="0"/>
          <w:numId w:val="13"/>
        </w:numPr>
        <w:spacing w:after="0" w:line="240" w:lineRule="auto"/>
        <w:jc w:val="both"/>
        <w:rPr>
          <w:rFonts w:asciiTheme="minorHAnsi" w:hAnsiTheme="minorHAnsi"/>
          <w:sz w:val="24"/>
          <w:szCs w:val="24"/>
        </w:rPr>
      </w:pPr>
      <w:r w:rsidRPr="00CB0329">
        <w:rPr>
          <w:rFonts w:asciiTheme="minorHAnsi" w:hAnsiTheme="minorHAnsi" w:cstheme="minorHAnsi"/>
          <w:szCs w:val="24"/>
        </w:rPr>
        <w:t xml:space="preserve">Le contrat sera attribué au consultant individuel qui obtiendra la meilleure évaluation </w:t>
      </w:r>
      <w:r w:rsidRPr="00CB0329">
        <w:rPr>
          <w:rFonts w:asciiTheme="minorHAnsi" w:hAnsiTheme="minorHAnsi" w:cstheme="minorHAnsi"/>
          <w:bCs/>
          <w:szCs w:val="24"/>
        </w:rPr>
        <w:t xml:space="preserve">combinée et a accepté les conditions générales du PNUD. </w:t>
      </w:r>
    </w:p>
    <w:p w:rsidR="00CB0329" w:rsidRPr="00CB0329" w:rsidRDefault="00CB0329" w:rsidP="00CB0329">
      <w:pPr>
        <w:spacing w:after="0" w:line="240" w:lineRule="auto"/>
        <w:ind w:left="720"/>
        <w:jc w:val="both"/>
        <w:rPr>
          <w:rFonts w:asciiTheme="minorHAnsi" w:hAnsiTheme="minorHAnsi"/>
          <w:sz w:val="24"/>
          <w:szCs w:val="24"/>
        </w:rPr>
      </w:pPr>
    </w:p>
    <w:p w:rsidR="00CB0329" w:rsidRPr="00CB0329" w:rsidRDefault="00CB0329" w:rsidP="00CB0329">
      <w:pPr>
        <w:pStyle w:val="Titre6"/>
        <w:pBdr>
          <w:top w:val="single" w:sz="4" w:space="1" w:color="auto"/>
          <w:left w:val="single" w:sz="4" w:space="4" w:color="auto"/>
          <w:bottom w:val="single" w:sz="4" w:space="1" w:color="auto"/>
          <w:right w:val="single" w:sz="4" w:space="4" w:color="auto"/>
        </w:pBdr>
        <w:jc w:val="center"/>
        <w:rPr>
          <w:rFonts w:asciiTheme="minorHAnsi" w:hAnsiTheme="minorHAnsi"/>
          <w:b w:val="0"/>
          <w:i/>
          <w:sz w:val="22"/>
          <w:szCs w:val="22"/>
          <w:u w:val="none"/>
        </w:rPr>
      </w:pPr>
      <w:r w:rsidRPr="00CB0329">
        <w:rPr>
          <w:rFonts w:asciiTheme="minorHAnsi" w:hAnsiTheme="minorHAnsi"/>
          <w:b w:val="0"/>
          <w:i/>
          <w:sz w:val="22"/>
          <w:szCs w:val="22"/>
          <w:u w:val="none"/>
        </w:rPr>
        <w:t>Tout dossier de candidature ne comportant pas la proposition financière sera rejeté</w:t>
      </w:r>
    </w:p>
    <w:p w:rsidR="00CB0329" w:rsidRPr="00492A62" w:rsidRDefault="00CB0329" w:rsidP="00CB0329">
      <w:pPr>
        <w:spacing w:before="100" w:beforeAutospacing="1" w:after="100" w:afterAutospacing="1" w:line="240" w:lineRule="auto"/>
        <w:jc w:val="both"/>
        <w:rPr>
          <w:rFonts w:asciiTheme="minorHAnsi" w:eastAsia="Calibri" w:hAnsiTheme="minorHAnsi"/>
          <w:b/>
          <w:sz w:val="24"/>
          <w:szCs w:val="24"/>
          <w:u w:val="single"/>
        </w:rPr>
      </w:pPr>
      <w:r>
        <w:rPr>
          <w:rFonts w:asciiTheme="minorHAnsi" w:eastAsia="Calibri" w:hAnsiTheme="minorHAnsi"/>
          <w:b/>
          <w:sz w:val="24"/>
          <w:szCs w:val="24"/>
          <w:u w:val="single"/>
        </w:rPr>
        <w:t>19.</w:t>
      </w:r>
      <w:r w:rsidRPr="00492A62">
        <w:rPr>
          <w:rFonts w:asciiTheme="minorHAnsi" w:eastAsia="Calibri" w:hAnsiTheme="minorHAnsi"/>
          <w:b/>
          <w:sz w:val="24"/>
          <w:szCs w:val="24"/>
          <w:u w:val="single"/>
        </w:rPr>
        <w:t>Date limite et lieu de remise des candidatures</w:t>
      </w:r>
    </w:p>
    <w:p w:rsidR="00CB0329" w:rsidRPr="00747BD5" w:rsidRDefault="00CB0329" w:rsidP="00CB0329">
      <w:pPr>
        <w:pStyle w:val="Pieddepage"/>
        <w:jc w:val="both"/>
        <w:rPr>
          <w:rFonts w:asciiTheme="minorHAnsi" w:hAnsiTheme="minorHAnsi"/>
        </w:rPr>
      </w:pPr>
      <w:r w:rsidRPr="00747BD5">
        <w:rPr>
          <w:rFonts w:asciiTheme="minorHAnsi" w:hAnsiTheme="minorHAnsi"/>
        </w:rPr>
        <w:t xml:space="preserve">Les candidatures doivent parvenir à l’adresse suivante (projet)  ou envoyé par email à aux adresses suivantes : </w:t>
      </w:r>
      <w:hyperlink r:id="rId13" w:history="1">
        <w:r w:rsidRPr="00747BD5">
          <w:rPr>
            <w:rStyle w:val="Lienhypertexte"/>
            <w:rFonts w:asciiTheme="minorHAnsi" w:hAnsiTheme="minorHAnsi"/>
          </w:rPr>
          <w:t>ibrah04@yahoo.fr</w:t>
        </w:r>
      </w:hyperlink>
      <w:r w:rsidRPr="00747BD5">
        <w:rPr>
          <w:rFonts w:asciiTheme="minorHAnsi" w:hAnsiTheme="minorHAnsi"/>
        </w:rPr>
        <w:t xml:space="preserve"> &amp; </w:t>
      </w:r>
      <w:hyperlink r:id="rId14" w:history="1">
        <w:r w:rsidRPr="00747BD5">
          <w:rPr>
            <w:rStyle w:val="Lienhypertexte"/>
            <w:rFonts w:asciiTheme="minorHAnsi" w:hAnsiTheme="minorHAnsi"/>
          </w:rPr>
          <w:t>lawali.mahamane@undp.org</w:t>
        </w:r>
      </w:hyperlink>
      <w:r w:rsidRPr="00747BD5">
        <w:rPr>
          <w:rFonts w:asciiTheme="minorHAnsi" w:hAnsiTheme="minorHAnsi"/>
        </w:rPr>
        <w:t xml:space="preserve"> au plus tard le </w:t>
      </w:r>
      <w:r>
        <w:t>30  avril 2015</w:t>
      </w:r>
      <w:r w:rsidRPr="00747BD5">
        <w:rPr>
          <w:rFonts w:asciiTheme="minorHAnsi" w:hAnsiTheme="minorHAnsi"/>
          <w:b/>
        </w:rPr>
        <w:t xml:space="preserve"> à 17h00</w:t>
      </w:r>
      <w:r w:rsidRPr="00747BD5">
        <w:rPr>
          <w:rFonts w:asciiTheme="minorHAnsi" w:hAnsiTheme="minorHAnsi"/>
        </w:rPr>
        <w:t>. En cas de besoin, le PNUD se réserve la possibilité d’un dialogue avec les candidats de façon à clarifier les éléments méthodologiques avant signature du contrat.</w:t>
      </w:r>
    </w:p>
    <w:p w:rsidR="0083035C" w:rsidRDefault="0083035C" w:rsidP="00CB0329">
      <w:pPr>
        <w:pStyle w:val="Pieddepage"/>
        <w:jc w:val="center"/>
        <w:rPr>
          <w:rFonts w:asciiTheme="minorHAnsi" w:hAnsiTheme="minorHAnsi" w:cstheme="minorHAnsi"/>
          <w:b/>
        </w:rPr>
      </w:pPr>
    </w:p>
    <w:p w:rsidR="00CB0329" w:rsidRPr="00CB0329" w:rsidRDefault="00CB0329" w:rsidP="00CB0329">
      <w:pPr>
        <w:pStyle w:val="Pieddepage"/>
        <w:jc w:val="center"/>
        <w:rPr>
          <w:rFonts w:asciiTheme="minorHAnsi" w:hAnsiTheme="minorHAnsi"/>
          <w:b/>
        </w:rPr>
      </w:pPr>
      <w:r w:rsidRPr="00CB0329">
        <w:rPr>
          <w:rFonts w:asciiTheme="minorHAnsi" w:hAnsiTheme="minorHAnsi" w:cstheme="minorHAnsi"/>
          <w:b/>
        </w:rPr>
        <w:t>Projet pilote de développement des PTFM</w:t>
      </w:r>
    </w:p>
    <w:p w:rsidR="00CB0329" w:rsidRPr="00CB0329" w:rsidRDefault="00CB0329" w:rsidP="00CB0329">
      <w:pPr>
        <w:pStyle w:val="p28"/>
        <w:tabs>
          <w:tab w:val="left" w:pos="0"/>
        </w:tabs>
        <w:spacing w:line="240" w:lineRule="auto"/>
        <w:jc w:val="center"/>
        <w:rPr>
          <w:rFonts w:asciiTheme="minorHAnsi" w:hAnsiTheme="minorHAnsi" w:cstheme="minorHAnsi"/>
          <w:b/>
          <w:szCs w:val="24"/>
          <w:lang w:val="fr-FR"/>
        </w:rPr>
      </w:pPr>
      <w:r w:rsidRPr="00CB0329">
        <w:rPr>
          <w:rFonts w:asciiTheme="minorHAnsi" w:hAnsiTheme="minorHAnsi" w:cstheme="minorHAnsi"/>
          <w:b/>
          <w:szCs w:val="24"/>
          <w:lang w:val="fr-FR"/>
        </w:rPr>
        <w:t>TEL 00 227 20 72 49 72</w:t>
      </w:r>
    </w:p>
    <w:p w:rsidR="00CB0329" w:rsidRPr="00CB0329" w:rsidRDefault="00CB0329" w:rsidP="00CB0329">
      <w:pPr>
        <w:pStyle w:val="p28"/>
        <w:tabs>
          <w:tab w:val="left" w:pos="0"/>
        </w:tabs>
        <w:spacing w:line="240" w:lineRule="auto"/>
        <w:ind w:left="0" w:firstLine="0"/>
        <w:jc w:val="center"/>
        <w:rPr>
          <w:rFonts w:asciiTheme="minorHAnsi" w:hAnsiTheme="minorHAnsi" w:cstheme="minorHAnsi"/>
          <w:b/>
          <w:szCs w:val="24"/>
          <w:lang w:val="fr-FR"/>
        </w:rPr>
      </w:pPr>
      <w:r w:rsidRPr="00CB0329">
        <w:rPr>
          <w:rFonts w:asciiTheme="minorHAnsi" w:hAnsiTheme="minorHAnsi" w:cstheme="minorHAnsi"/>
          <w:b/>
          <w:szCs w:val="24"/>
          <w:lang w:val="fr-FR"/>
        </w:rPr>
        <w:t>BP : 11207 rues de la tarka Niamey République du Niger</w:t>
      </w:r>
    </w:p>
    <w:p w:rsidR="00CB0329" w:rsidRDefault="00CB0329" w:rsidP="0020485F">
      <w:pPr>
        <w:pStyle w:val="p28"/>
        <w:tabs>
          <w:tab w:val="left" w:pos="0"/>
        </w:tabs>
        <w:spacing w:line="240" w:lineRule="auto"/>
        <w:ind w:left="0" w:firstLine="0"/>
        <w:jc w:val="both"/>
        <w:rPr>
          <w:rFonts w:asciiTheme="minorHAnsi" w:hAnsiTheme="minorHAnsi" w:cstheme="minorHAnsi"/>
          <w:szCs w:val="24"/>
          <w:lang w:val="fr-FR"/>
        </w:rPr>
      </w:pPr>
    </w:p>
    <w:p w:rsidR="00CB0329" w:rsidRDefault="00CB0329" w:rsidP="0020485F">
      <w:pPr>
        <w:pStyle w:val="p28"/>
        <w:tabs>
          <w:tab w:val="left" w:pos="0"/>
        </w:tabs>
        <w:spacing w:line="240" w:lineRule="auto"/>
        <w:ind w:left="0" w:firstLine="0"/>
        <w:jc w:val="both"/>
        <w:rPr>
          <w:rFonts w:asciiTheme="minorHAnsi" w:hAnsiTheme="minorHAnsi" w:cstheme="minorHAnsi"/>
          <w:szCs w:val="24"/>
          <w:lang w:val="fr-FR"/>
        </w:rPr>
      </w:pPr>
    </w:p>
    <w:p w:rsidR="00CB0329" w:rsidRDefault="00CB0329" w:rsidP="0020485F">
      <w:pPr>
        <w:pStyle w:val="p28"/>
        <w:tabs>
          <w:tab w:val="left" w:pos="0"/>
        </w:tabs>
        <w:spacing w:line="240" w:lineRule="auto"/>
        <w:ind w:left="0" w:firstLine="0"/>
        <w:jc w:val="both"/>
        <w:rPr>
          <w:rFonts w:asciiTheme="minorHAnsi" w:hAnsiTheme="minorHAnsi" w:cstheme="minorHAnsi"/>
          <w:szCs w:val="24"/>
          <w:lang w:val="fr-FR"/>
        </w:rPr>
      </w:pPr>
    </w:p>
    <w:p w:rsidR="00CB0329" w:rsidRDefault="00CB0329" w:rsidP="0020485F">
      <w:pPr>
        <w:pStyle w:val="p28"/>
        <w:tabs>
          <w:tab w:val="left" w:pos="0"/>
        </w:tabs>
        <w:spacing w:line="240" w:lineRule="auto"/>
        <w:ind w:left="0" w:firstLine="0"/>
        <w:jc w:val="both"/>
        <w:rPr>
          <w:rFonts w:asciiTheme="minorHAnsi" w:hAnsiTheme="minorHAnsi" w:cstheme="minorHAnsi"/>
          <w:szCs w:val="24"/>
          <w:lang w:val="fr-FR"/>
        </w:rPr>
      </w:pPr>
    </w:p>
    <w:sectPr w:rsidR="00CB0329" w:rsidSect="007435D5">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85F" w:rsidRDefault="0020485F" w:rsidP="0020485F">
      <w:pPr>
        <w:spacing w:after="0" w:line="240" w:lineRule="auto"/>
      </w:pPr>
      <w:r>
        <w:separator/>
      </w:r>
    </w:p>
  </w:endnote>
  <w:endnote w:type="continuationSeparator" w:id="1">
    <w:p w:rsidR="0020485F" w:rsidRDefault="0020485F" w:rsidP="00204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5F" w:rsidRDefault="0020485F" w:rsidP="0020485F">
      <w:pPr>
        <w:spacing w:after="0" w:line="240" w:lineRule="auto"/>
      </w:pPr>
      <w:r>
        <w:separator/>
      </w:r>
    </w:p>
  </w:footnote>
  <w:footnote w:type="continuationSeparator" w:id="1">
    <w:p w:rsidR="0020485F" w:rsidRDefault="0020485F" w:rsidP="0020485F">
      <w:pPr>
        <w:spacing w:after="0" w:line="240" w:lineRule="auto"/>
      </w:pPr>
      <w:r>
        <w:continuationSeparator/>
      </w:r>
    </w:p>
  </w:footnote>
  <w:footnote w:id="2">
    <w:p w:rsidR="0020485F" w:rsidRPr="00781E54" w:rsidRDefault="0020485F" w:rsidP="0020485F">
      <w:pPr>
        <w:pStyle w:val="Notedebasdepage"/>
        <w:rPr>
          <w:rFonts w:ascii="Garamond" w:hAnsi="Garamond"/>
          <w:sz w:val="18"/>
          <w:szCs w:val="18"/>
          <w:lang w:val="fr-FR"/>
        </w:rPr>
      </w:pPr>
    </w:p>
  </w:footnote>
  <w:footnote w:id="3">
    <w:p w:rsidR="0020485F" w:rsidRPr="00781E54" w:rsidRDefault="0020485F" w:rsidP="0020485F">
      <w:pPr>
        <w:pStyle w:val="Notedebasdepage"/>
        <w:rPr>
          <w:rFonts w:ascii="Garamond" w:hAnsi="Garamond"/>
          <w:sz w:val="18"/>
          <w:szCs w:val="18"/>
          <w:lang w:val="fr-FR"/>
        </w:rPr>
      </w:pPr>
    </w:p>
  </w:footnote>
  <w:footnote w:id="4">
    <w:p w:rsidR="0020485F" w:rsidRPr="00B779F7" w:rsidRDefault="0020485F" w:rsidP="0020485F">
      <w:pPr>
        <w:pStyle w:val="Notedebasdepage"/>
        <w:rPr>
          <w:lang w:val="fr-FR"/>
        </w:rPr>
      </w:pPr>
    </w:p>
  </w:footnote>
  <w:footnote w:id="5">
    <w:p w:rsidR="0020485F" w:rsidRPr="00B779F7" w:rsidRDefault="0020485F" w:rsidP="0020485F">
      <w:pPr>
        <w:pStyle w:val="Notedebasdepage"/>
        <w:rPr>
          <w:rFonts w:ascii="Garamond" w:hAnsi="Garamond"/>
          <w:sz w:val="18"/>
          <w:szCs w:val="18"/>
          <w:lang w:val="fr-FR"/>
        </w:rPr>
      </w:pPr>
    </w:p>
  </w:footnote>
  <w:footnote w:id="6">
    <w:p w:rsidR="0020485F" w:rsidRPr="00B779F7" w:rsidRDefault="0020485F" w:rsidP="0020485F">
      <w:pPr>
        <w:pStyle w:val="Notedebasdepage"/>
        <w:rPr>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2C" w:rsidRDefault="00050FDD">
    <w:pPr>
      <w:pStyle w:val="En-tte"/>
      <w:jc w:val="right"/>
    </w:pPr>
    <w:r>
      <w:fldChar w:fldCharType="begin"/>
    </w:r>
    <w:r>
      <w:instrText xml:space="preserve"> PAGE   \* MERGEFORMAT </w:instrText>
    </w:r>
    <w:r>
      <w:fldChar w:fldCharType="separate"/>
    </w:r>
    <w:r>
      <w:rPr>
        <w:noProof/>
      </w:rPr>
      <w:t>6</w:t>
    </w:r>
    <w:r>
      <w:fldChar w:fldCharType="end"/>
    </w:r>
  </w:p>
  <w:p w:rsidR="00971B2C" w:rsidRDefault="00050FD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in;height:3in" o:bullet="t"/>
    </w:pict>
  </w:numPicBullet>
  <w:numPicBullet w:numPicBulletId="1">
    <w:pict>
      <v:shape id="_x0000_i1073" type="#_x0000_t75" style="width:3in;height:3in" o:bullet="t"/>
    </w:pict>
  </w:numPicBullet>
  <w:abstractNum w:abstractNumId="0">
    <w:nsid w:val="0850079D"/>
    <w:multiLevelType w:val="hybridMultilevel"/>
    <w:tmpl w:val="AB02F8C4"/>
    <w:lvl w:ilvl="0" w:tplc="961401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4E140F"/>
    <w:multiLevelType w:val="hybridMultilevel"/>
    <w:tmpl w:val="84D4544A"/>
    <w:lvl w:ilvl="0" w:tplc="5B64813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F34F69"/>
    <w:multiLevelType w:val="hybridMultilevel"/>
    <w:tmpl w:val="71A41B5E"/>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D0543"/>
    <w:multiLevelType w:val="hybridMultilevel"/>
    <w:tmpl w:val="E4900BA2"/>
    <w:lvl w:ilvl="0" w:tplc="961401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3BB5D23"/>
    <w:multiLevelType w:val="hybridMultilevel"/>
    <w:tmpl w:val="A1106676"/>
    <w:lvl w:ilvl="0" w:tplc="040C000F">
      <w:start w:val="1"/>
      <w:numFmt w:val="decimal"/>
      <w:lvlText w:val="%1."/>
      <w:lvlJc w:val="left"/>
      <w:pPr>
        <w:tabs>
          <w:tab w:val="num" w:pos="720"/>
        </w:tabs>
        <w:ind w:left="720" w:hanging="360"/>
      </w:pPr>
    </w:lvl>
    <w:lvl w:ilvl="1" w:tplc="E698D0D2">
      <w:start w:val="1"/>
      <w:numFmt w:val="decimal"/>
      <w:lvlText w:val="%2)"/>
      <w:lvlJc w:val="left"/>
      <w:pPr>
        <w:tabs>
          <w:tab w:val="num" w:pos="1440"/>
        </w:tabs>
        <w:ind w:left="1440" w:hanging="873"/>
      </w:pPr>
      <w:rPr>
        <w:rFonts w:hint="default"/>
      </w:rPr>
    </w:lvl>
    <w:lvl w:ilvl="2" w:tplc="E49A6D5C">
      <w:start w:val="1"/>
      <w:numFmt w:val="bullet"/>
      <w:lvlText w:val="-"/>
      <w:lvlJc w:val="left"/>
      <w:pPr>
        <w:tabs>
          <w:tab w:val="num" w:pos="1980"/>
        </w:tabs>
        <w:ind w:left="1701" w:hanging="283"/>
      </w:pPr>
      <w:rPr>
        <w:rFonts w:ascii="Wingdings 3" w:eastAsia="Wingdings 3" w:hAnsi="Wingdings 3" w:cs="Wingdings 3"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58E3478"/>
    <w:multiLevelType w:val="hybridMultilevel"/>
    <w:tmpl w:val="6204C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F951E7"/>
    <w:multiLevelType w:val="hybridMultilevel"/>
    <w:tmpl w:val="B86EE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22731A"/>
    <w:multiLevelType w:val="hybridMultilevel"/>
    <w:tmpl w:val="05DE797E"/>
    <w:lvl w:ilvl="0" w:tplc="614647B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F25003"/>
    <w:multiLevelType w:val="multilevel"/>
    <w:tmpl w:val="9EB2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2"/>
  </w:num>
  <w:num w:numId="5">
    <w:abstractNumId w:val="10"/>
  </w:num>
  <w:num w:numId="6">
    <w:abstractNumId w:val="13"/>
  </w:num>
  <w:num w:numId="7">
    <w:abstractNumId w:val="12"/>
  </w:num>
  <w:num w:numId="8">
    <w:abstractNumId w:val="3"/>
  </w:num>
  <w:num w:numId="9">
    <w:abstractNumId w:val="8"/>
  </w:num>
  <w:num w:numId="10">
    <w:abstractNumId w:val="7"/>
  </w:num>
  <w:num w:numId="11">
    <w:abstractNumId w:val="4"/>
  </w:num>
  <w:num w:numId="12">
    <w:abstractNumId w:val="1"/>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485F"/>
    <w:rsid w:val="00050FDD"/>
    <w:rsid w:val="001D4809"/>
    <w:rsid w:val="0020485F"/>
    <w:rsid w:val="005B7192"/>
    <w:rsid w:val="007603BA"/>
    <w:rsid w:val="0083035C"/>
    <w:rsid w:val="00CB0329"/>
    <w:rsid w:val="00EC2D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5F"/>
    <w:rPr>
      <w:rFonts w:ascii="Calibri" w:eastAsia="Times New Roman" w:hAnsi="Calibri" w:cs="Times New Roman"/>
      <w:lang w:eastAsia="fr-FR"/>
    </w:rPr>
  </w:style>
  <w:style w:type="paragraph" w:styleId="Titre6">
    <w:name w:val="heading 6"/>
    <w:basedOn w:val="Normal"/>
    <w:next w:val="Normal"/>
    <w:link w:val="Titre6Car"/>
    <w:qFormat/>
    <w:rsid w:val="00CB0329"/>
    <w:pPr>
      <w:keepNext/>
      <w:spacing w:after="0" w:line="240" w:lineRule="auto"/>
      <w:jc w:val="both"/>
      <w:outlineLvl w:val="5"/>
    </w:pPr>
    <w:rPr>
      <w:rFonts w:ascii="Times New Roman" w:hAnsi="Times New Roman"/>
      <w:b/>
      <w:bCs/>
      <w:sz w:val="20"/>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
    <w:basedOn w:val="Normal"/>
    <w:link w:val="ParagraphedelisteCar"/>
    <w:uiPriority w:val="34"/>
    <w:qFormat/>
    <w:rsid w:val="0020485F"/>
    <w:pPr>
      <w:spacing w:after="0" w:line="240" w:lineRule="auto"/>
      <w:ind w:left="720"/>
      <w:contextualSpacing/>
    </w:pPr>
    <w:rPr>
      <w:rFonts w:ascii="Arial" w:hAnsi="Arial"/>
      <w:sz w:val="20"/>
      <w:szCs w:val="24"/>
    </w:rPr>
  </w:style>
  <w:style w:type="character" w:styleId="Lienhypertexte">
    <w:name w:val="Hyperlink"/>
    <w:uiPriority w:val="99"/>
    <w:unhideWhenUsed/>
    <w:rsid w:val="0020485F"/>
    <w:rPr>
      <w:strike w:val="0"/>
      <w:dstrike w:val="0"/>
      <w:color w:val="336699"/>
      <w:u w:val="none"/>
      <w:effect w:val="none"/>
    </w:rPr>
  </w:style>
  <w:style w:type="character" w:customStyle="1" w:styleId="ParagraphedelisteCar">
    <w:name w:val="Paragraphe de liste Car"/>
    <w:aliases w:val="List Paragraph1 Car"/>
    <w:link w:val="Paragraphedeliste"/>
    <w:uiPriority w:val="34"/>
    <w:rsid w:val="0020485F"/>
    <w:rPr>
      <w:rFonts w:ascii="Arial" w:eastAsia="Times New Roman" w:hAnsi="Arial" w:cs="Times New Roman"/>
      <w:sz w:val="20"/>
      <w:szCs w:val="24"/>
      <w:lang w:eastAsia="fr-FR"/>
    </w:rPr>
  </w:style>
  <w:style w:type="paragraph" w:styleId="En-tte">
    <w:name w:val="header"/>
    <w:basedOn w:val="Normal"/>
    <w:link w:val="En-tteCar"/>
    <w:unhideWhenUsed/>
    <w:rsid w:val="0020485F"/>
    <w:pPr>
      <w:tabs>
        <w:tab w:val="center" w:pos="4536"/>
        <w:tab w:val="right" w:pos="9072"/>
      </w:tabs>
      <w:spacing w:after="0" w:line="240" w:lineRule="auto"/>
    </w:pPr>
  </w:style>
  <w:style w:type="character" w:customStyle="1" w:styleId="En-tteCar">
    <w:name w:val="En-tête Car"/>
    <w:basedOn w:val="Policepardfaut"/>
    <w:link w:val="En-tte"/>
    <w:rsid w:val="0020485F"/>
    <w:rPr>
      <w:rFonts w:ascii="Calibri" w:eastAsia="Times New Roman" w:hAnsi="Calibri" w:cs="Times New Roman"/>
      <w:lang w:eastAsia="fr-FR"/>
    </w:rPr>
  </w:style>
  <w:style w:type="paragraph" w:customStyle="1" w:styleId="p28">
    <w:name w:val="p28"/>
    <w:basedOn w:val="Normal"/>
    <w:rsid w:val="0020485F"/>
    <w:pPr>
      <w:widowControl w:val="0"/>
      <w:tabs>
        <w:tab w:val="left" w:pos="680"/>
        <w:tab w:val="left" w:pos="1060"/>
      </w:tabs>
      <w:spacing w:after="0" w:line="240" w:lineRule="atLeast"/>
      <w:ind w:left="432" w:hanging="288"/>
    </w:pPr>
    <w:rPr>
      <w:rFonts w:ascii="Times New Roman" w:hAnsi="Times New Roman"/>
      <w:snapToGrid w:val="0"/>
      <w:sz w:val="24"/>
      <w:szCs w:val="20"/>
      <w:lang w:val="en-US" w:eastAsia="en-US"/>
    </w:rPr>
  </w:style>
  <w:style w:type="paragraph" w:styleId="Notedebasdepage">
    <w:name w:val="footnote text"/>
    <w:aliases w:val="Geneva 9,Font: Geneva 9,Boston 10,f,single space,Footnote,otnote Text,ft,Footnote Text Char Char Char,Footnote Text Char Char Char Char,Footnote Text Char Char,Footnote Text Char Char Char Char Char Char Char Char Char Char"/>
    <w:basedOn w:val="Normal"/>
    <w:link w:val="NotedebasdepageCar"/>
    <w:uiPriority w:val="99"/>
    <w:rsid w:val="0020485F"/>
    <w:pPr>
      <w:spacing w:after="0" w:line="240" w:lineRule="auto"/>
    </w:pPr>
    <w:rPr>
      <w:rFonts w:ascii="Times New Roman" w:hAnsi="Times New Roman"/>
      <w:sz w:val="20"/>
      <w:szCs w:val="20"/>
      <w:lang w:val="en-US" w:eastAsia="en-US"/>
    </w:rPr>
  </w:style>
  <w:style w:type="character" w:customStyle="1" w:styleId="NotedebasdepageCar">
    <w:name w:val="Note de bas de page Car"/>
    <w:aliases w:val="Geneva 9 Car,Font: Geneva 9 Car,Boston 10 Car,f Car,single space Car,Footnote Car,otnote Text Car,ft Car,Footnote Text Char Char Char Car,Footnote Text Char Char Char Char Car,Footnote Text Char Char Car"/>
    <w:basedOn w:val="Policepardfaut"/>
    <w:link w:val="Notedebasdepage"/>
    <w:uiPriority w:val="99"/>
    <w:rsid w:val="0020485F"/>
    <w:rPr>
      <w:rFonts w:ascii="Times New Roman" w:eastAsia="Times New Roman" w:hAnsi="Times New Roman" w:cs="Times New Roman"/>
      <w:sz w:val="20"/>
      <w:szCs w:val="20"/>
      <w:lang w:val="en-US"/>
    </w:rPr>
  </w:style>
  <w:style w:type="character" w:styleId="Appelnotedebasdep">
    <w:name w:val="footnote reference"/>
    <w:aliases w:val="16 Point,Superscript 6 Point,Superscript 6 Point + 11 pt,ftref,fr,Footnote Ref in FtNote,Style 24,o,SUPERS"/>
    <w:uiPriority w:val="99"/>
    <w:rsid w:val="0020485F"/>
    <w:rPr>
      <w:vertAlign w:val="superscript"/>
    </w:rPr>
  </w:style>
  <w:style w:type="paragraph" w:styleId="Lgende">
    <w:name w:val="caption"/>
    <w:basedOn w:val="Normal"/>
    <w:next w:val="Normal"/>
    <w:unhideWhenUsed/>
    <w:qFormat/>
    <w:rsid w:val="0020485F"/>
    <w:pPr>
      <w:spacing w:line="240" w:lineRule="auto"/>
    </w:pPr>
    <w:rPr>
      <w:rFonts w:ascii="Garamond" w:eastAsia="Calibri" w:hAnsi="Garamond"/>
      <w:b/>
      <w:bCs/>
      <w:szCs w:val="18"/>
      <w:lang w:val="en-US" w:eastAsia="en-US"/>
    </w:rPr>
  </w:style>
  <w:style w:type="character" w:customStyle="1" w:styleId="atendertext1">
    <w:name w:val="a_tender_text1"/>
    <w:rsid w:val="0020485F"/>
    <w:rPr>
      <w:rFonts w:ascii="Arial" w:hAnsi="Arial" w:cs="Arial" w:hint="default"/>
      <w:color w:val="000000"/>
      <w:sz w:val="20"/>
      <w:szCs w:val="20"/>
    </w:rPr>
  </w:style>
  <w:style w:type="paragraph" w:styleId="Textedebulles">
    <w:name w:val="Balloon Text"/>
    <w:basedOn w:val="Normal"/>
    <w:link w:val="TextedebullesCar"/>
    <w:uiPriority w:val="99"/>
    <w:semiHidden/>
    <w:unhideWhenUsed/>
    <w:rsid w:val="002048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85F"/>
    <w:rPr>
      <w:rFonts w:ascii="Tahoma" w:eastAsia="Times New Roman" w:hAnsi="Tahoma" w:cs="Tahoma"/>
      <w:sz w:val="16"/>
      <w:szCs w:val="16"/>
      <w:lang w:eastAsia="fr-FR"/>
    </w:rPr>
  </w:style>
  <w:style w:type="character" w:customStyle="1" w:styleId="Titre6Car">
    <w:name w:val="Titre 6 Car"/>
    <w:basedOn w:val="Policepardfaut"/>
    <w:link w:val="Titre6"/>
    <w:rsid w:val="00CB0329"/>
    <w:rPr>
      <w:rFonts w:ascii="Times New Roman" w:eastAsia="Times New Roman" w:hAnsi="Times New Roman" w:cs="Times New Roman"/>
      <w:b/>
      <w:bCs/>
      <w:sz w:val="20"/>
      <w:szCs w:val="24"/>
      <w:u w:val="single"/>
      <w:lang w:eastAsia="fr-FR"/>
    </w:rPr>
  </w:style>
  <w:style w:type="paragraph" w:styleId="Pieddepage">
    <w:name w:val="footer"/>
    <w:basedOn w:val="Normal"/>
    <w:link w:val="PieddepageCar"/>
    <w:uiPriority w:val="99"/>
    <w:rsid w:val="00CB0329"/>
    <w:pPr>
      <w:tabs>
        <w:tab w:val="center" w:pos="4536"/>
        <w:tab w:val="right" w:pos="9072"/>
      </w:tabs>
      <w:spacing w:after="0" w:line="240" w:lineRule="auto"/>
    </w:pPr>
    <w:rPr>
      <w:rFonts w:ascii="Times New Roman" w:hAnsi="Times New Roman"/>
      <w:sz w:val="24"/>
      <w:szCs w:val="24"/>
    </w:rPr>
  </w:style>
  <w:style w:type="character" w:customStyle="1" w:styleId="PieddepageCar">
    <w:name w:val="Pied de page Car"/>
    <w:basedOn w:val="Policepardfaut"/>
    <w:link w:val="Pieddepage"/>
    <w:uiPriority w:val="99"/>
    <w:rsid w:val="00CB032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brah04@yahoo.f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ss.un.org/dsswe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undp.org/evaluation/documents/guidance/GEF/GEF-TE-Guide_FR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eb.undp.org/evaluation/documents/guidance/GEF/GEF-TE-Guide_FRE.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awali.mahamane@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3537</Words>
  <Characters>19457</Characters>
  <Application>Microsoft Office Word</Application>
  <DocSecurity>0</DocSecurity>
  <Lines>162</Lines>
  <Paragraphs>45</Paragraphs>
  <ScaleCrop>false</ScaleCrop>
  <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2015-03-23T13:42:00Z</dcterms:created>
  <dcterms:modified xsi:type="dcterms:W3CDTF">2015-03-23T13:42:00Z</dcterms:modified>
</cp:coreProperties>
</file>