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563A1F" w:rsidRPr="00516656" w14:paraId="081F7BE8" w14:textId="77777777" w:rsidTr="00037CF1">
        <w:tc>
          <w:tcPr>
            <w:tcW w:w="2840" w:type="dxa"/>
          </w:tcPr>
          <w:p w14:paraId="19A51DF4" w14:textId="1118419C" w:rsidR="00563A1F" w:rsidRPr="00516656" w:rsidRDefault="00563A1F" w:rsidP="00563A1F">
            <w:r w:rsidRPr="00516656">
              <w:rPr>
                <w:noProof/>
                <w:lang w:val="en-US"/>
              </w:rPr>
              <w:drawing>
                <wp:inline distT="0" distB="0" distL="0" distR="0" wp14:anchorId="6A99C2FA" wp14:editId="0EA1D880">
                  <wp:extent cx="419588" cy="790372"/>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DP TAGline (2).jpg"/>
                          <pic:cNvPicPr/>
                        </pic:nvPicPr>
                        <pic:blipFill>
                          <a:blip r:embed="rId9">
                            <a:extLst>
                              <a:ext uri="{28A0092B-C50C-407E-A947-70E740481C1C}">
                                <a14:useLocalDpi xmlns:a14="http://schemas.microsoft.com/office/drawing/2010/main" val="0"/>
                              </a:ext>
                            </a:extLst>
                          </a:blip>
                          <a:stretch>
                            <a:fillRect/>
                          </a:stretch>
                        </pic:blipFill>
                        <pic:spPr>
                          <a:xfrm>
                            <a:off x="0" y="0"/>
                            <a:ext cx="420097" cy="791332"/>
                          </a:xfrm>
                          <a:prstGeom prst="rect">
                            <a:avLst/>
                          </a:prstGeom>
                        </pic:spPr>
                      </pic:pic>
                    </a:graphicData>
                  </a:graphic>
                </wp:inline>
              </w:drawing>
            </w:r>
          </w:p>
        </w:tc>
        <w:tc>
          <w:tcPr>
            <w:tcW w:w="2841" w:type="dxa"/>
          </w:tcPr>
          <w:p w14:paraId="6E7AD7C1" w14:textId="2ECB4DDB" w:rsidR="00563A1F" w:rsidRPr="00516656" w:rsidRDefault="00D87E01" w:rsidP="00563A1F">
            <w:pPr>
              <w:jc w:val="center"/>
            </w:pPr>
            <w:r>
              <w:rPr>
                <w:noProof/>
                <w:lang w:val="en-US"/>
              </w:rPr>
              <w:drawing>
                <wp:inline distT="0" distB="0" distL="0" distR="0" wp14:anchorId="4876A9B8" wp14:editId="0DFC4D33">
                  <wp:extent cx="762000" cy="7239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0">
                            <a:extLst>
                              <a:ext uri="{28A0092B-C50C-407E-A947-70E740481C1C}">
                                <a14:useLocalDpi xmlns:a14="http://schemas.microsoft.com/office/drawing/2010/main" val="0"/>
                              </a:ext>
                            </a:extLst>
                          </a:blip>
                          <a:stretch>
                            <a:fillRect/>
                          </a:stretch>
                        </pic:blipFill>
                        <pic:spPr>
                          <a:xfrm>
                            <a:off x="0" y="0"/>
                            <a:ext cx="762000" cy="723900"/>
                          </a:xfrm>
                          <a:prstGeom prst="rect">
                            <a:avLst/>
                          </a:prstGeom>
                        </pic:spPr>
                      </pic:pic>
                    </a:graphicData>
                  </a:graphic>
                </wp:inline>
              </w:drawing>
            </w:r>
          </w:p>
        </w:tc>
        <w:tc>
          <w:tcPr>
            <w:tcW w:w="2841" w:type="dxa"/>
          </w:tcPr>
          <w:p w14:paraId="79B3F734" w14:textId="1E6B23FC" w:rsidR="00563A1F" w:rsidRPr="00516656" w:rsidRDefault="00563A1F" w:rsidP="00563A1F">
            <w:pPr>
              <w:jc w:val="right"/>
            </w:pPr>
            <w:r w:rsidRPr="00516656">
              <w:rPr>
                <w:noProof/>
                <w:lang w:val="en-US"/>
              </w:rPr>
              <w:drawing>
                <wp:inline distT="0" distB="0" distL="0" distR="0" wp14:anchorId="0F504B8C" wp14:editId="166EFAE6">
                  <wp:extent cx="798576" cy="8412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gef logo.png"/>
                          <pic:cNvPicPr/>
                        </pic:nvPicPr>
                        <pic:blipFill>
                          <a:blip r:embed="rId11">
                            <a:extLst>
                              <a:ext uri="{28A0092B-C50C-407E-A947-70E740481C1C}">
                                <a14:useLocalDpi xmlns:a14="http://schemas.microsoft.com/office/drawing/2010/main" val="0"/>
                              </a:ext>
                            </a:extLst>
                          </a:blip>
                          <a:stretch>
                            <a:fillRect/>
                          </a:stretch>
                        </pic:blipFill>
                        <pic:spPr>
                          <a:xfrm>
                            <a:off x="0" y="0"/>
                            <a:ext cx="798576" cy="841248"/>
                          </a:xfrm>
                          <a:prstGeom prst="rect">
                            <a:avLst/>
                          </a:prstGeom>
                        </pic:spPr>
                      </pic:pic>
                    </a:graphicData>
                  </a:graphic>
                </wp:inline>
              </w:drawing>
            </w:r>
          </w:p>
        </w:tc>
      </w:tr>
    </w:tbl>
    <w:p w14:paraId="0FF0899B" w14:textId="77777777" w:rsidR="00563A1F" w:rsidRPr="00516656" w:rsidRDefault="00563A1F" w:rsidP="00563A1F">
      <w:pPr>
        <w:jc w:val="center"/>
      </w:pPr>
    </w:p>
    <w:p w14:paraId="75D99666" w14:textId="76F82680" w:rsidR="006E4432" w:rsidRPr="00516656" w:rsidRDefault="00D32912" w:rsidP="006E4432">
      <w:pPr>
        <w:pStyle w:val="CM6"/>
        <w:spacing w:after="472" w:line="413" w:lineRule="atLeast"/>
        <w:jc w:val="center"/>
        <w:rPr>
          <w:rFonts w:ascii="Arial" w:hAnsi="Arial" w:cs="Arial"/>
          <w:color w:val="000000"/>
          <w:sz w:val="36"/>
          <w:szCs w:val="36"/>
          <w:lang w:val="en-GB"/>
        </w:rPr>
      </w:pPr>
      <w:r>
        <w:rPr>
          <w:rFonts w:ascii="Arial" w:hAnsi="Arial" w:cs="Verdana"/>
          <w:b/>
          <w:color w:val="262626"/>
          <w:sz w:val="36"/>
          <w:szCs w:val="36"/>
          <w:lang w:val="en-GB"/>
        </w:rPr>
        <w:t xml:space="preserve">Improving the coverage and management effectiveness of PAs in the Central </w:t>
      </w:r>
      <w:proofErr w:type="spellStart"/>
      <w:r w:rsidR="00E67A02">
        <w:rPr>
          <w:rFonts w:ascii="Arial" w:hAnsi="Arial" w:cs="Verdana"/>
          <w:b/>
          <w:color w:val="262626"/>
          <w:sz w:val="36"/>
          <w:szCs w:val="36"/>
          <w:lang w:val="en-GB"/>
        </w:rPr>
        <w:t>Tian</w:t>
      </w:r>
      <w:proofErr w:type="spellEnd"/>
      <w:r>
        <w:rPr>
          <w:rFonts w:ascii="Arial" w:hAnsi="Arial" w:cs="Verdana"/>
          <w:b/>
          <w:color w:val="262626"/>
          <w:sz w:val="36"/>
          <w:szCs w:val="36"/>
          <w:lang w:val="en-GB"/>
        </w:rPr>
        <w:t xml:space="preserve"> Shan Mountains</w:t>
      </w:r>
    </w:p>
    <w:p w14:paraId="376BC4A3" w14:textId="4B11BF19" w:rsidR="006E4432" w:rsidRPr="00516656" w:rsidRDefault="006E4432" w:rsidP="006E4432">
      <w:pPr>
        <w:pStyle w:val="CM7"/>
        <w:spacing w:after="1107" w:line="276" w:lineRule="atLeast"/>
        <w:jc w:val="center"/>
        <w:rPr>
          <w:rFonts w:cs="Times New Roman PSMT"/>
          <w:color w:val="000000"/>
          <w:sz w:val="23"/>
          <w:szCs w:val="23"/>
          <w:lang w:val="en-GB"/>
        </w:rPr>
      </w:pPr>
      <w:r w:rsidRPr="00516656">
        <w:rPr>
          <w:rFonts w:cs="Times New Roman PSMT"/>
          <w:color w:val="000000"/>
          <w:sz w:val="23"/>
          <w:szCs w:val="23"/>
          <w:lang w:val="en-GB"/>
        </w:rPr>
        <w:t>PIMS 4</w:t>
      </w:r>
      <w:r w:rsidR="00D32912">
        <w:rPr>
          <w:rFonts w:cs="Times New Roman PSMT"/>
          <w:color w:val="000000"/>
          <w:sz w:val="23"/>
          <w:szCs w:val="23"/>
          <w:lang w:val="en-GB"/>
        </w:rPr>
        <w:t>934</w:t>
      </w:r>
    </w:p>
    <w:p w14:paraId="3C63652D" w14:textId="10E79273" w:rsidR="006E4432" w:rsidRPr="00516656" w:rsidRDefault="006E4432" w:rsidP="006E4432">
      <w:pPr>
        <w:pStyle w:val="CM7"/>
        <w:spacing w:after="120" w:line="323" w:lineRule="atLeast"/>
        <w:jc w:val="center"/>
        <w:rPr>
          <w:rFonts w:ascii="Arial" w:hAnsi="Arial" w:cs="Arial"/>
          <w:b/>
          <w:bCs/>
          <w:color w:val="000000"/>
          <w:sz w:val="28"/>
          <w:szCs w:val="28"/>
          <w:lang w:val="en-GB"/>
        </w:rPr>
      </w:pPr>
      <w:r w:rsidRPr="00516656">
        <w:rPr>
          <w:rFonts w:ascii="Arial" w:hAnsi="Arial" w:cs="Arial"/>
          <w:b/>
          <w:bCs/>
          <w:color w:val="000000"/>
          <w:sz w:val="28"/>
          <w:szCs w:val="28"/>
          <w:lang w:val="en-GB"/>
        </w:rPr>
        <w:t xml:space="preserve">Midterm Review, </w:t>
      </w:r>
      <w:r w:rsidR="001A33F0">
        <w:rPr>
          <w:rFonts w:ascii="Arial" w:hAnsi="Arial" w:cs="Arial"/>
          <w:b/>
          <w:bCs/>
          <w:color w:val="000000"/>
          <w:sz w:val="28"/>
          <w:szCs w:val="28"/>
          <w:lang w:val="en-GB"/>
        </w:rPr>
        <w:t>December</w:t>
      </w:r>
      <w:r w:rsidRPr="00516656">
        <w:rPr>
          <w:rFonts w:ascii="Arial" w:hAnsi="Arial" w:cs="Arial"/>
          <w:b/>
          <w:bCs/>
          <w:color w:val="000000"/>
          <w:sz w:val="28"/>
          <w:szCs w:val="28"/>
          <w:lang w:val="en-GB"/>
        </w:rPr>
        <w:t xml:space="preserve"> 2015</w:t>
      </w:r>
    </w:p>
    <w:p w14:paraId="4C2D3F85" w14:textId="11DAFAFA" w:rsidR="006E4432" w:rsidRPr="00516656" w:rsidRDefault="00EF0A07" w:rsidP="006E4432">
      <w:pPr>
        <w:pStyle w:val="CM7"/>
        <w:spacing w:after="1036" w:line="323" w:lineRule="atLeast"/>
        <w:jc w:val="center"/>
        <w:rPr>
          <w:rFonts w:ascii="Arial" w:hAnsi="Arial" w:cs="Arial"/>
          <w:color w:val="000000"/>
          <w:sz w:val="28"/>
          <w:szCs w:val="28"/>
          <w:lang w:val="en-GB"/>
        </w:rPr>
      </w:pPr>
      <w:r w:rsidRPr="00516656">
        <w:rPr>
          <w:rFonts w:ascii="Arial" w:hAnsi="Arial" w:cs="Arial"/>
          <w:b/>
          <w:bCs/>
          <w:color w:val="000000"/>
          <w:sz w:val="28"/>
          <w:szCs w:val="28"/>
          <w:lang w:val="en-GB"/>
        </w:rPr>
        <w:t>Volume I</w:t>
      </w:r>
    </w:p>
    <w:p w14:paraId="7EEAB8CA" w14:textId="1494658A" w:rsidR="006E4432" w:rsidRPr="00516656" w:rsidRDefault="00D32912" w:rsidP="006E4432">
      <w:pPr>
        <w:pStyle w:val="CM6"/>
        <w:spacing w:after="570" w:line="276" w:lineRule="atLeast"/>
        <w:jc w:val="center"/>
        <w:rPr>
          <w:rFonts w:cs="Times New Roman PSMT"/>
          <w:color w:val="000000"/>
          <w:sz w:val="23"/>
          <w:szCs w:val="23"/>
          <w:lang w:val="en-GB"/>
        </w:rPr>
      </w:pPr>
      <w:r>
        <w:rPr>
          <w:rFonts w:cs="Times New Roman PSMT"/>
          <w:color w:val="000000"/>
          <w:sz w:val="23"/>
          <w:szCs w:val="23"/>
          <w:lang w:val="en-GB"/>
        </w:rPr>
        <w:t>Kyrgyz Republic</w:t>
      </w:r>
    </w:p>
    <w:p w14:paraId="1D58BF62" w14:textId="54CFB125" w:rsidR="006E4432" w:rsidRPr="00516656" w:rsidRDefault="006E4432" w:rsidP="000850D9">
      <w:pPr>
        <w:pStyle w:val="CM7"/>
        <w:spacing w:after="120" w:line="276" w:lineRule="atLeast"/>
        <w:jc w:val="center"/>
        <w:rPr>
          <w:rFonts w:cs="Times New Roman PSMT"/>
          <w:color w:val="000000"/>
          <w:sz w:val="23"/>
          <w:szCs w:val="23"/>
          <w:lang w:val="en-GB"/>
        </w:rPr>
      </w:pPr>
      <w:r w:rsidRPr="00516656">
        <w:rPr>
          <w:rFonts w:cs="Times New Roman PSMT"/>
          <w:color w:val="000000"/>
          <w:sz w:val="23"/>
          <w:szCs w:val="23"/>
          <w:lang w:val="en-GB"/>
        </w:rPr>
        <w:t xml:space="preserve">GEF Focal Area: </w:t>
      </w:r>
      <w:r w:rsidR="00D32912">
        <w:rPr>
          <w:rFonts w:cs="Times New Roman PSMT"/>
          <w:color w:val="000000"/>
          <w:sz w:val="23"/>
          <w:szCs w:val="23"/>
          <w:lang w:val="en-GB"/>
        </w:rPr>
        <w:t xml:space="preserve">Biodiversity </w:t>
      </w:r>
      <w:r w:rsidR="00E302D5">
        <w:rPr>
          <w:rFonts w:cs="Times New Roman PSMT"/>
          <w:color w:val="000000"/>
          <w:sz w:val="23"/>
          <w:szCs w:val="23"/>
          <w:lang w:val="en-GB"/>
        </w:rPr>
        <w:t>Objective 1: Improve Sustainability of Protected Area Systems (BD1)</w:t>
      </w:r>
    </w:p>
    <w:p w14:paraId="4E1B3CA4" w14:textId="77777777" w:rsidR="000850D9" w:rsidRDefault="000850D9" w:rsidP="006E4432">
      <w:pPr>
        <w:pStyle w:val="CM8"/>
        <w:spacing w:after="232" w:line="276" w:lineRule="atLeast"/>
        <w:jc w:val="center"/>
        <w:rPr>
          <w:rFonts w:ascii="Times New Roman PS" w:hAnsi="Times New Roman PS" w:cs="Times New Roman PS"/>
          <w:b/>
          <w:bCs/>
          <w:color w:val="000000"/>
          <w:sz w:val="23"/>
          <w:szCs w:val="23"/>
          <w:lang w:val="en-GB"/>
        </w:rPr>
      </w:pPr>
    </w:p>
    <w:p w14:paraId="760572AD" w14:textId="77777777" w:rsidR="0024766C" w:rsidRDefault="0024766C" w:rsidP="0024766C">
      <w:pPr>
        <w:pStyle w:val="Default"/>
      </w:pPr>
    </w:p>
    <w:p w14:paraId="4A0D522E" w14:textId="77777777" w:rsidR="0024766C" w:rsidRDefault="0024766C" w:rsidP="0024766C">
      <w:pPr>
        <w:pStyle w:val="Default"/>
      </w:pPr>
    </w:p>
    <w:p w14:paraId="7C1687F2" w14:textId="77777777" w:rsidR="0024766C" w:rsidRDefault="0024766C" w:rsidP="0024766C">
      <w:pPr>
        <w:pStyle w:val="Default"/>
      </w:pPr>
    </w:p>
    <w:p w14:paraId="076A5BEF" w14:textId="77777777" w:rsidR="0024766C" w:rsidRDefault="0024766C" w:rsidP="0024766C">
      <w:pPr>
        <w:pStyle w:val="Default"/>
      </w:pPr>
    </w:p>
    <w:p w14:paraId="16558D9C" w14:textId="77777777" w:rsidR="0024766C" w:rsidRDefault="0024766C" w:rsidP="0024766C">
      <w:pPr>
        <w:pStyle w:val="Default"/>
      </w:pPr>
    </w:p>
    <w:p w14:paraId="6B264C79" w14:textId="77777777" w:rsidR="0024766C" w:rsidRPr="0024766C" w:rsidRDefault="0024766C" w:rsidP="0024766C">
      <w:pPr>
        <w:pStyle w:val="Default"/>
      </w:pPr>
    </w:p>
    <w:p w14:paraId="70B2D848" w14:textId="559BC4E7" w:rsidR="006E4432" w:rsidRPr="00516656" w:rsidRDefault="00E302D5" w:rsidP="006E4432">
      <w:pPr>
        <w:pStyle w:val="CM8"/>
        <w:spacing w:after="232" w:line="276" w:lineRule="atLeast"/>
        <w:jc w:val="center"/>
        <w:rPr>
          <w:rFonts w:ascii="Times New Roman PS" w:hAnsi="Times New Roman PS" w:cs="Times New Roman PS"/>
          <w:b/>
          <w:bCs/>
          <w:color w:val="000000"/>
          <w:sz w:val="23"/>
          <w:szCs w:val="23"/>
          <w:lang w:val="en-GB"/>
        </w:rPr>
      </w:pPr>
      <w:r>
        <w:rPr>
          <w:rFonts w:ascii="Times New Roman PS" w:hAnsi="Times New Roman PS" w:cs="Times New Roman PS"/>
          <w:b/>
          <w:bCs/>
          <w:color w:val="000000"/>
          <w:sz w:val="23"/>
          <w:szCs w:val="23"/>
          <w:lang w:val="en-GB"/>
        </w:rPr>
        <w:t>Kyrgyz Republic</w:t>
      </w:r>
    </w:p>
    <w:p w14:paraId="18203F84" w14:textId="2560A26E" w:rsidR="006E4432" w:rsidRPr="00516656" w:rsidRDefault="00E302D5" w:rsidP="006E4432">
      <w:pPr>
        <w:pStyle w:val="CM8"/>
        <w:spacing w:after="232" w:line="276" w:lineRule="atLeast"/>
        <w:jc w:val="center"/>
        <w:rPr>
          <w:rFonts w:ascii="Times New Roman PS" w:hAnsi="Times New Roman PS" w:cs="Times New Roman PS"/>
          <w:b/>
          <w:bCs/>
          <w:color w:val="000000"/>
          <w:sz w:val="23"/>
          <w:szCs w:val="23"/>
          <w:lang w:val="en-GB"/>
        </w:rPr>
      </w:pPr>
      <w:r>
        <w:rPr>
          <w:rFonts w:ascii="Times New Roman PS" w:hAnsi="Times New Roman PS" w:cs="Times New Roman PS"/>
          <w:b/>
          <w:bCs/>
          <w:color w:val="000000"/>
          <w:sz w:val="23"/>
          <w:szCs w:val="23"/>
          <w:lang w:val="en-GB"/>
        </w:rPr>
        <w:t>State Agency for Environmental Protection and Forestry</w:t>
      </w:r>
    </w:p>
    <w:p w14:paraId="28315A16" w14:textId="77777777" w:rsidR="006E4432" w:rsidRPr="00516656" w:rsidRDefault="006E4432" w:rsidP="006E4432">
      <w:pPr>
        <w:pStyle w:val="CM7"/>
        <w:spacing w:after="1107" w:line="276" w:lineRule="atLeast"/>
        <w:jc w:val="center"/>
        <w:rPr>
          <w:rFonts w:ascii="Times New Roman PS" w:hAnsi="Times New Roman PS" w:cs="Times New Roman PS"/>
          <w:color w:val="000000"/>
          <w:sz w:val="23"/>
          <w:szCs w:val="23"/>
          <w:lang w:val="en-GB"/>
        </w:rPr>
      </w:pPr>
      <w:r w:rsidRPr="00516656">
        <w:rPr>
          <w:rFonts w:ascii="Times New Roman PS" w:hAnsi="Times New Roman PS" w:cs="Times New Roman PS"/>
          <w:b/>
          <w:bCs/>
          <w:color w:val="000000"/>
          <w:sz w:val="23"/>
          <w:szCs w:val="23"/>
          <w:lang w:val="en-GB"/>
        </w:rPr>
        <w:t xml:space="preserve">United National Development Program (UNDP) </w:t>
      </w:r>
    </w:p>
    <w:p w14:paraId="0859BB23" w14:textId="45830574" w:rsidR="006E4432" w:rsidRPr="00516656" w:rsidRDefault="00872F2C" w:rsidP="006E4432">
      <w:pPr>
        <w:pStyle w:val="CM1"/>
        <w:jc w:val="center"/>
        <w:rPr>
          <w:rFonts w:cs="Times New Roman PSMT"/>
          <w:color w:val="000000"/>
          <w:sz w:val="23"/>
          <w:szCs w:val="23"/>
          <w:lang w:val="en-GB"/>
        </w:rPr>
      </w:pPr>
      <w:r>
        <w:rPr>
          <w:rFonts w:cs="Times New Roman PSMT"/>
          <w:color w:val="000000"/>
          <w:sz w:val="23"/>
          <w:szCs w:val="23"/>
          <w:lang w:val="en-GB"/>
        </w:rPr>
        <w:t>Stuart Williams</w:t>
      </w:r>
    </w:p>
    <w:p w14:paraId="2FFDB45E" w14:textId="77777777" w:rsidR="000850D9" w:rsidRPr="00516656" w:rsidRDefault="000850D9" w:rsidP="000850D9">
      <w:pPr>
        <w:pStyle w:val="Default"/>
        <w:rPr>
          <w:lang w:val="en-GB"/>
        </w:rPr>
      </w:pPr>
    </w:p>
    <w:p w14:paraId="7F1F35F7" w14:textId="1735E81D" w:rsidR="006D6157" w:rsidRPr="00516656" w:rsidRDefault="006D6157" w:rsidP="000850D9">
      <w:pPr>
        <w:pStyle w:val="Default"/>
        <w:jc w:val="center"/>
        <w:rPr>
          <w:lang w:val="en-GB"/>
        </w:rPr>
      </w:pPr>
    </w:p>
    <w:p w14:paraId="1D9EB800" w14:textId="77777777" w:rsidR="006D6157" w:rsidRPr="00516656" w:rsidRDefault="006D6157">
      <w:pPr>
        <w:spacing w:after="0"/>
        <w:sectPr w:rsidR="006D6157" w:rsidRPr="00516656" w:rsidSect="008D1AB5">
          <w:headerReference w:type="default" r:id="rId12"/>
          <w:footerReference w:type="even" r:id="rId13"/>
          <w:footerReference w:type="default" r:id="rId14"/>
          <w:pgSz w:w="11900" w:h="16840"/>
          <w:pgMar w:top="1440" w:right="1797" w:bottom="1440" w:left="1797" w:header="709" w:footer="709" w:gutter="0"/>
          <w:pgNumType w:fmt="lowerRoman" w:start="1"/>
          <w:cols w:space="708"/>
          <w:titlePg/>
          <w:docGrid w:linePitch="360"/>
        </w:sectPr>
      </w:pPr>
    </w:p>
    <w:p w14:paraId="0C56B652" w14:textId="76E2F61C" w:rsidR="00563A1F" w:rsidRPr="00516656" w:rsidRDefault="00A00266" w:rsidP="006B0551">
      <w:pPr>
        <w:pStyle w:val="Heading1"/>
        <w:numPr>
          <w:ilvl w:val="0"/>
          <w:numId w:val="0"/>
        </w:numPr>
        <w:pBdr>
          <w:bottom w:val="single" w:sz="12" w:space="1" w:color="auto"/>
        </w:pBdr>
        <w:ind w:left="432" w:hanging="432"/>
      </w:pPr>
      <w:bookmarkStart w:id="0" w:name="_Toc311452852"/>
      <w:r w:rsidRPr="00516656">
        <w:lastRenderedPageBreak/>
        <w:t>Acknowledgements</w:t>
      </w:r>
      <w:bookmarkEnd w:id="0"/>
    </w:p>
    <w:p w14:paraId="4343F3CF" w14:textId="77777777" w:rsidR="006B0551" w:rsidRPr="00516656" w:rsidRDefault="006B0551" w:rsidP="006B0551"/>
    <w:p w14:paraId="195DF0BF" w14:textId="34A621CE" w:rsidR="001F5055" w:rsidRDefault="001F5055" w:rsidP="006061AA">
      <w:pPr>
        <w:jc w:val="both"/>
      </w:pPr>
      <w:r>
        <w:t>I</w:t>
      </w:r>
      <w:r w:rsidR="006061AA" w:rsidRPr="00516656">
        <w:t xml:space="preserve"> would like to thank </w:t>
      </w:r>
      <w:r>
        <w:t xml:space="preserve">all the many people who worked hard to make the mission to Kyrgyzstan a success.  Most particularly, I would like to thanks Kumar </w:t>
      </w:r>
      <w:proofErr w:type="spellStart"/>
      <w:r>
        <w:t>Kylychev</w:t>
      </w:r>
      <w:proofErr w:type="spellEnd"/>
      <w:r w:rsidR="00EE25E5">
        <w:t xml:space="preserve">, </w:t>
      </w:r>
      <w:proofErr w:type="spellStart"/>
      <w:r w:rsidR="00EE25E5">
        <w:t>Nazgul</w:t>
      </w:r>
      <w:proofErr w:type="spellEnd"/>
      <w:r w:rsidR="00EE25E5">
        <w:t xml:space="preserve"> </w:t>
      </w:r>
      <w:proofErr w:type="spellStart"/>
      <w:r w:rsidR="00EE25E5">
        <w:t>Turdumatova</w:t>
      </w:r>
      <w:proofErr w:type="spellEnd"/>
      <w:r w:rsidR="00EE25E5">
        <w:t xml:space="preserve"> and Jamal </w:t>
      </w:r>
      <w:proofErr w:type="spellStart"/>
      <w:r w:rsidR="00EE25E5">
        <w:t>Akmato</w:t>
      </w:r>
      <w:r w:rsidR="008B4B14">
        <w:t>va</w:t>
      </w:r>
      <w:proofErr w:type="spellEnd"/>
      <w:r w:rsidR="008B4B14">
        <w:t xml:space="preserve"> for organising the mission.</w:t>
      </w:r>
    </w:p>
    <w:p w14:paraId="42C01950" w14:textId="7904109D" w:rsidR="009D78BA" w:rsidRPr="00516656" w:rsidRDefault="008B4B14" w:rsidP="006061AA">
      <w:pPr>
        <w:jc w:val="both"/>
      </w:pPr>
      <w:r>
        <w:t xml:space="preserve">The project team </w:t>
      </w:r>
      <w:r w:rsidR="006061AA" w:rsidRPr="00516656">
        <w:t>g</w:t>
      </w:r>
      <w:r>
        <w:t>ave me</w:t>
      </w:r>
      <w:r w:rsidR="006061AA" w:rsidRPr="00516656">
        <w:t xml:space="preserve"> their time during the mission in </w:t>
      </w:r>
      <w:proofErr w:type="spellStart"/>
      <w:r>
        <w:t>Kyrygyzstan</w:t>
      </w:r>
      <w:proofErr w:type="spellEnd"/>
      <w:r>
        <w:t xml:space="preserve"> and </w:t>
      </w:r>
      <w:r w:rsidR="006061AA" w:rsidRPr="00516656">
        <w:t xml:space="preserve">patiently answered all of </w:t>
      </w:r>
      <w:r>
        <w:t>my</w:t>
      </w:r>
      <w:r w:rsidR="006061AA" w:rsidRPr="00516656">
        <w:t xml:space="preserve"> questions and requests for clarification, and organized the entire mission including all the meetings that </w:t>
      </w:r>
      <w:r>
        <w:t>I</w:t>
      </w:r>
      <w:r w:rsidR="006061AA" w:rsidRPr="00516656">
        <w:t xml:space="preserve"> had with </w:t>
      </w:r>
      <w:r>
        <w:t>a</w:t>
      </w:r>
      <w:r w:rsidR="006061AA" w:rsidRPr="00516656">
        <w:t xml:space="preserve"> broad range of stakeholders. </w:t>
      </w:r>
      <w:r>
        <w:t>I am</w:t>
      </w:r>
      <w:r w:rsidR="00726E4B" w:rsidRPr="00516656">
        <w:t xml:space="preserve"> indebted to </w:t>
      </w:r>
      <w:r>
        <w:t>them</w:t>
      </w:r>
      <w:r w:rsidR="00726E4B" w:rsidRPr="00516656">
        <w:t xml:space="preserve"> as the mission’s success and efficiency was a result of </w:t>
      </w:r>
      <w:r>
        <w:t>their</w:t>
      </w:r>
      <w:r w:rsidR="00726E4B" w:rsidRPr="00516656">
        <w:t xml:space="preserve"> efforts.  </w:t>
      </w:r>
      <w:r>
        <w:t xml:space="preserve">I am especially </w:t>
      </w:r>
      <w:r w:rsidR="006061AA" w:rsidRPr="00516656">
        <w:t xml:space="preserve">grateful to </w:t>
      </w:r>
      <w:r>
        <w:t xml:space="preserve">Jamal </w:t>
      </w:r>
      <w:proofErr w:type="spellStart"/>
      <w:r>
        <w:t>Akmatova</w:t>
      </w:r>
      <w:proofErr w:type="spellEnd"/>
      <w:r w:rsidR="006061AA" w:rsidRPr="00516656">
        <w:t xml:space="preserve"> for the extra efforts to which </w:t>
      </w:r>
      <w:r>
        <w:t>s</w:t>
      </w:r>
      <w:r w:rsidR="006061AA" w:rsidRPr="00516656">
        <w:t xml:space="preserve">he went in order to make the </w:t>
      </w:r>
      <w:r>
        <w:t>mission</w:t>
      </w:r>
      <w:r w:rsidR="00726E4B" w:rsidRPr="00516656">
        <w:t xml:space="preserve"> a success.  </w:t>
      </w:r>
      <w:r w:rsidR="00A268DA">
        <w:t xml:space="preserve">I am also grateful to all the people that I met during the mission, many of whom I met out of working hours.  </w:t>
      </w:r>
      <w:r w:rsidR="00726E4B" w:rsidRPr="00516656">
        <w:t xml:space="preserve">Wherever </w:t>
      </w:r>
      <w:r w:rsidR="00A268DA">
        <w:t>I</w:t>
      </w:r>
      <w:r w:rsidR="00726E4B" w:rsidRPr="00516656">
        <w:t xml:space="preserve"> went, </w:t>
      </w:r>
      <w:r w:rsidR="00A268DA">
        <w:t>I was</w:t>
      </w:r>
      <w:r w:rsidR="00726E4B" w:rsidRPr="00516656">
        <w:t xml:space="preserve"> warmly and hospitably received.</w:t>
      </w:r>
      <w:r w:rsidR="009D78BA">
        <w:t xml:space="preserve">  </w:t>
      </w:r>
      <w:proofErr w:type="spellStart"/>
      <w:r w:rsidR="009D78BA">
        <w:t>Kalipa</w:t>
      </w:r>
      <w:proofErr w:type="spellEnd"/>
      <w:r w:rsidR="009D78BA">
        <w:t xml:space="preserve"> </w:t>
      </w:r>
      <w:proofErr w:type="spellStart"/>
      <w:r w:rsidR="009D78BA">
        <w:t>Djaparova</w:t>
      </w:r>
      <w:proofErr w:type="spellEnd"/>
      <w:r w:rsidR="009D78BA">
        <w:t xml:space="preserve"> provided both much information on Kyrgyzstan and excellent interpretation during many of the meetings that I had with stakeholders.</w:t>
      </w:r>
    </w:p>
    <w:p w14:paraId="0C4388BE" w14:textId="491072F2" w:rsidR="006061AA" w:rsidRPr="00516656" w:rsidRDefault="006061AA" w:rsidP="006061AA">
      <w:pPr>
        <w:jc w:val="both"/>
      </w:pPr>
      <w:r w:rsidRPr="00516656">
        <w:t xml:space="preserve">The evaluation is intended to give a summary of what has been achieved in the project </w:t>
      </w:r>
      <w:r w:rsidR="00726E4B" w:rsidRPr="00516656">
        <w:t xml:space="preserve">to date </w:t>
      </w:r>
      <w:r w:rsidRPr="00516656">
        <w:t xml:space="preserve">as well a glean some of the lessons that can be learned from it in what was a relatively short period.  In the report, </w:t>
      </w:r>
      <w:r w:rsidR="00A268DA">
        <w:t>I</w:t>
      </w:r>
      <w:r w:rsidRPr="00516656">
        <w:t xml:space="preserve"> have tried to offer constructive criticism where </w:t>
      </w:r>
      <w:r w:rsidR="00A268DA">
        <w:t>I</w:t>
      </w:r>
      <w:r w:rsidRPr="00516656">
        <w:t xml:space="preserve"> think it is warranted and </w:t>
      </w:r>
      <w:r w:rsidR="00A268DA">
        <w:t>I</w:t>
      </w:r>
      <w:r w:rsidRPr="00516656">
        <w:t xml:space="preserve"> hope that those involved in the project take it as such.</w:t>
      </w:r>
    </w:p>
    <w:p w14:paraId="7EEC6907" w14:textId="7C911C1F" w:rsidR="006061AA" w:rsidRPr="00516656" w:rsidRDefault="006061AA" w:rsidP="006061AA">
      <w:pPr>
        <w:jc w:val="both"/>
        <w:rPr>
          <w:rFonts w:cs="Times New Roman"/>
        </w:rPr>
      </w:pPr>
      <w:r w:rsidRPr="00516656">
        <w:t xml:space="preserve">Finally, it is a pleasure to be welcomed </w:t>
      </w:r>
      <w:r w:rsidR="00A268DA">
        <w:t>to Kyrgyzstan</w:t>
      </w:r>
      <w:r w:rsidRPr="00516656">
        <w:t xml:space="preserve">, to be shown around with such evident pride and to see wonderful places.  </w:t>
      </w:r>
      <w:r w:rsidR="00A268DA">
        <w:t>I</w:t>
      </w:r>
      <w:r w:rsidRPr="00516656">
        <w:t xml:space="preserve"> saw the results of the dedication and enthusiasm that people had put into the work of conserving important places in the world.  </w:t>
      </w:r>
      <w:r w:rsidR="00A268DA">
        <w:t>I</w:t>
      </w:r>
      <w:r w:rsidRPr="00516656">
        <w:t xml:space="preserve"> would like to offer </w:t>
      </w:r>
      <w:r w:rsidR="00A268DA">
        <w:t>everyone involved</w:t>
      </w:r>
      <w:r w:rsidRPr="00516656">
        <w:t xml:space="preserve"> </w:t>
      </w:r>
      <w:r w:rsidR="00A268DA">
        <w:t>my</w:t>
      </w:r>
      <w:r w:rsidRPr="00516656">
        <w:t xml:space="preserve"> thanks and wish them every success in their continuing endeavours.</w:t>
      </w:r>
    </w:p>
    <w:p w14:paraId="55DE33AF" w14:textId="77777777" w:rsidR="007C4811" w:rsidRPr="00516656" w:rsidRDefault="007C4811" w:rsidP="007C4811">
      <w:pPr>
        <w:jc w:val="both"/>
        <w:rPr>
          <w:rFonts w:cs="Times New Roman"/>
        </w:rPr>
      </w:pPr>
    </w:p>
    <w:tbl>
      <w:tblPr>
        <w:tblW w:w="0" w:type="auto"/>
        <w:tblLook w:val="00A0" w:firstRow="1" w:lastRow="0" w:firstColumn="1" w:lastColumn="0" w:noHBand="0" w:noVBand="0"/>
      </w:tblPr>
      <w:tblGrid>
        <w:gridCol w:w="2129"/>
        <w:gridCol w:w="1489"/>
        <w:gridCol w:w="4898"/>
      </w:tblGrid>
      <w:tr w:rsidR="001F5055" w:rsidRPr="00516656" w14:paraId="506E92DE" w14:textId="77777777" w:rsidTr="001F5055">
        <w:tc>
          <w:tcPr>
            <w:tcW w:w="2129" w:type="dxa"/>
            <w:shd w:val="clear" w:color="auto" w:fill="auto"/>
          </w:tcPr>
          <w:p w14:paraId="4871929F" w14:textId="77777777" w:rsidR="001F5055" w:rsidRPr="00516656" w:rsidRDefault="001F5055" w:rsidP="007C4811">
            <w:pPr>
              <w:jc w:val="both"/>
              <w:rPr>
                <w:rFonts w:cs="Times New Roman"/>
                <w:lang w:bidi="x-none"/>
              </w:rPr>
            </w:pPr>
          </w:p>
        </w:tc>
        <w:tc>
          <w:tcPr>
            <w:tcW w:w="1489" w:type="dxa"/>
            <w:shd w:val="clear" w:color="auto" w:fill="auto"/>
          </w:tcPr>
          <w:p w14:paraId="4812B3A1" w14:textId="77777777" w:rsidR="001F5055" w:rsidRPr="00516656" w:rsidRDefault="001F5055" w:rsidP="007C4811">
            <w:pPr>
              <w:jc w:val="both"/>
              <w:rPr>
                <w:rFonts w:cs="Times New Roman"/>
                <w:lang w:bidi="x-none"/>
              </w:rPr>
            </w:pPr>
          </w:p>
        </w:tc>
        <w:tc>
          <w:tcPr>
            <w:tcW w:w="4898" w:type="dxa"/>
            <w:shd w:val="clear" w:color="auto" w:fill="auto"/>
          </w:tcPr>
          <w:p w14:paraId="5D6E498B" w14:textId="77777777" w:rsidR="001F5055" w:rsidRPr="00516656" w:rsidRDefault="001F5055" w:rsidP="00576965">
            <w:pPr>
              <w:jc w:val="right"/>
              <w:rPr>
                <w:rFonts w:cs="Times New Roman"/>
                <w:lang w:bidi="x-none"/>
              </w:rPr>
            </w:pPr>
            <w:r w:rsidRPr="00516656">
              <w:rPr>
                <w:rFonts w:cs="Times New Roman"/>
                <w:lang w:bidi="x-none"/>
              </w:rPr>
              <w:fldChar w:fldCharType="begin"/>
            </w:r>
            <w:r w:rsidRPr="00516656">
              <w:rPr>
                <w:rFonts w:cs="Times New Roman"/>
                <w:lang w:bidi="x-none"/>
              </w:rPr>
              <w:instrText xml:space="preserve"> CONTACT _Con-3E757A8C1 \c \s \l </w:instrText>
            </w:r>
            <w:r w:rsidRPr="00516656">
              <w:rPr>
                <w:rFonts w:cs="Times New Roman"/>
                <w:lang w:bidi="x-none"/>
              </w:rPr>
              <w:fldChar w:fldCharType="separate"/>
            </w:r>
            <w:r w:rsidRPr="00516656">
              <w:rPr>
                <w:rFonts w:cs="Times New Roman"/>
                <w:noProof/>
                <w:lang w:bidi="x-none"/>
              </w:rPr>
              <w:t>Stuart Williams</w:t>
            </w:r>
            <w:r w:rsidRPr="00516656">
              <w:rPr>
                <w:rFonts w:cs="Times New Roman"/>
                <w:lang w:bidi="x-none"/>
              </w:rPr>
              <w:fldChar w:fldCharType="end"/>
            </w:r>
          </w:p>
          <w:p w14:paraId="3B1C86DD" w14:textId="6B083834" w:rsidR="001F5055" w:rsidRPr="00516656" w:rsidRDefault="001F5055" w:rsidP="00AB3EF4">
            <w:pPr>
              <w:jc w:val="right"/>
              <w:rPr>
                <w:rFonts w:cs="Times New Roman"/>
                <w:lang w:bidi="x-none"/>
              </w:rPr>
            </w:pPr>
            <w:r w:rsidRPr="00516656">
              <w:rPr>
                <w:rFonts w:cs="Times New Roman"/>
                <w:lang w:bidi="x-none"/>
              </w:rPr>
              <w:t>Kampala, Uganda</w:t>
            </w:r>
          </w:p>
        </w:tc>
      </w:tr>
    </w:tbl>
    <w:p w14:paraId="3D052C89" w14:textId="14BC8270" w:rsidR="007C4811" w:rsidRPr="00516656" w:rsidRDefault="007C4811" w:rsidP="007C4811">
      <w:pPr>
        <w:rPr>
          <w:rFonts w:cs="Times New Roman"/>
        </w:rPr>
      </w:pPr>
    </w:p>
    <w:p w14:paraId="759D272D" w14:textId="516FB0EC" w:rsidR="008D1AB5" w:rsidRPr="00516656" w:rsidRDefault="00292337" w:rsidP="008D1AB5">
      <w:pPr>
        <w:jc w:val="right"/>
        <w:rPr>
          <w:rFonts w:cs="Times New Roman"/>
        </w:rPr>
      </w:pPr>
      <w:r>
        <w:rPr>
          <w:rFonts w:cs="Times New Roman"/>
        </w:rPr>
        <w:t>December</w:t>
      </w:r>
      <w:r w:rsidR="00576965" w:rsidRPr="00516656">
        <w:rPr>
          <w:rFonts w:cs="Times New Roman"/>
        </w:rPr>
        <w:t xml:space="preserve"> 2015</w:t>
      </w:r>
    </w:p>
    <w:p w14:paraId="0B5C9B1F" w14:textId="77777777" w:rsidR="006D6157" w:rsidRPr="00516656" w:rsidRDefault="006D6157">
      <w:pPr>
        <w:spacing w:after="0"/>
        <w:rPr>
          <w:rFonts w:cs="Times New Roman"/>
        </w:rPr>
      </w:pPr>
    </w:p>
    <w:p w14:paraId="62A2036D" w14:textId="77777777" w:rsidR="006D6157" w:rsidRPr="00516656" w:rsidRDefault="006D6157">
      <w:pPr>
        <w:spacing w:after="0"/>
        <w:rPr>
          <w:rFonts w:cs="Times New Roman"/>
        </w:rPr>
        <w:sectPr w:rsidR="006D6157" w:rsidRPr="00516656" w:rsidSect="006D6157">
          <w:pgSz w:w="11900" w:h="16840"/>
          <w:pgMar w:top="1440" w:right="1797" w:bottom="1440" w:left="1797" w:header="709" w:footer="709" w:gutter="0"/>
          <w:pgNumType w:fmt="lowerRoman"/>
          <w:cols w:space="708"/>
          <w:titlePg/>
          <w:docGrid w:linePitch="360"/>
        </w:sectPr>
      </w:pPr>
    </w:p>
    <w:p w14:paraId="07670F0B" w14:textId="77777777" w:rsidR="00D940A2" w:rsidRPr="00516656" w:rsidRDefault="00683205">
      <w:pPr>
        <w:pBdr>
          <w:bottom w:val="single" w:sz="12" w:space="1" w:color="auto"/>
        </w:pBdr>
        <w:rPr>
          <w:rFonts w:asciiTheme="majorHAnsi" w:hAnsiTheme="majorHAnsi"/>
          <w:b/>
          <w:color w:val="365F91" w:themeColor="accent1" w:themeShade="BF"/>
          <w:sz w:val="32"/>
          <w:szCs w:val="32"/>
        </w:rPr>
      </w:pPr>
      <w:r w:rsidRPr="00516656">
        <w:rPr>
          <w:rFonts w:asciiTheme="majorHAnsi" w:hAnsiTheme="majorHAnsi"/>
          <w:b/>
          <w:color w:val="365F91" w:themeColor="accent1" w:themeShade="BF"/>
          <w:sz w:val="32"/>
          <w:szCs w:val="32"/>
        </w:rPr>
        <w:t>Table of Contents</w:t>
      </w:r>
    </w:p>
    <w:p w14:paraId="03CF2C87" w14:textId="77777777" w:rsidR="006B0551" w:rsidRPr="00516656" w:rsidRDefault="006B0551"/>
    <w:p w14:paraId="7C3138BE" w14:textId="77777777" w:rsidR="005D64FA" w:rsidRDefault="006F30D4">
      <w:pPr>
        <w:pStyle w:val="TOC1"/>
        <w:tabs>
          <w:tab w:val="right" w:leader="dot" w:pos="8296"/>
        </w:tabs>
        <w:rPr>
          <w:rFonts w:asciiTheme="minorHAnsi" w:hAnsiTheme="minorHAnsi"/>
          <w:noProof/>
          <w:lang w:eastAsia="ja-JP"/>
        </w:rPr>
      </w:pPr>
      <w:r w:rsidRPr="00516656">
        <w:fldChar w:fldCharType="begin"/>
      </w:r>
      <w:r w:rsidRPr="00516656">
        <w:instrText xml:space="preserve"> TOC \o "1-3" </w:instrText>
      </w:r>
      <w:r w:rsidRPr="00516656">
        <w:fldChar w:fldCharType="separate"/>
      </w:r>
      <w:r w:rsidR="005D64FA">
        <w:rPr>
          <w:noProof/>
        </w:rPr>
        <w:t>Acknowledgements</w:t>
      </w:r>
      <w:r w:rsidR="005D64FA">
        <w:rPr>
          <w:noProof/>
        </w:rPr>
        <w:tab/>
      </w:r>
      <w:r w:rsidR="005D64FA">
        <w:rPr>
          <w:noProof/>
        </w:rPr>
        <w:fldChar w:fldCharType="begin"/>
      </w:r>
      <w:r w:rsidR="005D64FA">
        <w:rPr>
          <w:noProof/>
        </w:rPr>
        <w:instrText xml:space="preserve"> PAGEREF _Toc311452852 \h </w:instrText>
      </w:r>
      <w:r w:rsidR="005D64FA">
        <w:rPr>
          <w:noProof/>
        </w:rPr>
      </w:r>
      <w:r w:rsidR="005D64FA">
        <w:rPr>
          <w:noProof/>
        </w:rPr>
        <w:fldChar w:fldCharType="separate"/>
      </w:r>
      <w:r w:rsidR="005D64FA">
        <w:rPr>
          <w:noProof/>
        </w:rPr>
        <w:t>ii</w:t>
      </w:r>
      <w:r w:rsidR="005D64FA">
        <w:rPr>
          <w:noProof/>
        </w:rPr>
        <w:fldChar w:fldCharType="end"/>
      </w:r>
    </w:p>
    <w:p w14:paraId="075AC64A" w14:textId="77777777" w:rsidR="005D64FA" w:rsidRDefault="005D64FA">
      <w:pPr>
        <w:pStyle w:val="TOC1"/>
        <w:tabs>
          <w:tab w:val="right" w:leader="dot" w:pos="8296"/>
        </w:tabs>
        <w:rPr>
          <w:rFonts w:asciiTheme="minorHAnsi" w:hAnsiTheme="minorHAnsi"/>
          <w:noProof/>
          <w:lang w:eastAsia="ja-JP"/>
        </w:rPr>
      </w:pPr>
      <w:r>
        <w:rPr>
          <w:noProof/>
        </w:rPr>
        <w:t>Acronyms, Abbreviations and Glossary</w:t>
      </w:r>
      <w:r>
        <w:rPr>
          <w:noProof/>
        </w:rPr>
        <w:tab/>
      </w:r>
      <w:r>
        <w:rPr>
          <w:noProof/>
        </w:rPr>
        <w:fldChar w:fldCharType="begin"/>
      </w:r>
      <w:r>
        <w:rPr>
          <w:noProof/>
        </w:rPr>
        <w:instrText xml:space="preserve"> PAGEREF _Toc311452853 \h </w:instrText>
      </w:r>
      <w:r>
        <w:rPr>
          <w:noProof/>
        </w:rPr>
      </w:r>
      <w:r>
        <w:rPr>
          <w:noProof/>
        </w:rPr>
        <w:fldChar w:fldCharType="separate"/>
      </w:r>
      <w:r>
        <w:rPr>
          <w:noProof/>
        </w:rPr>
        <w:t>vi</w:t>
      </w:r>
      <w:r>
        <w:rPr>
          <w:noProof/>
        </w:rPr>
        <w:fldChar w:fldCharType="end"/>
      </w:r>
    </w:p>
    <w:p w14:paraId="4075C2B3" w14:textId="77777777" w:rsidR="005D64FA" w:rsidRDefault="005D64FA">
      <w:pPr>
        <w:pStyle w:val="TOC1"/>
        <w:tabs>
          <w:tab w:val="left" w:pos="360"/>
          <w:tab w:val="right" w:leader="dot" w:pos="8296"/>
        </w:tabs>
        <w:rPr>
          <w:rFonts w:asciiTheme="minorHAnsi" w:hAnsiTheme="minorHAnsi"/>
          <w:noProof/>
          <w:lang w:eastAsia="ja-JP"/>
        </w:rPr>
      </w:pPr>
      <w:r>
        <w:rPr>
          <w:noProof/>
        </w:rPr>
        <w:t>1</w:t>
      </w:r>
      <w:r>
        <w:rPr>
          <w:rFonts w:asciiTheme="minorHAnsi" w:hAnsiTheme="minorHAnsi"/>
          <w:noProof/>
          <w:lang w:eastAsia="ja-JP"/>
        </w:rPr>
        <w:tab/>
      </w:r>
      <w:r>
        <w:rPr>
          <w:noProof/>
        </w:rPr>
        <w:t>Executive Summary</w:t>
      </w:r>
      <w:r>
        <w:rPr>
          <w:noProof/>
        </w:rPr>
        <w:tab/>
      </w:r>
      <w:r>
        <w:rPr>
          <w:noProof/>
        </w:rPr>
        <w:fldChar w:fldCharType="begin"/>
      </w:r>
      <w:r>
        <w:rPr>
          <w:noProof/>
        </w:rPr>
        <w:instrText xml:space="preserve"> PAGEREF _Toc311452854 \h </w:instrText>
      </w:r>
      <w:r>
        <w:rPr>
          <w:noProof/>
        </w:rPr>
      </w:r>
      <w:r>
        <w:rPr>
          <w:noProof/>
        </w:rPr>
        <w:fldChar w:fldCharType="separate"/>
      </w:r>
      <w:r>
        <w:rPr>
          <w:noProof/>
        </w:rPr>
        <w:t>viii</w:t>
      </w:r>
      <w:r>
        <w:rPr>
          <w:noProof/>
        </w:rPr>
        <w:fldChar w:fldCharType="end"/>
      </w:r>
    </w:p>
    <w:p w14:paraId="00BB2140" w14:textId="77777777" w:rsidR="005D64FA" w:rsidRDefault="005D64FA">
      <w:pPr>
        <w:pStyle w:val="TOC2"/>
        <w:tabs>
          <w:tab w:val="right" w:leader="dot" w:pos="8296"/>
        </w:tabs>
        <w:rPr>
          <w:rFonts w:asciiTheme="minorHAnsi" w:hAnsiTheme="minorHAnsi"/>
          <w:noProof/>
          <w:lang w:eastAsia="ja-JP"/>
        </w:rPr>
      </w:pPr>
      <w:r>
        <w:rPr>
          <w:noProof/>
        </w:rPr>
        <w:t>Project Information Table</w:t>
      </w:r>
      <w:r>
        <w:rPr>
          <w:noProof/>
        </w:rPr>
        <w:tab/>
      </w:r>
      <w:r>
        <w:rPr>
          <w:noProof/>
        </w:rPr>
        <w:fldChar w:fldCharType="begin"/>
      </w:r>
      <w:r>
        <w:rPr>
          <w:noProof/>
        </w:rPr>
        <w:instrText xml:space="preserve"> PAGEREF _Toc311452855 \h </w:instrText>
      </w:r>
      <w:r>
        <w:rPr>
          <w:noProof/>
        </w:rPr>
      </w:r>
      <w:r>
        <w:rPr>
          <w:noProof/>
        </w:rPr>
        <w:fldChar w:fldCharType="separate"/>
      </w:r>
      <w:r>
        <w:rPr>
          <w:noProof/>
        </w:rPr>
        <w:t>viii</w:t>
      </w:r>
      <w:r>
        <w:rPr>
          <w:noProof/>
        </w:rPr>
        <w:fldChar w:fldCharType="end"/>
      </w:r>
    </w:p>
    <w:p w14:paraId="25F74E06" w14:textId="77777777" w:rsidR="005D64FA" w:rsidRDefault="005D64FA">
      <w:pPr>
        <w:pStyle w:val="TOC2"/>
        <w:tabs>
          <w:tab w:val="right" w:leader="dot" w:pos="8296"/>
        </w:tabs>
        <w:rPr>
          <w:rFonts w:asciiTheme="minorHAnsi" w:hAnsiTheme="minorHAnsi"/>
          <w:noProof/>
          <w:lang w:eastAsia="ja-JP"/>
        </w:rPr>
      </w:pPr>
      <w:r>
        <w:rPr>
          <w:noProof/>
        </w:rPr>
        <w:t>Project Description</w:t>
      </w:r>
      <w:r>
        <w:rPr>
          <w:noProof/>
        </w:rPr>
        <w:tab/>
      </w:r>
      <w:r>
        <w:rPr>
          <w:noProof/>
        </w:rPr>
        <w:fldChar w:fldCharType="begin"/>
      </w:r>
      <w:r>
        <w:rPr>
          <w:noProof/>
        </w:rPr>
        <w:instrText xml:space="preserve"> PAGEREF _Toc311452856 \h </w:instrText>
      </w:r>
      <w:r>
        <w:rPr>
          <w:noProof/>
        </w:rPr>
      </w:r>
      <w:r>
        <w:rPr>
          <w:noProof/>
        </w:rPr>
        <w:fldChar w:fldCharType="separate"/>
      </w:r>
      <w:r>
        <w:rPr>
          <w:noProof/>
        </w:rPr>
        <w:t>viii</w:t>
      </w:r>
      <w:r>
        <w:rPr>
          <w:noProof/>
        </w:rPr>
        <w:fldChar w:fldCharType="end"/>
      </w:r>
    </w:p>
    <w:p w14:paraId="1B78F162" w14:textId="77777777" w:rsidR="005D64FA" w:rsidRDefault="005D64FA">
      <w:pPr>
        <w:pStyle w:val="TOC2"/>
        <w:tabs>
          <w:tab w:val="right" w:leader="dot" w:pos="8296"/>
        </w:tabs>
        <w:rPr>
          <w:rFonts w:asciiTheme="minorHAnsi" w:hAnsiTheme="minorHAnsi"/>
          <w:noProof/>
          <w:lang w:eastAsia="ja-JP"/>
        </w:rPr>
      </w:pPr>
      <w:r>
        <w:rPr>
          <w:noProof/>
        </w:rPr>
        <w:t>Progress towards Results</w:t>
      </w:r>
      <w:r>
        <w:rPr>
          <w:noProof/>
        </w:rPr>
        <w:tab/>
      </w:r>
      <w:r>
        <w:rPr>
          <w:noProof/>
        </w:rPr>
        <w:fldChar w:fldCharType="begin"/>
      </w:r>
      <w:r>
        <w:rPr>
          <w:noProof/>
        </w:rPr>
        <w:instrText xml:space="preserve"> PAGEREF _Toc311452857 \h </w:instrText>
      </w:r>
      <w:r>
        <w:rPr>
          <w:noProof/>
        </w:rPr>
      </w:r>
      <w:r>
        <w:rPr>
          <w:noProof/>
        </w:rPr>
        <w:fldChar w:fldCharType="separate"/>
      </w:r>
      <w:r>
        <w:rPr>
          <w:noProof/>
        </w:rPr>
        <w:t>ix</w:t>
      </w:r>
      <w:r>
        <w:rPr>
          <w:noProof/>
        </w:rPr>
        <w:fldChar w:fldCharType="end"/>
      </w:r>
    </w:p>
    <w:p w14:paraId="09D0FA3C" w14:textId="77777777" w:rsidR="005D64FA" w:rsidRDefault="005D64FA">
      <w:pPr>
        <w:pStyle w:val="TOC2"/>
        <w:tabs>
          <w:tab w:val="right" w:leader="dot" w:pos="8296"/>
        </w:tabs>
        <w:rPr>
          <w:rFonts w:asciiTheme="minorHAnsi" w:hAnsiTheme="minorHAnsi"/>
          <w:noProof/>
          <w:lang w:eastAsia="ja-JP"/>
        </w:rPr>
      </w:pPr>
      <w:r>
        <w:rPr>
          <w:noProof/>
        </w:rPr>
        <w:t>MTR Ratings &amp; Achievement Summary Table for UNDP-GEF Project “Improving the Coverage and Management Effectiveness of Protected Areas in the Central Tian Shan Mountains”</w:t>
      </w:r>
      <w:r>
        <w:rPr>
          <w:noProof/>
        </w:rPr>
        <w:tab/>
      </w:r>
      <w:r>
        <w:rPr>
          <w:noProof/>
        </w:rPr>
        <w:fldChar w:fldCharType="begin"/>
      </w:r>
      <w:r>
        <w:rPr>
          <w:noProof/>
        </w:rPr>
        <w:instrText xml:space="preserve"> PAGEREF _Toc311452858 \h </w:instrText>
      </w:r>
      <w:r>
        <w:rPr>
          <w:noProof/>
        </w:rPr>
      </w:r>
      <w:r>
        <w:rPr>
          <w:noProof/>
        </w:rPr>
        <w:fldChar w:fldCharType="separate"/>
      </w:r>
      <w:r>
        <w:rPr>
          <w:noProof/>
        </w:rPr>
        <w:t>xii</w:t>
      </w:r>
      <w:r>
        <w:rPr>
          <w:noProof/>
        </w:rPr>
        <w:fldChar w:fldCharType="end"/>
      </w:r>
    </w:p>
    <w:p w14:paraId="311C7F6A" w14:textId="77777777" w:rsidR="005D64FA" w:rsidRDefault="005D64FA">
      <w:pPr>
        <w:pStyle w:val="TOC2"/>
        <w:tabs>
          <w:tab w:val="right" w:leader="dot" w:pos="8296"/>
        </w:tabs>
        <w:rPr>
          <w:rFonts w:asciiTheme="minorHAnsi" w:hAnsiTheme="minorHAnsi"/>
          <w:noProof/>
          <w:lang w:eastAsia="ja-JP"/>
        </w:rPr>
      </w:pPr>
      <w:r>
        <w:rPr>
          <w:noProof/>
        </w:rPr>
        <w:t>Summary of conclusions</w:t>
      </w:r>
      <w:r>
        <w:rPr>
          <w:noProof/>
        </w:rPr>
        <w:tab/>
      </w:r>
      <w:r>
        <w:rPr>
          <w:noProof/>
        </w:rPr>
        <w:fldChar w:fldCharType="begin"/>
      </w:r>
      <w:r>
        <w:rPr>
          <w:noProof/>
        </w:rPr>
        <w:instrText xml:space="preserve"> PAGEREF _Toc311452859 \h </w:instrText>
      </w:r>
      <w:r>
        <w:rPr>
          <w:noProof/>
        </w:rPr>
      </w:r>
      <w:r>
        <w:rPr>
          <w:noProof/>
        </w:rPr>
        <w:fldChar w:fldCharType="separate"/>
      </w:r>
      <w:r>
        <w:rPr>
          <w:noProof/>
        </w:rPr>
        <w:t>xiv</w:t>
      </w:r>
      <w:r>
        <w:rPr>
          <w:noProof/>
        </w:rPr>
        <w:fldChar w:fldCharType="end"/>
      </w:r>
    </w:p>
    <w:p w14:paraId="2D50DCC3" w14:textId="77777777" w:rsidR="005D64FA" w:rsidRDefault="005D64FA">
      <w:pPr>
        <w:pStyle w:val="TOC2"/>
        <w:tabs>
          <w:tab w:val="right" w:leader="dot" w:pos="8296"/>
        </w:tabs>
        <w:rPr>
          <w:rFonts w:asciiTheme="minorHAnsi" w:hAnsiTheme="minorHAnsi"/>
          <w:noProof/>
          <w:lang w:eastAsia="ja-JP"/>
        </w:rPr>
      </w:pPr>
      <w:r>
        <w:rPr>
          <w:noProof/>
        </w:rPr>
        <w:t>Recommendation Summary Table</w:t>
      </w:r>
      <w:r>
        <w:rPr>
          <w:noProof/>
        </w:rPr>
        <w:tab/>
      </w:r>
      <w:r>
        <w:rPr>
          <w:noProof/>
        </w:rPr>
        <w:fldChar w:fldCharType="begin"/>
      </w:r>
      <w:r>
        <w:rPr>
          <w:noProof/>
        </w:rPr>
        <w:instrText xml:space="preserve"> PAGEREF _Toc311452860 \h </w:instrText>
      </w:r>
      <w:r>
        <w:rPr>
          <w:noProof/>
        </w:rPr>
      </w:r>
      <w:r>
        <w:rPr>
          <w:noProof/>
        </w:rPr>
        <w:fldChar w:fldCharType="separate"/>
      </w:r>
      <w:r>
        <w:rPr>
          <w:noProof/>
        </w:rPr>
        <w:t>xiv</w:t>
      </w:r>
      <w:r>
        <w:rPr>
          <w:noProof/>
        </w:rPr>
        <w:fldChar w:fldCharType="end"/>
      </w:r>
    </w:p>
    <w:p w14:paraId="1231FF78" w14:textId="77777777" w:rsidR="005D64FA" w:rsidRDefault="005D64FA">
      <w:pPr>
        <w:pStyle w:val="TOC1"/>
        <w:tabs>
          <w:tab w:val="left" w:pos="360"/>
          <w:tab w:val="right" w:leader="dot" w:pos="8296"/>
        </w:tabs>
        <w:rPr>
          <w:rFonts w:asciiTheme="minorHAnsi" w:hAnsiTheme="minorHAnsi"/>
          <w:noProof/>
          <w:lang w:eastAsia="ja-JP"/>
        </w:rPr>
      </w:pPr>
      <w:r>
        <w:rPr>
          <w:noProof/>
        </w:rPr>
        <w:t>2</w:t>
      </w:r>
      <w:r>
        <w:rPr>
          <w:rFonts w:asciiTheme="minorHAnsi" w:hAnsiTheme="minorHAnsi"/>
          <w:noProof/>
          <w:lang w:eastAsia="ja-JP"/>
        </w:rPr>
        <w:tab/>
      </w:r>
      <w:r>
        <w:rPr>
          <w:noProof/>
        </w:rPr>
        <w:t>Introduction</w:t>
      </w:r>
      <w:r>
        <w:rPr>
          <w:noProof/>
        </w:rPr>
        <w:tab/>
      </w:r>
      <w:r>
        <w:rPr>
          <w:noProof/>
        </w:rPr>
        <w:fldChar w:fldCharType="begin"/>
      </w:r>
      <w:r>
        <w:rPr>
          <w:noProof/>
        </w:rPr>
        <w:instrText xml:space="preserve"> PAGEREF _Toc311452861 \h </w:instrText>
      </w:r>
      <w:r>
        <w:rPr>
          <w:noProof/>
        </w:rPr>
      </w:r>
      <w:r>
        <w:rPr>
          <w:noProof/>
        </w:rPr>
        <w:fldChar w:fldCharType="separate"/>
      </w:r>
      <w:r>
        <w:rPr>
          <w:noProof/>
        </w:rPr>
        <w:t>1</w:t>
      </w:r>
      <w:r>
        <w:rPr>
          <w:noProof/>
        </w:rPr>
        <w:fldChar w:fldCharType="end"/>
      </w:r>
    </w:p>
    <w:p w14:paraId="23225987" w14:textId="77777777" w:rsidR="005D64FA" w:rsidRDefault="005D64FA">
      <w:pPr>
        <w:pStyle w:val="TOC2"/>
        <w:tabs>
          <w:tab w:val="left" w:pos="780"/>
          <w:tab w:val="right" w:leader="dot" w:pos="8296"/>
        </w:tabs>
        <w:rPr>
          <w:rFonts w:asciiTheme="minorHAnsi" w:hAnsiTheme="minorHAnsi"/>
          <w:noProof/>
          <w:lang w:eastAsia="ja-JP"/>
        </w:rPr>
      </w:pPr>
      <w:r>
        <w:rPr>
          <w:noProof/>
        </w:rPr>
        <w:t>2.1</w:t>
      </w:r>
      <w:r>
        <w:rPr>
          <w:rFonts w:asciiTheme="minorHAnsi" w:hAnsiTheme="minorHAnsi"/>
          <w:noProof/>
          <w:lang w:eastAsia="ja-JP"/>
        </w:rPr>
        <w:tab/>
      </w:r>
      <w:r>
        <w:rPr>
          <w:noProof/>
        </w:rPr>
        <w:t>Purpose of the review</w:t>
      </w:r>
      <w:r>
        <w:rPr>
          <w:noProof/>
        </w:rPr>
        <w:tab/>
      </w:r>
      <w:r>
        <w:rPr>
          <w:noProof/>
        </w:rPr>
        <w:fldChar w:fldCharType="begin"/>
      </w:r>
      <w:r>
        <w:rPr>
          <w:noProof/>
        </w:rPr>
        <w:instrText xml:space="preserve"> PAGEREF _Toc311452862 \h </w:instrText>
      </w:r>
      <w:r>
        <w:rPr>
          <w:noProof/>
        </w:rPr>
      </w:r>
      <w:r>
        <w:rPr>
          <w:noProof/>
        </w:rPr>
        <w:fldChar w:fldCharType="separate"/>
      </w:r>
      <w:r>
        <w:rPr>
          <w:noProof/>
        </w:rPr>
        <w:t>1</w:t>
      </w:r>
      <w:r>
        <w:rPr>
          <w:noProof/>
        </w:rPr>
        <w:fldChar w:fldCharType="end"/>
      </w:r>
    </w:p>
    <w:p w14:paraId="77D15157" w14:textId="77777777" w:rsidR="005D64FA" w:rsidRDefault="005D64FA">
      <w:pPr>
        <w:pStyle w:val="TOC2"/>
        <w:tabs>
          <w:tab w:val="left" w:pos="780"/>
          <w:tab w:val="right" w:leader="dot" w:pos="8296"/>
        </w:tabs>
        <w:rPr>
          <w:rFonts w:asciiTheme="minorHAnsi" w:hAnsiTheme="minorHAnsi"/>
          <w:noProof/>
          <w:lang w:eastAsia="ja-JP"/>
        </w:rPr>
      </w:pPr>
      <w:r>
        <w:rPr>
          <w:noProof/>
        </w:rPr>
        <w:t>2.2</w:t>
      </w:r>
      <w:r>
        <w:rPr>
          <w:rFonts w:asciiTheme="minorHAnsi" w:hAnsiTheme="minorHAnsi"/>
          <w:noProof/>
          <w:lang w:eastAsia="ja-JP"/>
        </w:rPr>
        <w:tab/>
      </w:r>
      <w:r>
        <w:rPr>
          <w:noProof/>
        </w:rPr>
        <w:t>Scope &amp; Methodology</w:t>
      </w:r>
      <w:r>
        <w:rPr>
          <w:noProof/>
        </w:rPr>
        <w:tab/>
      </w:r>
      <w:r>
        <w:rPr>
          <w:noProof/>
        </w:rPr>
        <w:fldChar w:fldCharType="begin"/>
      </w:r>
      <w:r>
        <w:rPr>
          <w:noProof/>
        </w:rPr>
        <w:instrText xml:space="preserve"> PAGEREF _Toc311452863 \h </w:instrText>
      </w:r>
      <w:r>
        <w:rPr>
          <w:noProof/>
        </w:rPr>
      </w:r>
      <w:r>
        <w:rPr>
          <w:noProof/>
        </w:rPr>
        <w:fldChar w:fldCharType="separate"/>
      </w:r>
      <w:r>
        <w:rPr>
          <w:noProof/>
        </w:rPr>
        <w:t>1</w:t>
      </w:r>
      <w:r>
        <w:rPr>
          <w:noProof/>
        </w:rPr>
        <w:fldChar w:fldCharType="end"/>
      </w:r>
    </w:p>
    <w:p w14:paraId="342A6F21" w14:textId="77777777" w:rsidR="005D64FA" w:rsidRDefault="005D64FA">
      <w:pPr>
        <w:pStyle w:val="TOC2"/>
        <w:tabs>
          <w:tab w:val="left" w:pos="780"/>
          <w:tab w:val="right" w:leader="dot" w:pos="8296"/>
        </w:tabs>
        <w:rPr>
          <w:rFonts w:asciiTheme="minorHAnsi" w:hAnsiTheme="minorHAnsi"/>
          <w:noProof/>
          <w:lang w:eastAsia="ja-JP"/>
        </w:rPr>
      </w:pPr>
      <w:r>
        <w:rPr>
          <w:noProof/>
        </w:rPr>
        <w:t>2.3</w:t>
      </w:r>
      <w:r>
        <w:rPr>
          <w:rFonts w:asciiTheme="minorHAnsi" w:hAnsiTheme="minorHAnsi"/>
          <w:noProof/>
          <w:lang w:eastAsia="ja-JP"/>
        </w:rPr>
        <w:tab/>
      </w:r>
      <w:r>
        <w:rPr>
          <w:noProof/>
        </w:rPr>
        <w:t>Structure of the review report</w:t>
      </w:r>
      <w:r>
        <w:rPr>
          <w:noProof/>
        </w:rPr>
        <w:tab/>
      </w:r>
      <w:r>
        <w:rPr>
          <w:noProof/>
        </w:rPr>
        <w:fldChar w:fldCharType="begin"/>
      </w:r>
      <w:r>
        <w:rPr>
          <w:noProof/>
        </w:rPr>
        <w:instrText xml:space="preserve"> PAGEREF _Toc311452864 \h </w:instrText>
      </w:r>
      <w:r>
        <w:rPr>
          <w:noProof/>
        </w:rPr>
      </w:r>
      <w:r>
        <w:rPr>
          <w:noProof/>
        </w:rPr>
        <w:fldChar w:fldCharType="separate"/>
      </w:r>
      <w:r>
        <w:rPr>
          <w:noProof/>
        </w:rPr>
        <w:t>2</w:t>
      </w:r>
      <w:r>
        <w:rPr>
          <w:noProof/>
        </w:rPr>
        <w:fldChar w:fldCharType="end"/>
      </w:r>
    </w:p>
    <w:p w14:paraId="5AF6123D" w14:textId="77777777" w:rsidR="005D64FA" w:rsidRDefault="005D64FA">
      <w:pPr>
        <w:pStyle w:val="TOC1"/>
        <w:tabs>
          <w:tab w:val="left" w:pos="360"/>
          <w:tab w:val="right" w:leader="dot" w:pos="8296"/>
        </w:tabs>
        <w:rPr>
          <w:rFonts w:asciiTheme="minorHAnsi" w:hAnsiTheme="minorHAnsi"/>
          <w:noProof/>
          <w:lang w:eastAsia="ja-JP"/>
        </w:rPr>
      </w:pPr>
      <w:r>
        <w:rPr>
          <w:noProof/>
        </w:rPr>
        <w:t>3</w:t>
      </w:r>
      <w:r>
        <w:rPr>
          <w:rFonts w:asciiTheme="minorHAnsi" w:hAnsiTheme="minorHAnsi"/>
          <w:noProof/>
          <w:lang w:eastAsia="ja-JP"/>
        </w:rPr>
        <w:tab/>
      </w:r>
      <w:r>
        <w:rPr>
          <w:noProof/>
        </w:rPr>
        <w:t>Project description and background context</w:t>
      </w:r>
      <w:r>
        <w:rPr>
          <w:noProof/>
        </w:rPr>
        <w:tab/>
      </w:r>
      <w:r>
        <w:rPr>
          <w:noProof/>
        </w:rPr>
        <w:fldChar w:fldCharType="begin"/>
      </w:r>
      <w:r>
        <w:rPr>
          <w:noProof/>
        </w:rPr>
        <w:instrText xml:space="preserve"> PAGEREF _Toc311452865 \h </w:instrText>
      </w:r>
      <w:r>
        <w:rPr>
          <w:noProof/>
        </w:rPr>
      </w:r>
      <w:r>
        <w:rPr>
          <w:noProof/>
        </w:rPr>
        <w:fldChar w:fldCharType="separate"/>
      </w:r>
      <w:r>
        <w:rPr>
          <w:noProof/>
        </w:rPr>
        <w:t>3</w:t>
      </w:r>
      <w:r>
        <w:rPr>
          <w:noProof/>
        </w:rPr>
        <w:fldChar w:fldCharType="end"/>
      </w:r>
    </w:p>
    <w:p w14:paraId="2D26926A" w14:textId="77777777" w:rsidR="005D64FA" w:rsidRDefault="005D64FA">
      <w:pPr>
        <w:pStyle w:val="TOC2"/>
        <w:tabs>
          <w:tab w:val="left" w:pos="780"/>
          <w:tab w:val="right" w:leader="dot" w:pos="8296"/>
        </w:tabs>
        <w:rPr>
          <w:rFonts w:asciiTheme="minorHAnsi" w:hAnsiTheme="minorHAnsi"/>
          <w:noProof/>
          <w:lang w:eastAsia="ja-JP"/>
        </w:rPr>
      </w:pPr>
      <w:r>
        <w:rPr>
          <w:noProof/>
        </w:rPr>
        <w:t>3.1</w:t>
      </w:r>
      <w:r>
        <w:rPr>
          <w:rFonts w:asciiTheme="minorHAnsi" w:hAnsiTheme="minorHAnsi"/>
          <w:noProof/>
          <w:lang w:eastAsia="ja-JP"/>
        </w:rPr>
        <w:tab/>
      </w:r>
      <w:r>
        <w:rPr>
          <w:noProof/>
        </w:rPr>
        <w:t>Development context (environmental, socio-economic, institutional, policy factors relevant to project objectives and scope)</w:t>
      </w:r>
      <w:r>
        <w:rPr>
          <w:noProof/>
        </w:rPr>
        <w:tab/>
      </w:r>
      <w:r>
        <w:rPr>
          <w:noProof/>
        </w:rPr>
        <w:fldChar w:fldCharType="begin"/>
      </w:r>
      <w:r>
        <w:rPr>
          <w:noProof/>
        </w:rPr>
        <w:instrText xml:space="preserve"> PAGEREF _Toc311452866 \h </w:instrText>
      </w:r>
      <w:r>
        <w:rPr>
          <w:noProof/>
        </w:rPr>
      </w:r>
      <w:r>
        <w:rPr>
          <w:noProof/>
        </w:rPr>
        <w:fldChar w:fldCharType="separate"/>
      </w:r>
      <w:r>
        <w:rPr>
          <w:noProof/>
        </w:rPr>
        <w:t>3</w:t>
      </w:r>
      <w:r>
        <w:rPr>
          <w:noProof/>
        </w:rPr>
        <w:fldChar w:fldCharType="end"/>
      </w:r>
    </w:p>
    <w:p w14:paraId="3BCBC7B2" w14:textId="77777777" w:rsidR="005D64FA" w:rsidRDefault="005D64FA">
      <w:pPr>
        <w:pStyle w:val="TOC2"/>
        <w:tabs>
          <w:tab w:val="left" w:pos="780"/>
          <w:tab w:val="right" w:leader="dot" w:pos="8296"/>
        </w:tabs>
        <w:rPr>
          <w:rFonts w:asciiTheme="minorHAnsi" w:hAnsiTheme="minorHAnsi"/>
          <w:noProof/>
          <w:lang w:eastAsia="ja-JP"/>
        </w:rPr>
      </w:pPr>
      <w:r>
        <w:rPr>
          <w:noProof/>
        </w:rPr>
        <w:t>3.2</w:t>
      </w:r>
      <w:r>
        <w:rPr>
          <w:rFonts w:asciiTheme="minorHAnsi" w:hAnsiTheme="minorHAnsi"/>
          <w:noProof/>
          <w:lang w:eastAsia="ja-JP"/>
        </w:rPr>
        <w:tab/>
      </w:r>
      <w:r>
        <w:rPr>
          <w:noProof/>
        </w:rPr>
        <w:t>Problems that the project sought to address</w:t>
      </w:r>
      <w:r>
        <w:rPr>
          <w:noProof/>
        </w:rPr>
        <w:tab/>
      </w:r>
      <w:r>
        <w:rPr>
          <w:noProof/>
        </w:rPr>
        <w:fldChar w:fldCharType="begin"/>
      </w:r>
      <w:r>
        <w:rPr>
          <w:noProof/>
        </w:rPr>
        <w:instrText xml:space="preserve"> PAGEREF _Toc311452867 \h </w:instrText>
      </w:r>
      <w:r>
        <w:rPr>
          <w:noProof/>
        </w:rPr>
      </w:r>
      <w:r>
        <w:rPr>
          <w:noProof/>
        </w:rPr>
        <w:fldChar w:fldCharType="separate"/>
      </w:r>
      <w:r>
        <w:rPr>
          <w:noProof/>
        </w:rPr>
        <w:t>4</w:t>
      </w:r>
      <w:r>
        <w:rPr>
          <w:noProof/>
        </w:rPr>
        <w:fldChar w:fldCharType="end"/>
      </w:r>
    </w:p>
    <w:p w14:paraId="13B8D3AE" w14:textId="77777777" w:rsidR="005D64FA" w:rsidRDefault="005D64FA">
      <w:pPr>
        <w:pStyle w:val="TOC2"/>
        <w:tabs>
          <w:tab w:val="left" w:pos="780"/>
          <w:tab w:val="right" w:leader="dot" w:pos="8296"/>
        </w:tabs>
        <w:rPr>
          <w:rFonts w:asciiTheme="minorHAnsi" w:hAnsiTheme="minorHAnsi"/>
          <w:noProof/>
          <w:lang w:eastAsia="ja-JP"/>
        </w:rPr>
      </w:pPr>
      <w:r>
        <w:rPr>
          <w:noProof/>
        </w:rPr>
        <w:t>3.3</w:t>
      </w:r>
      <w:r>
        <w:rPr>
          <w:rFonts w:asciiTheme="minorHAnsi" w:hAnsiTheme="minorHAnsi"/>
          <w:noProof/>
          <w:lang w:eastAsia="ja-JP"/>
        </w:rPr>
        <w:tab/>
      </w:r>
      <w:r>
        <w:rPr>
          <w:noProof/>
        </w:rPr>
        <w:t>Project description and strategy (objectives, outcomes and expected results and description of field sites</w:t>
      </w:r>
      <w:r>
        <w:rPr>
          <w:noProof/>
        </w:rPr>
        <w:tab/>
      </w:r>
      <w:r>
        <w:rPr>
          <w:noProof/>
        </w:rPr>
        <w:fldChar w:fldCharType="begin"/>
      </w:r>
      <w:r>
        <w:rPr>
          <w:noProof/>
        </w:rPr>
        <w:instrText xml:space="preserve"> PAGEREF _Toc311452868 \h </w:instrText>
      </w:r>
      <w:r>
        <w:rPr>
          <w:noProof/>
        </w:rPr>
      </w:r>
      <w:r>
        <w:rPr>
          <w:noProof/>
        </w:rPr>
        <w:fldChar w:fldCharType="separate"/>
      </w:r>
      <w:r>
        <w:rPr>
          <w:noProof/>
        </w:rPr>
        <w:t>5</w:t>
      </w:r>
      <w:r>
        <w:rPr>
          <w:noProof/>
        </w:rPr>
        <w:fldChar w:fldCharType="end"/>
      </w:r>
    </w:p>
    <w:p w14:paraId="349D6FC9" w14:textId="77777777" w:rsidR="005D64FA" w:rsidRDefault="005D64FA">
      <w:pPr>
        <w:pStyle w:val="TOC2"/>
        <w:tabs>
          <w:tab w:val="left" w:pos="780"/>
          <w:tab w:val="right" w:leader="dot" w:pos="8296"/>
        </w:tabs>
        <w:rPr>
          <w:rFonts w:asciiTheme="minorHAnsi" w:hAnsiTheme="minorHAnsi"/>
          <w:noProof/>
          <w:lang w:eastAsia="ja-JP"/>
        </w:rPr>
      </w:pPr>
      <w:r>
        <w:rPr>
          <w:noProof/>
        </w:rPr>
        <w:t>3.4</w:t>
      </w:r>
      <w:r>
        <w:rPr>
          <w:rFonts w:asciiTheme="minorHAnsi" w:hAnsiTheme="minorHAnsi"/>
          <w:noProof/>
          <w:lang w:eastAsia="ja-JP"/>
        </w:rPr>
        <w:tab/>
      </w:r>
      <w:r>
        <w:rPr>
          <w:noProof/>
        </w:rPr>
        <w:t>Project Implementation Arrangements</w:t>
      </w:r>
      <w:r>
        <w:rPr>
          <w:noProof/>
        </w:rPr>
        <w:tab/>
      </w:r>
      <w:r>
        <w:rPr>
          <w:noProof/>
        </w:rPr>
        <w:fldChar w:fldCharType="begin"/>
      </w:r>
      <w:r>
        <w:rPr>
          <w:noProof/>
        </w:rPr>
        <w:instrText xml:space="preserve"> PAGEREF _Toc311452869 \h </w:instrText>
      </w:r>
      <w:r>
        <w:rPr>
          <w:noProof/>
        </w:rPr>
      </w:r>
      <w:r>
        <w:rPr>
          <w:noProof/>
        </w:rPr>
        <w:fldChar w:fldCharType="separate"/>
      </w:r>
      <w:r>
        <w:rPr>
          <w:noProof/>
        </w:rPr>
        <w:t>7</w:t>
      </w:r>
      <w:r>
        <w:rPr>
          <w:noProof/>
        </w:rPr>
        <w:fldChar w:fldCharType="end"/>
      </w:r>
    </w:p>
    <w:p w14:paraId="16D646FE" w14:textId="77777777" w:rsidR="005D64FA" w:rsidRDefault="005D64FA">
      <w:pPr>
        <w:pStyle w:val="TOC2"/>
        <w:tabs>
          <w:tab w:val="left" w:pos="780"/>
          <w:tab w:val="right" w:leader="dot" w:pos="8296"/>
        </w:tabs>
        <w:rPr>
          <w:rFonts w:asciiTheme="minorHAnsi" w:hAnsiTheme="minorHAnsi"/>
          <w:noProof/>
          <w:lang w:eastAsia="ja-JP"/>
        </w:rPr>
      </w:pPr>
      <w:r>
        <w:rPr>
          <w:noProof/>
        </w:rPr>
        <w:t>3.5</w:t>
      </w:r>
      <w:r>
        <w:rPr>
          <w:rFonts w:asciiTheme="minorHAnsi" w:hAnsiTheme="minorHAnsi"/>
          <w:noProof/>
          <w:lang w:eastAsia="ja-JP"/>
        </w:rPr>
        <w:tab/>
      </w:r>
      <w:r>
        <w:rPr>
          <w:noProof/>
        </w:rPr>
        <w:t>Project timing and milestones</w:t>
      </w:r>
      <w:r>
        <w:rPr>
          <w:noProof/>
        </w:rPr>
        <w:tab/>
      </w:r>
      <w:r>
        <w:rPr>
          <w:noProof/>
        </w:rPr>
        <w:fldChar w:fldCharType="begin"/>
      </w:r>
      <w:r>
        <w:rPr>
          <w:noProof/>
        </w:rPr>
        <w:instrText xml:space="preserve"> PAGEREF _Toc311452870 \h </w:instrText>
      </w:r>
      <w:r>
        <w:rPr>
          <w:noProof/>
        </w:rPr>
      </w:r>
      <w:r>
        <w:rPr>
          <w:noProof/>
        </w:rPr>
        <w:fldChar w:fldCharType="separate"/>
      </w:r>
      <w:r>
        <w:rPr>
          <w:noProof/>
        </w:rPr>
        <w:t>8</w:t>
      </w:r>
      <w:r>
        <w:rPr>
          <w:noProof/>
        </w:rPr>
        <w:fldChar w:fldCharType="end"/>
      </w:r>
    </w:p>
    <w:p w14:paraId="356E3100" w14:textId="77777777" w:rsidR="005D64FA" w:rsidRDefault="005D64FA">
      <w:pPr>
        <w:pStyle w:val="TOC2"/>
        <w:tabs>
          <w:tab w:val="left" w:pos="780"/>
          <w:tab w:val="right" w:leader="dot" w:pos="8296"/>
        </w:tabs>
        <w:rPr>
          <w:rFonts w:asciiTheme="minorHAnsi" w:hAnsiTheme="minorHAnsi"/>
          <w:noProof/>
          <w:lang w:eastAsia="ja-JP"/>
        </w:rPr>
      </w:pPr>
      <w:r>
        <w:rPr>
          <w:noProof/>
        </w:rPr>
        <w:t>3.6</w:t>
      </w:r>
      <w:r>
        <w:rPr>
          <w:rFonts w:asciiTheme="minorHAnsi" w:hAnsiTheme="minorHAnsi"/>
          <w:noProof/>
          <w:lang w:eastAsia="ja-JP"/>
        </w:rPr>
        <w:tab/>
      </w:r>
      <w:r>
        <w:rPr>
          <w:noProof/>
        </w:rPr>
        <w:t>Main stakeholders</w:t>
      </w:r>
      <w:r>
        <w:rPr>
          <w:noProof/>
        </w:rPr>
        <w:tab/>
      </w:r>
      <w:r>
        <w:rPr>
          <w:noProof/>
        </w:rPr>
        <w:fldChar w:fldCharType="begin"/>
      </w:r>
      <w:r>
        <w:rPr>
          <w:noProof/>
        </w:rPr>
        <w:instrText xml:space="preserve"> PAGEREF _Toc311452871 \h </w:instrText>
      </w:r>
      <w:r>
        <w:rPr>
          <w:noProof/>
        </w:rPr>
      </w:r>
      <w:r>
        <w:rPr>
          <w:noProof/>
        </w:rPr>
        <w:fldChar w:fldCharType="separate"/>
      </w:r>
      <w:r>
        <w:rPr>
          <w:noProof/>
        </w:rPr>
        <w:t>8</w:t>
      </w:r>
      <w:r>
        <w:rPr>
          <w:noProof/>
        </w:rPr>
        <w:fldChar w:fldCharType="end"/>
      </w:r>
    </w:p>
    <w:p w14:paraId="5F5AA5B7" w14:textId="77777777" w:rsidR="005D64FA" w:rsidRDefault="005D64FA">
      <w:pPr>
        <w:pStyle w:val="TOC1"/>
        <w:tabs>
          <w:tab w:val="left" w:pos="360"/>
          <w:tab w:val="right" w:leader="dot" w:pos="8296"/>
        </w:tabs>
        <w:rPr>
          <w:rFonts w:asciiTheme="minorHAnsi" w:hAnsiTheme="minorHAnsi"/>
          <w:noProof/>
          <w:lang w:eastAsia="ja-JP"/>
        </w:rPr>
      </w:pPr>
      <w:r>
        <w:rPr>
          <w:noProof/>
        </w:rPr>
        <w:t>4</w:t>
      </w:r>
      <w:r>
        <w:rPr>
          <w:rFonts w:asciiTheme="minorHAnsi" w:hAnsiTheme="minorHAnsi"/>
          <w:noProof/>
          <w:lang w:eastAsia="ja-JP"/>
        </w:rPr>
        <w:tab/>
      </w:r>
      <w:r>
        <w:rPr>
          <w:noProof/>
        </w:rPr>
        <w:t>Findings</w:t>
      </w:r>
      <w:r>
        <w:rPr>
          <w:noProof/>
        </w:rPr>
        <w:tab/>
      </w:r>
      <w:r>
        <w:rPr>
          <w:noProof/>
        </w:rPr>
        <w:fldChar w:fldCharType="begin"/>
      </w:r>
      <w:r>
        <w:rPr>
          <w:noProof/>
        </w:rPr>
        <w:instrText xml:space="preserve"> PAGEREF _Toc311452872 \h </w:instrText>
      </w:r>
      <w:r>
        <w:rPr>
          <w:noProof/>
        </w:rPr>
      </w:r>
      <w:r>
        <w:rPr>
          <w:noProof/>
        </w:rPr>
        <w:fldChar w:fldCharType="separate"/>
      </w:r>
      <w:r>
        <w:rPr>
          <w:noProof/>
        </w:rPr>
        <w:t>9</w:t>
      </w:r>
      <w:r>
        <w:rPr>
          <w:noProof/>
        </w:rPr>
        <w:fldChar w:fldCharType="end"/>
      </w:r>
    </w:p>
    <w:p w14:paraId="339439B8" w14:textId="77777777" w:rsidR="005D64FA" w:rsidRDefault="005D64FA">
      <w:pPr>
        <w:pStyle w:val="TOC2"/>
        <w:tabs>
          <w:tab w:val="left" w:pos="780"/>
          <w:tab w:val="right" w:leader="dot" w:pos="8296"/>
        </w:tabs>
        <w:rPr>
          <w:rFonts w:asciiTheme="minorHAnsi" w:hAnsiTheme="minorHAnsi"/>
          <w:noProof/>
          <w:lang w:eastAsia="ja-JP"/>
        </w:rPr>
      </w:pPr>
      <w:r>
        <w:rPr>
          <w:noProof/>
        </w:rPr>
        <w:t>4.1</w:t>
      </w:r>
      <w:r>
        <w:rPr>
          <w:rFonts w:asciiTheme="minorHAnsi" w:hAnsiTheme="minorHAnsi"/>
          <w:noProof/>
          <w:lang w:eastAsia="ja-JP"/>
        </w:rPr>
        <w:tab/>
      </w:r>
      <w:r>
        <w:rPr>
          <w:noProof/>
        </w:rPr>
        <w:t>Project Strategy</w:t>
      </w:r>
      <w:r>
        <w:rPr>
          <w:noProof/>
        </w:rPr>
        <w:tab/>
      </w:r>
      <w:r>
        <w:rPr>
          <w:noProof/>
        </w:rPr>
        <w:fldChar w:fldCharType="begin"/>
      </w:r>
      <w:r>
        <w:rPr>
          <w:noProof/>
        </w:rPr>
        <w:instrText xml:space="preserve"> PAGEREF _Toc311452873 \h </w:instrText>
      </w:r>
      <w:r>
        <w:rPr>
          <w:noProof/>
        </w:rPr>
      </w:r>
      <w:r>
        <w:rPr>
          <w:noProof/>
        </w:rPr>
        <w:fldChar w:fldCharType="separate"/>
      </w:r>
      <w:r>
        <w:rPr>
          <w:noProof/>
        </w:rPr>
        <w:t>9</w:t>
      </w:r>
      <w:r>
        <w:rPr>
          <w:noProof/>
        </w:rPr>
        <w:fldChar w:fldCharType="end"/>
      </w:r>
    </w:p>
    <w:p w14:paraId="58771252" w14:textId="77777777" w:rsidR="005D64FA" w:rsidRDefault="005D64FA">
      <w:pPr>
        <w:pStyle w:val="TOC3"/>
        <w:tabs>
          <w:tab w:val="left" w:pos="1200"/>
          <w:tab w:val="right" w:leader="dot" w:pos="8296"/>
        </w:tabs>
        <w:rPr>
          <w:rFonts w:asciiTheme="minorHAnsi" w:hAnsiTheme="minorHAnsi"/>
          <w:noProof/>
          <w:lang w:eastAsia="ja-JP"/>
        </w:rPr>
      </w:pPr>
      <w:r>
        <w:rPr>
          <w:noProof/>
        </w:rPr>
        <w:t>4.1.1</w:t>
      </w:r>
      <w:r>
        <w:rPr>
          <w:rFonts w:asciiTheme="minorHAnsi" w:hAnsiTheme="minorHAnsi"/>
          <w:noProof/>
          <w:lang w:eastAsia="ja-JP"/>
        </w:rPr>
        <w:tab/>
      </w:r>
      <w:r>
        <w:rPr>
          <w:noProof/>
        </w:rPr>
        <w:t>Project Design</w:t>
      </w:r>
      <w:r>
        <w:rPr>
          <w:noProof/>
        </w:rPr>
        <w:tab/>
      </w:r>
      <w:r>
        <w:rPr>
          <w:noProof/>
        </w:rPr>
        <w:fldChar w:fldCharType="begin"/>
      </w:r>
      <w:r>
        <w:rPr>
          <w:noProof/>
        </w:rPr>
        <w:instrText xml:space="preserve"> PAGEREF _Toc311452874 \h </w:instrText>
      </w:r>
      <w:r>
        <w:rPr>
          <w:noProof/>
        </w:rPr>
      </w:r>
      <w:r>
        <w:rPr>
          <w:noProof/>
        </w:rPr>
        <w:fldChar w:fldCharType="separate"/>
      </w:r>
      <w:r>
        <w:rPr>
          <w:noProof/>
        </w:rPr>
        <w:t>9</w:t>
      </w:r>
      <w:r>
        <w:rPr>
          <w:noProof/>
        </w:rPr>
        <w:fldChar w:fldCharType="end"/>
      </w:r>
    </w:p>
    <w:p w14:paraId="6B06C2C1" w14:textId="77777777" w:rsidR="005D64FA" w:rsidRDefault="005D64FA">
      <w:pPr>
        <w:pStyle w:val="TOC3"/>
        <w:tabs>
          <w:tab w:val="left" w:pos="1200"/>
          <w:tab w:val="right" w:leader="dot" w:pos="8296"/>
        </w:tabs>
        <w:rPr>
          <w:rFonts w:asciiTheme="minorHAnsi" w:hAnsiTheme="minorHAnsi"/>
          <w:noProof/>
          <w:lang w:eastAsia="ja-JP"/>
        </w:rPr>
      </w:pPr>
      <w:r>
        <w:rPr>
          <w:noProof/>
        </w:rPr>
        <w:t>4.1.2</w:t>
      </w:r>
      <w:r>
        <w:rPr>
          <w:rFonts w:asciiTheme="minorHAnsi" w:hAnsiTheme="minorHAnsi"/>
          <w:noProof/>
          <w:lang w:eastAsia="ja-JP"/>
        </w:rPr>
        <w:tab/>
      </w:r>
      <w:r>
        <w:rPr>
          <w:noProof/>
        </w:rPr>
        <w:t>Analysis of LFA/Results Framework (Project logic /strategy; Indicators)</w:t>
      </w:r>
      <w:r>
        <w:rPr>
          <w:noProof/>
        </w:rPr>
        <w:tab/>
      </w:r>
      <w:r>
        <w:rPr>
          <w:noProof/>
        </w:rPr>
        <w:fldChar w:fldCharType="begin"/>
      </w:r>
      <w:r>
        <w:rPr>
          <w:noProof/>
        </w:rPr>
        <w:instrText xml:space="preserve"> PAGEREF _Toc311452875 \h </w:instrText>
      </w:r>
      <w:r>
        <w:rPr>
          <w:noProof/>
        </w:rPr>
      </w:r>
      <w:r>
        <w:rPr>
          <w:noProof/>
        </w:rPr>
        <w:fldChar w:fldCharType="separate"/>
      </w:r>
      <w:r>
        <w:rPr>
          <w:noProof/>
        </w:rPr>
        <w:t>10</w:t>
      </w:r>
      <w:r>
        <w:rPr>
          <w:noProof/>
        </w:rPr>
        <w:fldChar w:fldCharType="end"/>
      </w:r>
    </w:p>
    <w:p w14:paraId="7D6A66B0" w14:textId="77777777" w:rsidR="005D64FA" w:rsidRDefault="005D64FA">
      <w:pPr>
        <w:pStyle w:val="TOC2"/>
        <w:tabs>
          <w:tab w:val="left" w:pos="780"/>
          <w:tab w:val="right" w:leader="dot" w:pos="8296"/>
        </w:tabs>
        <w:rPr>
          <w:rFonts w:asciiTheme="minorHAnsi" w:hAnsiTheme="minorHAnsi"/>
          <w:noProof/>
          <w:lang w:eastAsia="ja-JP"/>
        </w:rPr>
      </w:pPr>
      <w:r>
        <w:rPr>
          <w:noProof/>
        </w:rPr>
        <w:t>4.2</w:t>
      </w:r>
      <w:r>
        <w:rPr>
          <w:rFonts w:asciiTheme="minorHAnsi" w:hAnsiTheme="minorHAnsi"/>
          <w:noProof/>
          <w:lang w:eastAsia="ja-JP"/>
        </w:rPr>
        <w:tab/>
      </w:r>
      <w:r>
        <w:rPr>
          <w:noProof/>
        </w:rPr>
        <w:t>Progress Towards Results</w:t>
      </w:r>
      <w:r>
        <w:rPr>
          <w:noProof/>
        </w:rPr>
        <w:tab/>
      </w:r>
      <w:r>
        <w:rPr>
          <w:noProof/>
        </w:rPr>
        <w:fldChar w:fldCharType="begin"/>
      </w:r>
      <w:r>
        <w:rPr>
          <w:noProof/>
        </w:rPr>
        <w:instrText xml:space="preserve"> PAGEREF _Toc311452876 \h </w:instrText>
      </w:r>
      <w:r>
        <w:rPr>
          <w:noProof/>
        </w:rPr>
      </w:r>
      <w:r>
        <w:rPr>
          <w:noProof/>
        </w:rPr>
        <w:fldChar w:fldCharType="separate"/>
      </w:r>
      <w:r>
        <w:rPr>
          <w:noProof/>
        </w:rPr>
        <w:t>17</w:t>
      </w:r>
      <w:r>
        <w:rPr>
          <w:noProof/>
        </w:rPr>
        <w:fldChar w:fldCharType="end"/>
      </w:r>
    </w:p>
    <w:p w14:paraId="75F26273" w14:textId="77777777" w:rsidR="005D64FA" w:rsidRDefault="005D64FA">
      <w:pPr>
        <w:pStyle w:val="TOC3"/>
        <w:tabs>
          <w:tab w:val="left" w:pos="1200"/>
          <w:tab w:val="right" w:leader="dot" w:pos="8296"/>
        </w:tabs>
        <w:rPr>
          <w:rFonts w:asciiTheme="minorHAnsi" w:hAnsiTheme="minorHAnsi"/>
          <w:noProof/>
          <w:lang w:eastAsia="ja-JP"/>
        </w:rPr>
      </w:pPr>
      <w:r>
        <w:rPr>
          <w:noProof/>
        </w:rPr>
        <w:t>4.2.1</w:t>
      </w:r>
      <w:r>
        <w:rPr>
          <w:rFonts w:asciiTheme="minorHAnsi" w:hAnsiTheme="minorHAnsi"/>
          <w:noProof/>
          <w:lang w:eastAsia="ja-JP"/>
        </w:rPr>
        <w:tab/>
      </w:r>
      <w:r>
        <w:rPr>
          <w:noProof/>
        </w:rPr>
        <w:t>Analysis of progress towards outcomes</w:t>
      </w:r>
      <w:r>
        <w:rPr>
          <w:noProof/>
        </w:rPr>
        <w:tab/>
      </w:r>
      <w:r>
        <w:rPr>
          <w:noProof/>
        </w:rPr>
        <w:fldChar w:fldCharType="begin"/>
      </w:r>
      <w:r>
        <w:rPr>
          <w:noProof/>
        </w:rPr>
        <w:instrText xml:space="preserve"> PAGEREF _Toc311452877 \h </w:instrText>
      </w:r>
      <w:r>
        <w:rPr>
          <w:noProof/>
        </w:rPr>
      </w:r>
      <w:r>
        <w:rPr>
          <w:noProof/>
        </w:rPr>
        <w:fldChar w:fldCharType="separate"/>
      </w:r>
      <w:r>
        <w:rPr>
          <w:noProof/>
        </w:rPr>
        <w:t>17</w:t>
      </w:r>
      <w:r>
        <w:rPr>
          <w:noProof/>
        </w:rPr>
        <w:fldChar w:fldCharType="end"/>
      </w:r>
    </w:p>
    <w:p w14:paraId="6EB7C0FF" w14:textId="77777777" w:rsidR="005D64FA" w:rsidRDefault="005D64FA">
      <w:pPr>
        <w:pStyle w:val="TOC3"/>
        <w:tabs>
          <w:tab w:val="left" w:pos="1200"/>
          <w:tab w:val="right" w:leader="dot" w:pos="8296"/>
        </w:tabs>
        <w:rPr>
          <w:rFonts w:asciiTheme="minorHAnsi" w:hAnsiTheme="minorHAnsi"/>
          <w:noProof/>
          <w:lang w:eastAsia="ja-JP"/>
        </w:rPr>
      </w:pPr>
      <w:r>
        <w:rPr>
          <w:noProof/>
        </w:rPr>
        <w:t>4.2.2</w:t>
      </w:r>
      <w:r>
        <w:rPr>
          <w:rFonts w:asciiTheme="minorHAnsi" w:hAnsiTheme="minorHAnsi"/>
          <w:noProof/>
          <w:lang w:eastAsia="ja-JP"/>
        </w:rPr>
        <w:tab/>
      </w:r>
      <w:r>
        <w:rPr>
          <w:noProof/>
        </w:rPr>
        <w:t>Remaining barriers to achieving project objectives</w:t>
      </w:r>
      <w:r>
        <w:rPr>
          <w:noProof/>
        </w:rPr>
        <w:tab/>
      </w:r>
      <w:r>
        <w:rPr>
          <w:noProof/>
        </w:rPr>
        <w:fldChar w:fldCharType="begin"/>
      </w:r>
      <w:r>
        <w:rPr>
          <w:noProof/>
        </w:rPr>
        <w:instrText xml:space="preserve"> PAGEREF _Toc311452878 \h </w:instrText>
      </w:r>
      <w:r>
        <w:rPr>
          <w:noProof/>
        </w:rPr>
      </w:r>
      <w:r>
        <w:rPr>
          <w:noProof/>
        </w:rPr>
        <w:fldChar w:fldCharType="separate"/>
      </w:r>
      <w:r>
        <w:rPr>
          <w:noProof/>
        </w:rPr>
        <w:t>28</w:t>
      </w:r>
      <w:r>
        <w:rPr>
          <w:noProof/>
        </w:rPr>
        <w:fldChar w:fldCharType="end"/>
      </w:r>
    </w:p>
    <w:p w14:paraId="1A73F425" w14:textId="77777777" w:rsidR="005D64FA" w:rsidRDefault="005D64FA">
      <w:pPr>
        <w:pStyle w:val="TOC2"/>
        <w:tabs>
          <w:tab w:val="left" w:pos="780"/>
          <w:tab w:val="right" w:leader="dot" w:pos="8296"/>
        </w:tabs>
        <w:rPr>
          <w:rFonts w:asciiTheme="minorHAnsi" w:hAnsiTheme="minorHAnsi"/>
          <w:noProof/>
          <w:lang w:eastAsia="ja-JP"/>
        </w:rPr>
      </w:pPr>
      <w:r>
        <w:rPr>
          <w:noProof/>
        </w:rPr>
        <w:t>4.3</w:t>
      </w:r>
      <w:r>
        <w:rPr>
          <w:rFonts w:asciiTheme="minorHAnsi" w:hAnsiTheme="minorHAnsi"/>
          <w:noProof/>
          <w:lang w:eastAsia="ja-JP"/>
        </w:rPr>
        <w:tab/>
      </w:r>
      <w:r>
        <w:rPr>
          <w:noProof/>
        </w:rPr>
        <w:t>Project Implementation and Adaptive Management</w:t>
      </w:r>
      <w:r>
        <w:rPr>
          <w:noProof/>
        </w:rPr>
        <w:tab/>
      </w:r>
      <w:r>
        <w:rPr>
          <w:noProof/>
        </w:rPr>
        <w:fldChar w:fldCharType="begin"/>
      </w:r>
      <w:r>
        <w:rPr>
          <w:noProof/>
        </w:rPr>
        <w:instrText xml:space="preserve"> PAGEREF _Toc311452879 \h </w:instrText>
      </w:r>
      <w:r>
        <w:rPr>
          <w:noProof/>
        </w:rPr>
      </w:r>
      <w:r>
        <w:rPr>
          <w:noProof/>
        </w:rPr>
        <w:fldChar w:fldCharType="separate"/>
      </w:r>
      <w:r>
        <w:rPr>
          <w:noProof/>
        </w:rPr>
        <w:t>28</w:t>
      </w:r>
      <w:r>
        <w:rPr>
          <w:noProof/>
        </w:rPr>
        <w:fldChar w:fldCharType="end"/>
      </w:r>
    </w:p>
    <w:p w14:paraId="6D69EC81" w14:textId="77777777" w:rsidR="005D64FA" w:rsidRDefault="005D64FA">
      <w:pPr>
        <w:pStyle w:val="TOC3"/>
        <w:tabs>
          <w:tab w:val="left" w:pos="1200"/>
          <w:tab w:val="right" w:leader="dot" w:pos="8296"/>
        </w:tabs>
        <w:rPr>
          <w:rFonts w:asciiTheme="minorHAnsi" w:hAnsiTheme="minorHAnsi"/>
          <w:noProof/>
          <w:lang w:eastAsia="ja-JP"/>
        </w:rPr>
      </w:pPr>
      <w:r>
        <w:rPr>
          <w:noProof/>
        </w:rPr>
        <w:t>4.3.1</w:t>
      </w:r>
      <w:r>
        <w:rPr>
          <w:rFonts w:asciiTheme="minorHAnsi" w:hAnsiTheme="minorHAnsi"/>
          <w:noProof/>
          <w:lang w:eastAsia="ja-JP"/>
        </w:rPr>
        <w:tab/>
      </w:r>
      <w:r>
        <w:rPr>
          <w:noProof/>
        </w:rPr>
        <w:t>Management arrangements</w:t>
      </w:r>
      <w:r>
        <w:rPr>
          <w:noProof/>
        </w:rPr>
        <w:tab/>
      </w:r>
      <w:r>
        <w:rPr>
          <w:noProof/>
        </w:rPr>
        <w:fldChar w:fldCharType="begin"/>
      </w:r>
      <w:r>
        <w:rPr>
          <w:noProof/>
        </w:rPr>
        <w:instrText xml:space="preserve"> PAGEREF _Toc311452880 \h </w:instrText>
      </w:r>
      <w:r>
        <w:rPr>
          <w:noProof/>
        </w:rPr>
      </w:r>
      <w:r>
        <w:rPr>
          <w:noProof/>
        </w:rPr>
        <w:fldChar w:fldCharType="separate"/>
      </w:r>
      <w:r>
        <w:rPr>
          <w:noProof/>
        </w:rPr>
        <w:t>30</w:t>
      </w:r>
      <w:r>
        <w:rPr>
          <w:noProof/>
        </w:rPr>
        <w:fldChar w:fldCharType="end"/>
      </w:r>
    </w:p>
    <w:p w14:paraId="13A3127E" w14:textId="77777777" w:rsidR="005D64FA" w:rsidRDefault="005D64FA">
      <w:pPr>
        <w:pStyle w:val="TOC3"/>
        <w:tabs>
          <w:tab w:val="left" w:pos="1200"/>
          <w:tab w:val="right" w:leader="dot" w:pos="8296"/>
        </w:tabs>
        <w:rPr>
          <w:rFonts w:asciiTheme="minorHAnsi" w:hAnsiTheme="minorHAnsi"/>
          <w:noProof/>
          <w:lang w:eastAsia="ja-JP"/>
        </w:rPr>
      </w:pPr>
      <w:r>
        <w:rPr>
          <w:noProof/>
        </w:rPr>
        <w:t>4.3.2</w:t>
      </w:r>
      <w:r>
        <w:rPr>
          <w:rFonts w:asciiTheme="minorHAnsi" w:hAnsiTheme="minorHAnsi"/>
          <w:noProof/>
          <w:lang w:eastAsia="ja-JP"/>
        </w:rPr>
        <w:tab/>
      </w:r>
      <w:r>
        <w:rPr>
          <w:noProof/>
        </w:rPr>
        <w:t>Work planning</w:t>
      </w:r>
      <w:r>
        <w:rPr>
          <w:noProof/>
        </w:rPr>
        <w:tab/>
      </w:r>
      <w:r>
        <w:rPr>
          <w:noProof/>
        </w:rPr>
        <w:fldChar w:fldCharType="begin"/>
      </w:r>
      <w:r>
        <w:rPr>
          <w:noProof/>
        </w:rPr>
        <w:instrText xml:space="preserve"> PAGEREF _Toc311452881 \h </w:instrText>
      </w:r>
      <w:r>
        <w:rPr>
          <w:noProof/>
        </w:rPr>
      </w:r>
      <w:r>
        <w:rPr>
          <w:noProof/>
        </w:rPr>
        <w:fldChar w:fldCharType="separate"/>
      </w:r>
      <w:r>
        <w:rPr>
          <w:noProof/>
        </w:rPr>
        <w:t>32</w:t>
      </w:r>
      <w:r>
        <w:rPr>
          <w:noProof/>
        </w:rPr>
        <w:fldChar w:fldCharType="end"/>
      </w:r>
    </w:p>
    <w:p w14:paraId="7209288A" w14:textId="77777777" w:rsidR="005D64FA" w:rsidRDefault="005D64FA">
      <w:pPr>
        <w:pStyle w:val="TOC3"/>
        <w:tabs>
          <w:tab w:val="left" w:pos="1200"/>
          <w:tab w:val="right" w:leader="dot" w:pos="8296"/>
        </w:tabs>
        <w:rPr>
          <w:rFonts w:asciiTheme="minorHAnsi" w:hAnsiTheme="minorHAnsi"/>
          <w:noProof/>
          <w:lang w:eastAsia="ja-JP"/>
        </w:rPr>
      </w:pPr>
      <w:r>
        <w:rPr>
          <w:noProof/>
        </w:rPr>
        <w:t>4.3.3</w:t>
      </w:r>
      <w:r>
        <w:rPr>
          <w:rFonts w:asciiTheme="minorHAnsi" w:hAnsiTheme="minorHAnsi"/>
          <w:noProof/>
          <w:lang w:eastAsia="ja-JP"/>
        </w:rPr>
        <w:tab/>
      </w:r>
      <w:r>
        <w:rPr>
          <w:noProof/>
        </w:rPr>
        <w:t>Project Finance and Co-finance</w:t>
      </w:r>
      <w:r>
        <w:rPr>
          <w:noProof/>
        </w:rPr>
        <w:tab/>
      </w:r>
      <w:r>
        <w:rPr>
          <w:noProof/>
        </w:rPr>
        <w:fldChar w:fldCharType="begin"/>
      </w:r>
      <w:r>
        <w:rPr>
          <w:noProof/>
        </w:rPr>
        <w:instrText xml:space="preserve"> PAGEREF _Toc311452882 \h </w:instrText>
      </w:r>
      <w:r>
        <w:rPr>
          <w:noProof/>
        </w:rPr>
      </w:r>
      <w:r>
        <w:rPr>
          <w:noProof/>
        </w:rPr>
        <w:fldChar w:fldCharType="separate"/>
      </w:r>
      <w:r>
        <w:rPr>
          <w:noProof/>
        </w:rPr>
        <w:t>33</w:t>
      </w:r>
      <w:r>
        <w:rPr>
          <w:noProof/>
        </w:rPr>
        <w:fldChar w:fldCharType="end"/>
      </w:r>
    </w:p>
    <w:p w14:paraId="64651BE2" w14:textId="77777777" w:rsidR="005D64FA" w:rsidRDefault="005D64FA">
      <w:pPr>
        <w:pStyle w:val="TOC3"/>
        <w:tabs>
          <w:tab w:val="left" w:pos="1200"/>
          <w:tab w:val="right" w:leader="dot" w:pos="8296"/>
        </w:tabs>
        <w:rPr>
          <w:rFonts w:asciiTheme="minorHAnsi" w:hAnsiTheme="minorHAnsi"/>
          <w:noProof/>
          <w:lang w:eastAsia="ja-JP"/>
        </w:rPr>
      </w:pPr>
      <w:r>
        <w:rPr>
          <w:noProof/>
        </w:rPr>
        <w:t>4.3.4</w:t>
      </w:r>
      <w:r>
        <w:rPr>
          <w:rFonts w:asciiTheme="minorHAnsi" w:hAnsiTheme="minorHAnsi"/>
          <w:noProof/>
          <w:lang w:eastAsia="ja-JP"/>
        </w:rPr>
        <w:tab/>
      </w:r>
      <w:r>
        <w:rPr>
          <w:noProof/>
        </w:rPr>
        <w:t>Project-level Monitoring &amp; Evaluation Systems</w:t>
      </w:r>
      <w:r>
        <w:rPr>
          <w:noProof/>
        </w:rPr>
        <w:tab/>
      </w:r>
      <w:r>
        <w:rPr>
          <w:noProof/>
        </w:rPr>
        <w:fldChar w:fldCharType="begin"/>
      </w:r>
      <w:r>
        <w:rPr>
          <w:noProof/>
        </w:rPr>
        <w:instrText xml:space="preserve"> PAGEREF _Toc311452883 \h </w:instrText>
      </w:r>
      <w:r>
        <w:rPr>
          <w:noProof/>
        </w:rPr>
      </w:r>
      <w:r>
        <w:rPr>
          <w:noProof/>
        </w:rPr>
        <w:fldChar w:fldCharType="separate"/>
      </w:r>
      <w:r>
        <w:rPr>
          <w:noProof/>
        </w:rPr>
        <w:t>38</w:t>
      </w:r>
      <w:r>
        <w:rPr>
          <w:noProof/>
        </w:rPr>
        <w:fldChar w:fldCharType="end"/>
      </w:r>
    </w:p>
    <w:p w14:paraId="15EBA0B8" w14:textId="77777777" w:rsidR="005D64FA" w:rsidRDefault="005D64FA">
      <w:pPr>
        <w:pStyle w:val="TOC3"/>
        <w:tabs>
          <w:tab w:val="left" w:pos="1200"/>
          <w:tab w:val="right" w:leader="dot" w:pos="8296"/>
        </w:tabs>
        <w:rPr>
          <w:rFonts w:asciiTheme="minorHAnsi" w:hAnsiTheme="minorHAnsi"/>
          <w:noProof/>
          <w:lang w:eastAsia="ja-JP"/>
        </w:rPr>
      </w:pPr>
      <w:r>
        <w:rPr>
          <w:noProof/>
        </w:rPr>
        <w:t>4.3.5</w:t>
      </w:r>
      <w:r>
        <w:rPr>
          <w:rFonts w:asciiTheme="minorHAnsi" w:hAnsiTheme="minorHAnsi"/>
          <w:noProof/>
          <w:lang w:eastAsia="ja-JP"/>
        </w:rPr>
        <w:tab/>
      </w:r>
      <w:r>
        <w:rPr>
          <w:noProof/>
        </w:rPr>
        <w:t>Stakeholder engagement</w:t>
      </w:r>
      <w:r>
        <w:rPr>
          <w:noProof/>
        </w:rPr>
        <w:tab/>
      </w:r>
      <w:r>
        <w:rPr>
          <w:noProof/>
        </w:rPr>
        <w:fldChar w:fldCharType="begin"/>
      </w:r>
      <w:r>
        <w:rPr>
          <w:noProof/>
        </w:rPr>
        <w:instrText xml:space="preserve"> PAGEREF _Toc311452884 \h </w:instrText>
      </w:r>
      <w:r>
        <w:rPr>
          <w:noProof/>
        </w:rPr>
      </w:r>
      <w:r>
        <w:rPr>
          <w:noProof/>
        </w:rPr>
        <w:fldChar w:fldCharType="separate"/>
      </w:r>
      <w:r>
        <w:rPr>
          <w:noProof/>
        </w:rPr>
        <w:t>39</w:t>
      </w:r>
      <w:r>
        <w:rPr>
          <w:noProof/>
        </w:rPr>
        <w:fldChar w:fldCharType="end"/>
      </w:r>
    </w:p>
    <w:p w14:paraId="0B8170BD" w14:textId="77777777" w:rsidR="005D64FA" w:rsidRDefault="005D64FA">
      <w:pPr>
        <w:pStyle w:val="TOC3"/>
        <w:tabs>
          <w:tab w:val="left" w:pos="1200"/>
          <w:tab w:val="right" w:leader="dot" w:pos="8296"/>
        </w:tabs>
        <w:rPr>
          <w:rFonts w:asciiTheme="minorHAnsi" w:hAnsiTheme="minorHAnsi"/>
          <w:noProof/>
          <w:lang w:eastAsia="ja-JP"/>
        </w:rPr>
      </w:pPr>
      <w:r>
        <w:rPr>
          <w:noProof/>
        </w:rPr>
        <w:t>4.3.6</w:t>
      </w:r>
      <w:r>
        <w:rPr>
          <w:rFonts w:asciiTheme="minorHAnsi" w:hAnsiTheme="minorHAnsi"/>
          <w:noProof/>
          <w:lang w:eastAsia="ja-JP"/>
        </w:rPr>
        <w:tab/>
      </w:r>
      <w:r>
        <w:rPr>
          <w:noProof/>
        </w:rPr>
        <w:t>Reporting</w:t>
      </w:r>
      <w:r>
        <w:rPr>
          <w:noProof/>
        </w:rPr>
        <w:tab/>
      </w:r>
      <w:r>
        <w:rPr>
          <w:noProof/>
        </w:rPr>
        <w:fldChar w:fldCharType="begin"/>
      </w:r>
      <w:r>
        <w:rPr>
          <w:noProof/>
        </w:rPr>
        <w:instrText xml:space="preserve"> PAGEREF _Toc311452885 \h </w:instrText>
      </w:r>
      <w:r>
        <w:rPr>
          <w:noProof/>
        </w:rPr>
      </w:r>
      <w:r>
        <w:rPr>
          <w:noProof/>
        </w:rPr>
        <w:fldChar w:fldCharType="separate"/>
      </w:r>
      <w:r>
        <w:rPr>
          <w:noProof/>
        </w:rPr>
        <w:t>41</w:t>
      </w:r>
      <w:r>
        <w:rPr>
          <w:noProof/>
        </w:rPr>
        <w:fldChar w:fldCharType="end"/>
      </w:r>
    </w:p>
    <w:p w14:paraId="7FCEB77B" w14:textId="77777777" w:rsidR="005D64FA" w:rsidRDefault="005D64FA">
      <w:pPr>
        <w:pStyle w:val="TOC3"/>
        <w:tabs>
          <w:tab w:val="left" w:pos="1200"/>
          <w:tab w:val="right" w:leader="dot" w:pos="8296"/>
        </w:tabs>
        <w:rPr>
          <w:rFonts w:asciiTheme="minorHAnsi" w:hAnsiTheme="minorHAnsi"/>
          <w:noProof/>
          <w:lang w:eastAsia="ja-JP"/>
        </w:rPr>
      </w:pPr>
      <w:r>
        <w:rPr>
          <w:noProof/>
        </w:rPr>
        <w:t>4.3.7</w:t>
      </w:r>
      <w:r>
        <w:rPr>
          <w:rFonts w:asciiTheme="minorHAnsi" w:hAnsiTheme="minorHAnsi"/>
          <w:noProof/>
          <w:lang w:eastAsia="ja-JP"/>
        </w:rPr>
        <w:tab/>
      </w:r>
      <w:r>
        <w:rPr>
          <w:noProof/>
        </w:rPr>
        <w:t>Communication</w:t>
      </w:r>
      <w:r>
        <w:rPr>
          <w:noProof/>
        </w:rPr>
        <w:tab/>
      </w:r>
      <w:r>
        <w:rPr>
          <w:noProof/>
        </w:rPr>
        <w:fldChar w:fldCharType="begin"/>
      </w:r>
      <w:r>
        <w:rPr>
          <w:noProof/>
        </w:rPr>
        <w:instrText xml:space="preserve"> PAGEREF _Toc311452886 \h </w:instrText>
      </w:r>
      <w:r>
        <w:rPr>
          <w:noProof/>
        </w:rPr>
      </w:r>
      <w:r>
        <w:rPr>
          <w:noProof/>
        </w:rPr>
        <w:fldChar w:fldCharType="separate"/>
      </w:r>
      <w:r>
        <w:rPr>
          <w:noProof/>
        </w:rPr>
        <w:t>42</w:t>
      </w:r>
      <w:r>
        <w:rPr>
          <w:noProof/>
        </w:rPr>
        <w:fldChar w:fldCharType="end"/>
      </w:r>
    </w:p>
    <w:p w14:paraId="3861EC0F" w14:textId="77777777" w:rsidR="005D64FA" w:rsidRDefault="005D64FA">
      <w:pPr>
        <w:pStyle w:val="TOC2"/>
        <w:tabs>
          <w:tab w:val="left" w:pos="780"/>
          <w:tab w:val="right" w:leader="dot" w:pos="8296"/>
        </w:tabs>
        <w:rPr>
          <w:rFonts w:asciiTheme="minorHAnsi" w:hAnsiTheme="minorHAnsi"/>
          <w:noProof/>
          <w:lang w:eastAsia="ja-JP"/>
        </w:rPr>
      </w:pPr>
      <w:r>
        <w:rPr>
          <w:noProof/>
        </w:rPr>
        <w:t>4.4</w:t>
      </w:r>
      <w:r>
        <w:rPr>
          <w:rFonts w:asciiTheme="minorHAnsi" w:hAnsiTheme="minorHAnsi"/>
          <w:noProof/>
          <w:lang w:eastAsia="ja-JP"/>
        </w:rPr>
        <w:tab/>
      </w:r>
      <w:r>
        <w:rPr>
          <w:noProof/>
        </w:rPr>
        <w:t>Sustainability</w:t>
      </w:r>
      <w:r>
        <w:rPr>
          <w:noProof/>
        </w:rPr>
        <w:tab/>
      </w:r>
      <w:r>
        <w:rPr>
          <w:noProof/>
        </w:rPr>
        <w:fldChar w:fldCharType="begin"/>
      </w:r>
      <w:r>
        <w:rPr>
          <w:noProof/>
        </w:rPr>
        <w:instrText xml:space="preserve"> PAGEREF _Toc311452887 \h </w:instrText>
      </w:r>
      <w:r>
        <w:rPr>
          <w:noProof/>
        </w:rPr>
      </w:r>
      <w:r>
        <w:rPr>
          <w:noProof/>
        </w:rPr>
        <w:fldChar w:fldCharType="separate"/>
      </w:r>
      <w:r>
        <w:rPr>
          <w:noProof/>
        </w:rPr>
        <w:t>43</w:t>
      </w:r>
      <w:r>
        <w:rPr>
          <w:noProof/>
        </w:rPr>
        <w:fldChar w:fldCharType="end"/>
      </w:r>
    </w:p>
    <w:p w14:paraId="1FA9D763" w14:textId="77777777" w:rsidR="005D64FA" w:rsidRDefault="005D64FA">
      <w:pPr>
        <w:pStyle w:val="TOC3"/>
        <w:tabs>
          <w:tab w:val="left" w:pos="1200"/>
          <w:tab w:val="right" w:leader="dot" w:pos="8296"/>
        </w:tabs>
        <w:rPr>
          <w:rFonts w:asciiTheme="minorHAnsi" w:hAnsiTheme="minorHAnsi"/>
          <w:noProof/>
          <w:lang w:eastAsia="ja-JP"/>
        </w:rPr>
      </w:pPr>
      <w:r>
        <w:rPr>
          <w:noProof/>
        </w:rPr>
        <w:t>4.4.1</w:t>
      </w:r>
      <w:r>
        <w:rPr>
          <w:rFonts w:asciiTheme="minorHAnsi" w:hAnsiTheme="minorHAnsi"/>
          <w:noProof/>
          <w:lang w:eastAsia="ja-JP"/>
        </w:rPr>
        <w:tab/>
      </w:r>
      <w:r>
        <w:rPr>
          <w:noProof/>
        </w:rPr>
        <w:t>Financial Risks to Sustainability</w:t>
      </w:r>
      <w:r>
        <w:rPr>
          <w:noProof/>
        </w:rPr>
        <w:tab/>
      </w:r>
      <w:r>
        <w:rPr>
          <w:noProof/>
        </w:rPr>
        <w:fldChar w:fldCharType="begin"/>
      </w:r>
      <w:r>
        <w:rPr>
          <w:noProof/>
        </w:rPr>
        <w:instrText xml:space="preserve"> PAGEREF _Toc311452888 \h </w:instrText>
      </w:r>
      <w:r>
        <w:rPr>
          <w:noProof/>
        </w:rPr>
      </w:r>
      <w:r>
        <w:rPr>
          <w:noProof/>
        </w:rPr>
        <w:fldChar w:fldCharType="separate"/>
      </w:r>
      <w:r>
        <w:rPr>
          <w:noProof/>
        </w:rPr>
        <w:t>44</w:t>
      </w:r>
      <w:r>
        <w:rPr>
          <w:noProof/>
        </w:rPr>
        <w:fldChar w:fldCharType="end"/>
      </w:r>
    </w:p>
    <w:p w14:paraId="51B8C5EF" w14:textId="77777777" w:rsidR="005D64FA" w:rsidRDefault="005D64FA">
      <w:pPr>
        <w:pStyle w:val="TOC3"/>
        <w:tabs>
          <w:tab w:val="left" w:pos="1200"/>
          <w:tab w:val="right" w:leader="dot" w:pos="8296"/>
        </w:tabs>
        <w:rPr>
          <w:rFonts w:asciiTheme="minorHAnsi" w:hAnsiTheme="minorHAnsi"/>
          <w:noProof/>
          <w:lang w:eastAsia="ja-JP"/>
        </w:rPr>
      </w:pPr>
      <w:r>
        <w:rPr>
          <w:noProof/>
        </w:rPr>
        <w:t>4.4.2</w:t>
      </w:r>
      <w:r>
        <w:rPr>
          <w:rFonts w:asciiTheme="minorHAnsi" w:hAnsiTheme="minorHAnsi"/>
          <w:noProof/>
          <w:lang w:eastAsia="ja-JP"/>
        </w:rPr>
        <w:tab/>
      </w:r>
      <w:r>
        <w:rPr>
          <w:noProof/>
        </w:rPr>
        <w:t>Socio-economic Risks to Sustainability</w:t>
      </w:r>
      <w:r>
        <w:rPr>
          <w:noProof/>
        </w:rPr>
        <w:tab/>
      </w:r>
      <w:r>
        <w:rPr>
          <w:noProof/>
        </w:rPr>
        <w:fldChar w:fldCharType="begin"/>
      </w:r>
      <w:r>
        <w:rPr>
          <w:noProof/>
        </w:rPr>
        <w:instrText xml:space="preserve"> PAGEREF _Toc311452889 \h </w:instrText>
      </w:r>
      <w:r>
        <w:rPr>
          <w:noProof/>
        </w:rPr>
      </w:r>
      <w:r>
        <w:rPr>
          <w:noProof/>
        </w:rPr>
        <w:fldChar w:fldCharType="separate"/>
      </w:r>
      <w:r>
        <w:rPr>
          <w:noProof/>
        </w:rPr>
        <w:t>45</w:t>
      </w:r>
      <w:r>
        <w:rPr>
          <w:noProof/>
        </w:rPr>
        <w:fldChar w:fldCharType="end"/>
      </w:r>
    </w:p>
    <w:p w14:paraId="388E3AEA" w14:textId="77777777" w:rsidR="005D64FA" w:rsidRDefault="005D64FA">
      <w:pPr>
        <w:pStyle w:val="TOC3"/>
        <w:tabs>
          <w:tab w:val="left" w:pos="1200"/>
          <w:tab w:val="right" w:leader="dot" w:pos="8296"/>
        </w:tabs>
        <w:rPr>
          <w:rFonts w:asciiTheme="minorHAnsi" w:hAnsiTheme="minorHAnsi"/>
          <w:noProof/>
          <w:lang w:eastAsia="ja-JP"/>
        </w:rPr>
      </w:pPr>
      <w:r>
        <w:rPr>
          <w:noProof/>
        </w:rPr>
        <w:t>4.4.3</w:t>
      </w:r>
      <w:r>
        <w:rPr>
          <w:rFonts w:asciiTheme="minorHAnsi" w:hAnsiTheme="minorHAnsi"/>
          <w:noProof/>
          <w:lang w:eastAsia="ja-JP"/>
        </w:rPr>
        <w:tab/>
      </w:r>
      <w:r>
        <w:rPr>
          <w:noProof/>
        </w:rPr>
        <w:t>Institutional Framework and Governance Risks to Sustainability</w:t>
      </w:r>
      <w:r>
        <w:rPr>
          <w:noProof/>
        </w:rPr>
        <w:tab/>
      </w:r>
      <w:r>
        <w:rPr>
          <w:noProof/>
        </w:rPr>
        <w:fldChar w:fldCharType="begin"/>
      </w:r>
      <w:r>
        <w:rPr>
          <w:noProof/>
        </w:rPr>
        <w:instrText xml:space="preserve"> PAGEREF _Toc311452890 \h </w:instrText>
      </w:r>
      <w:r>
        <w:rPr>
          <w:noProof/>
        </w:rPr>
      </w:r>
      <w:r>
        <w:rPr>
          <w:noProof/>
        </w:rPr>
        <w:fldChar w:fldCharType="separate"/>
      </w:r>
      <w:r>
        <w:rPr>
          <w:noProof/>
        </w:rPr>
        <w:t>47</w:t>
      </w:r>
      <w:r>
        <w:rPr>
          <w:noProof/>
        </w:rPr>
        <w:fldChar w:fldCharType="end"/>
      </w:r>
    </w:p>
    <w:p w14:paraId="4376FBB9" w14:textId="77777777" w:rsidR="005D64FA" w:rsidRDefault="005D64FA">
      <w:pPr>
        <w:pStyle w:val="TOC3"/>
        <w:tabs>
          <w:tab w:val="left" w:pos="1200"/>
          <w:tab w:val="right" w:leader="dot" w:pos="8296"/>
        </w:tabs>
        <w:rPr>
          <w:rFonts w:asciiTheme="minorHAnsi" w:hAnsiTheme="minorHAnsi"/>
          <w:noProof/>
          <w:lang w:eastAsia="ja-JP"/>
        </w:rPr>
      </w:pPr>
      <w:r>
        <w:rPr>
          <w:noProof/>
        </w:rPr>
        <w:t>4.4.4</w:t>
      </w:r>
      <w:r>
        <w:rPr>
          <w:rFonts w:asciiTheme="minorHAnsi" w:hAnsiTheme="minorHAnsi"/>
          <w:noProof/>
          <w:lang w:eastAsia="ja-JP"/>
        </w:rPr>
        <w:tab/>
      </w:r>
      <w:r>
        <w:rPr>
          <w:noProof/>
        </w:rPr>
        <w:t>Environmental Risks to Sustainability</w:t>
      </w:r>
      <w:r>
        <w:rPr>
          <w:noProof/>
        </w:rPr>
        <w:tab/>
      </w:r>
      <w:r>
        <w:rPr>
          <w:noProof/>
        </w:rPr>
        <w:fldChar w:fldCharType="begin"/>
      </w:r>
      <w:r>
        <w:rPr>
          <w:noProof/>
        </w:rPr>
        <w:instrText xml:space="preserve"> PAGEREF _Toc311452891 \h </w:instrText>
      </w:r>
      <w:r>
        <w:rPr>
          <w:noProof/>
        </w:rPr>
      </w:r>
      <w:r>
        <w:rPr>
          <w:noProof/>
        </w:rPr>
        <w:fldChar w:fldCharType="separate"/>
      </w:r>
      <w:r>
        <w:rPr>
          <w:noProof/>
        </w:rPr>
        <w:t>47</w:t>
      </w:r>
      <w:r>
        <w:rPr>
          <w:noProof/>
        </w:rPr>
        <w:fldChar w:fldCharType="end"/>
      </w:r>
    </w:p>
    <w:p w14:paraId="46A3C472" w14:textId="77777777" w:rsidR="005D64FA" w:rsidRDefault="005D64FA">
      <w:pPr>
        <w:pStyle w:val="TOC1"/>
        <w:tabs>
          <w:tab w:val="left" w:pos="360"/>
          <w:tab w:val="right" w:leader="dot" w:pos="8296"/>
        </w:tabs>
        <w:rPr>
          <w:rFonts w:asciiTheme="minorHAnsi" w:hAnsiTheme="minorHAnsi"/>
          <w:noProof/>
          <w:lang w:eastAsia="ja-JP"/>
        </w:rPr>
      </w:pPr>
      <w:r>
        <w:rPr>
          <w:noProof/>
        </w:rPr>
        <w:t>5</w:t>
      </w:r>
      <w:r>
        <w:rPr>
          <w:rFonts w:asciiTheme="minorHAnsi" w:hAnsiTheme="minorHAnsi"/>
          <w:noProof/>
          <w:lang w:eastAsia="ja-JP"/>
        </w:rPr>
        <w:tab/>
      </w:r>
      <w:r>
        <w:rPr>
          <w:noProof/>
        </w:rPr>
        <w:t>Conclusions and Recommendations</w:t>
      </w:r>
      <w:r>
        <w:rPr>
          <w:noProof/>
        </w:rPr>
        <w:tab/>
      </w:r>
      <w:r>
        <w:rPr>
          <w:noProof/>
        </w:rPr>
        <w:fldChar w:fldCharType="begin"/>
      </w:r>
      <w:r>
        <w:rPr>
          <w:noProof/>
        </w:rPr>
        <w:instrText xml:space="preserve"> PAGEREF _Toc311452892 \h </w:instrText>
      </w:r>
      <w:r>
        <w:rPr>
          <w:noProof/>
        </w:rPr>
      </w:r>
      <w:r>
        <w:rPr>
          <w:noProof/>
        </w:rPr>
        <w:fldChar w:fldCharType="separate"/>
      </w:r>
      <w:r>
        <w:rPr>
          <w:noProof/>
        </w:rPr>
        <w:t>48</w:t>
      </w:r>
      <w:r>
        <w:rPr>
          <w:noProof/>
        </w:rPr>
        <w:fldChar w:fldCharType="end"/>
      </w:r>
    </w:p>
    <w:p w14:paraId="13B413E5" w14:textId="77777777" w:rsidR="005D64FA" w:rsidRDefault="005D64FA">
      <w:pPr>
        <w:pStyle w:val="TOC2"/>
        <w:tabs>
          <w:tab w:val="left" w:pos="780"/>
          <w:tab w:val="right" w:leader="dot" w:pos="8296"/>
        </w:tabs>
        <w:rPr>
          <w:rFonts w:asciiTheme="minorHAnsi" w:hAnsiTheme="minorHAnsi"/>
          <w:noProof/>
          <w:lang w:eastAsia="ja-JP"/>
        </w:rPr>
      </w:pPr>
      <w:r>
        <w:rPr>
          <w:noProof/>
        </w:rPr>
        <w:t>5.1</w:t>
      </w:r>
      <w:r>
        <w:rPr>
          <w:rFonts w:asciiTheme="minorHAnsi" w:hAnsiTheme="minorHAnsi"/>
          <w:noProof/>
          <w:lang w:eastAsia="ja-JP"/>
        </w:rPr>
        <w:tab/>
      </w:r>
      <w:r>
        <w:rPr>
          <w:noProof/>
        </w:rPr>
        <w:t>Conclusions</w:t>
      </w:r>
      <w:r>
        <w:rPr>
          <w:noProof/>
        </w:rPr>
        <w:tab/>
      </w:r>
      <w:r>
        <w:rPr>
          <w:noProof/>
        </w:rPr>
        <w:fldChar w:fldCharType="begin"/>
      </w:r>
      <w:r>
        <w:rPr>
          <w:noProof/>
        </w:rPr>
        <w:instrText xml:space="preserve"> PAGEREF _Toc311452893 \h </w:instrText>
      </w:r>
      <w:r>
        <w:rPr>
          <w:noProof/>
        </w:rPr>
      </w:r>
      <w:r>
        <w:rPr>
          <w:noProof/>
        </w:rPr>
        <w:fldChar w:fldCharType="separate"/>
      </w:r>
      <w:r>
        <w:rPr>
          <w:noProof/>
        </w:rPr>
        <w:t>48</w:t>
      </w:r>
      <w:r>
        <w:rPr>
          <w:noProof/>
        </w:rPr>
        <w:fldChar w:fldCharType="end"/>
      </w:r>
    </w:p>
    <w:p w14:paraId="7E6C00CB" w14:textId="77777777" w:rsidR="005D64FA" w:rsidRDefault="005D64FA">
      <w:pPr>
        <w:pStyle w:val="TOC2"/>
        <w:tabs>
          <w:tab w:val="left" w:pos="780"/>
          <w:tab w:val="right" w:leader="dot" w:pos="8296"/>
        </w:tabs>
        <w:rPr>
          <w:rFonts w:asciiTheme="minorHAnsi" w:hAnsiTheme="minorHAnsi"/>
          <w:noProof/>
          <w:lang w:eastAsia="ja-JP"/>
        </w:rPr>
      </w:pPr>
      <w:r>
        <w:rPr>
          <w:noProof/>
        </w:rPr>
        <w:t>5.2</w:t>
      </w:r>
      <w:r>
        <w:rPr>
          <w:rFonts w:asciiTheme="minorHAnsi" w:hAnsiTheme="minorHAnsi"/>
          <w:noProof/>
          <w:lang w:eastAsia="ja-JP"/>
        </w:rPr>
        <w:tab/>
      </w:r>
      <w:r>
        <w:rPr>
          <w:noProof/>
        </w:rPr>
        <w:t>Recommendations</w:t>
      </w:r>
      <w:r>
        <w:rPr>
          <w:noProof/>
        </w:rPr>
        <w:tab/>
      </w:r>
      <w:r>
        <w:rPr>
          <w:noProof/>
        </w:rPr>
        <w:fldChar w:fldCharType="begin"/>
      </w:r>
      <w:r>
        <w:rPr>
          <w:noProof/>
        </w:rPr>
        <w:instrText xml:space="preserve"> PAGEREF _Toc311452894 \h </w:instrText>
      </w:r>
      <w:r>
        <w:rPr>
          <w:noProof/>
        </w:rPr>
      </w:r>
      <w:r>
        <w:rPr>
          <w:noProof/>
        </w:rPr>
        <w:fldChar w:fldCharType="separate"/>
      </w:r>
      <w:r>
        <w:rPr>
          <w:noProof/>
        </w:rPr>
        <w:t>49</w:t>
      </w:r>
      <w:r>
        <w:rPr>
          <w:noProof/>
        </w:rPr>
        <w:fldChar w:fldCharType="end"/>
      </w:r>
    </w:p>
    <w:p w14:paraId="10676C54" w14:textId="77777777" w:rsidR="005D64FA" w:rsidRDefault="005D64FA">
      <w:pPr>
        <w:pStyle w:val="TOC3"/>
        <w:tabs>
          <w:tab w:val="left" w:pos="1200"/>
          <w:tab w:val="right" w:leader="dot" w:pos="8296"/>
        </w:tabs>
        <w:rPr>
          <w:rFonts w:asciiTheme="minorHAnsi" w:hAnsiTheme="minorHAnsi"/>
          <w:noProof/>
          <w:lang w:eastAsia="ja-JP"/>
        </w:rPr>
      </w:pPr>
      <w:r>
        <w:rPr>
          <w:noProof/>
        </w:rPr>
        <w:t>5.2.1</w:t>
      </w:r>
      <w:r>
        <w:rPr>
          <w:rFonts w:asciiTheme="minorHAnsi" w:hAnsiTheme="minorHAnsi"/>
          <w:noProof/>
          <w:lang w:eastAsia="ja-JP"/>
        </w:rPr>
        <w:tab/>
      </w:r>
      <w:r>
        <w:rPr>
          <w:noProof/>
        </w:rPr>
        <w:t>Corrective actions for the design, implementation, monitoring and evaluation of the project</w:t>
      </w:r>
      <w:r>
        <w:rPr>
          <w:noProof/>
        </w:rPr>
        <w:tab/>
      </w:r>
      <w:r>
        <w:rPr>
          <w:noProof/>
        </w:rPr>
        <w:fldChar w:fldCharType="begin"/>
      </w:r>
      <w:r>
        <w:rPr>
          <w:noProof/>
        </w:rPr>
        <w:instrText xml:space="preserve"> PAGEREF _Toc311452895 \h </w:instrText>
      </w:r>
      <w:r>
        <w:rPr>
          <w:noProof/>
        </w:rPr>
      </w:r>
      <w:r>
        <w:rPr>
          <w:noProof/>
        </w:rPr>
        <w:fldChar w:fldCharType="separate"/>
      </w:r>
      <w:r>
        <w:rPr>
          <w:noProof/>
        </w:rPr>
        <w:t>51</w:t>
      </w:r>
      <w:r>
        <w:rPr>
          <w:noProof/>
        </w:rPr>
        <w:fldChar w:fldCharType="end"/>
      </w:r>
    </w:p>
    <w:p w14:paraId="6AB37A4D" w14:textId="77777777" w:rsidR="005D64FA" w:rsidRDefault="005D64FA">
      <w:pPr>
        <w:pStyle w:val="TOC3"/>
        <w:tabs>
          <w:tab w:val="left" w:pos="1200"/>
          <w:tab w:val="right" w:leader="dot" w:pos="8296"/>
        </w:tabs>
        <w:rPr>
          <w:rFonts w:asciiTheme="minorHAnsi" w:hAnsiTheme="minorHAnsi"/>
          <w:noProof/>
          <w:lang w:eastAsia="ja-JP"/>
        </w:rPr>
      </w:pPr>
      <w:r>
        <w:rPr>
          <w:noProof/>
        </w:rPr>
        <w:t>5.2.2</w:t>
      </w:r>
      <w:r>
        <w:rPr>
          <w:rFonts w:asciiTheme="minorHAnsi" w:hAnsiTheme="minorHAnsi"/>
          <w:noProof/>
          <w:lang w:eastAsia="ja-JP"/>
        </w:rPr>
        <w:tab/>
      </w:r>
      <w:r>
        <w:rPr>
          <w:noProof/>
        </w:rPr>
        <w:t>Actions to follow up or reinforce initial benefits from the project</w:t>
      </w:r>
      <w:r>
        <w:rPr>
          <w:noProof/>
        </w:rPr>
        <w:tab/>
      </w:r>
      <w:r>
        <w:rPr>
          <w:noProof/>
        </w:rPr>
        <w:fldChar w:fldCharType="begin"/>
      </w:r>
      <w:r>
        <w:rPr>
          <w:noProof/>
        </w:rPr>
        <w:instrText xml:space="preserve"> PAGEREF _Toc311452896 \h </w:instrText>
      </w:r>
      <w:r>
        <w:rPr>
          <w:noProof/>
        </w:rPr>
      </w:r>
      <w:r>
        <w:rPr>
          <w:noProof/>
        </w:rPr>
        <w:fldChar w:fldCharType="separate"/>
      </w:r>
      <w:r>
        <w:rPr>
          <w:noProof/>
        </w:rPr>
        <w:t>58</w:t>
      </w:r>
      <w:r>
        <w:rPr>
          <w:noProof/>
        </w:rPr>
        <w:fldChar w:fldCharType="end"/>
      </w:r>
    </w:p>
    <w:p w14:paraId="0267C720" w14:textId="77777777" w:rsidR="005D64FA" w:rsidRDefault="005D64FA">
      <w:pPr>
        <w:pStyle w:val="TOC3"/>
        <w:tabs>
          <w:tab w:val="left" w:pos="1200"/>
          <w:tab w:val="right" w:leader="dot" w:pos="8296"/>
        </w:tabs>
        <w:rPr>
          <w:rFonts w:asciiTheme="minorHAnsi" w:hAnsiTheme="minorHAnsi"/>
          <w:noProof/>
          <w:lang w:eastAsia="ja-JP"/>
        </w:rPr>
      </w:pPr>
      <w:r>
        <w:rPr>
          <w:noProof/>
        </w:rPr>
        <w:t>5.2.3</w:t>
      </w:r>
      <w:r>
        <w:rPr>
          <w:rFonts w:asciiTheme="minorHAnsi" w:hAnsiTheme="minorHAnsi"/>
          <w:noProof/>
          <w:lang w:eastAsia="ja-JP"/>
        </w:rPr>
        <w:tab/>
      </w:r>
      <w:r>
        <w:rPr>
          <w:noProof/>
        </w:rPr>
        <w:t>Proposals for future directions underlining main objectives</w:t>
      </w:r>
      <w:r>
        <w:rPr>
          <w:noProof/>
        </w:rPr>
        <w:tab/>
      </w:r>
      <w:r>
        <w:rPr>
          <w:noProof/>
        </w:rPr>
        <w:fldChar w:fldCharType="begin"/>
      </w:r>
      <w:r>
        <w:rPr>
          <w:noProof/>
        </w:rPr>
        <w:instrText xml:space="preserve"> PAGEREF _Toc311452897 \h </w:instrText>
      </w:r>
      <w:r>
        <w:rPr>
          <w:noProof/>
        </w:rPr>
      </w:r>
      <w:r>
        <w:rPr>
          <w:noProof/>
        </w:rPr>
        <w:fldChar w:fldCharType="separate"/>
      </w:r>
      <w:r>
        <w:rPr>
          <w:noProof/>
        </w:rPr>
        <w:t>59</w:t>
      </w:r>
      <w:r>
        <w:rPr>
          <w:noProof/>
        </w:rPr>
        <w:fldChar w:fldCharType="end"/>
      </w:r>
    </w:p>
    <w:p w14:paraId="7DED70A9" w14:textId="77777777" w:rsidR="006F30D4" w:rsidRPr="00516656" w:rsidRDefault="006F30D4">
      <w:r w:rsidRPr="00516656">
        <w:fldChar w:fldCharType="end"/>
      </w:r>
    </w:p>
    <w:p w14:paraId="4FD4205A" w14:textId="4D16AD62" w:rsidR="006B0551" w:rsidRDefault="003A3C61">
      <w:pPr>
        <w:rPr>
          <w:rFonts w:asciiTheme="majorHAnsi" w:hAnsiTheme="majorHAnsi"/>
          <w:b/>
          <w:color w:val="365F91" w:themeColor="accent1" w:themeShade="BF"/>
          <w:sz w:val="32"/>
          <w:szCs w:val="32"/>
        </w:rPr>
      </w:pPr>
      <w:r w:rsidRPr="00516656">
        <w:rPr>
          <w:rFonts w:asciiTheme="majorHAnsi" w:hAnsiTheme="majorHAnsi"/>
          <w:b/>
          <w:color w:val="365F91" w:themeColor="accent1" w:themeShade="BF"/>
          <w:sz w:val="32"/>
          <w:szCs w:val="32"/>
        </w:rPr>
        <w:t>Table of Contents (Annexes)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1468"/>
      </w:tblGrid>
      <w:tr w:rsidR="00030AB9" w:rsidRPr="00080163" w14:paraId="65EBD62F" w14:textId="77777777" w:rsidTr="001037D7">
        <w:tc>
          <w:tcPr>
            <w:tcW w:w="7054" w:type="dxa"/>
          </w:tcPr>
          <w:p w14:paraId="5F45AA58" w14:textId="77777777" w:rsidR="00030AB9" w:rsidRPr="00080163" w:rsidRDefault="00030AB9" w:rsidP="001037D7">
            <w:r w:rsidRPr="00080163">
              <w:t>Annex 1: Terms of Reference</w:t>
            </w:r>
          </w:p>
        </w:tc>
        <w:tc>
          <w:tcPr>
            <w:tcW w:w="1468" w:type="dxa"/>
          </w:tcPr>
          <w:p w14:paraId="0EA4DE2B" w14:textId="77777777" w:rsidR="00030AB9" w:rsidRPr="00080163" w:rsidRDefault="00030AB9" w:rsidP="001037D7">
            <w:pPr>
              <w:jc w:val="right"/>
            </w:pPr>
          </w:p>
        </w:tc>
      </w:tr>
      <w:tr w:rsidR="00030AB9" w:rsidRPr="00080163" w14:paraId="042D191A" w14:textId="77777777" w:rsidTr="001037D7">
        <w:tc>
          <w:tcPr>
            <w:tcW w:w="7054" w:type="dxa"/>
          </w:tcPr>
          <w:p w14:paraId="2384BC9E" w14:textId="77777777" w:rsidR="00030AB9" w:rsidRPr="00080163" w:rsidRDefault="00030AB9" w:rsidP="001037D7">
            <w:r w:rsidRPr="00080163">
              <w:t>Annex 2: MTR Mission Itinerary</w:t>
            </w:r>
          </w:p>
        </w:tc>
        <w:tc>
          <w:tcPr>
            <w:tcW w:w="1468" w:type="dxa"/>
          </w:tcPr>
          <w:p w14:paraId="3644B052" w14:textId="77777777" w:rsidR="00030AB9" w:rsidRPr="00080163" w:rsidRDefault="00030AB9" w:rsidP="001037D7">
            <w:pPr>
              <w:jc w:val="right"/>
            </w:pPr>
          </w:p>
        </w:tc>
      </w:tr>
      <w:tr w:rsidR="00030AB9" w:rsidRPr="00080163" w14:paraId="4CDA448C" w14:textId="77777777" w:rsidTr="001037D7">
        <w:tc>
          <w:tcPr>
            <w:tcW w:w="7054" w:type="dxa"/>
          </w:tcPr>
          <w:p w14:paraId="5128AFB8" w14:textId="77777777" w:rsidR="00030AB9" w:rsidRPr="00080163" w:rsidRDefault="00030AB9" w:rsidP="001037D7">
            <w:r w:rsidRPr="00080163">
              <w:t>Annex 3: List of persons interviewed or contacted</w:t>
            </w:r>
          </w:p>
        </w:tc>
        <w:tc>
          <w:tcPr>
            <w:tcW w:w="1468" w:type="dxa"/>
          </w:tcPr>
          <w:p w14:paraId="20EA054E" w14:textId="77777777" w:rsidR="00030AB9" w:rsidRPr="00080163" w:rsidRDefault="00030AB9" w:rsidP="001037D7">
            <w:pPr>
              <w:jc w:val="right"/>
            </w:pPr>
          </w:p>
        </w:tc>
      </w:tr>
      <w:tr w:rsidR="00030AB9" w:rsidRPr="00080163" w14:paraId="4BBC8E51" w14:textId="77777777" w:rsidTr="001037D7">
        <w:tc>
          <w:tcPr>
            <w:tcW w:w="7054" w:type="dxa"/>
          </w:tcPr>
          <w:p w14:paraId="6C848613" w14:textId="77777777" w:rsidR="00030AB9" w:rsidRPr="00080163" w:rsidRDefault="00030AB9" w:rsidP="001037D7">
            <w:r w:rsidRPr="00080163">
              <w:t xml:space="preserve">Annex 4: Meetings with the </w:t>
            </w:r>
            <w:proofErr w:type="spellStart"/>
            <w:r w:rsidRPr="00080163">
              <w:t>Otradnoe</w:t>
            </w:r>
            <w:proofErr w:type="spellEnd"/>
            <w:r w:rsidRPr="00080163">
              <w:t xml:space="preserve"> </w:t>
            </w:r>
            <w:proofErr w:type="spellStart"/>
            <w:r w:rsidRPr="00486E35">
              <w:rPr>
                <w:i/>
              </w:rPr>
              <w:t>aiyl</w:t>
            </w:r>
            <w:proofErr w:type="spellEnd"/>
            <w:r w:rsidRPr="00486E35">
              <w:rPr>
                <w:i/>
              </w:rPr>
              <w:t xml:space="preserve"> </w:t>
            </w:r>
            <w:proofErr w:type="spellStart"/>
            <w:r w:rsidRPr="00486E35">
              <w:rPr>
                <w:i/>
              </w:rPr>
              <w:t>okmotu</w:t>
            </w:r>
            <w:proofErr w:type="spellEnd"/>
          </w:p>
        </w:tc>
        <w:tc>
          <w:tcPr>
            <w:tcW w:w="1468" w:type="dxa"/>
          </w:tcPr>
          <w:p w14:paraId="3318713A" w14:textId="77777777" w:rsidR="00030AB9" w:rsidRPr="00080163" w:rsidRDefault="00030AB9" w:rsidP="001037D7">
            <w:pPr>
              <w:jc w:val="right"/>
            </w:pPr>
          </w:p>
        </w:tc>
      </w:tr>
      <w:tr w:rsidR="00030AB9" w:rsidRPr="00080163" w14:paraId="226D2133" w14:textId="77777777" w:rsidTr="001037D7">
        <w:tc>
          <w:tcPr>
            <w:tcW w:w="7054" w:type="dxa"/>
          </w:tcPr>
          <w:p w14:paraId="1BACA7DF" w14:textId="77777777" w:rsidR="00030AB9" w:rsidRPr="00080163" w:rsidRDefault="00030AB9" w:rsidP="001037D7">
            <w:r w:rsidRPr="00080163">
              <w:t>Annex 5: The Legislation on which the project has been working.</w:t>
            </w:r>
          </w:p>
        </w:tc>
        <w:tc>
          <w:tcPr>
            <w:tcW w:w="1468" w:type="dxa"/>
          </w:tcPr>
          <w:p w14:paraId="49B0E5CF" w14:textId="77777777" w:rsidR="00030AB9" w:rsidRPr="00080163" w:rsidRDefault="00030AB9" w:rsidP="001037D7">
            <w:pPr>
              <w:jc w:val="right"/>
            </w:pPr>
          </w:p>
        </w:tc>
      </w:tr>
      <w:tr w:rsidR="00030AB9" w:rsidRPr="00080163" w14:paraId="5A581A3A" w14:textId="77777777" w:rsidTr="001037D7">
        <w:tc>
          <w:tcPr>
            <w:tcW w:w="7054" w:type="dxa"/>
          </w:tcPr>
          <w:p w14:paraId="4F9F63B0" w14:textId="77777777" w:rsidR="00030AB9" w:rsidRPr="00080163" w:rsidRDefault="00030AB9" w:rsidP="001037D7">
            <w:r w:rsidRPr="00080163">
              <w:t>Annex 6: The composition of various committees important for project oversight</w:t>
            </w:r>
          </w:p>
        </w:tc>
        <w:tc>
          <w:tcPr>
            <w:tcW w:w="1468" w:type="dxa"/>
          </w:tcPr>
          <w:p w14:paraId="30C03FB0" w14:textId="77777777" w:rsidR="00030AB9" w:rsidRPr="00080163" w:rsidRDefault="00030AB9" w:rsidP="001037D7">
            <w:pPr>
              <w:jc w:val="right"/>
            </w:pPr>
          </w:p>
        </w:tc>
      </w:tr>
      <w:tr w:rsidR="00030AB9" w:rsidRPr="00080163" w14:paraId="0C439C99" w14:textId="77777777" w:rsidTr="001037D7">
        <w:tc>
          <w:tcPr>
            <w:tcW w:w="7054" w:type="dxa"/>
          </w:tcPr>
          <w:p w14:paraId="00F3145E" w14:textId="77777777" w:rsidR="00030AB9" w:rsidRPr="00080163" w:rsidRDefault="00030AB9" w:rsidP="001037D7">
            <w:r w:rsidRPr="00080163">
              <w:t xml:space="preserve">Annex 7: Flowchart for the development of Khan </w:t>
            </w:r>
            <w:proofErr w:type="spellStart"/>
            <w:r w:rsidRPr="00080163">
              <w:t>Tengri</w:t>
            </w:r>
            <w:proofErr w:type="spellEnd"/>
            <w:r w:rsidRPr="00080163">
              <w:t xml:space="preserve"> National Park</w:t>
            </w:r>
          </w:p>
        </w:tc>
        <w:tc>
          <w:tcPr>
            <w:tcW w:w="1468" w:type="dxa"/>
          </w:tcPr>
          <w:p w14:paraId="0860FFD7" w14:textId="77777777" w:rsidR="00030AB9" w:rsidRPr="00080163" w:rsidRDefault="00030AB9" w:rsidP="001037D7">
            <w:pPr>
              <w:jc w:val="right"/>
            </w:pPr>
          </w:p>
        </w:tc>
      </w:tr>
      <w:tr w:rsidR="00030AB9" w:rsidRPr="00080163" w14:paraId="63A980A4" w14:textId="77777777" w:rsidTr="001037D7">
        <w:tc>
          <w:tcPr>
            <w:tcW w:w="7054" w:type="dxa"/>
          </w:tcPr>
          <w:p w14:paraId="18DB4F1F" w14:textId="77777777" w:rsidR="00030AB9" w:rsidRPr="00080163" w:rsidRDefault="00030AB9" w:rsidP="001037D7">
            <w:r w:rsidRPr="00080163">
              <w:t>Annex 8: An example of Terms of Reference for a single species conservation coordination group</w:t>
            </w:r>
          </w:p>
        </w:tc>
        <w:tc>
          <w:tcPr>
            <w:tcW w:w="1468" w:type="dxa"/>
          </w:tcPr>
          <w:p w14:paraId="30771691" w14:textId="77777777" w:rsidR="00030AB9" w:rsidRPr="00080163" w:rsidRDefault="00030AB9" w:rsidP="001037D7">
            <w:pPr>
              <w:jc w:val="right"/>
            </w:pPr>
          </w:p>
        </w:tc>
      </w:tr>
      <w:tr w:rsidR="00030AB9" w:rsidRPr="00080163" w14:paraId="63261008" w14:textId="77777777" w:rsidTr="001037D7">
        <w:tc>
          <w:tcPr>
            <w:tcW w:w="7054" w:type="dxa"/>
          </w:tcPr>
          <w:p w14:paraId="78B91277" w14:textId="77777777" w:rsidR="00030AB9" w:rsidRPr="00080163" w:rsidRDefault="00030AB9" w:rsidP="001037D7">
            <w:r w:rsidRPr="00080163">
              <w:t>Annex 9: Participants in Training</w:t>
            </w:r>
          </w:p>
        </w:tc>
        <w:tc>
          <w:tcPr>
            <w:tcW w:w="1468" w:type="dxa"/>
          </w:tcPr>
          <w:p w14:paraId="6F06638D" w14:textId="77777777" w:rsidR="00030AB9" w:rsidRPr="00080163" w:rsidRDefault="00030AB9" w:rsidP="001037D7">
            <w:pPr>
              <w:jc w:val="right"/>
            </w:pPr>
          </w:p>
        </w:tc>
      </w:tr>
      <w:tr w:rsidR="00030AB9" w:rsidRPr="00080163" w14:paraId="43BB30E9" w14:textId="77777777" w:rsidTr="001037D7">
        <w:tc>
          <w:tcPr>
            <w:tcW w:w="7054" w:type="dxa"/>
          </w:tcPr>
          <w:p w14:paraId="4641EDD4" w14:textId="77777777" w:rsidR="00030AB9" w:rsidRPr="00080163" w:rsidRDefault="00030AB9" w:rsidP="001037D7">
            <w:r w:rsidRPr="00080163">
              <w:t>Annex 10: Example questionnaire used for data collection</w:t>
            </w:r>
          </w:p>
        </w:tc>
        <w:tc>
          <w:tcPr>
            <w:tcW w:w="1468" w:type="dxa"/>
          </w:tcPr>
          <w:p w14:paraId="6A4DBF92" w14:textId="77777777" w:rsidR="00030AB9" w:rsidRPr="00080163" w:rsidRDefault="00030AB9" w:rsidP="001037D7">
            <w:pPr>
              <w:jc w:val="right"/>
            </w:pPr>
          </w:p>
        </w:tc>
      </w:tr>
      <w:tr w:rsidR="00030AB9" w:rsidRPr="00080163" w14:paraId="4A572C92" w14:textId="77777777" w:rsidTr="001037D7">
        <w:tc>
          <w:tcPr>
            <w:tcW w:w="7054" w:type="dxa"/>
          </w:tcPr>
          <w:p w14:paraId="7F50318F" w14:textId="77777777" w:rsidR="00030AB9" w:rsidRPr="00080163" w:rsidRDefault="00030AB9" w:rsidP="001037D7">
            <w:r w:rsidRPr="00080163">
              <w:t>Annex 11: List of documents reviewed</w:t>
            </w:r>
          </w:p>
        </w:tc>
        <w:tc>
          <w:tcPr>
            <w:tcW w:w="1468" w:type="dxa"/>
          </w:tcPr>
          <w:p w14:paraId="428A2FC3" w14:textId="77777777" w:rsidR="00030AB9" w:rsidRPr="00080163" w:rsidRDefault="00030AB9" w:rsidP="001037D7">
            <w:pPr>
              <w:jc w:val="right"/>
            </w:pPr>
          </w:p>
        </w:tc>
      </w:tr>
      <w:tr w:rsidR="00030AB9" w:rsidRPr="00080163" w14:paraId="4527BAA7" w14:textId="77777777" w:rsidTr="001037D7">
        <w:tc>
          <w:tcPr>
            <w:tcW w:w="7054" w:type="dxa"/>
          </w:tcPr>
          <w:p w14:paraId="0D55C9FD" w14:textId="77777777" w:rsidR="00030AB9" w:rsidRPr="00080163" w:rsidRDefault="00030AB9" w:rsidP="001037D7">
            <w:r w:rsidRPr="00080163">
              <w:t>Annex 12: UNEG Code of Conduct Form</w:t>
            </w:r>
          </w:p>
        </w:tc>
        <w:tc>
          <w:tcPr>
            <w:tcW w:w="1468" w:type="dxa"/>
          </w:tcPr>
          <w:p w14:paraId="2F32A66F" w14:textId="77777777" w:rsidR="00030AB9" w:rsidRPr="00080163" w:rsidRDefault="00030AB9" w:rsidP="001037D7">
            <w:pPr>
              <w:jc w:val="right"/>
            </w:pPr>
          </w:p>
        </w:tc>
      </w:tr>
      <w:tr w:rsidR="00030AB9" w:rsidRPr="00080163" w14:paraId="33CE2473" w14:textId="77777777" w:rsidTr="001037D7">
        <w:tc>
          <w:tcPr>
            <w:tcW w:w="7054" w:type="dxa"/>
          </w:tcPr>
          <w:p w14:paraId="203079B4" w14:textId="77777777" w:rsidR="00030AB9" w:rsidRPr="00080163" w:rsidRDefault="00030AB9" w:rsidP="001037D7">
            <w:r w:rsidRPr="00080163">
              <w:t>Annex 13: TE Final Report Clearance Form</w:t>
            </w:r>
          </w:p>
        </w:tc>
        <w:tc>
          <w:tcPr>
            <w:tcW w:w="1468" w:type="dxa"/>
          </w:tcPr>
          <w:p w14:paraId="7EB9AA7B" w14:textId="77777777" w:rsidR="00030AB9" w:rsidRPr="00080163" w:rsidRDefault="00030AB9" w:rsidP="001037D7">
            <w:pPr>
              <w:jc w:val="right"/>
            </w:pPr>
          </w:p>
        </w:tc>
      </w:tr>
    </w:tbl>
    <w:p w14:paraId="6C56D2EC" w14:textId="77777777" w:rsidR="003A3C61" w:rsidRPr="00516656" w:rsidRDefault="003A3C61"/>
    <w:p w14:paraId="3A40FA99" w14:textId="77777777" w:rsidR="006D6157" w:rsidRPr="00516656" w:rsidRDefault="006D6157">
      <w:pPr>
        <w:spacing w:after="0"/>
        <w:rPr>
          <w:rFonts w:asciiTheme="majorHAnsi" w:eastAsiaTheme="majorEastAsia" w:hAnsiTheme="majorHAnsi" w:cstheme="majorBidi"/>
          <w:b/>
          <w:bCs/>
          <w:color w:val="345A8A" w:themeColor="accent1" w:themeShade="B5"/>
          <w:sz w:val="32"/>
          <w:szCs w:val="32"/>
        </w:rPr>
        <w:sectPr w:rsidR="006D6157" w:rsidRPr="00516656" w:rsidSect="006D6157">
          <w:pgSz w:w="11900" w:h="16840"/>
          <w:pgMar w:top="1440" w:right="1797" w:bottom="1440" w:left="1797" w:header="709" w:footer="709" w:gutter="0"/>
          <w:pgNumType w:fmt="lowerRoman"/>
          <w:cols w:space="708"/>
          <w:titlePg/>
          <w:docGrid w:linePitch="360"/>
        </w:sectPr>
      </w:pPr>
    </w:p>
    <w:p w14:paraId="4E07C4F0" w14:textId="5DCABEFA" w:rsidR="00E4257F" w:rsidRPr="00516656" w:rsidRDefault="00E4257F" w:rsidP="00997BC5">
      <w:pPr>
        <w:pStyle w:val="Heading1"/>
        <w:numPr>
          <w:ilvl w:val="0"/>
          <w:numId w:val="0"/>
        </w:numPr>
        <w:ind w:left="432" w:hanging="432"/>
      </w:pPr>
      <w:bookmarkStart w:id="1" w:name="_Toc311452853"/>
      <w:r w:rsidRPr="00516656">
        <w:t>Acronyms</w:t>
      </w:r>
      <w:r w:rsidR="000429F6" w:rsidRPr="00516656">
        <w:t>,</w:t>
      </w:r>
      <w:r w:rsidRPr="00516656">
        <w:t xml:space="preserve"> Abbreviations</w:t>
      </w:r>
      <w:r w:rsidR="000429F6" w:rsidRPr="00516656">
        <w:t xml:space="preserve"> and Glossary</w:t>
      </w:r>
      <w:bookmarkEnd w:id="1"/>
    </w:p>
    <w:p w14:paraId="1B1B1909" w14:textId="77777777" w:rsidR="00E4257F" w:rsidRPr="00516656" w:rsidRDefault="00E4257F"/>
    <w:tbl>
      <w:tblPr>
        <w:tblStyle w:val="TableGrid"/>
        <w:tblW w:w="0" w:type="auto"/>
        <w:tblLayout w:type="fixed"/>
        <w:tblLook w:val="04A0" w:firstRow="1" w:lastRow="0" w:firstColumn="1" w:lastColumn="0" w:noHBand="0" w:noVBand="1"/>
      </w:tblPr>
      <w:tblGrid>
        <w:gridCol w:w="1951"/>
        <w:gridCol w:w="6571"/>
      </w:tblGrid>
      <w:tr w:rsidR="002025C5" w:rsidRPr="00516656" w14:paraId="30D33A28" w14:textId="77777777" w:rsidTr="000D22A0">
        <w:tc>
          <w:tcPr>
            <w:tcW w:w="1951" w:type="dxa"/>
          </w:tcPr>
          <w:p w14:paraId="53E09A0C" w14:textId="0B717B88" w:rsidR="002025C5" w:rsidRPr="00516656" w:rsidRDefault="002025C5">
            <w:pPr>
              <w:rPr>
                <w:sz w:val="20"/>
                <w:szCs w:val="20"/>
              </w:rPr>
            </w:pPr>
            <w:proofErr w:type="spellStart"/>
            <w:r>
              <w:rPr>
                <w:i/>
                <w:sz w:val="22"/>
                <w:szCs w:val="22"/>
              </w:rPr>
              <w:t>A</w:t>
            </w:r>
            <w:r w:rsidRPr="00BD1E2F">
              <w:rPr>
                <w:i/>
                <w:sz w:val="22"/>
                <w:szCs w:val="22"/>
              </w:rPr>
              <w:t>iyl</w:t>
            </w:r>
            <w:proofErr w:type="spellEnd"/>
            <w:r w:rsidRPr="00BD1E2F">
              <w:rPr>
                <w:i/>
                <w:sz w:val="22"/>
                <w:szCs w:val="22"/>
              </w:rPr>
              <w:t xml:space="preserve"> </w:t>
            </w:r>
            <w:proofErr w:type="spellStart"/>
            <w:r w:rsidRPr="00BD1E2F">
              <w:rPr>
                <w:i/>
                <w:sz w:val="22"/>
                <w:szCs w:val="22"/>
              </w:rPr>
              <w:t>okmotu</w:t>
            </w:r>
            <w:proofErr w:type="spellEnd"/>
          </w:p>
        </w:tc>
        <w:tc>
          <w:tcPr>
            <w:tcW w:w="6571" w:type="dxa"/>
          </w:tcPr>
          <w:p w14:paraId="6A82A3CF" w14:textId="120B04C9" w:rsidR="002025C5" w:rsidRPr="00516656" w:rsidRDefault="002025C5">
            <w:pPr>
              <w:rPr>
                <w:sz w:val="20"/>
                <w:szCs w:val="20"/>
              </w:rPr>
            </w:pPr>
            <w:r>
              <w:rPr>
                <w:sz w:val="20"/>
                <w:szCs w:val="20"/>
              </w:rPr>
              <w:t>Local self-governing bodies</w:t>
            </w:r>
            <w:r w:rsidR="00907BC5">
              <w:rPr>
                <w:sz w:val="20"/>
                <w:szCs w:val="20"/>
              </w:rPr>
              <w:t xml:space="preserve"> (sub-rayon level)</w:t>
            </w:r>
          </w:p>
        </w:tc>
      </w:tr>
      <w:tr w:rsidR="003D29E6" w:rsidRPr="00516656" w14:paraId="607729A0" w14:textId="77777777" w:rsidTr="000D22A0">
        <w:tc>
          <w:tcPr>
            <w:tcW w:w="1951" w:type="dxa"/>
          </w:tcPr>
          <w:p w14:paraId="1AD4D8FD" w14:textId="2A6A9FCF" w:rsidR="003D29E6" w:rsidRPr="00516656" w:rsidRDefault="00620FE3">
            <w:pPr>
              <w:rPr>
                <w:sz w:val="20"/>
                <w:szCs w:val="20"/>
              </w:rPr>
            </w:pPr>
            <w:r w:rsidRPr="00516656">
              <w:rPr>
                <w:sz w:val="20"/>
                <w:szCs w:val="20"/>
              </w:rPr>
              <w:t>APR</w:t>
            </w:r>
          </w:p>
        </w:tc>
        <w:tc>
          <w:tcPr>
            <w:tcW w:w="6571" w:type="dxa"/>
          </w:tcPr>
          <w:p w14:paraId="7295309F" w14:textId="5781856A" w:rsidR="003D29E6" w:rsidRPr="00516656" w:rsidRDefault="00620FE3">
            <w:pPr>
              <w:rPr>
                <w:sz w:val="20"/>
                <w:szCs w:val="20"/>
              </w:rPr>
            </w:pPr>
            <w:r w:rsidRPr="00516656">
              <w:rPr>
                <w:sz w:val="20"/>
                <w:szCs w:val="20"/>
              </w:rPr>
              <w:t>Annual Project Review</w:t>
            </w:r>
          </w:p>
        </w:tc>
      </w:tr>
      <w:tr w:rsidR="002306AB" w:rsidRPr="00516656" w14:paraId="10C001FE" w14:textId="77777777" w:rsidTr="000D22A0">
        <w:tc>
          <w:tcPr>
            <w:tcW w:w="1951" w:type="dxa"/>
          </w:tcPr>
          <w:p w14:paraId="6679CAFB" w14:textId="31191F67" w:rsidR="002306AB" w:rsidRPr="00516656" w:rsidRDefault="002306AB">
            <w:pPr>
              <w:rPr>
                <w:sz w:val="20"/>
                <w:szCs w:val="20"/>
              </w:rPr>
            </w:pPr>
            <w:proofErr w:type="spellStart"/>
            <w:proofErr w:type="gramStart"/>
            <w:r>
              <w:rPr>
                <w:sz w:val="20"/>
                <w:szCs w:val="20"/>
              </w:rPr>
              <w:t>asl</w:t>
            </w:r>
            <w:proofErr w:type="spellEnd"/>
            <w:proofErr w:type="gramEnd"/>
          </w:p>
        </w:tc>
        <w:tc>
          <w:tcPr>
            <w:tcW w:w="6571" w:type="dxa"/>
          </w:tcPr>
          <w:p w14:paraId="696CDF50" w14:textId="2BD679C0" w:rsidR="002306AB" w:rsidRPr="00516656" w:rsidRDefault="002306AB">
            <w:pPr>
              <w:rPr>
                <w:sz w:val="20"/>
                <w:szCs w:val="20"/>
              </w:rPr>
            </w:pPr>
            <w:r>
              <w:rPr>
                <w:sz w:val="20"/>
                <w:szCs w:val="20"/>
              </w:rPr>
              <w:t>Above sea level</w:t>
            </w:r>
          </w:p>
        </w:tc>
      </w:tr>
      <w:tr w:rsidR="003D29E6" w:rsidRPr="00516656" w14:paraId="6E0A9D18" w14:textId="77777777" w:rsidTr="000D22A0">
        <w:tc>
          <w:tcPr>
            <w:tcW w:w="1951" w:type="dxa"/>
          </w:tcPr>
          <w:p w14:paraId="5684C9E6" w14:textId="3885FEFE" w:rsidR="003D29E6" w:rsidRPr="00516656" w:rsidRDefault="00F1023D">
            <w:pPr>
              <w:rPr>
                <w:sz w:val="20"/>
                <w:szCs w:val="20"/>
              </w:rPr>
            </w:pPr>
            <w:r w:rsidRPr="00516656">
              <w:rPr>
                <w:sz w:val="20"/>
                <w:szCs w:val="20"/>
              </w:rPr>
              <w:t>CEO</w:t>
            </w:r>
          </w:p>
        </w:tc>
        <w:tc>
          <w:tcPr>
            <w:tcW w:w="6571" w:type="dxa"/>
          </w:tcPr>
          <w:p w14:paraId="3F42502D" w14:textId="079430A4" w:rsidR="003D29E6" w:rsidRPr="00516656" w:rsidRDefault="00F1023D">
            <w:pPr>
              <w:rPr>
                <w:sz w:val="20"/>
                <w:szCs w:val="20"/>
              </w:rPr>
            </w:pPr>
            <w:r w:rsidRPr="00516656">
              <w:rPr>
                <w:sz w:val="20"/>
                <w:szCs w:val="20"/>
              </w:rPr>
              <w:t>Chief Executive Officer (referring to GEF)</w:t>
            </w:r>
          </w:p>
        </w:tc>
      </w:tr>
      <w:tr w:rsidR="009D7C7A" w:rsidRPr="00516656" w14:paraId="503CB801" w14:textId="77777777" w:rsidTr="000D22A0">
        <w:tc>
          <w:tcPr>
            <w:tcW w:w="1951" w:type="dxa"/>
          </w:tcPr>
          <w:p w14:paraId="6F2DF4FD" w14:textId="446BE384" w:rsidR="009D7C7A" w:rsidRPr="00516656" w:rsidRDefault="009D7C7A">
            <w:pPr>
              <w:rPr>
                <w:sz w:val="20"/>
                <w:szCs w:val="20"/>
              </w:rPr>
            </w:pPr>
            <w:r>
              <w:rPr>
                <w:sz w:val="20"/>
                <w:szCs w:val="20"/>
              </w:rPr>
              <w:t>CSO</w:t>
            </w:r>
          </w:p>
        </w:tc>
        <w:tc>
          <w:tcPr>
            <w:tcW w:w="6571" w:type="dxa"/>
          </w:tcPr>
          <w:p w14:paraId="511C92E8" w14:textId="7A042108" w:rsidR="009D7C7A" w:rsidRPr="00516656" w:rsidRDefault="009D7C7A">
            <w:pPr>
              <w:rPr>
                <w:sz w:val="20"/>
                <w:szCs w:val="20"/>
              </w:rPr>
            </w:pPr>
            <w:r>
              <w:rPr>
                <w:sz w:val="20"/>
                <w:szCs w:val="20"/>
              </w:rPr>
              <w:t>Civil Society Organisation</w:t>
            </w:r>
          </w:p>
        </w:tc>
      </w:tr>
      <w:tr w:rsidR="00907BC5" w:rsidRPr="00516656" w14:paraId="7ACD1A05" w14:textId="77777777" w:rsidTr="000D22A0">
        <w:tc>
          <w:tcPr>
            <w:tcW w:w="1951" w:type="dxa"/>
          </w:tcPr>
          <w:p w14:paraId="51E71B9F" w14:textId="296C30E6" w:rsidR="00907BC5" w:rsidRPr="00516656" w:rsidRDefault="00907BC5">
            <w:pPr>
              <w:rPr>
                <w:sz w:val="20"/>
                <w:szCs w:val="20"/>
              </w:rPr>
            </w:pPr>
            <w:r>
              <w:rPr>
                <w:sz w:val="20"/>
                <w:szCs w:val="20"/>
              </w:rPr>
              <w:t>CTA</w:t>
            </w:r>
          </w:p>
        </w:tc>
        <w:tc>
          <w:tcPr>
            <w:tcW w:w="6571" w:type="dxa"/>
          </w:tcPr>
          <w:p w14:paraId="2A1B77BB" w14:textId="369C9D6E" w:rsidR="00907BC5" w:rsidRPr="00516656" w:rsidRDefault="00907BC5">
            <w:pPr>
              <w:rPr>
                <w:sz w:val="20"/>
                <w:szCs w:val="20"/>
              </w:rPr>
            </w:pPr>
            <w:r>
              <w:rPr>
                <w:sz w:val="20"/>
                <w:szCs w:val="20"/>
              </w:rPr>
              <w:t>Chief Technical Advisor</w:t>
            </w:r>
          </w:p>
        </w:tc>
      </w:tr>
      <w:tr w:rsidR="00C4149E" w:rsidRPr="00516656" w14:paraId="52815544" w14:textId="77777777" w:rsidTr="000D22A0">
        <w:tc>
          <w:tcPr>
            <w:tcW w:w="1951" w:type="dxa"/>
          </w:tcPr>
          <w:p w14:paraId="122A6373" w14:textId="46B0F821" w:rsidR="00C4149E" w:rsidRDefault="00C4149E">
            <w:pPr>
              <w:rPr>
                <w:sz w:val="20"/>
                <w:szCs w:val="20"/>
              </w:rPr>
            </w:pPr>
            <w:r>
              <w:rPr>
                <w:sz w:val="20"/>
                <w:szCs w:val="20"/>
              </w:rPr>
              <w:t>DIM</w:t>
            </w:r>
          </w:p>
        </w:tc>
        <w:tc>
          <w:tcPr>
            <w:tcW w:w="6571" w:type="dxa"/>
          </w:tcPr>
          <w:p w14:paraId="7F35EAE5" w14:textId="0E2BEF72" w:rsidR="00C4149E" w:rsidRDefault="00C4149E">
            <w:pPr>
              <w:rPr>
                <w:sz w:val="20"/>
                <w:szCs w:val="20"/>
              </w:rPr>
            </w:pPr>
            <w:r>
              <w:rPr>
                <w:sz w:val="20"/>
                <w:szCs w:val="20"/>
              </w:rPr>
              <w:t>Direct Implementation Modalities</w:t>
            </w:r>
          </w:p>
        </w:tc>
      </w:tr>
      <w:tr w:rsidR="00D05C45" w:rsidRPr="00516656" w14:paraId="7F66ACCA" w14:textId="77777777" w:rsidTr="000D22A0">
        <w:tc>
          <w:tcPr>
            <w:tcW w:w="1951" w:type="dxa"/>
          </w:tcPr>
          <w:p w14:paraId="1C4D46A4" w14:textId="20FFBBBE" w:rsidR="00D05C45" w:rsidRDefault="00D05C45">
            <w:pPr>
              <w:rPr>
                <w:sz w:val="20"/>
                <w:szCs w:val="20"/>
              </w:rPr>
            </w:pPr>
            <w:r>
              <w:rPr>
                <w:sz w:val="20"/>
                <w:szCs w:val="20"/>
              </w:rPr>
              <w:t>DSA</w:t>
            </w:r>
          </w:p>
        </w:tc>
        <w:tc>
          <w:tcPr>
            <w:tcW w:w="6571" w:type="dxa"/>
          </w:tcPr>
          <w:p w14:paraId="5B9BB474" w14:textId="0DD23354" w:rsidR="00D05C45" w:rsidRDefault="00D05C45">
            <w:pPr>
              <w:rPr>
                <w:sz w:val="20"/>
                <w:szCs w:val="20"/>
              </w:rPr>
            </w:pPr>
            <w:r>
              <w:rPr>
                <w:sz w:val="20"/>
                <w:szCs w:val="20"/>
              </w:rPr>
              <w:t>Daily Subsistence Allowance</w:t>
            </w:r>
          </w:p>
        </w:tc>
      </w:tr>
      <w:tr w:rsidR="005E6466" w:rsidRPr="00516656" w14:paraId="2FB23C4C" w14:textId="77777777" w:rsidTr="000D22A0">
        <w:tc>
          <w:tcPr>
            <w:tcW w:w="1951" w:type="dxa"/>
          </w:tcPr>
          <w:p w14:paraId="5FBE8070" w14:textId="63C00001" w:rsidR="005E6466" w:rsidRPr="00516656" w:rsidRDefault="005E6466">
            <w:pPr>
              <w:rPr>
                <w:sz w:val="20"/>
                <w:szCs w:val="20"/>
              </w:rPr>
            </w:pPr>
            <w:r w:rsidRPr="00516656">
              <w:rPr>
                <w:sz w:val="20"/>
                <w:szCs w:val="20"/>
              </w:rPr>
              <w:t>EOP</w:t>
            </w:r>
          </w:p>
        </w:tc>
        <w:tc>
          <w:tcPr>
            <w:tcW w:w="6571" w:type="dxa"/>
          </w:tcPr>
          <w:p w14:paraId="2A523B1B" w14:textId="57CD22BE" w:rsidR="005E6466" w:rsidRPr="00516656" w:rsidRDefault="005E6466">
            <w:pPr>
              <w:rPr>
                <w:sz w:val="20"/>
                <w:szCs w:val="20"/>
              </w:rPr>
            </w:pPr>
            <w:r w:rsidRPr="00516656">
              <w:rPr>
                <w:sz w:val="20"/>
                <w:szCs w:val="20"/>
              </w:rPr>
              <w:t>End of Project (usually in the context of targets for indicators)</w:t>
            </w:r>
          </w:p>
        </w:tc>
      </w:tr>
      <w:tr w:rsidR="002306AB" w:rsidRPr="00516656" w14:paraId="3E2DB837" w14:textId="77777777" w:rsidTr="000D22A0">
        <w:tc>
          <w:tcPr>
            <w:tcW w:w="1951" w:type="dxa"/>
          </w:tcPr>
          <w:p w14:paraId="52B626CE" w14:textId="7B00F489" w:rsidR="002306AB" w:rsidRPr="00516656" w:rsidRDefault="002306AB">
            <w:pPr>
              <w:rPr>
                <w:sz w:val="20"/>
                <w:szCs w:val="20"/>
              </w:rPr>
            </w:pPr>
            <w:r>
              <w:rPr>
                <w:sz w:val="20"/>
                <w:szCs w:val="20"/>
              </w:rPr>
              <w:t>EN</w:t>
            </w:r>
          </w:p>
        </w:tc>
        <w:tc>
          <w:tcPr>
            <w:tcW w:w="6571" w:type="dxa"/>
          </w:tcPr>
          <w:p w14:paraId="30FB9271" w14:textId="0FB3E128" w:rsidR="002306AB" w:rsidRPr="00516656" w:rsidRDefault="002306AB">
            <w:pPr>
              <w:rPr>
                <w:sz w:val="20"/>
                <w:szCs w:val="20"/>
              </w:rPr>
            </w:pPr>
            <w:r>
              <w:rPr>
                <w:sz w:val="20"/>
                <w:szCs w:val="20"/>
              </w:rPr>
              <w:t>Endangered (referring to an IUCN Category of Threat for species)</w:t>
            </w:r>
          </w:p>
        </w:tc>
      </w:tr>
      <w:tr w:rsidR="003D29E6" w:rsidRPr="00516656" w14:paraId="473F6645" w14:textId="77777777" w:rsidTr="000D22A0">
        <w:tc>
          <w:tcPr>
            <w:tcW w:w="1951" w:type="dxa"/>
          </w:tcPr>
          <w:p w14:paraId="28399E40" w14:textId="48E773DB" w:rsidR="003D29E6" w:rsidRPr="00516656" w:rsidRDefault="007E5744">
            <w:pPr>
              <w:rPr>
                <w:sz w:val="20"/>
                <w:szCs w:val="20"/>
              </w:rPr>
            </w:pPr>
            <w:r w:rsidRPr="00516656">
              <w:rPr>
                <w:sz w:val="20"/>
                <w:szCs w:val="20"/>
              </w:rPr>
              <w:t>GEF</w:t>
            </w:r>
          </w:p>
        </w:tc>
        <w:tc>
          <w:tcPr>
            <w:tcW w:w="6571" w:type="dxa"/>
          </w:tcPr>
          <w:p w14:paraId="4578D2E5" w14:textId="725463EF" w:rsidR="003D29E6" w:rsidRPr="00516656" w:rsidRDefault="007E5744">
            <w:pPr>
              <w:rPr>
                <w:sz w:val="20"/>
                <w:szCs w:val="20"/>
              </w:rPr>
            </w:pPr>
            <w:r w:rsidRPr="00516656">
              <w:rPr>
                <w:sz w:val="20"/>
                <w:szCs w:val="20"/>
              </w:rPr>
              <w:t>Global Environment Facility</w:t>
            </w:r>
          </w:p>
        </w:tc>
      </w:tr>
      <w:tr w:rsidR="00A669FD" w:rsidRPr="00516656" w14:paraId="5CD3A8AF" w14:textId="77777777" w:rsidTr="000D22A0">
        <w:tc>
          <w:tcPr>
            <w:tcW w:w="1951" w:type="dxa"/>
          </w:tcPr>
          <w:p w14:paraId="159197B0" w14:textId="3EFB21C8" w:rsidR="00A669FD" w:rsidRPr="00516656" w:rsidRDefault="00A669FD">
            <w:pPr>
              <w:rPr>
                <w:sz w:val="20"/>
                <w:szCs w:val="20"/>
              </w:rPr>
            </w:pPr>
            <w:proofErr w:type="gramStart"/>
            <w:r w:rsidRPr="00516656">
              <w:rPr>
                <w:sz w:val="20"/>
                <w:szCs w:val="20"/>
              </w:rPr>
              <w:t>ha</w:t>
            </w:r>
            <w:proofErr w:type="gramEnd"/>
          </w:p>
        </w:tc>
        <w:tc>
          <w:tcPr>
            <w:tcW w:w="6571" w:type="dxa"/>
          </w:tcPr>
          <w:p w14:paraId="0D7501D3" w14:textId="434BD830" w:rsidR="00A669FD" w:rsidRPr="00516656" w:rsidRDefault="00A669FD">
            <w:pPr>
              <w:rPr>
                <w:sz w:val="20"/>
                <w:szCs w:val="20"/>
              </w:rPr>
            </w:pPr>
            <w:r w:rsidRPr="00516656">
              <w:rPr>
                <w:sz w:val="20"/>
                <w:szCs w:val="20"/>
              </w:rPr>
              <w:t>Hectares</w:t>
            </w:r>
          </w:p>
        </w:tc>
      </w:tr>
      <w:tr w:rsidR="00EE61A4" w:rsidRPr="00516656" w14:paraId="3CA15640" w14:textId="77777777" w:rsidTr="000D22A0">
        <w:tc>
          <w:tcPr>
            <w:tcW w:w="1951" w:type="dxa"/>
          </w:tcPr>
          <w:p w14:paraId="2C59DB95" w14:textId="1476AFD7" w:rsidR="00EE61A4" w:rsidRPr="00516656" w:rsidRDefault="00EE61A4">
            <w:pPr>
              <w:rPr>
                <w:sz w:val="20"/>
                <w:szCs w:val="20"/>
              </w:rPr>
            </w:pPr>
            <w:r>
              <w:rPr>
                <w:sz w:val="20"/>
                <w:szCs w:val="20"/>
              </w:rPr>
              <w:t>IBA</w:t>
            </w:r>
          </w:p>
        </w:tc>
        <w:tc>
          <w:tcPr>
            <w:tcW w:w="6571" w:type="dxa"/>
          </w:tcPr>
          <w:p w14:paraId="0E49B494" w14:textId="284495BC" w:rsidR="00EE61A4" w:rsidRPr="00516656" w:rsidRDefault="00EE61A4">
            <w:pPr>
              <w:rPr>
                <w:sz w:val="20"/>
                <w:szCs w:val="20"/>
              </w:rPr>
            </w:pPr>
            <w:r>
              <w:rPr>
                <w:sz w:val="20"/>
                <w:szCs w:val="20"/>
              </w:rPr>
              <w:t xml:space="preserve">Important Bird Area, a classification used be </w:t>
            </w:r>
            <w:proofErr w:type="spellStart"/>
            <w:r>
              <w:rPr>
                <w:sz w:val="20"/>
                <w:szCs w:val="20"/>
              </w:rPr>
              <w:t>BirdLife</w:t>
            </w:r>
            <w:proofErr w:type="spellEnd"/>
            <w:r>
              <w:rPr>
                <w:sz w:val="20"/>
                <w:szCs w:val="20"/>
              </w:rPr>
              <w:t xml:space="preserve"> International</w:t>
            </w:r>
          </w:p>
        </w:tc>
      </w:tr>
      <w:tr w:rsidR="009152FB" w:rsidRPr="00516656" w14:paraId="0BBE6E95" w14:textId="77777777" w:rsidTr="000D22A0">
        <w:tc>
          <w:tcPr>
            <w:tcW w:w="1951" w:type="dxa"/>
          </w:tcPr>
          <w:p w14:paraId="038FC472" w14:textId="23A4FF08" w:rsidR="009152FB" w:rsidRPr="00516656" w:rsidRDefault="009152FB">
            <w:pPr>
              <w:rPr>
                <w:sz w:val="20"/>
                <w:szCs w:val="20"/>
              </w:rPr>
            </w:pPr>
            <w:r>
              <w:rPr>
                <w:sz w:val="20"/>
                <w:szCs w:val="20"/>
              </w:rPr>
              <w:t>Inspectors</w:t>
            </w:r>
          </w:p>
        </w:tc>
        <w:tc>
          <w:tcPr>
            <w:tcW w:w="6571" w:type="dxa"/>
          </w:tcPr>
          <w:p w14:paraId="3D6FF95E" w14:textId="3D1B1644" w:rsidR="009152FB" w:rsidRPr="00516656" w:rsidRDefault="00A61AF0" w:rsidP="00A61AF0">
            <w:pPr>
              <w:rPr>
                <w:sz w:val="20"/>
                <w:szCs w:val="20"/>
              </w:rPr>
            </w:pPr>
            <w:r>
              <w:rPr>
                <w:sz w:val="20"/>
                <w:szCs w:val="20"/>
              </w:rPr>
              <w:t>State law enforcement agents that are equivalent to rangers or scouts elsewhere in the world</w:t>
            </w:r>
          </w:p>
        </w:tc>
      </w:tr>
      <w:tr w:rsidR="00A61AF0" w:rsidRPr="00516656" w14:paraId="68479F10" w14:textId="77777777" w:rsidTr="000D22A0">
        <w:tc>
          <w:tcPr>
            <w:tcW w:w="1951" w:type="dxa"/>
          </w:tcPr>
          <w:p w14:paraId="5FA38B9D" w14:textId="1EAE09D9" w:rsidR="00A61AF0" w:rsidRDefault="00A61AF0">
            <w:pPr>
              <w:rPr>
                <w:sz w:val="20"/>
                <w:szCs w:val="20"/>
              </w:rPr>
            </w:pPr>
            <w:r>
              <w:rPr>
                <w:sz w:val="20"/>
                <w:szCs w:val="20"/>
              </w:rPr>
              <w:t>IUCN</w:t>
            </w:r>
          </w:p>
        </w:tc>
        <w:tc>
          <w:tcPr>
            <w:tcW w:w="6571" w:type="dxa"/>
          </w:tcPr>
          <w:p w14:paraId="202FE3EC" w14:textId="15BC85ED" w:rsidR="00A61AF0" w:rsidRPr="00516656" w:rsidRDefault="00A61AF0">
            <w:pPr>
              <w:rPr>
                <w:sz w:val="20"/>
                <w:szCs w:val="20"/>
              </w:rPr>
            </w:pPr>
            <w:r>
              <w:rPr>
                <w:sz w:val="20"/>
                <w:szCs w:val="20"/>
              </w:rPr>
              <w:t>World Conservation Union</w:t>
            </w:r>
          </w:p>
        </w:tc>
      </w:tr>
      <w:tr w:rsidR="00B71110" w:rsidRPr="00516656" w14:paraId="310C7492" w14:textId="77777777" w:rsidTr="000D22A0">
        <w:tc>
          <w:tcPr>
            <w:tcW w:w="1951" w:type="dxa"/>
          </w:tcPr>
          <w:p w14:paraId="18600F05" w14:textId="45E0CAA6" w:rsidR="00B71110" w:rsidRDefault="00B71110">
            <w:pPr>
              <w:rPr>
                <w:sz w:val="20"/>
                <w:szCs w:val="20"/>
              </w:rPr>
            </w:pPr>
            <w:r>
              <w:rPr>
                <w:sz w:val="20"/>
                <w:szCs w:val="20"/>
              </w:rPr>
              <w:t>KTNP</w:t>
            </w:r>
          </w:p>
        </w:tc>
        <w:tc>
          <w:tcPr>
            <w:tcW w:w="6571" w:type="dxa"/>
          </w:tcPr>
          <w:p w14:paraId="382CFDAC" w14:textId="0D93A5C4" w:rsidR="00B71110" w:rsidRPr="00516656" w:rsidRDefault="00B71110">
            <w:pPr>
              <w:rPr>
                <w:sz w:val="20"/>
                <w:szCs w:val="20"/>
              </w:rPr>
            </w:pPr>
            <w:r>
              <w:rPr>
                <w:sz w:val="20"/>
                <w:szCs w:val="20"/>
              </w:rPr>
              <w:t xml:space="preserve">Khan </w:t>
            </w:r>
            <w:proofErr w:type="spellStart"/>
            <w:r>
              <w:rPr>
                <w:sz w:val="20"/>
                <w:szCs w:val="20"/>
              </w:rPr>
              <w:t>Tengri</w:t>
            </w:r>
            <w:proofErr w:type="spellEnd"/>
            <w:r>
              <w:rPr>
                <w:sz w:val="20"/>
                <w:szCs w:val="20"/>
              </w:rPr>
              <w:t xml:space="preserve"> National Park – the national park that is proposed to be established under this project</w:t>
            </w:r>
          </w:p>
        </w:tc>
      </w:tr>
      <w:tr w:rsidR="00516656" w:rsidRPr="00516656" w14:paraId="3C8E476C" w14:textId="77777777" w:rsidTr="000D22A0">
        <w:tc>
          <w:tcPr>
            <w:tcW w:w="1951" w:type="dxa"/>
          </w:tcPr>
          <w:p w14:paraId="08407545" w14:textId="3956DEDD" w:rsidR="00516656" w:rsidRPr="00516656" w:rsidRDefault="00516656">
            <w:pPr>
              <w:rPr>
                <w:sz w:val="20"/>
                <w:szCs w:val="20"/>
              </w:rPr>
            </w:pPr>
            <w:r w:rsidRPr="00516656">
              <w:rPr>
                <w:sz w:val="20"/>
                <w:szCs w:val="20"/>
              </w:rPr>
              <w:t>M&amp;E</w:t>
            </w:r>
          </w:p>
        </w:tc>
        <w:tc>
          <w:tcPr>
            <w:tcW w:w="6571" w:type="dxa"/>
          </w:tcPr>
          <w:p w14:paraId="2BDF9CC7" w14:textId="54B09BF3" w:rsidR="00516656" w:rsidRPr="00516656" w:rsidRDefault="00516656">
            <w:pPr>
              <w:rPr>
                <w:sz w:val="20"/>
                <w:szCs w:val="20"/>
              </w:rPr>
            </w:pPr>
            <w:r w:rsidRPr="00516656">
              <w:rPr>
                <w:sz w:val="20"/>
                <w:szCs w:val="20"/>
              </w:rPr>
              <w:t>Monitoring and Evaluation</w:t>
            </w:r>
          </w:p>
        </w:tc>
      </w:tr>
      <w:tr w:rsidR="003D29E6" w:rsidRPr="00516656" w14:paraId="19B70CD0" w14:textId="77777777" w:rsidTr="000D22A0">
        <w:tc>
          <w:tcPr>
            <w:tcW w:w="1951" w:type="dxa"/>
          </w:tcPr>
          <w:p w14:paraId="66433F0E" w14:textId="09622018" w:rsidR="003D29E6" w:rsidRPr="00516656" w:rsidRDefault="00AA0B9A">
            <w:pPr>
              <w:rPr>
                <w:sz w:val="20"/>
                <w:szCs w:val="20"/>
              </w:rPr>
            </w:pPr>
            <w:r w:rsidRPr="00516656">
              <w:rPr>
                <w:sz w:val="20"/>
                <w:szCs w:val="20"/>
              </w:rPr>
              <w:t>METT</w:t>
            </w:r>
          </w:p>
        </w:tc>
        <w:tc>
          <w:tcPr>
            <w:tcW w:w="6571" w:type="dxa"/>
          </w:tcPr>
          <w:p w14:paraId="3CD6DBB2" w14:textId="1475EF7F" w:rsidR="003D29E6" w:rsidRPr="00516656" w:rsidRDefault="00AA0B9A">
            <w:pPr>
              <w:rPr>
                <w:sz w:val="20"/>
                <w:szCs w:val="20"/>
              </w:rPr>
            </w:pPr>
            <w:r w:rsidRPr="00516656">
              <w:rPr>
                <w:sz w:val="20"/>
                <w:szCs w:val="20"/>
              </w:rPr>
              <w:t>Monitoring Effectiveness Tracking Tool (for protected areas)</w:t>
            </w:r>
          </w:p>
        </w:tc>
      </w:tr>
      <w:tr w:rsidR="00F1023D" w:rsidRPr="00516656" w14:paraId="29E9AB9E" w14:textId="77777777" w:rsidTr="000D22A0">
        <w:tc>
          <w:tcPr>
            <w:tcW w:w="1951" w:type="dxa"/>
          </w:tcPr>
          <w:p w14:paraId="19C965E1" w14:textId="04699981" w:rsidR="00F1023D" w:rsidRPr="00516656" w:rsidRDefault="00F1023D">
            <w:pPr>
              <w:rPr>
                <w:sz w:val="20"/>
                <w:szCs w:val="20"/>
              </w:rPr>
            </w:pPr>
            <w:r w:rsidRPr="00516656">
              <w:rPr>
                <w:sz w:val="20"/>
                <w:szCs w:val="20"/>
              </w:rPr>
              <w:t>MTR</w:t>
            </w:r>
          </w:p>
        </w:tc>
        <w:tc>
          <w:tcPr>
            <w:tcW w:w="6571" w:type="dxa"/>
          </w:tcPr>
          <w:p w14:paraId="5E562581" w14:textId="623299D1" w:rsidR="00F1023D" w:rsidRPr="00516656" w:rsidRDefault="00F1023D">
            <w:pPr>
              <w:rPr>
                <w:sz w:val="20"/>
                <w:szCs w:val="20"/>
              </w:rPr>
            </w:pPr>
            <w:r w:rsidRPr="00516656">
              <w:rPr>
                <w:sz w:val="20"/>
                <w:szCs w:val="20"/>
              </w:rPr>
              <w:t>Midterm Review</w:t>
            </w:r>
          </w:p>
        </w:tc>
      </w:tr>
      <w:tr w:rsidR="00D05C45" w:rsidRPr="00516656" w14:paraId="499B16BC" w14:textId="77777777" w:rsidTr="000D22A0">
        <w:tc>
          <w:tcPr>
            <w:tcW w:w="1951" w:type="dxa"/>
          </w:tcPr>
          <w:p w14:paraId="7E70A6E5" w14:textId="5DC40A81" w:rsidR="00D05C45" w:rsidRPr="00516656" w:rsidRDefault="00D05C45">
            <w:pPr>
              <w:rPr>
                <w:sz w:val="20"/>
                <w:szCs w:val="20"/>
              </w:rPr>
            </w:pPr>
            <w:r>
              <w:rPr>
                <w:sz w:val="20"/>
                <w:szCs w:val="20"/>
              </w:rPr>
              <w:t>NAS</w:t>
            </w:r>
          </w:p>
        </w:tc>
        <w:tc>
          <w:tcPr>
            <w:tcW w:w="6571" w:type="dxa"/>
          </w:tcPr>
          <w:p w14:paraId="42BF8D43" w14:textId="44D3D965" w:rsidR="00D05C45" w:rsidRPr="00516656" w:rsidRDefault="00D05C45">
            <w:pPr>
              <w:rPr>
                <w:sz w:val="20"/>
                <w:szCs w:val="20"/>
              </w:rPr>
            </w:pPr>
            <w:r>
              <w:rPr>
                <w:sz w:val="20"/>
                <w:szCs w:val="20"/>
              </w:rPr>
              <w:t>National Academy of Science</w:t>
            </w:r>
          </w:p>
        </w:tc>
      </w:tr>
      <w:tr w:rsidR="00532471" w:rsidRPr="00516656" w14:paraId="273484C2" w14:textId="77777777" w:rsidTr="000D22A0">
        <w:tc>
          <w:tcPr>
            <w:tcW w:w="1951" w:type="dxa"/>
          </w:tcPr>
          <w:p w14:paraId="7D9CFDF5" w14:textId="24D5D6A7" w:rsidR="00532471" w:rsidRPr="00516656" w:rsidRDefault="00532471">
            <w:pPr>
              <w:rPr>
                <w:sz w:val="20"/>
                <w:szCs w:val="20"/>
              </w:rPr>
            </w:pPr>
            <w:r>
              <w:rPr>
                <w:sz w:val="20"/>
                <w:szCs w:val="20"/>
              </w:rPr>
              <w:t>NBSAP</w:t>
            </w:r>
          </w:p>
        </w:tc>
        <w:tc>
          <w:tcPr>
            <w:tcW w:w="6571" w:type="dxa"/>
          </w:tcPr>
          <w:p w14:paraId="0AC79F3C" w14:textId="3A9885C8" w:rsidR="00532471" w:rsidRPr="00516656" w:rsidRDefault="00532471">
            <w:pPr>
              <w:rPr>
                <w:sz w:val="20"/>
                <w:szCs w:val="20"/>
              </w:rPr>
            </w:pPr>
            <w:r>
              <w:rPr>
                <w:sz w:val="20"/>
                <w:szCs w:val="20"/>
              </w:rPr>
              <w:t>National Biodiversity Strategy and Action Plan</w:t>
            </w:r>
          </w:p>
        </w:tc>
      </w:tr>
      <w:tr w:rsidR="0023259B" w:rsidRPr="00516656" w14:paraId="2C74C7F1" w14:textId="77777777" w:rsidTr="000D22A0">
        <w:tc>
          <w:tcPr>
            <w:tcW w:w="1951" w:type="dxa"/>
          </w:tcPr>
          <w:p w14:paraId="5985C524" w14:textId="17273D99" w:rsidR="0023259B" w:rsidRPr="00516656" w:rsidRDefault="0023259B">
            <w:pPr>
              <w:rPr>
                <w:sz w:val="20"/>
                <w:szCs w:val="20"/>
              </w:rPr>
            </w:pPr>
            <w:r w:rsidRPr="00516656">
              <w:rPr>
                <w:sz w:val="20"/>
                <w:szCs w:val="20"/>
              </w:rPr>
              <w:t>NGO</w:t>
            </w:r>
          </w:p>
        </w:tc>
        <w:tc>
          <w:tcPr>
            <w:tcW w:w="6571" w:type="dxa"/>
          </w:tcPr>
          <w:p w14:paraId="7BE8C905" w14:textId="374A7241" w:rsidR="0023259B" w:rsidRPr="00516656" w:rsidRDefault="0023259B">
            <w:pPr>
              <w:rPr>
                <w:sz w:val="20"/>
                <w:szCs w:val="20"/>
              </w:rPr>
            </w:pPr>
            <w:r w:rsidRPr="00516656">
              <w:rPr>
                <w:sz w:val="20"/>
                <w:szCs w:val="20"/>
              </w:rPr>
              <w:t>Non-governmental Organisation (or in Belarus “public organisation”)</w:t>
            </w:r>
          </w:p>
        </w:tc>
      </w:tr>
      <w:tr w:rsidR="001A04AB" w:rsidRPr="00516656" w14:paraId="3CD66E04" w14:textId="77777777" w:rsidTr="000D22A0">
        <w:tc>
          <w:tcPr>
            <w:tcW w:w="1951" w:type="dxa"/>
          </w:tcPr>
          <w:p w14:paraId="62DFF95F" w14:textId="09475717" w:rsidR="001A04AB" w:rsidRPr="00516656" w:rsidRDefault="001A04AB">
            <w:pPr>
              <w:rPr>
                <w:sz w:val="20"/>
                <w:szCs w:val="20"/>
              </w:rPr>
            </w:pPr>
            <w:r>
              <w:rPr>
                <w:sz w:val="20"/>
                <w:szCs w:val="20"/>
              </w:rPr>
              <w:t>NRM</w:t>
            </w:r>
          </w:p>
        </w:tc>
        <w:tc>
          <w:tcPr>
            <w:tcW w:w="6571" w:type="dxa"/>
          </w:tcPr>
          <w:p w14:paraId="456E8AFA" w14:textId="10E4B359" w:rsidR="001A04AB" w:rsidRPr="00516656" w:rsidRDefault="001A04AB">
            <w:pPr>
              <w:rPr>
                <w:sz w:val="20"/>
                <w:szCs w:val="20"/>
              </w:rPr>
            </w:pPr>
            <w:r>
              <w:rPr>
                <w:sz w:val="20"/>
                <w:szCs w:val="20"/>
              </w:rPr>
              <w:t>Natural Resource Management</w:t>
            </w:r>
          </w:p>
        </w:tc>
      </w:tr>
      <w:tr w:rsidR="002306AB" w:rsidRPr="00516656" w14:paraId="40B49637" w14:textId="77777777" w:rsidTr="000D22A0">
        <w:tc>
          <w:tcPr>
            <w:tcW w:w="1951" w:type="dxa"/>
          </w:tcPr>
          <w:p w14:paraId="562C558A" w14:textId="6AF3808A" w:rsidR="002306AB" w:rsidRDefault="002306AB">
            <w:pPr>
              <w:rPr>
                <w:sz w:val="20"/>
                <w:szCs w:val="20"/>
              </w:rPr>
            </w:pPr>
            <w:r>
              <w:rPr>
                <w:sz w:val="20"/>
                <w:szCs w:val="20"/>
              </w:rPr>
              <w:t>NT</w:t>
            </w:r>
          </w:p>
        </w:tc>
        <w:tc>
          <w:tcPr>
            <w:tcW w:w="6571" w:type="dxa"/>
          </w:tcPr>
          <w:p w14:paraId="7DDA7482" w14:textId="3041BFF6" w:rsidR="002306AB" w:rsidRDefault="002306AB">
            <w:pPr>
              <w:rPr>
                <w:sz w:val="20"/>
                <w:szCs w:val="20"/>
              </w:rPr>
            </w:pPr>
            <w:r>
              <w:rPr>
                <w:sz w:val="20"/>
                <w:szCs w:val="20"/>
              </w:rPr>
              <w:t>Near Threatened  (referring to an IUCN Category of Threat for species)</w:t>
            </w:r>
          </w:p>
        </w:tc>
      </w:tr>
      <w:tr w:rsidR="007E018C" w:rsidRPr="00516656" w14:paraId="3E1DFC59" w14:textId="77777777" w:rsidTr="000D22A0">
        <w:tc>
          <w:tcPr>
            <w:tcW w:w="1951" w:type="dxa"/>
          </w:tcPr>
          <w:p w14:paraId="18423EFE" w14:textId="1F66C983" w:rsidR="007E018C" w:rsidRPr="00516656" w:rsidRDefault="007E018C">
            <w:pPr>
              <w:rPr>
                <w:sz w:val="20"/>
                <w:szCs w:val="20"/>
              </w:rPr>
            </w:pPr>
            <w:r w:rsidRPr="00516656">
              <w:rPr>
                <w:sz w:val="20"/>
                <w:szCs w:val="20"/>
              </w:rPr>
              <w:t>PA</w:t>
            </w:r>
          </w:p>
        </w:tc>
        <w:tc>
          <w:tcPr>
            <w:tcW w:w="6571" w:type="dxa"/>
          </w:tcPr>
          <w:p w14:paraId="40775C55" w14:textId="454D5EA3" w:rsidR="007E018C" w:rsidRPr="00516656" w:rsidRDefault="007E018C">
            <w:pPr>
              <w:rPr>
                <w:sz w:val="20"/>
                <w:szCs w:val="20"/>
              </w:rPr>
            </w:pPr>
            <w:r w:rsidRPr="00516656">
              <w:rPr>
                <w:sz w:val="20"/>
                <w:szCs w:val="20"/>
              </w:rPr>
              <w:t>Protected Area</w:t>
            </w:r>
          </w:p>
        </w:tc>
      </w:tr>
      <w:tr w:rsidR="007E018C" w:rsidRPr="00516656" w14:paraId="05FDAF00" w14:textId="77777777" w:rsidTr="000D22A0">
        <w:tc>
          <w:tcPr>
            <w:tcW w:w="1951" w:type="dxa"/>
          </w:tcPr>
          <w:p w14:paraId="6FD2CF93" w14:textId="702F3B02" w:rsidR="007E018C" w:rsidRPr="00516656" w:rsidRDefault="007E018C">
            <w:pPr>
              <w:rPr>
                <w:sz w:val="20"/>
                <w:szCs w:val="20"/>
              </w:rPr>
            </w:pPr>
            <w:r w:rsidRPr="00516656">
              <w:rPr>
                <w:sz w:val="20"/>
                <w:szCs w:val="20"/>
              </w:rPr>
              <w:t>PB</w:t>
            </w:r>
          </w:p>
        </w:tc>
        <w:tc>
          <w:tcPr>
            <w:tcW w:w="6571" w:type="dxa"/>
          </w:tcPr>
          <w:p w14:paraId="05721E36" w14:textId="5EF7BBC7" w:rsidR="007E018C" w:rsidRPr="00516656" w:rsidRDefault="007E018C">
            <w:pPr>
              <w:rPr>
                <w:sz w:val="20"/>
                <w:szCs w:val="20"/>
              </w:rPr>
            </w:pPr>
            <w:r w:rsidRPr="00516656">
              <w:rPr>
                <w:sz w:val="20"/>
                <w:szCs w:val="20"/>
              </w:rPr>
              <w:t>Project Board</w:t>
            </w:r>
          </w:p>
        </w:tc>
      </w:tr>
      <w:tr w:rsidR="00F622B5" w:rsidRPr="00516656" w14:paraId="3C0340E1" w14:textId="77777777" w:rsidTr="000D22A0">
        <w:tc>
          <w:tcPr>
            <w:tcW w:w="1951" w:type="dxa"/>
          </w:tcPr>
          <w:p w14:paraId="5F55FCE0" w14:textId="63DCDCBE" w:rsidR="00F622B5" w:rsidRPr="00516656" w:rsidRDefault="00F622B5">
            <w:pPr>
              <w:rPr>
                <w:sz w:val="20"/>
                <w:szCs w:val="20"/>
              </w:rPr>
            </w:pPr>
            <w:r>
              <w:rPr>
                <w:sz w:val="20"/>
                <w:szCs w:val="20"/>
              </w:rPr>
              <w:t>PC</w:t>
            </w:r>
          </w:p>
        </w:tc>
        <w:tc>
          <w:tcPr>
            <w:tcW w:w="6571" w:type="dxa"/>
          </w:tcPr>
          <w:p w14:paraId="00D30F6C" w14:textId="2B0D44A2" w:rsidR="00F622B5" w:rsidRPr="00516656" w:rsidRDefault="00F622B5">
            <w:pPr>
              <w:rPr>
                <w:sz w:val="20"/>
                <w:szCs w:val="20"/>
              </w:rPr>
            </w:pPr>
            <w:r>
              <w:rPr>
                <w:sz w:val="20"/>
                <w:szCs w:val="20"/>
              </w:rPr>
              <w:t>Project Coordinator</w:t>
            </w:r>
          </w:p>
        </w:tc>
      </w:tr>
      <w:tr w:rsidR="00F1023D" w:rsidRPr="00516656" w14:paraId="2F741388" w14:textId="77777777" w:rsidTr="000D22A0">
        <w:tc>
          <w:tcPr>
            <w:tcW w:w="1951" w:type="dxa"/>
          </w:tcPr>
          <w:p w14:paraId="3243F034" w14:textId="131E1D01" w:rsidR="00F1023D" w:rsidRPr="00516656" w:rsidRDefault="00F1023D">
            <w:pPr>
              <w:rPr>
                <w:sz w:val="20"/>
                <w:szCs w:val="20"/>
              </w:rPr>
            </w:pPr>
            <w:r w:rsidRPr="00516656">
              <w:rPr>
                <w:sz w:val="20"/>
                <w:szCs w:val="20"/>
              </w:rPr>
              <w:t>PIF</w:t>
            </w:r>
          </w:p>
        </w:tc>
        <w:tc>
          <w:tcPr>
            <w:tcW w:w="6571" w:type="dxa"/>
          </w:tcPr>
          <w:p w14:paraId="7362C6DD" w14:textId="054B659E" w:rsidR="00F1023D" w:rsidRPr="00516656" w:rsidRDefault="00F1023D">
            <w:pPr>
              <w:rPr>
                <w:sz w:val="20"/>
                <w:szCs w:val="20"/>
              </w:rPr>
            </w:pPr>
            <w:r w:rsidRPr="00516656">
              <w:rPr>
                <w:sz w:val="20"/>
                <w:szCs w:val="20"/>
              </w:rPr>
              <w:t>Project Identification Form</w:t>
            </w:r>
          </w:p>
        </w:tc>
      </w:tr>
      <w:tr w:rsidR="00F1023D" w:rsidRPr="00516656" w14:paraId="4222A266" w14:textId="77777777" w:rsidTr="000D22A0">
        <w:tc>
          <w:tcPr>
            <w:tcW w:w="1951" w:type="dxa"/>
          </w:tcPr>
          <w:p w14:paraId="7885F4C1" w14:textId="45BD0E0D" w:rsidR="00F1023D" w:rsidRPr="00516656" w:rsidRDefault="00F1023D">
            <w:pPr>
              <w:rPr>
                <w:sz w:val="20"/>
                <w:szCs w:val="20"/>
              </w:rPr>
            </w:pPr>
            <w:r w:rsidRPr="00516656">
              <w:rPr>
                <w:sz w:val="20"/>
                <w:szCs w:val="20"/>
              </w:rPr>
              <w:t>PIR</w:t>
            </w:r>
          </w:p>
        </w:tc>
        <w:tc>
          <w:tcPr>
            <w:tcW w:w="6571" w:type="dxa"/>
          </w:tcPr>
          <w:p w14:paraId="460B7F62" w14:textId="7873D281" w:rsidR="00F1023D" w:rsidRPr="00516656" w:rsidRDefault="00F1023D">
            <w:pPr>
              <w:rPr>
                <w:sz w:val="20"/>
                <w:szCs w:val="20"/>
              </w:rPr>
            </w:pPr>
            <w:r w:rsidRPr="00516656">
              <w:rPr>
                <w:sz w:val="20"/>
                <w:szCs w:val="20"/>
              </w:rPr>
              <w:t>Project Implementation Review</w:t>
            </w:r>
          </w:p>
        </w:tc>
      </w:tr>
      <w:tr w:rsidR="00236CD9" w:rsidRPr="00516656" w14:paraId="3CE0A94E" w14:textId="77777777" w:rsidTr="000D22A0">
        <w:tc>
          <w:tcPr>
            <w:tcW w:w="1951" w:type="dxa"/>
          </w:tcPr>
          <w:p w14:paraId="497EA9E3" w14:textId="11CBDCE5" w:rsidR="00236CD9" w:rsidRPr="00516656" w:rsidRDefault="00236CD9">
            <w:pPr>
              <w:rPr>
                <w:sz w:val="20"/>
                <w:szCs w:val="20"/>
              </w:rPr>
            </w:pPr>
            <w:r w:rsidRPr="00516656">
              <w:rPr>
                <w:sz w:val="20"/>
                <w:szCs w:val="20"/>
              </w:rPr>
              <w:t>PIU</w:t>
            </w:r>
          </w:p>
        </w:tc>
        <w:tc>
          <w:tcPr>
            <w:tcW w:w="6571" w:type="dxa"/>
          </w:tcPr>
          <w:p w14:paraId="1B4839DE" w14:textId="54E60293" w:rsidR="00236CD9" w:rsidRPr="00516656" w:rsidRDefault="00236CD9">
            <w:pPr>
              <w:rPr>
                <w:sz w:val="20"/>
                <w:szCs w:val="20"/>
              </w:rPr>
            </w:pPr>
            <w:r w:rsidRPr="00516656">
              <w:rPr>
                <w:sz w:val="20"/>
                <w:szCs w:val="20"/>
              </w:rPr>
              <w:t>Project Implementation Unit</w:t>
            </w:r>
          </w:p>
        </w:tc>
      </w:tr>
      <w:tr w:rsidR="00236CD9" w:rsidRPr="00516656" w14:paraId="69ABCDF3" w14:textId="77777777" w:rsidTr="000D22A0">
        <w:tc>
          <w:tcPr>
            <w:tcW w:w="1951" w:type="dxa"/>
          </w:tcPr>
          <w:p w14:paraId="17E06767" w14:textId="7F08DDDB" w:rsidR="00236CD9" w:rsidRPr="00516656" w:rsidRDefault="00236CD9">
            <w:pPr>
              <w:rPr>
                <w:sz w:val="20"/>
                <w:szCs w:val="20"/>
              </w:rPr>
            </w:pPr>
            <w:r w:rsidRPr="00516656">
              <w:rPr>
                <w:sz w:val="20"/>
                <w:szCs w:val="20"/>
              </w:rPr>
              <w:t>PPG</w:t>
            </w:r>
          </w:p>
        </w:tc>
        <w:tc>
          <w:tcPr>
            <w:tcW w:w="6571" w:type="dxa"/>
          </w:tcPr>
          <w:p w14:paraId="16EBA87F" w14:textId="1234210F" w:rsidR="00236CD9" w:rsidRPr="00516656" w:rsidRDefault="00236CD9">
            <w:pPr>
              <w:rPr>
                <w:sz w:val="20"/>
                <w:szCs w:val="20"/>
              </w:rPr>
            </w:pPr>
            <w:r w:rsidRPr="00516656">
              <w:rPr>
                <w:sz w:val="20"/>
                <w:szCs w:val="20"/>
              </w:rPr>
              <w:t>Project Preparation Grant</w:t>
            </w:r>
          </w:p>
        </w:tc>
      </w:tr>
      <w:tr w:rsidR="00B71110" w:rsidRPr="00516656" w14:paraId="21A17E08" w14:textId="77777777" w:rsidTr="000D22A0">
        <w:tc>
          <w:tcPr>
            <w:tcW w:w="1951" w:type="dxa"/>
          </w:tcPr>
          <w:p w14:paraId="61870F67" w14:textId="4B6CABA2" w:rsidR="00B71110" w:rsidRPr="00516656" w:rsidRDefault="00B71110">
            <w:pPr>
              <w:rPr>
                <w:sz w:val="20"/>
                <w:szCs w:val="20"/>
              </w:rPr>
            </w:pPr>
            <w:r>
              <w:rPr>
                <w:sz w:val="20"/>
                <w:szCs w:val="20"/>
              </w:rPr>
              <w:t>PM</w:t>
            </w:r>
          </w:p>
        </w:tc>
        <w:tc>
          <w:tcPr>
            <w:tcW w:w="6571" w:type="dxa"/>
          </w:tcPr>
          <w:p w14:paraId="1566BE5C" w14:textId="23013E92" w:rsidR="00B71110" w:rsidRPr="00516656" w:rsidRDefault="00B71110">
            <w:pPr>
              <w:rPr>
                <w:sz w:val="20"/>
                <w:szCs w:val="20"/>
              </w:rPr>
            </w:pPr>
            <w:r>
              <w:rPr>
                <w:sz w:val="20"/>
                <w:szCs w:val="20"/>
              </w:rPr>
              <w:t>Project Manager</w:t>
            </w:r>
          </w:p>
        </w:tc>
      </w:tr>
      <w:tr w:rsidR="00516656" w:rsidRPr="00516656" w14:paraId="115C2E6A" w14:textId="77777777" w:rsidTr="000D22A0">
        <w:tc>
          <w:tcPr>
            <w:tcW w:w="1951" w:type="dxa"/>
          </w:tcPr>
          <w:p w14:paraId="59DFF787" w14:textId="186D652A" w:rsidR="00516656" w:rsidRPr="00516656" w:rsidRDefault="00516656">
            <w:pPr>
              <w:rPr>
                <w:sz w:val="20"/>
                <w:szCs w:val="20"/>
              </w:rPr>
            </w:pPr>
            <w:r w:rsidRPr="00516656">
              <w:rPr>
                <w:sz w:val="20"/>
                <w:szCs w:val="20"/>
              </w:rPr>
              <w:t>PR</w:t>
            </w:r>
          </w:p>
        </w:tc>
        <w:tc>
          <w:tcPr>
            <w:tcW w:w="6571" w:type="dxa"/>
          </w:tcPr>
          <w:p w14:paraId="0027C925" w14:textId="37CEB722" w:rsidR="00516656" w:rsidRPr="00516656" w:rsidRDefault="00516656">
            <w:pPr>
              <w:rPr>
                <w:sz w:val="20"/>
                <w:szCs w:val="20"/>
              </w:rPr>
            </w:pPr>
            <w:r w:rsidRPr="00516656">
              <w:rPr>
                <w:sz w:val="20"/>
                <w:szCs w:val="20"/>
              </w:rPr>
              <w:t>Public Relations</w:t>
            </w:r>
          </w:p>
        </w:tc>
      </w:tr>
      <w:tr w:rsidR="0023259B" w:rsidRPr="00516656" w14:paraId="13B4F58F" w14:textId="77777777" w:rsidTr="000D22A0">
        <w:tc>
          <w:tcPr>
            <w:tcW w:w="1951" w:type="dxa"/>
          </w:tcPr>
          <w:p w14:paraId="18124380" w14:textId="203D2EDE" w:rsidR="0023259B" w:rsidRPr="00516656" w:rsidRDefault="0023259B">
            <w:pPr>
              <w:rPr>
                <w:sz w:val="20"/>
                <w:szCs w:val="20"/>
              </w:rPr>
            </w:pPr>
            <w:r w:rsidRPr="00516656">
              <w:rPr>
                <w:sz w:val="20"/>
                <w:szCs w:val="20"/>
              </w:rPr>
              <w:t>PRF</w:t>
            </w:r>
          </w:p>
        </w:tc>
        <w:tc>
          <w:tcPr>
            <w:tcW w:w="6571" w:type="dxa"/>
          </w:tcPr>
          <w:p w14:paraId="0FB451DB" w14:textId="663BABCD" w:rsidR="0023259B" w:rsidRPr="00516656" w:rsidRDefault="0023259B">
            <w:pPr>
              <w:rPr>
                <w:sz w:val="20"/>
                <w:szCs w:val="20"/>
              </w:rPr>
            </w:pPr>
            <w:r w:rsidRPr="00516656">
              <w:rPr>
                <w:sz w:val="20"/>
                <w:szCs w:val="20"/>
              </w:rPr>
              <w:t>Project Results Framework</w:t>
            </w:r>
          </w:p>
        </w:tc>
      </w:tr>
      <w:tr w:rsidR="00F1023D" w:rsidRPr="00516656" w14:paraId="4063A033" w14:textId="77777777" w:rsidTr="000D22A0">
        <w:tc>
          <w:tcPr>
            <w:tcW w:w="1951" w:type="dxa"/>
          </w:tcPr>
          <w:p w14:paraId="5CA60596" w14:textId="49058C29" w:rsidR="00F1023D" w:rsidRPr="00516656" w:rsidRDefault="00F1023D">
            <w:pPr>
              <w:rPr>
                <w:sz w:val="20"/>
                <w:szCs w:val="20"/>
              </w:rPr>
            </w:pPr>
            <w:proofErr w:type="spellStart"/>
            <w:r w:rsidRPr="00516656">
              <w:rPr>
                <w:sz w:val="20"/>
                <w:szCs w:val="20"/>
              </w:rPr>
              <w:t>ProDoc</w:t>
            </w:r>
            <w:proofErr w:type="spellEnd"/>
          </w:p>
        </w:tc>
        <w:tc>
          <w:tcPr>
            <w:tcW w:w="6571" w:type="dxa"/>
          </w:tcPr>
          <w:p w14:paraId="683124F4" w14:textId="00BBBC85" w:rsidR="00F1023D" w:rsidRPr="00516656" w:rsidRDefault="00F1023D">
            <w:pPr>
              <w:rPr>
                <w:sz w:val="20"/>
                <w:szCs w:val="20"/>
              </w:rPr>
            </w:pPr>
            <w:r w:rsidRPr="00516656">
              <w:rPr>
                <w:sz w:val="20"/>
                <w:szCs w:val="20"/>
              </w:rPr>
              <w:t>Project Document (referring to the UNDP operational project document)</w:t>
            </w:r>
          </w:p>
        </w:tc>
      </w:tr>
      <w:tr w:rsidR="005E6466" w:rsidRPr="00516656" w14:paraId="66A1617E" w14:textId="77777777" w:rsidTr="000D22A0">
        <w:tc>
          <w:tcPr>
            <w:tcW w:w="1951" w:type="dxa"/>
          </w:tcPr>
          <w:p w14:paraId="315D372B" w14:textId="5826049A" w:rsidR="005E6466" w:rsidRPr="00516656" w:rsidRDefault="005E6466">
            <w:pPr>
              <w:rPr>
                <w:sz w:val="20"/>
                <w:szCs w:val="20"/>
              </w:rPr>
            </w:pPr>
            <w:r w:rsidRPr="00516656">
              <w:rPr>
                <w:sz w:val="20"/>
                <w:szCs w:val="20"/>
              </w:rPr>
              <w:t>Oblast</w:t>
            </w:r>
          </w:p>
        </w:tc>
        <w:tc>
          <w:tcPr>
            <w:tcW w:w="6571" w:type="dxa"/>
          </w:tcPr>
          <w:p w14:paraId="601A28F0" w14:textId="3895F5A4" w:rsidR="005E6466" w:rsidRPr="00516656" w:rsidRDefault="00041958">
            <w:pPr>
              <w:rPr>
                <w:sz w:val="20"/>
                <w:szCs w:val="20"/>
              </w:rPr>
            </w:pPr>
            <w:r>
              <w:rPr>
                <w:sz w:val="20"/>
                <w:szCs w:val="20"/>
              </w:rPr>
              <w:t>Kyrgyz</w:t>
            </w:r>
            <w:r w:rsidR="005E6466" w:rsidRPr="00516656">
              <w:rPr>
                <w:sz w:val="20"/>
                <w:szCs w:val="20"/>
              </w:rPr>
              <w:t xml:space="preserve"> administrative unit equivalent to region</w:t>
            </w:r>
          </w:p>
        </w:tc>
      </w:tr>
      <w:tr w:rsidR="005E6466" w:rsidRPr="00516656" w14:paraId="1DB12AB8" w14:textId="77777777" w:rsidTr="000D22A0">
        <w:tc>
          <w:tcPr>
            <w:tcW w:w="1951" w:type="dxa"/>
          </w:tcPr>
          <w:p w14:paraId="6F661DA8" w14:textId="30C09C54" w:rsidR="005E6466" w:rsidRPr="00516656" w:rsidRDefault="005E6466">
            <w:pPr>
              <w:rPr>
                <w:sz w:val="20"/>
                <w:szCs w:val="20"/>
              </w:rPr>
            </w:pPr>
            <w:r w:rsidRPr="00516656">
              <w:rPr>
                <w:sz w:val="20"/>
                <w:szCs w:val="20"/>
              </w:rPr>
              <w:t>Rayon</w:t>
            </w:r>
          </w:p>
        </w:tc>
        <w:tc>
          <w:tcPr>
            <w:tcW w:w="6571" w:type="dxa"/>
          </w:tcPr>
          <w:p w14:paraId="3B8CA560" w14:textId="6A5D0188" w:rsidR="005E6466" w:rsidRPr="00516656" w:rsidRDefault="00041958">
            <w:pPr>
              <w:rPr>
                <w:sz w:val="20"/>
                <w:szCs w:val="20"/>
              </w:rPr>
            </w:pPr>
            <w:r>
              <w:rPr>
                <w:sz w:val="20"/>
                <w:szCs w:val="20"/>
              </w:rPr>
              <w:t>Kyrgyz</w:t>
            </w:r>
            <w:r w:rsidRPr="00516656">
              <w:rPr>
                <w:sz w:val="20"/>
                <w:szCs w:val="20"/>
              </w:rPr>
              <w:t xml:space="preserve"> </w:t>
            </w:r>
            <w:r w:rsidR="005E6466" w:rsidRPr="00516656">
              <w:rPr>
                <w:sz w:val="20"/>
                <w:szCs w:val="20"/>
              </w:rPr>
              <w:t>administrative unit equivalent to district</w:t>
            </w:r>
          </w:p>
        </w:tc>
      </w:tr>
      <w:tr w:rsidR="002025C5" w:rsidRPr="00516656" w14:paraId="51CAD15E" w14:textId="77777777" w:rsidTr="000D22A0">
        <w:tc>
          <w:tcPr>
            <w:tcW w:w="1951" w:type="dxa"/>
          </w:tcPr>
          <w:p w14:paraId="724790C7" w14:textId="6CCEF663" w:rsidR="002025C5" w:rsidRPr="00516656" w:rsidRDefault="002025C5">
            <w:pPr>
              <w:rPr>
                <w:sz w:val="20"/>
                <w:szCs w:val="20"/>
              </w:rPr>
            </w:pPr>
            <w:r>
              <w:rPr>
                <w:sz w:val="20"/>
                <w:szCs w:val="20"/>
              </w:rPr>
              <w:t>SAEPF</w:t>
            </w:r>
          </w:p>
        </w:tc>
        <w:tc>
          <w:tcPr>
            <w:tcW w:w="6571" w:type="dxa"/>
          </w:tcPr>
          <w:p w14:paraId="3E8A1169" w14:textId="1EF3955C" w:rsidR="002025C5" w:rsidRDefault="002025C5">
            <w:pPr>
              <w:rPr>
                <w:sz w:val="20"/>
                <w:szCs w:val="20"/>
              </w:rPr>
            </w:pPr>
            <w:r>
              <w:rPr>
                <w:sz w:val="20"/>
                <w:szCs w:val="20"/>
              </w:rPr>
              <w:t>State Agency on Environmental Protection and Forestry</w:t>
            </w:r>
          </w:p>
        </w:tc>
      </w:tr>
      <w:tr w:rsidR="002306AB" w:rsidRPr="00516656" w14:paraId="24AAD548" w14:textId="77777777" w:rsidTr="000D22A0">
        <w:tc>
          <w:tcPr>
            <w:tcW w:w="1951" w:type="dxa"/>
          </w:tcPr>
          <w:p w14:paraId="42B4E4A8" w14:textId="48C4F08A" w:rsidR="002306AB" w:rsidRDefault="002306AB">
            <w:pPr>
              <w:rPr>
                <w:sz w:val="20"/>
                <w:szCs w:val="20"/>
              </w:rPr>
            </w:pPr>
            <w:r>
              <w:rPr>
                <w:sz w:val="20"/>
                <w:szCs w:val="20"/>
              </w:rPr>
              <w:t>SAZ</w:t>
            </w:r>
          </w:p>
        </w:tc>
        <w:tc>
          <w:tcPr>
            <w:tcW w:w="6571" w:type="dxa"/>
          </w:tcPr>
          <w:p w14:paraId="30B4D70D" w14:textId="464CBF9D" w:rsidR="002306AB" w:rsidRDefault="002306AB">
            <w:pPr>
              <w:rPr>
                <w:sz w:val="20"/>
                <w:szCs w:val="20"/>
              </w:rPr>
            </w:pPr>
            <w:proofErr w:type="spellStart"/>
            <w:r>
              <w:rPr>
                <w:sz w:val="20"/>
                <w:szCs w:val="20"/>
              </w:rPr>
              <w:t>Sarychat</w:t>
            </w:r>
            <w:proofErr w:type="spellEnd"/>
            <w:r>
              <w:rPr>
                <w:sz w:val="20"/>
                <w:szCs w:val="20"/>
              </w:rPr>
              <w:t xml:space="preserve"> </w:t>
            </w:r>
            <w:proofErr w:type="spellStart"/>
            <w:r>
              <w:rPr>
                <w:sz w:val="20"/>
                <w:szCs w:val="20"/>
              </w:rPr>
              <w:t>Ertash</w:t>
            </w:r>
            <w:proofErr w:type="spellEnd"/>
            <w:r>
              <w:rPr>
                <w:sz w:val="20"/>
                <w:szCs w:val="20"/>
              </w:rPr>
              <w:t xml:space="preserve"> </w:t>
            </w:r>
            <w:proofErr w:type="spellStart"/>
            <w:r w:rsidRPr="002306AB">
              <w:rPr>
                <w:i/>
                <w:sz w:val="20"/>
                <w:szCs w:val="20"/>
              </w:rPr>
              <w:t>zapovednik</w:t>
            </w:r>
            <w:proofErr w:type="spellEnd"/>
          </w:p>
        </w:tc>
      </w:tr>
      <w:tr w:rsidR="00F1023D" w:rsidRPr="00516656" w14:paraId="2F1F39F2" w14:textId="77777777" w:rsidTr="000D22A0">
        <w:tc>
          <w:tcPr>
            <w:tcW w:w="1951" w:type="dxa"/>
          </w:tcPr>
          <w:p w14:paraId="73C88CC4" w14:textId="5BFECE8E" w:rsidR="00F1023D" w:rsidRPr="00516656" w:rsidRDefault="00F1023D">
            <w:pPr>
              <w:rPr>
                <w:sz w:val="20"/>
                <w:szCs w:val="20"/>
              </w:rPr>
            </w:pPr>
            <w:r w:rsidRPr="00516656">
              <w:rPr>
                <w:sz w:val="20"/>
                <w:szCs w:val="20"/>
              </w:rPr>
              <w:t>TE</w:t>
            </w:r>
          </w:p>
        </w:tc>
        <w:tc>
          <w:tcPr>
            <w:tcW w:w="6571" w:type="dxa"/>
          </w:tcPr>
          <w:p w14:paraId="6FCD3961" w14:textId="59470F07" w:rsidR="00F1023D" w:rsidRPr="00516656" w:rsidRDefault="00F1023D">
            <w:pPr>
              <w:rPr>
                <w:sz w:val="20"/>
                <w:szCs w:val="20"/>
              </w:rPr>
            </w:pPr>
            <w:r w:rsidRPr="00516656">
              <w:rPr>
                <w:sz w:val="20"/>
                <w:szCs w:val="20"/>
              </w:rPr>
              <w:t>Terminal Evaluation</w:t>
            </w:r>
          </w:p>
        </w:tc>
      </w:tr>
      <w:tr w:rsidR="00F1023D" w:rsidRPr="00516656" w14:paraId="089FF8BE" w14:textId="77777777" w:rsidTr="000D22A0">
        <w:tc>
          <w:tcPr>
            <w:tcW w:w="1951" w:type="dxa"/>
          </w:tcPr>
          <w:p w14:paraId="4A5C8D0C" w14:textId="7C164578" w:rsidR="00F1023D" w:rsidRPr="00516656" w:rsidRDefault="00F1023D">
            <w:pPr>
              <w:rPr>
                <w:sz w:val="20"/>
                <w:szCs w:val="20"/>
              </w:rPr>
            </w:pPr>
            <w:r w:rsidRPr="00516656">
              <w:rPr>
                <w:sz w:val="20"/>
                <w:szCs w:val="20"/>
              </w:rPr>
              <w:t>TOR</w:t>
            </w:r>
          </w:p>
        </w:tc>
        <w:tc>
          <w:tcPr>
            <w:tcW w:w="6571" w:type="dxa"/>
          </w:tcPr>
          <w:p w14:paraId="5B9BF201" w14:textId="7D74127D" w:rsidR="00F1023D" w:rsidRPr="00516656" w:rsidRDefault="00F1023D">
            <w:pPr>
              <w:rPr>
                <w:sz w:val="20"/>
                <w:szCs w:val="20"/>
              </w:rPr>
            </w:pPr>
            <w:r w:rsidRPr="00516656">
              <w:rPr>
                <w:sz w:val="20"/>
                <w:szCs w:val="20"/>
              </w:rPr>
              <w:t>Terms of Reference</w:t>
            </w:r>
          </w:p>
        </w:tc>
      </w:tr>
      <w:tr w:rsidR="003D29E6" w:rsidRPr="00516656" w14:paraId="22CADFEE" w14:textId="77777777" w:rsidTr="000D22A0">
        <w:tc>
          <w:tcPr>
            <w:tcW w:w="1951" w:type="dxa"/>
          </w:tcPr>
          <w:p w14:paraId="50322D36" w14:textId="03BF6BE5" w:rsidR="003D29E6" w:rsidRPr="00516656" w:rsidRDefault="003D29E6">
            <w:pPr>
              <w:rPr>
                <w:sz w:val="20"/>
                <w:szCs w:val="20"/>
              </w:rPr>
            </w:pPr>
            <w:r w:rsidRPr="00516656">
              <w:rPr>
                <w:sz w:val="20"/>
                <w:szCs w:val="20"/>
              </w:rPr>
              <w:t>UNDP</w:t>
            </w:r>
          </w:p>
        </w:tc>
        <w:tc>
          <w:tcPr>
            <w:tcW w:w="6571" w:type="dxa"/>
          </w:tcPr>
          <w:p w14:paraId="2FFD4849" w14:textId="0D00559A" w:rsidR="003D29E6" w:rsidRPr="00516656" w:rsidRDefault="003D29E6">
            <w:pPr>
              <w:rPr>
                <w:sz w:val="20"/>
                <w:szCs w:val="20"/>
              </w:rPr>
            </w:pPr>
            <w:r w:rsidRPr="00516656">
              <w:rPr>
                <w:sz w:val="20"/>
                <w:szCs w:val="20"/>
              </w:rPr>
              <w:t>United National Development Program</w:t>
            </w:r>
          </w:p>
        </w:tc>
      </w:tr>
      <w:tr w:rsidR="00F1023D" w:rsidRPr="00516656" w14:paraId="65EB129D" w14:textId="77777777" w:rsidTr="000D22A0">
        <w:tc>
          <w:tcPr>
            <w:tcW w:w="1951" w:type="dxa"/>
          </w:tcPr>
          <w:p w14:paraId="6781C27A" w14:textId="0635EB2E" w:rsidR="00F1023D" w:rsidRPr="00516656" w:rsidRDefault="00F1023D">
            <w:pPr>
              <w:rPr>
                <w:sz w:val="20"/>
                <w:szCs w:val="20"/>
              </w:rPr>
            </w:pPr>
            <w:r w:rsidRPr="00516656">
              <w:rPr>
                <w:sz w:val="20"/>
                <w:szCs w:val="20"/>
              </w:rPr>
              <w:t>UNDP-CO</w:t>
            </w:r>
          </w:p>
        </w:tc>
        <w:tc>
          <w:tcPr>
            <w:tcW w:w="6571" w:type="dxa"/>
          </w:tcPr>
          <w:p w14:paraId="780EAC0B" w14:textId="5D8BE487" w:rsidR="00F1023D" w:rsidRPr="00516656" w:rsidRDefault="00F1023D">
            <w:pPr>
              <w:rPr>
                <w:sz w:val="20"/>
                <w:szCs w:val="20"/>
              </w:rPr>
            </w:pPr>
            <w:r w:rsidRPr="00516656">
              <w:rPr>
                <w:sz w:val="20"/>
                <w:szCs w:val="20"/>
              </w:rPr>
              <w:t>UNDP Country Office</w:t>
            </w:r>
          </w:p>
        </w:tc>
      </w:tr>
      <w:tr w:rsidR="00516656" w:rsidRPr="00516656" w14:paraId="265D3F3B" w14:textId="77777777" w:rsidTr="000D22A0">
        <w:tc>
          <w:tcPr>
            <w:tcW w:w="1951" w:type="dxa"/>
          </w:tcPr>
          <w:p w14:paraId="51FEA1C0" w14:textId="624F93F9" w:rsidR="00516656" w:rsidRPr="00516656" w:rsidRDefault="00516656">
            <w:pPr>
              <w:rPr>
                <w:sz w:val="20"/>
                <w:szCs w:val="20"/>
              </w:rPr>
            </w:pPr>
            <w:r w:rsidRPr="00516656">
              <w:rPr>
                <w:sz w:val="20"/>
                <w:szCs w:val="20"/>
              </w:rPr>
              <w:t>UNDP-DRR</w:t>
            </w:r>
          </w:p>
        </w:tc>
        <w:tc>
          <w:tcPr>
            <w:tcW w:w="6571" w:type="dxa"/>
          </w:tcPr>
          <w:p w14:paraId="30902EB9" w14:textId="21EC939F" w:rsidR="00516656" w:rsidRPr="00516656" w:rsidRDefault="00516656">
            <w:pPr>
              <w:rPr>
                <w:sz w:val="20"/>
                <w:szCs w:val="20"/>
              </w:rPr>
            </w:pPr>
            <w:r w:rsidRPr="00516656">
              <w:rPr>
                <w:sz w:val="20"/>
                <w:szCs w:val="20"/>
              </w:rPr>
              <w:t>UNDP Deputy Resident Representative</w:t>
            </w:r>
          </w:p>
        </w:tc>
      </w:tr>
      <w:tr w:rsidR="007B31A9" w:rsidRPr="00516656" w14:paraId="077456CD" w14:textId="77777777" w:rsidTr="000D22A0">
        <w:tc>
          <w:tcPr>
            <w:tcW w:w="1951" w:type="dxa"/>
          </w:tcPr>
          <w:p w14:paraId="5695FA9A" w14:textId="11770F2C" w:rsidR="007B31A9" w:rsidRPr="00516656" w:rsidRDefault="007B31A9">
            <w:pPr>
              <w:rPr>
                <w:sz w:val="20"/>
                <w:szCs w:val="20"/>
              </w:rPr>
            </w:pPr>
            <w:r w:rsidRPr="00516656">
              <w:rPr>
                <w:sz w:val="20"/>
                <w:szCs w:val="20"/>
              </w:rPr>
              <w:t>UNDP-GEF RT</w:t>
            </w:r>
            <w:r>
              <w:rPr>
                <w:sz w:val="20"/>
                <w:szCs w:val="20"/>
              </w:rPr>
              <w:t>A</w:t>
            </w:r>
          </w:p>
        </w:tc>
        <w:tc>
          <w:tcPr>
            <w:tcW w:w="6571" w:type="dxa"/>
          </w:tcPr>
          <w:p w14:paraId="52BBBDFC" w14:textId="697A1E4E" w:rsidR="007B31A9" w:rsidRPr="00516656" w:rsidRDefault="007B31A9" w:rsidP="007B31A9">
            <w:pPr>
              <w:rPr>
                <w:sz w:val="20"/>
                <w:szCs w:val="20"/>
              </w:rPr>
            </w:pPr>
            <w:r w:rsidRPr="00516656">
              <w:rPr>
                <w:sz w:val="20"/>
                <w:szCs w:val="20"/>
              </w:rPr>
              <w:t xml:space="preserve">UNDP-GEF Regional Technical </w:t>
            </w:r>
            <w:r>
              <w:rPr>
                <w:sz w:val="20"/>
                <w:szCs w:val="20"/>
              </w:rPr>
              <w:t>Advisor</w:t>
            </w:r>
            <w:r w:rsidRPr="00516656">
              <w:rPr>
                <w:sz w:val="20"/>
                <w:szCs w:val="20"/>
              </w:rPr>
              <w:t xml:space="preserve"> (based in Istanbul)</w:t>
            </w:r>
          </w:p>
        </w:tc>
      </w:tr>
      <w:tr w:rsidR="00AA0B9A" w:rsidRPr="00516656" w14:paraId="5B781E03" w14:textId="77777777" w:rsidTr="000D22A0">
        <w:tc>
          <w:tcPr>
            <w:tcW w:w="1951" w:type="dxa"/>
          </w:tcPr>
          <w:p w14:paraId="158BD741" w14:textId="2A244F2E" w:rsidR="00AA0B9A" w:rsidRPr="00516656" w:rsidRDefault="00AA0B9A">
            <w:pPr>
              <w:rPr>
                <w:sz w:val="20"/>
                <w:szCs w:val="20"/>
              </w:rPr>
            </w:pPr>
            <w:r w:rsidRPr="00516656">
              <w:rPr>
                <w:sz w:val="20"/>
                <w:szCs w:val="20"/>
              </w:rPr>
              <w:t>UNDP-GEF RTC</w:t>
            </w:r>
          </w:p>
        </w:tc>
        <w:tc>
          <w:tcPr>
            <w:tcW w:w="6571" w:type="dxa"/>
          </w:tcPr>
          <w:p w14:paraId="30CD9FCC" w14:textId="7FFCCF1C" w:rsidR="00AA0B9A" w:rsidRPr="00516656" w:rsidRDefault="00AA0B9A">
            <w:pPr>
              <w:rPr>
                <w:sz w:val="20"/>
                <w:szCs w:val="20"/>
              </w:rPr>
            </w:pPr>
            <w:r w:rsidRPr="00516656">
              <w:rPr>
                <w:sz w:val="20"/>
                <w:szCs w:val="20"/>
              </w:rPr>
              <w:t>UNDP-GEF Regional Technical Centre (based in Istanbul)</w:t>
            </w:r>
          </w:p>
        </w:tc>
      </w:tr>
      <w:tr w:rsidR="00F1023D" w:rsidRPr="00516656" w14:paraId="10AD6472" w14:textId="77777777" w:rsidTr="000D22A0">
        <w:tc>
          <w:tcPr>
            <w:tcW w:w="1951" w:type="dxa"/>
          </w:tcPr>
          <w:p w14:paraId="1F9AE89A" w14:textId="66F3328B" w:rsidR="00F1023D" w:rsidRPr="00516656" w:rsidRDefault="00F1023D">
            <w:pPr>
              <w:rPr>
                <w:sz w:val="20"/>
                <w:szCs w:val="20"/>
              </w:rPr>
            </w:pPr>
            <w:r w:rsidRPr="00516656">
              <w:rPr>
                <w:sz w:val="20"/>
                <w:szCs w:val="20"/>
              </w:rPr>
              <w:t>USD</w:t>
            </w:r>
          </w:p>
        </w:tc>
        <w:tc>
          <w:tcPr>
            <w:tcW w:w="6571" w:type="dxa"/>
          </w:tcPr>
          <w:p w14:paraId="14DA2AEC" w14:textId="1AE6E321" w:rsidR="00F1023D" w:rsidRPr="00516656" w:rsidRDefault="00F1023D">
            <w:pPr>
              <w:rPr>
                <w:sz w:val="20"/>
                <w:szCs w:val="20"/>
              </w:rPr>
            </w:pPr>
            <w:r w:rsidRPr="00516656">
              <w:rPr>
                <w:sz w:val="20"/>
                <w:szCs w:val="20"/>
              </w:rPr>
              <w:t>United States dollars</w:t>
            </w:r>
          </w:p>
        </w:tc>
      </w:tr>
      <w:tr w:rsidR="002306AB" w:rsidRPr="00516656" w14:paraId="218FF549" w14:textId="77777777" w:rsidTr="000D22A0">
        <w:tc>
          <w:tcPr>
            <w:tcW w:w="1951" w:type="dxa"/>
          </w:tcPr>
          <w:p w14:paraId="1EC64766" w14:textId="2AC1BF39" w:rsidR="002306AB" w:rsidRPr="00516656" w:rsidRDefault="002306AB">
            <w:pPr>
              <w:rPr>
                <w:sz w:val="20"/>
                <w:szCs w:val="20"/>
              </w:rPr>
            </w:pPr>
            <w:r>
              <w:rPr>
                <w:sz w:val="20"/>
                <w:szCs w:val="20"/>
              </w:rPr>
              <w:t>VU</w:t>
            </w:r>
          </w:p>
        </w:tc>
        <w:tc>
          <w:tcPr>
            <w:tcW w:w="6571" w:type="dxa"/>
          </w:tcPr>
          <w:p w14:paraId="37ADCCA0" w14:textId="383521D2" w:rsidR="002306AB" w:rsidRPr="00516656" w:rsidRDefault="002306AB">
            <w:pPr>
              <w:rPr>
                <w:sz w:val="20"/>
                <w:szCs w:val="20"/>
              </w:rPr>
            </w:pPr>
            <w:r>
              <w:rPr>
                <w:sz w:val="20"/>
                <w:szCs w:val="20"/>
              </w:rPr>
              <w:t>Vulnerable to Extinction  (referring to an IUCN Category of Threat for species)</w:t>
            </w:r>
          </w:p>
        </w:tc>
      </w:tr>
      <w:tr w:rsidR="002025C5" w:rsidRPr="00516656" w14:paraId="55B8EE39" w14:textId="77777777" w:rsidTr="000D22A0">
        <w:tc>
          <w:tcPr>
            <w:tcW w:w="1951" w:type="dxa"/>
          </w:tcPr>
          <w:p w14:paraId="3439B61B" w14:textId="3297D7B3" w:rsidR="002025C5" w:rsidRPr="00516656" w:rsidRDefault="002025C5">
            <w:pPr>
              <w:rPr>
                <w:sz w:val="20"/>
                <w:szCs w:val="20"/>
              </w:rPr>
            </w:pPr>
            <w:r>
              <w:rPr>
                <w:sz w:val="20"/>
                <w:szCs w:val="20"/>
              </w:rPr>
              <w:t>WWF</w:t>
            </w:r>
          </w:p>
        </w:tc>
        <w:tc>
          <w:tcPr>
            <w:tcW w:w="6571" w:type="dxa"/>
          </w:tcPr>
          <w:p w14:paraId="250BEE12" w14:textId="063AC373" w:rsidR="002025C5" w:rsidRPr="00516656" w:rsidRDefault="002025C5">
            <w:pPr>
              <w:rPr>
                <w:sz w:val="20"/>
                <w:szCs w:val="20"/>
              </w:rPr>
            </w:pPr>
            <w:r>
              <w:rPr>
                <w:sz w:val="20"/>
                <w:szCs w:val="20"/>
              </w:rPr>
              <w:t>World Wide Fund for Nature (formerly World Wildlife Fund)</w:t>
            </w:r>
          </w:p>
        </w:tc>
      </w:tr>
      <w:tr w:rsidR="003D29E6" w:rsidRPr="00516656" w14:paraId="677BA603" w14:textId="77777777" w:rsidTr="000D22A0">
        <w:tc>
          <w:tcPr>
            <w:tcW w:w="1951" w:type="dxa"/>
          </w:tcPr>
          <w:p w14:paraId="0C96B1C3" w14:textId="1D14124C" w:rsidR="003D29E6" w:rsidRPr="00907BC5" w:rsidRDefault="00E80D00">
            <w:pPr>
              <w:rPr>
                <w:i/>
                <w:sz w:val="20"/>
                <w:szCs w:val="20"/>
              </w:rPr>
            </w:pPr>
            <w:proofErr w:type="spellStart"/>
            <w:r w:rsidRPr="00907BC5">
              <w:rPr>
                <w:i/>
                <w:sz w:val="20"/>
                <w:szCs w:val="20"/>
              </w:rPr>
              <w:t>Zapovednik</w:t>
            </w:r>
            <w:proofErr w:type="spellEnd"/>
          </w:p>
        </w:tc>
        <w:tc>
          <w:tcPr>
            <w:tcW w:w="6571" w:type="dxa"/>
          </w:tcPr>
          <w:p w14:paraId="0C2E4E39" w14:textId="260EB64B" w:rsidR="003D29E6" w:rsidRPr="00516656" w:rsidRDefault="00E80D00">
            <w:pPr>
              <w:rPr>
                <w:sz w:val="20"/>
                <w:szCs w:val="20"/>
              </w:rPr>
            </w:pPr>
            <w:r w:rsidRPr="00516656">
              <w:rPr>
                <w:sz w:val="20"/>
                <w:szCs w:val="20"/>
              </w:rPr>
              <w:t>A central protected area or strict nature reserve (equivalent to IUNC PA Category I)</w:t>
            </w:r>
          </w:p>
        </w:tc>
      </w:tr>
    </w:tbl>
    <w:p w14:paraId="799C2CAE" w14:textId="77777777" w:rsidR="00E4257F" w:rsidRPr="00516656" w:rsidRDefault="00E4257F"/>
    <w:p w14:paraId="776B1B2D" w14:textId="77777777" w:rsidR="00E4257F" w:rsidRPr="00516656" w:rsidRDefault="00E4257F">
      <w:pPr>
        <w:sectPr w:rsidR="00E4257F" w:rsidRPr="00516656" w:rsidSect="006D6157">
          <w:pgSz w:w="11900" w:h="16840"/>
          <w:pgMar w:top="1440" w:right="1797" w:bottom="1440" w:left="1797" w:header="709" w:footer="709" w:gutter="0"/>
          <w:pgNumType w:fmt="lowerRoman"/>
          <w:cols w:space="708"/>
          <w:titlePg/>
          <w:docGrid w:linePitch="360"/>
        </w:sectPr>
      </w:pPr>
    </w:p>
    <w:p w14:paraId="372BD4B2" w14:textId="11DEDA5D" w:rsidR="00683205" w:rsidRPr="00516656" w:rsidRDefault="00E4257F" w:rsidP="00683205">
      <w:pPr>
        <w:pStyle w:val="Heading1"/>
      </w:pPr>
      <w:bookmarkStart w:id="2" w:name="_Toc311452854"/>
      <w:r w:rsidRPr="00516656">
        <w:t>Executive Summary</w:t>
      </w:r>
      <w:bookmarkEnd w:id="2"/>
    </w:p>
    <w:p w14:paraId="49E444E9" w14:textId="77777777" w:rsidR="00E4257F" w:rsidRPr="00516656" w:rsidRDefault="00E4257F" w:rsidP="00E4257F">
      <w:pPr>
        <w:pStyle w:val="Heading2"/>
        <w:numPr>
          <w:ilvl w:val="0"/>
          <w:numId w:val="0"/>
        </w:numPr>
      </w:pPr>
      <w:bookmarkStart w:id="3" w:name="_Toc311452855"/>
      <w:r w:rsidRPr="00516656">
        <w:t>Project Information Table</w:t>
      </w:r>
      <w:bookmarkEnd w:id="3"/>
    </w:p>
    <w:tbl>
      <w:tblPr>
        <w:tblStyle w:val="TableGrid"/>
        <w:tblW w:w="0" w:type="auto"/>
        <w:tblLayout w:type="fixed"/>
        <w:tblLook w:val="04A0" w:firstRow="1" w:lastRow="0" w:firstColumn="1" w:lastColumn="0" w:noHBand="0" w:noVBand="1"/>
      </w:tblPr>
      <w:tblGrid>
        <w:gridCol w:w="2376"/>
        <w:gridCol w:w="2048"/>
        <w:gridCol w:w="929"/>
        <w:gridCol w:w="1120"/>
        <w:gridCol w:w="2049"/>
      </w:tblGrid>
      <w:tr w:rsidR="003F5311" w:rsidRPr="00EB030D" w14:paraId="6600EF29" w14:textId="77777777" w:rsidTr="008671BE">
        <w:tc>
          <w:tcPr>
            <w:tcW w:w="2376" w:type="dxa"/>
            <w:shd w:val="clear" w:color="auto" w:fill="000000" w:themeFill="text1"/>
          </w:tcPr>
          <w:p w14:paraId="78707151" w14:textId="77777777" w:rsidR="003F5311" w:rsidRPr="008671BE" w:rsidRDefault="003F5311" w:rsidP="008671BE">
            <w:pPr>
              <w:rPr>
                <w:color w:val="FFFFFF" w:themeColor="background1"/>
                <w:sz w:val="20"/>
                <w:szCs w:val="20"/>
              </w:rPr>
            </w:pPr>
            <w:r w:rsidRPr="008671BE">
              <w:rPr>
                <w:color w:val="FFFFFF" w:themeColor="background1"/>
                <w:sz w:val="20"/>
                <w:szCs w:val="20"/>
              </w:rPr>
              <w:t>Project Title</w:t>
            </w:r>
          </w:p>
        </w:tc>
        <w:tc>
          <w:tcPr>
            <w:tcW w:w="6146" w:type="dxa"/>
            <w:gridSpan w:val="4"/>
          </w:tcPr>
          <w:p w14:paraId="205E8AD6" w14:textId="062B0B44" w:rsidR="003F5311" w:rsidRPr="00EB030D" w:rsidRDefault="0049536B" w:rsidP="008671BE">
            <w:pPr>
              <w:rPr>
                <w:sz w:val="20"/>
                <w:szCs w:val="20"/>
              </w:rPr>
            </w:pPr>
            <w:r>
              <w:rPr>
                <w:sz w:val="20"/>
                <w:szCs w:val="20"/>
              </w:rPr>
              <w:t xml:space="preserve">Improving coverage and management effectiveness of PAs in the Central </w:t>
            </w:r>
            <w:proofErr w:type="spellStart"/>
            <w:r>
              <w:rPr>
                <w:sz w:val="20"/>
                <w:szCs w:val="20"/>
              </w:rPr>
              <w:t>Tian</w:t>
            </w:r>
            <w:proofErr w:type="spellEnd"/>
            <w:r>
              <w:rPr>
                <w:sz w:val="20"/>
                <w:szCs w:val="20"/>
              </w:rPr>
              <w:t xml:space="preserve"> Shan Mountains</w:t>
            </w:r>
          </w:p>
        </w:tc>
      </w:tr>
      <w:tr w:rsidR="003F5311" w:rsidRPr="00EB030D" w14:paraId="5066D7EE" w14:textId="77777777" w:rsidTr="00A01C92">
        <w:tc>
          <w:tcPr>
            <w:tcW w:w="2376" w:type="dxa"/>
            <w:shd w:val="clear" w:color="auto" w:fill="D9D9D9" w:themeFill="background1" w:themeFillShade="D9"/>
          </w:tcPr>
          <w:p w14:paraId="4CE3D34E" w14:textId="77777777" w:rsidR="003F5311" w:rsidRPr="00EB030D" w:rsidRDefault="003F5311" w:rsidP="008671BE">
            <w:pPr>
              <w:rPr>
                <w:sz w:val="20"/>
                <w:szCs w:val="20"/>
              </w:rPr>
            </w:pPr>
            <w:r w:rsidRPr="00EB030D">
              <w:rPr>
                <w:sz w:val="20"/>
                <w:szCs w:val="20"/>
              </w:rPr>
              <w:t>UNDP Project ID</w:t>
            </w:r>
          </w:p>
        </w:tc>
        <w:tc>
          <w:tcPr>
            <w:tcW w:w="2048" w:type="dxa"/>
          </w:tcPr>
          <w:p w14:paraId="5B2E4840" w14:textId="77777777" w:rsidR="003F5311" w:rsidRPr="00EB030D" w:rsidRDefault="003F5311" w:rsidP="008671BE">
            <w:pPr>
              <w:rPr>
                <w:sz w:val="20"/>
                <w:szCs w:val="20"/>
              </w:rPr>
            </w:pPr>
            <w:r w:rsidRPr="00EB030D">
              <w:rPr>
                <w:sz w:val="20"/>
                <w:szCs w:val="20"/>
              </w:rPr>
              <w:t>00085844</w:t>
            </w:r>
          </w:p>
        </w:tc>
        <w:tc>
          <w:tcPr>
            <w:tcW w:w="2049" w:type="dxa"/>
            <w:gridSpan w:val="2"/>
            <w:shd w:val="clear" w:color="auto" w:fill="D9D9D9" w:themeFill="background1" w:themeFillShade="D9"/>
          </w:tcPr>
          <w:p w14:paraId="1996B531" w14:textId="77777777" w:rsidR="003F5311" w:rsidRPr="00EB030D" w:rsidRDefault="003F5311" w:rsidP="008671BE">
            <w:pPr>
              <w:rPr>
                <w:sz w:val="20"/>
                <w:szCs w:val="20"/>
              </w:rPr>
            </w:pPr>
            <w:r w:rsidRPr="00EB030D">
              <w:rPr>
                <w:sz w:val="20"/>
                <w:szCs w:val="20"/>
              </w:rPr>
              <w:t>PIF Approval Date</w:t>
            </w:r>
          </w:p>
        </w:tc>
        <w:tc>
          <w:tcPr>
            <w:tcW w:w="2049" w:type="dxa"/>
          </w:tcPr>
          <w:p w14:paraId="45B1C888" w14:textId="77777777" w:rsidR="003F5311" w:rsidRPr="00EB030D" w:rsidRDefault="003F5311" w:rsidP="008671BE">
            <w:pPr>
              <w:rPr>
                <w:sz w:val="20"/>
                <w:szCs w:val="20"/>
              </w:rPr>
            </w:pPr>
            <w:r w:rsidRPr="00EB030D">
              <w:rPr>
                <w:sz w:val="20"/>
                <w:szCs w:val="20"/>
              </w:rPr>
              <w:t>March 27, 2012</w:t>
            </w:r>
          </w:p>
        </w:tc>
      </w:tr>
      <w:tr w:rsidR="003F5311" w:rsidRPr="00EB030D" w14:paraId="1AFF2375" w14:textId="77777777" w:rsidTr="00A01C92">
        <w:tc>
          <w:tcPr>
            <w:tcW w:w="2376" w:type="dxa"/>
            <w:shd w:val="clear" w:color="auto" w:fill="D9D9D9" w:themeFill="background1" w:themeFillShade="D9"/>
          </w:tcPr>
          <w:p w14:paraId="1476AD17" w14:textId="77777777" w:rsidR="003F5311" w:rsidRPr="00EB030D" w:rsidRDefault="003F5311" w:rsidP="008671BE">
            <w:pPr>
              <w:rPr>
                <w:sz w:val="20"/>
                <w:szCs w:val="20"/>
              </w:rPr>
            </w:pPr>
            <w:r w:rsidRPr="00EB030D">
              <w:rPr>
                <w:sz w:val="20"/>
                <w:szCs w:val="20"/>
              </w:rPr>
              <w:t>GEF Project ID</w:t>
            </w:r>
          </w:p>
        </w:tc>
        <w:tc>
          <w:tcPr>
            <w:tcW w:w="2048" w:type="dxa"/>
          </w:tcPr>
          <w:p w14:paraId="27DB06DA" w14:textId="77777777" w:rsidR="003F5311" w:rsidRPr="00EB030D" w:rsidRDefault="003F5311" w:rsidP="008671BE">
            <w:pPr>
              <w:rPr>
                <w:sz w:val="20"/>
                <w:szCs w:val="20"/>
              </w:rPr>
            </w:pPr>
            <w:r w:rsidRPr="00EB030D">
              <w:rPr>
                <w:sz w:val="20"/>
                <w:szCs w:val="20"/>
              </w:rPr>
              <w:t>4844</w:t>
            </w:r>
          </w:p>
        </w:tc>
        <w:tc>
          <w:tcPr>
            <w:tcW w:w="2049" w:type="dxa"/>
            <w:gridSpan w:val="2"/>
            <w:shd w:val="clear" w:color="auto" w:fill="D9D9D9" w:themeFill="background1" w:themeFillShade="D9"/>
          </w:tcPr>
          <w:p w14:paraId="18A29537" w14:textId="77777777" w:rsidR="003F5311" w:rsidRPr="00EB030D" w:rsidRDefault="003F5311" w:rsidP="008671BE">
            <w:pPr>
              <w:rPr>
                <w:sz w:val="20"/>
                <w:szCs w:val="20"/>
              </w:rPr>
            </w:pPr>
            <w:r w:rsidRPr="00EB030D">
              <w:rPr>
                <w:sz w:val="20"/>
                <w:szCs w:val="20"/>
              </w:rPr>
              <w:t>CEO Endorsement Date</w:t>
            </w:r>
          </w:p>
        </w:tc>
        <w:tc>
          <w:tcPr>
            <w:tcW w:w="2049" w:type="dxa"/>
          </w:tcPr>
          <w:p w14:paraId="3043256A" w14:textId="77777777" w:rsidR="003F5311" w:rsidRPr="00EB030D" w:rsidRDefault="003F5311" w:rsidP="008671BE">
            <w:pPr>
              <w:rPr>
                <w:sz w:val="20"/>
                <w:szCs w:val="20"/>
              </w:rPr>
            </w:pPr>
            <w:r w:rsidRPr="00EB030D">
              <w:rPr>
                <w:sz w:val="20"/>
                <w:szCs w:val="20"/>
              </w:rPr>
              <w:t>May 12, 2011.</w:t>
            </w:r>
          </w:p>
        </w:tc>
      </w:tr>
      <w:tr w:rsidR="003F5311" w:rsidRPr="00EB030D" w14:paraId="57A9CCBF" w14:textId="77777777" w:rsidTr="00A01C92">
        <w:tc>
          <w:tcPr>
            <w:tcW w:w="2376" w:type="dxa"/>
            <w:shd w:val="clear" w:color="auto" w:fill="D9D9D9" w:themeFill="background1" w:themeFillShade="D9"/>
          </w:tcPr>
          <w:p w14:paraId="49001213" w14:textId="77777777" w:rsidR="003F5311" w:rsidRPr="00EB030D" w:rsidRDefault="003F5311" w:rsidP="008671BE">
            <w:pPr>
              <w:rPr>
                <w:sz w:val="20"/>
                <w:szCs w:val="20"/>
              </w:rPr>
            </w:pPr>
            <w:r w:rsidRPr="00EB030D">
              <w:rPr>
                <w:sz w:val="20"/>
                <w:szCs w:val="20"/>
              </w:rPr>
              <w:t>ATLAS Business Unit Award No.</w:t>
            </w:r>
          </w:p>
        </w:tc>
        <w:tc>
          <w:tcPr>
            <w:tcW w:w="2048" w:type="dxa"/>
          </w:tcPr>
          <w:p w14:paraId="22C24330" w14:textId="77777777" w:rsidR="003F5311" w:rsidRPr="00EB030D" w:rsidRDefault="003F5311" w:rsidP="008671BE">
            <w:pPr>
              <w:rPr>
                <w:sz w:val="20"/>
                <w:szCs w:val="20"/>
              </w:rPr>
            </w:pPr>
            <w:r w:rsidRPr="00EB030D">
              <w:rPr>
                <w:sz w:val="20"/>
                <w:szCs w:val="20"/>
              </w:rPr>
              <w:t>00072819</w:t>
            </w:r>
          </w:p>
        </w:tc>
        <w:tc>
          <w:tcPr>
            <w:tcW w:w="2049" w:type="dxa"/>
            <w:gridSpan w:val="2"/>
            <w:shd w:val="clear" w:color="auto" w:fill="D9D9D9" w:themeFill="background1" w:themeFillShade="D9"/>
          </w:tcPr>
          <w:p w14:paraId="11984B94" w14:textId="77777777" w:rsidR="003F5311" w:rsidRPr="00EB030D" w:rsidRDefault="003F5311" w:rsidP="008671BE">
            <w:pPr>
              <w:rPr>
                <w:sz w:val="20"/>
                <w:szCs w:val="20"/>
              </w:rPr>
            </w:pPr>
            <w:proofErr w:type="spellStart"/>
            <w:r w:rsidRPr="00EB030D">
              <w:rPr>
                <w:sz w:val="20"/>
                <w:szCs w:val="20"/>
              </w:rPr>
              <w:t>ProDoc</w:t>
            </w:r>
            <w:proofErr w:type="spellEnd"/>
            <w:r w:rsidRPr="00EB030D">
              <w:rPr>
                <w:sz w:val="20"/>
                <w:szCs w:val="20"/>
              </w:rPr>
              <w:t xml:space="preserve"> Signature Date</w:t>
            </w:r>
          </w:p>
        </w:tc>
        <w:tc>
          <w:tcPr>
            <w:tcW w:w="2049" w:type="dxa"/>
          </w:tcPr>
          <w:p w14:paraId="1A9816A7" w14:textId="77777777" w:rsidR="003F5311" w:rsidRPr="00EB030D" w:rsidRDefault="003F5311" w:rsidP="008671BE">
            <w:pPr>
              <w:rPr>
                <w:sz w:val="20"/>
                <w:szCs w:val="20"/>
              </w:rPr>
            </w:pPr>
            <w:r w:rsidRPr="00EB030D">
              <w:rPr>
                <w:sz w:val="20"/>
                <w:szCs w:val="20"/>
              </w:rPr>
              <w:t>May 27, 2015</w:t>
            </w:r>
          </w:p>
        </w:tc>
      </w:tr>
      <w:tr w:rsidR="003F5311" w:rsidRPr="00EB030D" w14:paraId="7CB67A87" w14:textId="77777777" w:rsidTr="00A01C92">
        <w:tc>
          <w:tcPr>
            <w:tcW w:w="2376" w:type="dxa"/>
            <w:shd w:val="clear" w:color="auto" w:fill="D9D9D9" w:themeFill="background1" w:themeFillShade="D9"/>
          </w:tcPr>
          <w:p w14:paraId="2820B18D" w14:textId="77777777" w:rsidR="003F5311" w:rsidRPr="00EB030D" w:rsidRDefault="003F5311" w:rsidP="008671BE">
            <w:pPr>
              <w:rPr>
                <w:sz w:val="20"/>
                <w:szCs w:val="20"/>
              </w:rPr>
            </w:pPr>
            <w:r w:rsidRPr="00EB030D">
              <w:rPr>
                <w:sz w:val="20"/>
                <w:szCs w:val="20"/>
              </w:rPr>
              <w:t>Country</w:t>
            </w:r>
          </w:p>
        </w:tc>
        <w:tc>
          <w:tcPr>
            <w:tcW w:w="2048" w:type="dxa"/>
          </w:tcPr>
          <w:p w14:paraId="094832DC" w14:textId="77777777" w:rsidR="003F5311" w:rsidRPr="00EB030D" w:rsidRDefault="003F5311" w:rsidP="008671BE">
            <w:pPr>
              <w:rPr>
                <w:sz w:val="20"/>
                <w:szCs w:val="20"/>
              </w:rPr>
            </w:pPr>
            <w:r w:rsidRPr="00EB030D">
              <w:rPr>
                <w:sz w:val="20"/>
                <w:szCs w:val="20"/>
              </w:rPr>
              <w:t xml:space="preserve">Kyrgyzstan </w:t>
            </w:r>
          </w:p>
        </w:tc>
        <w:tc>
          <w:tcPr>
            <w:tcW w:w="2049" w:type="dxa"/>
            <w:gridSpan w:val="2"/>
            <w:shd w:val="clear" w:color="auto" w:fill="D9D9D9" w:themeFill="background1" w:themeFillShade="D9"/>
          </w:tcPr>
          <w:p w14:paraId="31D3E416" w14:textId="77777777" w:rsidR="003F5311" w:rsidRPr="00EB030D" w:rsidRDefault="003F5311" w:rsidP="008671BE">
            <w:pPr>
              <w:rPr>
                <w:sz w:val="20"/>
                <w:szCs w:val="20"/>
              </w:rPr>
            </w:pPr>
            <w:r w:rsidRPr="00EB030D">
              <w:rPr>
                <w:sz w:val="20"/>
                <w:szCs w:val="20"/>
              </w:rPr>
              <w:t>Date PM hired</w:t>
            </w:r>
          </w:p>
        </w:tc>
        <w:tc>
          <w:tcPr>
            <w:tcW w:w="2049" w:type="dxa"/>
          </w:tcPr>
          <w:p w14:paraId="28E1E261" w14:textId="77777777" w:rsidR="003F5311" w:rsidRPr="00EB030D" w:rsidRDefault="003F5311" w:rsidP="008671BE">
            <w:pPr>
              <w:rPr>
                <w:sz w:val="20"/>
                <w:szCs w:val="20"/>
              </w:rPr>
            </w:pPr>
            <w:r w:rsidRPr="00EB030D">
              <w:rPr>
                <w:sz w:val="20"/>
                <w:szCs w:val="20"/>
              </w:rPr>
              <w:t>October 16, 2013</w:t>
            </w:r>
          </w:p>
        </w:tc>
      </w:tr>
      <w:tr w:rsidR="003F5311" w:rsidRPr="00EB030D" w14:paraId="3E71F7BE" w14:textId="77777777" w:rsidTr="00A01C92">
        <w:tc>
          <w:tcPr>
            <w:tcW w:w="2376" w:type="dxa"/>
            <w:shd w:val="clear" w:color="auto" w:fill="D9D9D9" w:themeFill="background1" w:themeFillShade="D9"/>
          </w:tcPr>
          <w:p w14:paraId="7F877E55" w14:textId="77777777" w:rsidR="003F5311" w:rsidRPr="00EB030D" w:rsidRDefault="003F5311" w:rsidP="008671BE">
            <w:pPr>
              <w:rPr>
                <w:sz w:val="20"/>
                <w:szCs w:val="20"/>
              </w:rPr>
            </w:pPr>
            <w:r w:rsidRPr="00EB030D">
              <w:rPr>
                <w:sz w:val="20"/>
                <w:szCs w:val="20"/>
              </w:rPr>
              <w:t>Region:</w:t>
            </w:r>
          </w:p>
        </w:tc>
        <w:tc>
          <w:tcPr>
            <w:tcW w:w="2048" w:type="dxa"/>
          </w:tcPr>
          <w:p w14:paraId="0C06754C" w14:textId="77777777" w:rsidR="003F5311" w:rsidRPr="00EB030D" w:rsidRDefault="003F5311" w:rsidP="008671BE">
            <w:pPr>
              <w:rPr>
                <w:sz w:val="20"/>
                <w:szCs w:val="20"/>
              </w:rPr>
            </w:pPr>
            <w:r w:rsidRPr="00EB030D">
              <w:rPr>
                <w:sz w:val="20"/>
                <w:szCs w:val="20"/>
              </w:rPr>
              <w:t xml:space="preserve">Central Asia </w:t>
            </w:r>
          </w:p>
        </w:tc>
        <w:tc>
          <w:tcPr>
            <w:tcW w:w="2049" w:type="dxa"/>
            <w:gridSpan w:val="2"/>
            <w:shd w:val="clear" w:color="auto" w:fill="D9D9D9" w:themeFill="background1" w:themeFillShade="D9"/>
          </w:tcPr>
          <w:p w14:paraId="6ECEA62B" w14:textId="77777777" w:rsidR="003F5311" w:rsidRPr="00EB030D" w:rsidRDefault="003F5311" w:rsidP="008671BE">
            <w:pPr>
              <w:rPr>
                <w:sz w:val="20"/>
                <w:szCs w:val="20"/>
              </w:rPr>
            </w:pPr>
            <w:r w:rsidRPr="00EB030D">
              <w:rPr>
                <w:sz w:val="20"/>
                <w:szCs w:val="20"/>
              </w:rPr>
              <w:t>Inception W/shop date</w:t>
            </w:r>
          </w:p>
        </w:tc>
        <w:tc>
          <w:tcPr>
            <w:tcW w:w="2049" w:type="dxa"/>
          </w:tcPr>
          <w:p w14:paraId="08C9BD5B" w14:textId="77777777" w:rsidR="003F5311" w:rsidRPr="00EB030D" w:rsidRDefault="003F5311" w:rsidP="008671BE">
            <w:pPr>
              <w:rPr>
                <w:sz w:val="20"/>
                <w:szCs w:val="20"/>
              </w:rPr>
            </w:pPr>
            <w:r w:rsidRPr="00EB030D">
              <w:rPr>
                <w:sz w:val="20"/>
                <w:szCs w:val="20"/>
              </w:rPr>
              <w:t>October 24, 2015</w:t>
            </w:r>
          </w:p>
        </w:tc>
      </w:tr>
      <w:tr w:rsidR="003F5311" w:rsidRPr="00EB030D" w14:paraId="7320F490" w14:textId="77777777" w:rsidTr="00A01C92">
        <w:tc>
          <w:tcPr>
            <w:tcW w:w="2376" w:type="dxa"/>
            <w:shd w:val="clear" w:color="auto" w:fill="D9D9D9" w:themeFill="background1" w:themeFillShade="D9"/>
          </w:tcPr>
          <w:p w14:paraId="353A09E4" w14:textId="77777777" w:rsidR="003F5311" w:rsidRPr="00EB030D" w:rsidRDefault="003F5311" w:rsidP="008671BE">
            <w:pPr>
              <w:rPr>
                <w:sz w:val="20"/>
                <w:szCs w:val="20"/>
              </w:rPr>
            </w:pPr>
            <w:r w:rsidRPr="00EB030D">
              <w:rPr>
                <w:sz w:val="20"/>
                <w:szCs w:val="20"/>
              </w:rPr>
              <w:t>GEF Focal Area/Strategic Objective</w:t>
            </w:r>
          </w:p>
        </w:tc>
        <w:tc>
          <w:tcPr>
            <w:tcW w:w="2048" w:type="dxa"/>
          </w:tcPr>
          <w:p w14:paraId="0E9A4FD1" w14:textId="77777777" w:rsidR="003F5311" w:rsidRPr="00EB030D" w:rsidRDefault="003F5311" w:rsidP="008671BE">
            <w:pPr>
              <w:rPr>
                <w:sz w:val="20"/>
                <w:szCs w:val="20"/>
              </w:rPr>
            </w:pPr>
            <w:r w:rsidRPr="00EB030D">
              <w:rPr>
                <w:sz w:val="20"/>
                <w:szCs w:val="20"/>
              </w:rPr>
              <w:t xml:space="preserve">Biodiversity </w:t>
            </w:r>
          </w:p>
        </w:tc>
        <w:tc>
          <w:tcPr>
            <w:tcW w:w="2049" w:type="dxa"/>
            <w:gridSpan w:val="2"/>
            <w:shd w:val="clear" w:color="auto" w:fill="D9D9D9" w:themeFill="background1" w:themeFillShade="D9"/>
          </w:tcPr>
          <w:p w14:paraId="50F4AC30" w14:textId="77777777" w:rsidR="003F5311" w:rsidRPr="00EB030D" w:rsidRDefault="003F5311" w:rsidP="008671BE">
            <w:pPr>
              <w:rPr>
                <w:sz w:val="20"/>
                <w:szCs w:val="20"/>
              </w:rPr>
            </w:pPr>
            <w:r w:rsidRPr="00EB030D">
              <w:rPr>
                <w:sz w:val="20"/>
                <w:szCs w:val="20"/>
              </w:rPr>
              <w:t>MTR completion date</w:t>
            </w:r>
          </w:p>
        </w:tc>
        <w:tc>
          <w:tcPr>
            <w:tcW w:w="2049" w:type="dxa"/>
          </w:tcPr>
          <w:p w14:paraId="557E8E2B" w14:textId="77777777" w:rsidR="003F5311" w:rsidRPr="00EB030D" w:rsidRDefault="003F5311" w:rsidP="008671BE">
            <w:pPr>
              <w:rPr>
                <w:sz w:val="20"/>
                <w:szCs w:val="20"/>
              </w:rPr>
            </w:pPr>
            <w:r w:rsidRPr="00EB030D">
              <w:rPr>
                <w:sz w:val="20"/>
                <w:szCs w:val="20"/>
              </w:rPr>
              <w:t>November 27, 2015</w:t>
            </w:r>
          </w:p>
        </w:tc>
      </w:tr>
      <w:tr w:rsidR="003F5311" w:rsidRPr="00EB030D" w14:paraId="6DBC4CAA" w14:textId="77777777" w:rsidTr="00A01C92">
        <w:tc>
          <w:tcPr>
            <w:tcW w:w="2376" w:type="dxa"/>
            <w:shd w:val="clear" w:color="auto" w:fill="D9D9D9" w:themeFill="background1" w:themeFillShade="D9"/>
          </w:tcPr>
          <w:p w14:paraId="52533C8F" w14:textId="77777777" w:rsidR="003F5311" w:rsidRPr="00EB030D" w:rsidRDefault="003F5311" w:rsidP="008671BE">
            <w:pPr>
              <w:rPr>
                <w:sz w:val="20"/>
                <w:szCs w:val="20"/>
              </w:rPr>
            </w:pPr>
            <w:r w:rsidRPr="00EB030D">
              <w:rPr>
                <w:sz w:val="20"/>
                <w:szCs w:val="20"/>
              </w:rPr>
              <w:t>Trust Fund</w:t>
            </w:r>
          </w:p>
        </w:tc>
        <w:tc>
          <w:tcPr>
            <w:tcW w:w="2048" w:type="dxa"/>
          </w:tcPr>
          <w:p w14:paraId="5E472AB7" w14:textId="63301957" w:rsidR="003F5311" w:rsidRPr="00EB030D" w:rsidRDefault="00EB030D" w:rsidP="008671BE">
            <w:pPr>
              <w:rPr>
                <w:sz w:val="20"/>
                <w:szCs w:val="20"/>
              </w:rPr>
            </w:pPr>
            <w:r>
              <w:rPr>
                <w:sz w:val="20"/>
                <w:szCs w:val="20"/>
              </w:rPr>
              <w:t>GEF Trust Fund</w:t>
            </w:r>
          </w:p>
        </w:tc>
        <w:tc>
          <w:tcPr>
            <w:tcW w:w="2049" w:type="dxa"/>
            <w:gridSpan w:val="2"/>
            <w:shd w:val="clear" w:color="auto" w:fill="D9D9D9" w:themeFill="background1" w:themeFillShade="D9"/>
          </w:tcPr>
          <w:p w14:paraId="6B3E967B" w14:textId="77777777" w:rsidR="003F5311" w:rsidRPr="00EB030D" w:rsidRDefault="003F5311" w:rsidP="008671BE">
            <w:pPr>
              <w:rPr>
                <w:sz w:val="20"/>
                <w:szCs w:val="20"/>
              </w:rPr>
            </w:pPr>
            <w:r w:rsidRPr="00EB030D">
              <w:rPr>
                <w:sz w:val="20"/>
                <w:szCs w:val="20"/>
              </w:rPr>
              <w:t>If revised, proposed op. closing date:</w:t>
            </w:r>
          </w:p>
        </w:tc>
        <w:tc>
          <w:tcPr>
            <w:tcW w:w="2049" w:type="dxa"/>
          </w:tcPr>
          <w:p w14:paraId="5B1FCB04" w14:textId="77777777" w:rsidR="003F5311" w:rsidRPr="00EB030D" w:rsidRDefault="003F5311" w:rsidP="008671BE">
            <w:pPr>
              <w:rPr>
                <w:sz w:val="20"/>
                <w:szCs w:val="20"/>
              </w:rPr>
            </w:pPr>
            <w:r w:rsidRPr="00EB030D">
              <w:rPr>
                <w:sz w:val="20"/>
                <w:szCs w:val="20"/>
              </w:rPr>
              <w:t>June 17, 2017</w:t>
            </w:r>
          </w:p>
        </w:tc>
      </w:tr>
      <w:tr w:rsidR="003F5311" w:rsidRPr="00EB030D" w14:paraId="02E9D642" w14:textId="77777777" w:rsidTr="00A01C92">
        <w:tc>
          <w:tcPr>
            <w:tcW w:w="2376" w:type="dxa"/>
            <w:shd w:val="clear" w:color="auto" w:fill="D9D9D9" w:themeFill="background1" w:themeFillShade="D9"/>
          </w:tcPr>
          <w:p w14:paraId="6BD60B65" w14:textId="77777777" w:rsidR="003F5311" w:rsidRPr="00EB030D" w:rsidRDefault="003F5311" w:rsidP="008671BE">
            <w:pPr>
              <w:rPr>
                <w:sz w:val="20"/>
                <w:szCs w:val="20"/>
              </w:rPr>
            </w:pPr>
            <w:r w:rsidRPr="00EB030D">
              <w:rPr>
                <w:sz w:val="20"/>
                <w:szCs w:val="20"/>
              </w:rPr>
              <w:t>Executing Agency/Implementing partner</w:t>
            </w:r>
          </w:p>
        </w:tc>
        <w:tc>
          <w:tcPr>
            <w:tcW w:w="6146" w:type="dxa"/>
            <w:gridSpan w:val="4"/>
          </w:tcPr>
          <w:p w14:paraId="0D80026D" w14:textId="77777777" w:rsidR="003F5311" w:rsidRPr="00EB030D" w:rsidRDefault="003F5311" w:rsidP="008671BE">
            <w:pPr>
              <w:rPr>
                <w:sz w:val="20"/>
                <w:szCs w:val="20"/>
              </w:rPr>
            </w:pPr>
            <w:r w:rsidRPr="00EB030D">
              <w:rPr>
                <w:sz w:val="20"/>
                <w:szCs w:val="20"/>
              </w:rPr>
              <w:t>State Agency on Environment Protection and Forestry of the Government of the Kyrgyz Republic/UNDP</w:t>
            </w:r>
          </w:p>
        </w:tc>
      </w:tr>
      <w:tr w:rsidR="003F5311" w:rsidRPr="00EB030D" w14:paraId="7E1E2DE1" w14:textId="77777777" w:rsidTr="00A01C92">
        <w:tc>
          <w:tcPr>
            <w:tcW w:w="2376" w:type="dxa"/>
            <w:shd w:val="clear" w:color="auto" w:fill="D9D9D9" w:themeFill="background1" w:themeFillShade="D9"/>
          </w:tcPr>
          <w:p w14:paraId="5FCD6077" w14:textId="77777777" w:rsidR="003F5311" w:rsidRPr="00EB030D" w:rsidRDefault="003F5311" w:rsidP="008671BE">
            <w:pPr>
              <w:rPr>
                <w:sz w:val="20"/>
                <w:szCs w:val="20"/>
              </w:rPr>
            </w:pPr>
            <w:r w:rsidRPr="00EB030D">
              <w:rPr>
                <w:sz w:val="20"/>
                <w:szCs w:val="20"/>
              </w:rPr>
              <w:t>Other executing partners</w:t>
            </w:r>
          </w:p>
        </w:tc>
        <w:tc>
          <w:tcPr>
            <w:tcW w:w="6146" w:type="dxa"/>
            <w:gridSpan w:val="4"/>
          </w:tcPr>
          <w:p w14:paraId="64FAA1CD" w14:textId="77777777" w:rsidR="003F5311" w:rsidRPr="00EB030D" w:rsidRDefault="003F5311" w:rsidP="008671BE">
            <w:pPr>
              <w:rPr>
                <w:sz w:val="20"/>
                <w:szCs w:val="20"/>
              </w:rPr>
            </w:pPr>
            <w:r w:rsidRPr="00EB030D">
              <w:rPr>
                <w:sz w:val="20"/>
                <w:szCs w:val="20"/>
              </w:rPr>
              <w:t>Local governments and communities, scientific committees</w:t>
            </w:r>
            <w:proofErr w:type="gramStart"/>
            <w:r w:rsidRPr="00EB030D">
              <w:rPr>
                <w:sz w:val="20"/>
                <w:szCs w:val="20"/>
              </w:rPr>
              <w:t>,  private</w:t>
            </w:r>
            <w:proofErr w:type="gramEnd"/>
            <w:r w:rsidRPr="00EB030D">
              <w:rPr>
                <w:sz w:val="20"/>
                <w:szCs w:val="20"/>
              </w:rPr>
              <w:t xml:space="preserve"> sector and civil society</w:t>
            </w:r>
          </w:p>
        </w:tc>
      </w:tr>
      <w:tr w:rsidR="003F5311" w:rsidRPr="00EB030D" w14:paraId="2DEC1158" w14:textId="77777777" w:rsidTr="008671BE">
        <w:tc>
          <w:tcPr>
            <w:tcW w:w="2376" w:type="dxa"/>
            <w:shd w:val="clear" w:color="auto" w:fill="000000" w:themeFill="text1"/>
          </w:tcPr>
          <w:p w14:paraId="66D30CF8" w14:textId="77777777" w:rsidR="003F5311" w:rsidRPr="008671BE" w:rsidRDefault="003F5311" w:rsidP="008671BE">
            <w:pPr>
              <w:rPr>
                <w:color w:val="FFFFFF" w:themeColor="background1"/>
                <w:sz w:val="20"/>
                <w:szCs w:val="20"/>
              </w:rPr>
            </w:pPr>
            <w:r w:rsidRPr="008671BE">
              <w:rPr>
                <w:color w:val="FFFFFF" w:themeColor="background1"/>
                <w:sz w:val="20"/>
                <w:szCs w:val="20"/>
              </w:rPr>
              <w:t>Project Financing</w:t>
            </w:r>
          </w:p>
        </w:tc>
        <w:tc>
          <w:tcPr>
            <w:tcW w:w="2977" w:type="dxa"/>
            <w:gridSpan w:val="2"/>
          </w:tcPr>
          <w:p w14:paraId="49A5663A" w14:textId="77777777" w:rsidR="003F5311" w:rsidRPr="00EB030D" w:rsidRDefault="003F5311" w:rsidP="008671BE">
            <w:pPr>
              <w:rPr>
                <w:sz w:val="20"/>
                <w:szCs w:val="20"/>
              </w:rPr>
            </w:pPr>
            <w:proofErr w:type="gramStart"/>
            <w:r w:rsidRPr="00EB030D">
              <w:rPr>
                <w:sz w:val="20"/>
                <w:szCs w:val="20"/>
              </w:rPr>
              <w:t>at</w:t>
            </w:r>
            <w:proofErr w:type="gramEnd"/>
            <w:r w:rsidRPr="00EB030D">
              <w:rPr>
                <w:sz w:val="20"/>
                <w:szCs w:val="20"/>
              </w:rPr>
              <w:t xml:space="preserve"> CEO endorsement (USD)</w:t>
            </w:r>
          </w:p>
        </w:tc>
        <w:tc>
          <w:tcPr>
            <w:tcW w:w="3169" w:type="dxa"/>
            <w:gridSpan w:val="2"/>
          </w:tcPr>
          <w:p w14:paraId="694F9AA1" w14:textId="77777777" w:rsidR="003F5311" w:rsidRPr="00EB030D" w:rsidRDefault="003F5311" w:rsidP="008671BE">
            <w:pPr>
              <w:rPr>
                <w:sz w:val="20"/>
                <w:szCs w:val="20"/>
              </w:rPr>
            </w:pPr>
            <w:r w:rsidRPr="00EB030D">
              <w:rPr>
                <w:sz w:val="20"/>
                <w:szCs w:val="20"/>
              </w:rPr>
              <w:t>At MTR (USD)</w:t>
            </w:r>
          </w:p>
        </w:tc>
      </w:tr>
      <w:tr w:rsidR="003F5311" w:rsidRPr="00EB030D" w14:paraId="68E5A38F" w14:textId="77777777" w:rsidTr="00A01C92">
        <w:tc>
          <w:tcPr>
            <w:tcW w:w="2376" w:type="dxa"/>
            <w:shd w:val="clear" w:color="auto" w:fill="D9D9D9" w:themeFill="background1" w:themeFillShade="D9"/>
          </w:tcPr>
          <w:p w14:paraId="5462244D" w14:textId="77777777" w:rsidR="003F5311" w:rsidRPr="00EB030D" w:rsidRDefault="003F5311" w:rsidP="008671BE">
            <w:pPr>
              <w:rPr>
                <w:sz w:val="20"/>
                <w:szCs w:val="20"/>
              </w:rPr>
            </w:pPr>
            <w:r w:rsidRPr="00EB030D">
              <w:rPr>
                <w:sz w:val="20"/>
                <w:szCs w:val="20"/>
              </w:rPr>
              <w:t>[1] GEF Financing</w:t>
            </w:r>
          </w:p>
        </w:tc>
        <w:tc>
          <w:tcPr>
            <w:tcW w:w="2977" w:type="dxa"/>
            <w:gridSpan w:val="2"/>
            <w:vAlign w:val="center"/>
          </w:tcPr>
          <w:p w14:paraId="541774D0" w14:textId="77777777" w:rsidR="003F5311" w:rsidRPr="00EB030D" w:rsidRDefault="003F5311" w:rsidP="008671BE">
            <w:pPr>
              <w:rPr>
                <w:sz w:val="20"/>
                <w:szCs w:val="20"/>
              </w:rPr>
            </w:pPr>
            <w:r w:rsidRPr="00EB030D">
              <w:rPr>
                <w:sz w:val="20"/>
                <w:szCs w:val="20"/>
              </w:rPr>
              <w:t xml:space="preserve">$950,000 </w:t>
            </w:r>
          </w:p>
        </w:tc>
        <w:tc>
          <w:tcPr>
            <w:tcW w:w="3169" w:type="dxa"/>
            <w:gridSpan w:val="2"/>
          </w:tcPr>
          <w:p w14:paraId="22E93D69" w14:textId="77777777" w:rsidR="003F5311" w:rsidRPr="00EB030D" w:rsidRDefault="003F5311" w:rsidP="008671BE">
            <w:pPr>
              <w:rPr>
                <w:sz w:val="20"/>
                <w:szCs w:val="20"/>
              </w:rPr>
            </w:pPr>
            <w:r w:rsidRPr="00EB030D">
              <w:rPr>
                <w:sz w:val="20"/>
                <w:szCs w:val="20"/>
              </w:rPr>
              <w:t>$ 337,379.9</w:t>
            </w:r>
          </w:p>
        </w:tc>
      </w:tr>
      <w:tr w:rsidR="003F5311" w:rsidRPr="00EB030D" w14:paraId="3748B561" w14:textId="77777777" w:rsidTr="00A01C92">
        <w:tc>
          <w:tcPr>
            <w:tcW w:w="2376" w:type="dxa"/>
            <w:shd w:val="clear" w:color="auto" w:fill="D9D9D9" w:themeFill="background1" w:themeFillShade="D9"/>
          </w:tcPr>
          <w:p w14:paraId="4CC08A8D" w14:textId="77777777" w:rsidR="003F5311" w:rsidRPr="00EB030D" w:rsidRDefault="003F5311" w:rsidP="008671BE">
            <w:pPr>
              <w:rPr>
                <w:sz w:val="20"/>
                <w:szCs w:val="20"/>
              </w:rPr>
            </w:pPr>
            <w:r w:rsidRPr="00EB030D">
              <w:rPr>
                <w:sz w:val="20"/>
                <w:szCs w:val="20"/>
              </w:rPr>
              <w:t>[2] UNDP Contribution</w:t>
            </w:r>
          </w:p>
        </w:tc>
        <w:tc>
          <w:tcPr>
            <w:tcW w:w="2977" w:type="dxa"/>
            <w:gridSpan w:val="2"/>
            <w:vAlign w:val="center"/>
          </w:tcPr>
          <w:p w14:paraId="119028C1" w14:textId="77777777" w:rsidR="003F5311" w:rsidRPr="00EB030D" w:rsidRDefault="003F5311" w:rsidP="008671BE">
            <w:pPr>
              <w:rPr>
                <w:sz w:val="20"/>
                <w:szCs w:val="20"/>
              </w:rPr>
            </w:pPr>
            <w:r w:rsidRPr="00EB030D">
              <w:rPr>
                <w:sz w:val="20"/>
                <w:szCs w:val="20"/>
              </w:rPr>
              <w:t xml:space="preserve">$1,600,000 </w:t>
            </w:r>
          </w:p>
        </w:tc>
        <w:tc>
          <w:tcPr>
            <w:tcW w:w="3169" w:type="dxa"/>
            <w:gridSpan w:val="2"/>
          </w:tcPr>
          <w:p w14:paraId="62782C4F" w14:textId="77777777" w:rsidR="003F5311" w:rsidRPr="00EB030D" w:rsidRDefault="003F5311" w:rsidP="008671BE">
            <w:pPr>
              <w:rPr>
                <w:sz w:val="20"/>
                <w:szCs w:val="20"/>
              </w:rPr>
            </w:pPr>
            <w:r w:rsidRPr="00EB030D">
              <w:rPr>
                <w:sz w:val="20"/>
                <w:szCs w:val="20"/>
              </w:rPr>
              <w:t>$ 600,000</w:t>
            </w:r>
          </w:p>
        </w:tc>
      </w:tr>
      <w:tr w:rsidR="003F5311" w:rsidRPr="00EB030D" w14:paraId="547AD6C6" w14:textId="77777777" w:rsidTr="00A01C92">
        <w:tc>
          <w:tcPr>
            <w:tcW w:w="2376" w:type="dxa"/>
            <w:shd w:val="clear" w:color="auto" w:fill="D9D9D9" w:themeFill="background1" w:themeFillShade="D9"/>
          </w:tcPr>
          <w:p w14:paraId="7B632C8A" w14:textId="77777777" w:rsidR="003F5311" w:rsidRPr="00EB030D" w:rsidRDefault="003F5311" w:rsidP="008671BE">
            <w:pPr>
              <w:rPr>
                <w:sz w:val="20"/>
                <w:szCs w:val="20"/>
              </w:rPr>
            </w:pPr>
            <w:r w:rsidRPr="00EB030D">
              <w:rPr>
                <w:sz w:val="20"/>
                <w:szCs w:val="20"/>
              </w:rPr>
              <w:t>[3] Government</w:t>
            </w:r>
          </w:p>
        </w:tc>
        <w:tc>
          <w:tcPr>
            <w:tcW w:w="2977" w:type="dxa"/>
            <w:gridSpan w:val="2"/>
          </w:tcPr>
          <w:p w14:paraId="26B0B653" w14:textId="77777777" w:rsidR="003F5311" w:rsidRPr="00EB030D" w:rsidRDefault="003F5311" w:rsidP="008671BE">
            <w:pPr>
              <w:rPr>
                <w:sz w:val="20"/>
                <w:szCs w:val="20"/>
              </w:rPr>
            </w:pPr>
            <w:r w:rsidRPr="00EB030D">
              <w:rPr>
                <w:sz w:val="20"/>
                <w:szCs w:val="20"/>
              </w:rPr>
              <w:t>$ 2,866,666</w:t>
            </w:r>
          </w:p>
        </w:tc>
        <w:tc>
          <w:tcPr>
            <w:tcW w:w="3169" w:type="dxa"/>
            <w:gridSpan w:val="2"/>
          </w:tcPr>
          <w:p w14:paraId="644F624C" w14:textId="77777777" w:rsidR="003F5311" w:rsidRPr="00EB030D" w:rsidRDefault="003F5311" w:rsidP="008671BE">
            <w:pPr>
              <w:rPr>
                <w:sz w:val="20"/>
                <w:szCs w:val="20"/>
              </w:rPr>
            </w:pPr>
            <w:r w:rsidRPr="00EB030D">
              <w:rPr>
                <w:sz w:val="20"/>
                <w:szCs w:val="20"/>
              </w:rPr>
              <w:t>$ 925,000</w:t>
            </w:r>
          </w:p>
        </w:tc>
      </w:tr>
      <w:tr w:rsidR="003F5311" w:rsidRPr="00EB030D" w14:paraId="3985E657" w14:textId="77777777" w:rsidTr="00A01C92">
        <w:tc>
          <w:tcPr>
            <w:tcW w:w="2376" w:type="dxa"/>
            <w:shd w:val="clear" w:color="auto" w:fill="D9D9D9" w:themeFill="background1" w:themeFillShade="D9"/>
          </w:tcPr>
          <w:p w14:paraId="078E499E" w14:textId="77777777" w:rsidR="003F5311" w:rsidRPr="00EB030D" w:rsidRDefault="003F5311" w:rsidP="008671BE">
            <w:pPr>
              <w:rPr>
                <w:sz w:val="20"/>
                <w:szCs w:val="20"/>
              </w:rPr>
            </w:pPr>
            <w:r w:rsidRPr="00EB030D">
              <w:rPr>
                <w:sz w:val="20"/>
                <w:szCs w:val="20"/>
              </w:rPr>
              <w:t>[4] Other partners</w:t>
            </w:r>
          </w:p>
        </w:tc>
        <w:tc>
          <w:tcPr>
            <w:tcW w:w="2977" w:type="dxa"/>
            <w:gridSpan w:val="2"/>
          </w:tcPr>
          <w:p w14:paraId="78AAE426" w14:textId="77777777" w:rsidR="003F5311" w:rsidRPr="00EB030D" w:rsidRDefault="003F5311" w:rsidP="008671BE">
            <w:pPr>
              <w:rPr>
                <w:sz w:val="20"/>
                <w:szCs w:val="20"/>
              </w:rPr>
            </w:pPr>
            <w:r w:rsidRPr="00EB030D">
              <w:rPr>
                <w:sz w:val="20"/>
                <w:szCs w:val="20"/>
              </w:rPr>
              <w:t>$ 500,000</w:t>
            </w:r>
          </w:p>
        </w:tc>
        <w:tc>
          <w:tcPr>
            <w:tcW w:w="3169" w:type="dxa"/>
            <w:gridSpan w:val="2"/>
          </w:tcPr>
          <w:p w14:paraId="4EFF7705" w14:textId="77777777" w:rsidR="003F5311" w:rsidRPr="00EB030D" w:rsidRDefault="003F5311" w:rsidP="008671BE">
            <w:pPr>
              <w:rPr>
                <w:sz w:val="20"/>
                <w:szCs w:val="20"/>
              </w:rPr>
            </w:pPr>
            <w:r w:rsidRPr="00EB030D">
              <w:rPr>
                <w:sz w:val="20"/>
                <w:szCs w:val="20"/>
              </w:rPr>
              <w:t>$ 10,000</w:t>
            </w:r>
          </w:p>
        </w:tc>
      </w:tr>
      <w:tr w:rsidR="003F5311" w:rsidRPr="00EB030D" w14:paraId="346D0EF0" w14:textId="77777777" w:rsidTr="00A01C92">
        <w:tc>
          <w:tcPr>
            <w:tcW w:w="2376" w:type="dxa"/>
            <w:shd w:val="clear" w:color="auto" w:fill="D9D9D9" w:themeFill="background1" w:themeFillShade="D9"/>
          </w:tcPr>
          <w:p w14:paraId="60E2642E" w14:textId="77777777" w:rsidR="003F5311" w:rsidRPr="00EB030D" w:rsidRDefault="003F5311" w:rsidP="008671BE">
            <w:pPr>
              <w:rPr>
                <w:sz w:val="20"/>
                <w:szCs w:val="20"/>
              </w:rPr>
            </w:pPr>
            <w:r w:rsidRPr="00EB030D">
              <w:rPr>
                <w:sz w:val="20"/>
                <w:szCs w:val="20"/>
              </w:rPr>
              <w:t xml:space="preserve">[5] Total </w:t>
            </w:r>
            <w:proofErr w:type="spellStart"/>
            <w:r w:rsidRPr="00EB030D">
              <w:rPr>
                <w:sz w:val="20"/>
                <w:szCs w:val="20"/>
              </w:rPr>
              <w:t>cofinancing</w:t>
            </w:r>
            <w:proofErr w:type="spellEnd"/>
          </w:p>
        </w:tc>
        <w:tc>
          <w:tcPr>
            <w:tcW w:w="2977" w:type="dxa"/>
            <w:gridSpan w:val="2"/>
          </w:tcPr>
          <w:p w14:paraId="682A2AF9" w14:textId="77777777" w:rsidR="003F5311" w:rsidRPr="00EB030D" w:rsidRDefault="003F5311" w:rsidP="008671BE">
            <w:pPr>
              <w:rPr>
                <w:sz w:val="20"/>
                <w:szCs w:val="20"/>
              </w:rPr>
            </w:pPr>
            <w:r w:rsidRPr="00EB030D">
              <w:rPr>
                <w:sz w:val="20"/>
                <w:szCs w:val="20"/>
              </w:rPr>
              <w:t>$ 4,966,666</w:t>
            </w:r>
          </w:p>
        </w:tc>
        <w:tc>
          <w:tcPr>
            <w:tcW w:w="3169" w:type="dxa"/>
            <w:gridSpan w:val="2"/>
          </w:tcPr>
          <w:p w14:paraId="34BF92BC" w14:textId="77777777" w:rsidR="003F5311" w:rsidRPr="00EB030D" w:rsidRDefault="003F5311" w:rsidP="008671BE">
            <w:pPr>
              <w:rPr>
                <w:sz w:val="20"/>
                <w:szCs w:val="20"/>
              </w:rPr>
            </w:pPr>
            <w:r w:rsidRPr="00EB030D">
              <w:rPr>
                <w:sz w:val="20"/>
                <w:szCs w:val="20"/>
              </w:rPr>
              <w:t>$ 1,535,000</w:t>
            </w:r>
          </w:p>
        </w:tc>
      </w:tr>
      <w:tr w:rsidR="003F5311" w:rsidRPr="00A01C92" w14:paraId="42AF1A5E" w14:textId="77777777" w:rsidTr="00A01C92">
        <w:tc>
          <w:tcPr>
            <w:tcW w:w="2376" w:type="dxa"/>
            <w:shd w:val="clear" w:color="auto" w:fill="D9D9D9" w:themeFill="background1" w:themeFillShade="D9"/>
          </w:tcPr>
          <w:p w14:paraId="56E2E274" w14:textId="77777777" w:rsidR="003F5311" w:rsidRPr="00A01C92" w:rsidRDefault="003F5311" w:rsidP="008671BE">
            <w:pPr>
              <w:rPr>
                <w:b/>
                <w:sz w:val="20"/>
                <w:szCs w:val="20"/>
              </w:rPr>
            </w:pPr>
            <w:r w:rsidRPr="00A01C92">
              <w:rPr>
                <w:b/>
                <w:sz w:val="20"/>
                <w:szCs w:val="20"/>
              </w:rPr>
              <w:t>PROJECT TOTAL COSTS</w:t>
            </w:r>
          </w:p>
        </w:tc>
        <w:tc>
          <w:tcPr>
            <w:tcW w:w="2977" w:type="dxa"/>
            <w:gridSpan w:val="2"/>
          </w:tcPr>
          <w:p w14:paraId="5916711A" w14:textId="77777777" w:rsidR="003F5311" w:rsidRPr="00A01C92" w:rsidRDefault="003F5311" w:rsidP="008671BE">
            <w:pPr>
              <w:rPr>
                <w:b/>
                <w:sz w:val="20"/>
                <w:szCs w:val="20"/>
              </w:rPr>
            </w:pPr>
            <w:r w:rsidRPr="00A01C92">
              <w:rPr>
                <w:b/>
                <w:sz w:val="20"/>
                <w:szCs w:val="20"/>
              </w:rPr>
              <w:t>$ 5,916,666</w:t>
            </w:r>
          </w:p>
        </w:tc>
        <w:tc>
          <w:tcPr>
            <w:tcW w:w="3169" w:type="dxa"/>
            <w:gridSpan w:val="2"/>
          </w:tcPr>
          <w:p w14:paraId="4CFDE10A" w14:textId="77777777" w:rsidR="003F5311" w:rsidRPr="00A01C92" w:rsidRDefault="003F5311" w:rsidP="008671BE">
            <w:pPr>
              <w:rPr>
                <w:b/>
                <w:sz w:val="20"/>
                <w:szCs w:val="20"/>
              </w:rPr>
            </w:pPr>
            <w:r w:rsidRPr="00A01C92">
              <w:rPr>
                <w:b/>
                <w:sz w:val="20"/>
                <w:szCs w:val="20"/>
              </w:rPr>
              <w:t>$ 1,872,379.9</w:t>
            </w:r>
          </w:p>
        </w:tc>
      </w:tr>
    </w:tbl>
    <w:p w14:paraId="55347F14" w14:textId="77777777" w:rsidR="00E4257F" w:rsidRPr="00516656" w:rsidRDefault="00E4257F" w:rsidP="00E4257F"/>
    <w:p w14:paraId="59FBF356" w14:textId="207E3218" w:rsidR="00E4257F" w:rsidRPr="00516656" w:rsidRDefault="00E4257F" w:rsidP="00E4257F">
      <w:pPr>
        <w:pStyle w:val="Heading2"/>
        <w:numPr>
          <w:ilvl w:val="0"/>
          <w:numId w:val="0"/>
        </w:numPr>
      </w:pPr>
      <w:bookmarkStart w:id="4" w:name="_Toc311452856"/>
      <w:r w:rsidRPr="00516656">
        <w:t>Project Description</w:t>
      </w:r>
      <w:bookmarkEnd w:id="4"/>
    </w:p>
    <w:p w14:paraId="4C95CD17" w14:textId="77777777" w:rsidR="00C17E31" w:rsidRPr="00906EC4" w:rsidRDefault="00C17E31" w:rsidP="00C17E31">
      <w:pPr>
        <w:jc w:val="both"/>
        <w:rPr>
          <w:sz w:val="22"/>
          <w:szCs w:val="22"/>
        </w:rPr>
      </w:pPr>
      <w:r w:rsidRPr="00906EC4">
        <w:rPr>
          <w:sz w:val="22"/>
          <w:szCs w:val="22"/>
        </w:rPr>
        <w:t xml:space="preserve">The long-term solution is described as being the need to take a more strategic and landscape-based approach to protected area expansion and management in the </w:t>
      </w:r>
      <w:proofErr w:type="spellStart"/>
      <w:r w:rsidRPr="00906EC4">
        <w:rPr>
          <w:sz w:val="22"/>
          <w:szCs w:val="22"/>
        </w:rPr>
        <w:t>Tian</w:t>
      </w:r>
      <w:proofErr w:type="spellEnd"/>
      <w:r w:rsidRPr="00906EC4">
        <w:rPr>
          <w:sz w:val="22"/>
          <w:szCs w:val="22"/>
        </w:rPr>
        <w:t xml:space="preserve"> Shan Mountains, with a higher proportion of the areas critical to globally threatened species are brought under effective protection through strict conservation areas, buffer areas and corridors.  Building capacity within key institutions and communities is also identified as being important.</w:t>
      </w:r>
    </w:p>
    <w:p w14:paraId="29E9D77B" w14:textId="77777777" w:rsidR="00C17E31" w:rsidRPr="00906EC4" w:rsidRDefault="00C17E31" w:rsidP="00C17E31">
      <w:pPr>
        <w:jc w:val="both"/>
        <w:rPr>
          <w:sz w:val="22"/>
          <w:szCs w:val="22"/>
        </w:rPr>
      </w:pPr>
      <w:r w:rsidRPr="00906EC4">
        <w:rPr>
          <w:sz w:val="22"/>
          <w:szCs w:val="22"/>
        </w:rPr>
        <w:t xml:space="preserve">The project aims to contribute to this long-term goal through achievement of its objective: “To improve the coverage and effectiveness of protected areas in the Central </w:t>
      </w:r>
      <w:proofErr w:type="spellStart"/>
      <w:r w:rsidRPr="00906EC4">
        <w:rPr>
          <w:sz w:val="22"/>
          <w:szCs w:val="22"/>
        </w:rPr>
        <w:t>Tian</w:t>
      </w:r>
      <w:proofErr w:type="spellEnd"/>
      <w:r w:rsidRPr="00906EC4">
        <w:rPr>
          <w:sz w:val="22"/>
          <w:szCs w:val="22"/>
        </w:rPr>
        <w:t xml:space="preserve"> Shan Mountains so as to expand threatened species representation in the national system.”  In functional terms, this objective is to be achieved through the achievement, in turn, of the following outcomes: Outcome 1: Threatened species representation is improved by increasing coverage and management effectiveness of PAs in the Central </w:t>
      </w:r>
      <w:proofErr w:type="spellStart"/>
      <w:r w:rsidRPr="00906EC4">
        <w:rPr>
          <w:sz w:val="22"/>
          <w:szCs w:val="22"/>
        </w:rPr>
        <w:t>Tian</w:t>
      </w:r>
      <w:proofErr w:type="spellEnd"/>
      <w:r w:rsidRPr="00906EC4">
        <w:rPr>
          <w:sz w:val="22"/>
          <w:szCs w:val="22"/>
        </w:rPr>
        <w:t xml:space="preserve"> Shan and Outcome 2: Habitat connectivity, sustainability, and effectiveness of PAs in the Central </w:t>
      </w:r>
      <w:proofErr w:type="spellStart"/>
      <w:r w:rsidRPr="00906EC4">
        <w:rPr>
          <w:sz w:val="22"/>
          <w:szCs w:val="22"/>
        </w:rPr>
        <w:t>Tian</w:t>
      </w:r>
      <w:proofErr w:type="spellEnd"/>
      <w:r w:rsidRPr="00906EC4">
        <w:rPr>
          <w:sz w:val="22"/>
          <w:szCs w:val="22"/>
        </w:rPr>
        <w:t xml:space="preserve"> Shan are enhanced by regulating land use in buffer zones, wildlife corridors and other intervening landscapes. These outcomes have a total of ten outputs.</w:t>
      </w:r>
    </w:p>
    <w:p w14:paraId="1175128F" w14:textId="245477D8" w:rsidR="00C17E31" w:rsidRPr="00906EC4" w:rsidRDefault="00C17E31" w:rsidP="00E4257F">
      <w:pPr>
        <w:jc w:val="both"/>
        <w:rPr>
          <w:sz w:val="22"/>
          <w:szCs w:val="22"/>
        </w:rPr>
      </w:pPr>
      <w:r w:rsidRPr="00906EC4">
        <w:rPr>
          <w:sz w:val="22"/>
          <w:szCs w:val="22"/>
        </w:rPr>
        <w:t xml:space="preserve">The project, then, is ambitious in a number of ways: </w:t>
      </w:r>
      <w:proofErr w:type="spellStart"/>
      <w:r w:rsidRPr="00906EC4">
        <w:rPr>
          <w:sz w:val="22"/>
          <w:szCs w:val="22"/>
        </w:rPr>
        <w:t>i</w:t>
      </w:r>
      <w:proofErr w:type="spellEnd"/>
      <w:r w:rsidRPr="00906EC4">
        <w:rPr>
          <w:sz w:val="22"/>
          <w:szCs w:val="22"/>
        </w:rPr>
        <w:t>) it proposes to amend laws and establish a new protected area at the national level – both of which will require high level governmental approvals, ii) work with local authorities at the provincial and district levels to mainstream biodiversity conservation into the land use plans – especially within the identified protected area buffer zones and within the corridors between the protected areas – and implement measure to enforce regulations, and iii) develop and implement an alternative livelihood program among local communities.  Finally, the project proposes to do all this in a four-year period and with a budget of less than USD one million!</w:t>
      </w:r>
    </w:p>
    <w:p w14:paraId="4A93B805" w14:textId="3A1BAB5D" w:rsidR="00EF65E8" w:rsidRPr="00516656" w:rsidRDefault="00EF65E8" w:rsidP="00EF65E8">
      <w:pPr>
        <w:pStyle w:val="Heading2"/>
        <w:numPr>
          <w:ilvl w:val="0"/>
          <w:numId w:val="0"/>
        </w:numPr>
      </w:pPr>
      <w:bookmarkStart w:id="5" w:name="_Toc311452857"/>
      <w:r w:rsidRPr="00516656">
        <w:t>Pro</w:t>
      </w:r>
      <w:r>
        <w:t>gress towards Results</w:t>
      </w:r>
      <w:bookmarkEnd w:id="5"/>
    </w:p>
    <w:p w14:paraId="44905531" w14:textId="77777777" w:rsidR="001D5172" w:rsidRPr="00BD1E2F" w:rsidRDefault="001D5172" w:rsidP="001D5172">
      <w:pPr>
        <w:jc w:val="both"/>
        <w:rPr>
          <w:sz w:val="22"/>
          <w:szCs w:val="22"/>
        </w:rPr>
      </w:pPr>
      <w:r w:rsidRPr="00BD1E2F">
        <w:rPr>
          <w:sz w:val="22"/>
          <w:szCs w:val="22"/>
        </w:rPr>
        <w:t xml:space="preserve">The project </w:t>
      </w:r>
      <w:r>
        <w:rPr>
          <w:sz w:val="22"/>
          <w:szCs w:val="22"/>
        </w:rPr>
        <w:t>keeping a sharp focus on its principal output</w:t>
      </w:r>
      <w:proofErr w:type="gramStart"/>
      <w:r>
        <w:rPr>
          <w:sz w:val="22"/>
          <w:szCs w:val="22"/>
        </w:rPr>
        <w:t>;</w:t>
      </w:r>
      <w:proofErr w:type="gramEnd"/>
      <w:r>
        <w:rPr>
          <w:sz w:val="22"/>
          <w:szCs w:val="22"/>
        </w:rPr>
        <w:t xml:space="preserve"> this will </w:t>
      </w:r>
      <w:r w:rsidRPr="00BD1E2F">
        <w:rPr>
          <w:sz w:val="22"/>
          <w:szCs w:val="22"/>
        </w:rPr>
        <w:t xml:space="preserve">be the establishment of Khan </w:t>
      </w:r>
      <w:proofErr w:type="spellStart"/>
      <w:r w:rsidRPr="00BD1E2F">
        <w:rPr>
          <w:sz w:val="22"/>
          <w:szCs w:val="22"/>
        </w:rPr>
        <w:t>Tengri</w:t>
      </w:r>
      <w:proofErr w:type="spellEnd"/>
      <w:r w:rsidRPr="00BD1E2F">
        <w:rPr>
          <w:sz w:val="22"/>
          <w:szCs w:val="22"/>
        </w:rPr>
        <w:t xml:space="preserve"> National Park (KTNP</w:t>
      </w:r>
      <w:r>
        <w:rPr>
          <w:sz w:val="22"/>
          <w:szCs w:val="22"/>
        </w:rPr>
        <w:t xml:space="preserve">; </w:t>
      </w:r>
      <w:r w:rsidRPr="00471342">
        <w:rPr>
          <w:i/>
          <w:sz w:val="22"/>
          <w:szCs w:val="22"/>
        </w:rPr>
        <w:t>Output 1.1</w:t>
      </w:r>
      <w:r w:rsidRPr="00BD1E2F">
        <w:rPr>
          <w:sz w:val="22"/>
          <w:szCs w:val="22"/>
        </w:rPr>
        <w:t>).  The project is following the proscribed steps to establish the park in a thorough way.</w:t>
      </w:r>
    </w:p>
    <w:p w14:paraId="7021079F" w14:textId="1F5CA624" w:rsidR="001D5172" w:rsidRPr="00BD1E2F" w:rsidRDefault="001D5172" w:rsidP="001D5172">
      <w:pPr>
        <w:jc w:val="both"/>
        <w:rPr>
          <w:sz w:val="22"/>
          <w:szCs w:val="22"/>
        </w:rPr>
      </w:pPr>
      <w:r w:rsidRPr="00BD1E2F">
        <w:rPr>
          <w:sz w:val="22"/>
          <w:szCs w:val="22"/>
        </w:rPr>
        <w:t xml:space="preserve">Building on the WWF </w:t>
      </w:r>
      <w:proofErr w:type="spellStart"/>
      <w:r w:rsidRPr="00BD1E2F">
        <w:rPr>
          <w:sz w:val="22"/>
          <w:szCs w:val="22"/>
        </w:rPr>
        <w:t>Econet</w:t>
      </w:r>
      <w:proofErr w:type="spellEnd"/>
      <w:r w:rsidRPr="00BD1E2F">
        <w:rPr>
          <w:sz w:val="22"/>
          <w:szCs w:val="22"/>
        </w:rPr>
        <w:t xml:space="preserve"> analysis (which proposed a new protected area of 187,785ha), desk based</w:t>
      </w:r>
      <w:r>
        <w:rPr>
          <w:sz w:val="22"/>
          <w:szCs w:val="22"/>
        </w:rPr>
        <w:t xml:space="preserve"> analysis,</w:t>
      </w:r>
      <w:r w:rsidRPr="00BD1E2F">
        <w:rPr>
          <w:sz w:val="22"/>
          <w:szCs w:val="22"/>
        </w:rPr>
        <w:t xml:space="preserve"> and field surveys and analysis </w:t>
      </w:r>
      <w:r>
        <w:rPr>
          <w:sz w:val="22"/>
          <w:szCs w:val="22"/>
        </w:rPr>
        <w:t xml:space="preserve">were carried out </w:t>
      </w:r>
      <w:r w:rsidRPr="00BD1E2F">
        <w:rPr>
          <w:sz w:val="22"/>
          <w:szCs w:val="22"/>
        </w:rPr>
        <w:t>to determine the optimal boundaries and size of the park.  The resulting proposal was an area of some 325,000ha.  The work was combined into a feasibility study (carried out by the staff of the SAEPF) for the proposed national park</w:t>
      </w:r>
      <w:r w:rsidR="007E16F4">
        <w:rPr>
          <w:sz w:val="22"/>
          <w:szCs w:val="22"/>
        </w:rPr>
        <w:t xml:space="preserve"> (of 325,000 ha), the surrounding areas (of approximately 180,000ha) and the park’s</w:t>
      </w:r>
      <w:r w:rsidRPr="00BD1E2F">
        <w:rPr>
          <w:sz w:val="22"/>
          <w:szCs w:val="22"/>
        </w:rPr>
        <w:t xml:space="preserve"> linkages – specifically to the </w:t>
      </w:r>
      <w:proofErr w:type="spellStart"/>
      <w:r w:rsidRPr="00BD1E2F">
        <w:rPr>
          <w:sz w:val="22"/>
          <w:szCs w:val="22"/>
        </w:rPr>
        <w:t>Sarychat</w:t>
      </w:r>
      <w:proofErr w:type="spellEnd"/>
      <w:r w:rsidRPr="00BD1E2F">
        <w:rPr>
          <w:sz w:val="22"/>
          <w:szCs w:val="22"/>
        </w:rPr>
        <w:t xml:space="preserve"> </w:t>
      </w:r>
      <w:proofErr w:type="spellStart"/>
      <w:r w:rsidRPr="00BD1E2F">
        <w:rPr>
          <w:sz w:val="22"/>
          <w:szCs w:val="22"/>
        </w:rPr>
        <w:t>Ertash</w:t>
      </w:r>
      <w:proofErr w:type="spellEnd"/>
      <w:r w:rsidRPr="00BD1E2F">
        <w:rPr>
          <w:sz w:val="22"/>
          <w:szCs w:val="22"/>
        </w:rPr>
        <w:t xml:space="preserve"> </w:t>
      </w:r>
      <w:proofErr w:type="spellStart"/>
      <w:r w:rsidRPr="00BD1E2F">
        <w:rPr>
          <w:i/>
          <w:sz w:val="22"/>
          <w:szCs w:val="22"/>
        </w:rPr>
        <w:t>zapovednik</w:t>
      </w:r>
      <w:proofErr w:type="spellEnd"/>
      <w:r w:rsidRPr="00BD1E2F">
        <w:rPr>
          <w:sz w:val="22"/>
          <w:szCs w:val="22"/>
        </w:rPr>
        <w:t xml:space="preserve"> – by corridors</w:t>
      </w:r>
      <w:r w:rsidR="007E16F4">
        <w:rPr>
          <w:sz w:val="22"/>
          <w:szCs w:val="22"/>
        </w:rPr>
        <w:t xml:space="preserve"> (of approximately 71,000ha)</w:t>
      </w:r>
      <w:r w:rsidR="007E16F4">
        <w:rPr>
          <w:rStyle w:val="FootnoteReference"/>
          <w:sz w:val="22"/>
          <w:szCs w:val="22"/>
        </w:rPr>
        <w:footnoteReference w:id="1"/>
      </w:r>
      <w:r w:rsidRPr="00BD1E2F">
        <w:rPr>
          <w:sz w:val="22"/>
          <w:szCs w:val="22"/>
        </w:rPr>
        <w:t>.</w:t>
      </w:r>
      <w:r>
        <w:rPr>
          <w:sz w:val="22"/>
          <w:szCs w:val="22"/>
        </w:rPr>
        <w:t xml:space="preserve">  Next, the project determined whether there were any conflicting land claims by </w:t>
      </w:r>
      <w:r w:rsidRPr="00BD1E2F">
        <w:rPr>
          <w:sz w:val="22"/>
          <w:szCs w:val="22"/>
        </w:rPr>
        <w:t>consult</w:t>
      </w:r>
      <w:r>
        <w:rPr>
          <w:sz w:val="22"/>
          <w:szCs w:val="22"/>
        </w:rPr>
        <w:t>ing various key ministries</w:t>
      </w:r>
      <w:r w:rsidRPr="00BD1E2F">
        <w:rPr>
          <w:sz w:val="22"/>
          <w:szCs w:val="22"/>
        </w:rPr>
        <w:t>.</w:t>
      </w:r>
      <w:r>
        <w:rPr>
          <w:sz w:val="22"/>
          <w:szCs w:val="22"/>
        </w:rPr>
        <w:t xml:space="preserve"> A number of </w:t>
      </w:r>
      <w:r w:rsidRPr="00BD1E2F">
        <w:rPr>
          <w:sz w:val="22"/>
          <w:szCs w:val="22"/>
        </w:rPr>
        <w:t xml:space="preserve">concessions </w:t>
      </w:r>
      <w:r>
        <w:rPr>
          <w:sz w:val="22"/>
          <w:szCs w:val="22"/>
        </w:rPr>
        <w:t>were made and the finally proposed park was 300,000ha</w:t>
      </w:r>
      <w:r w:rsidRPr="00BD1E2F">
        <w:rPr>
          <w:sz w:val="22"/>
          <w:szCs w:val="22"/>
        </w:rPr>
        <w:t>.</w:t>
      </w:r>
      <w:r>
        <w:rPr>
          <w:sz w:val="22"/>
          <w:szCs w:val="22"/>
        </w:rPr>
        <w:t xml:space="preserve">  Support and agreement for the park was built, </w:t>
      </w:r>
      <w:r w:rsidRPr="00BD1E2F">
        <w:rPr>
          <w:sz w:val="22"/>
          <w:szCs w:val="22"/>
        </w:rPr>
        <w:t xml:space="preserve">including </w:t>
      </w:r>
      <w:r>
        <w:rPr>
          <w:sz w:val="22"/>
          <w:szCs w:val="22"/>
        </w:rPr>
        <w:t xml:space="preserve">from: </w:t>
      </w:r>
      <w:r w:rsidRPr="00BD1E2F">
        <w:rPr>
          <w:sz w:val="22"/>
          <w:szCs w:val="22"/>
        </w:rPr>
        <w:t>the deputies at the local level, the local self-governing bodies (</w:t>
      </w:r>
      <w:proofErr w:type="spellStart"/>
      <w:r w:rsidRPr="00BD1E2F">
        <w:rPr>
          <w:i/>
          <w:sz w:val="22"/>
          <w:szCs w:val="22"/>
        </w:rPr>
        <w:t>aiyl</w:t>
      </w:r>
      <w:proofErr w:type="spellEnd"/>
      <w:r w:rsidRPr="00BD1E2F">
        <w:rPr>
          <w:i/>
          <w:sz w:val="22"/>
          <w:szCs w:val="22"/>
        </w:rPr>
        <w:t xml:space="preserve"> </w:t>
      </w:r>
      <w:proofErr w:type="spellStart"/>
      <w:r w:rsidRPr="00BD1E2F">
        <w:rPr>
          <w:i/>
          <w:sz w:val="22"/>
          <w:szCs w:val="22"/>
        </w:rPr>
        <w:t>okmotu</w:t>
      </w:r>
      <w:proofErr w:type="spellEnd"/>
      <w:r w:rsidRPr="00BD1E2F">
        <w:rPr>
          <w:sz w:val="22"/>
          <w:szCs w:val="22"/>
        </w:rPr>
        <w:t xml:space="preserve">), the rayon authorities, the oblast level authorities, the </w:t>
      </w:r>
      <w:proofErr w:type="spellStart"/>
      <w:r w:rsidRPr="00BD1E2F">
        <w:rPr>
          <w:sz w:val="22"/>
          <w:szCs w:val="22"/>
        </w:rPr>
        <w:t>Issyl</w:t>
      </w:r>
      <w:proofErr w:type="spellEnd"/>
      <w:r w:rsidRPr="00BD1E2F">
        <w:rPr>
          <w:sz w:val="22"/>
          <w:szCs w:val="22"/>
        </w:rPr>
        <w:t xml:space="preserve"> </w:t>
      </w:r>
      <w:proofErr w:type="spellStart"/>
      <w:r w:rsidRPr="00BD1E2F">
        <w:rPr>
          <w:sz w:val="22"/>
          <w:szCs w:val="22"/>
        </w:rPr>
        <w:t>Kul</w:t>
      </w:r>
      <w:proofErr w:type="spellEnd"/>
      <w:r w:rsidRPr="00BD1E2F">
        <w:rPr>
          <w:sz w:val="22"/>
          <w:szCs w:val="22"/>
        </w:rPr>
        <w:t xml:space="preserve"> Biosphere Territory and the SAEPF.  As a result of this work, six of the </w:t>
      </w:r>
      <w:proofErr w:type="gramStart"/>
      <w:r w:rsidRPr="00BD1E2F">
        <w:rPr>
          <w:sz w:val="22"/>
          <w:szCs w:val="22"/>
        </w:rPr>
        <w:t xml:space="preserve">seven </w:t>
      </w:r>
      <w:proofErr w:type="spellStart"/>
      <w:r w:rsidRPr="00BD1E2F">
        <w:rPr>
          <w:i/>
          <w:sz w:val="22"/>
          <w:szCs w:val="22"/>
        </w:rPr>
        <w:t>aiyl</w:t>
      </w:r>
      <w:proofErr w:type="spellEnd"/>
      <w:proofErr w:type="gramEnd"/>
      <w:r w:rsidRPr="00BD1E2F">
        <w:rPr>
          <w:i/>
          <w:sz w:val="22"/>
          <w:szCs w:val="22"/>
        </w:rPr>
        <w:t xml:space="preserve"> </w:t>
      </w:r>
      <w:proofErr w:type="spellStart"/>
      <w:r w:rsidRPr="00BD1E2F">
        <w:rPr>
          <w:i/>
          <w:sz w:val="22"/>
          <w:szCs w:val="22"/>
        </w:rPr>
        <w:t>okmotu</w:t>
      </w:r>
      <w:proofErr w:type="spellEnd"/>
      <w:r w:rsidRPr="00BD1E2F">
        <w:rPr>
          <w:sz w:val="22"/>
          <w:szCs w:val="22"/>
        </w:rPr>
        <w:t xml:space="preserve"> have signed their endorsement to the establishment of the park and all the other bodies are supportive.</w:t>
      </w:r>
    </w:p>
    <w:p w14:paraId="3E2E6243" w14:textId="77777777" w:rsidR="001D5172" w:rsidRPr="00BD1E2F" w:rsidRDefault="001D5172" w:rsidP="001D5172">
      <w:pPr>
        <w:jc w:val="both"/>
        <w:rPr>
          <w:sz w:val="22"/>
          <w:szCs w:val="22"/>
        </w:rPr>
      </w:pPr>
      <w:r>
        <w:rPr>
          <w:sz w:val="22"/>
          <w:szCs w:val="22"/>
        </w:rPr>
        <w:t>O</w:t>
      </w:r>
      <w:r w:rsidRPr="00BD1E2F">
        <w:rPr>
          <w:sz w:val="22"/>
          <w:szCs w:val="22"/>
        </w:rPr>
        <w:t xml:space="preserve">ne </w:t>
      </w:r>
      <w:proofErr w:type="spellStart"/>
      <w:r w:rsidRPr="00BD1E2F">
        <w:rPr>
          <w:i/>
          <w:sz w:val="22"/>
          <w:szCs w:val="22"/>
        </w:rPr>
        <w:t>aiyl</w:t>
      </w:r>
      <w:proofErr w:type="spellEnd"/>
      <w:r w:rsidRPr="00BD1E2F">
        <w:rPr>
          <w:i/>
          <w:sz w:val="22"/>
          <w:szCs w:val="22"/>
        </w:rPr>
        <w:t xml:space="preserve"> </w:t>
      </w:r>
      <w:proofErr w:type="spellStart"/>
      <w:r w:rsidRPr="00BD1E2F">
        <w:rPr>
          <w:i/>
          <w:sz w:val="22"/>
          <w:szCs w:val="22"/>
        </w:rPr>
        <w:t>okmotu</w:t>
      </w:r>
      <w:proofErr w:type="spellEnd"/>
      <w:r w:rsidRPr="00BD1E2F">
        <w:rPr>
          <w:sz w:val="22"/>
          <w:szCs w:val="22"/>
        </w:rPr>
        <w:t xml:space="preserve"> has yet to endorse the establishment of the park.</w:t>
      </w:r>
      <w:r>
        <w:rPr>
          <w:sz w:val="22"/>
          <w:szCs w:val="22"/>
        </w:rPr>
        <w:t xml:space="preserve">  This promoted the </w:t>
      </w:r>
      <w:r w:rsidRPr="00BD1E2F">
        <w:rPr>
          <w:sz w:val="22"/>
          <w:szCs w:val="22"/>
        </w:rPr>
        <w:t xml:space="preserve">project </w:t>
      </w:r>
      <w:r>
        <w:rPr>
          <w:sz w:val="22"/>
          <w:szCs w:val="22"/>
        </w:rPr>
        <w:t xml:space="preserve">to </w:t>
      </w:r>
      <w:r w:rsidRPr="00BD1E2F">
        <w:rPr>
          <w:sz w:val="22"/>
          <w:szCs w:val="22"/>
        </w:rPr>
        <w:t>carr</w:t>
      </w:r>
      <w:r>
        <w:rPr>
          <w:sz w:val="22"/>
          <w:szCs w:val="22"/>
        </w:rPr>
        <w:t>y</w:t>
      </w:r>
      <w:r w:rsidRPr="00BD1E2F">
        <w:rPr>
          <w:sz w:val="22"/>
          <w:szCs w:val="22"/>
        </w:rPr>
        <w:t xml:space="preserve"> out a </w:t>
      </w:r>
      <w:r>
        <w:rPr>
          <w:sz w:val="22"/>
          <w:szCs w:val="22"/>
        </w:rPr>
        <w:t xml:space="preserve">sample </w:t>
      </w:r>
      <w:r w:rsidRPr="00BD1E2F">
        <w:rPr>
          <w:sz w:val="22"/>
          <w:szCs w:val="22"/>
        </w:rPr>
        <w:t xml:space="preserve">survey </w:t>
      </w:r>
      <w:r>
        <w:rPr>
          <w:sz w:val="22"/>
          <w:szCs w:val="22"/>
        </w:rPr>
        <w:t>(</w:t>
      </w:r>
      <w:r w:rsidRPr="00BD19D7">
        <w:rPr>
          <w:i/>
          <w:sz w:val="22"/>
          <w:szCs w:val="22"/>
        </w:rPr>
        <w:t>n</w:t>
      </w:r>
      <w:r>
        <w:rPr>
          <w:sz w:val="22"/>
          <w:szCs w:val="22"/>
        </w:rPr>
        <w:t xml:space="preserve"> = </w:t>
      </w:r>
      <w:r w:rsidRPr="00BD1E2F">
        <w:rPr>
          <w:sz w:val="22"/>
          <w:szCs w:val="22"/>
        </w:rPr>
        <w:t>1,383 households</w:t>
      </w:r>
      <w:r>
        <w:rPr>
          <w:sz w:val="22"/>
          <w:szCs w:val="22"/>
        </w:rPr>
        <w:t>)</w:t>
      </w:r>
      <w:r w:rsidRPr="00BD19D7">
        <w:rPr>
          <w:sz w:val="22"/>
          <w:szCs w:val="22"/>
        </w:rPr>
        <w:t xml:space="preserve"> to</w:t>
      </w:r>
      <w:r w:rsidRPr="00BD1E2F">
        <w:rPr>
          <w:sz w:val="22"/>
          <w:szCs w:val="22"/>
        </w:rPr>
        <w:t xml:space="preserve"> determine the attitudes to the establishment of the park</w:t>
      </w:r>
      <w:r>
        <w:rPr>
          <w:sz w:val="22"/>
          <w:szCs w:val="22"/>
        </w:rPr>
        <w:t xml:space="preserve"> and t</w:t>
      </w:r>
      <w:r w:rsidRPr="00BD1E2F">
        <w:rPr>
          <w:sz w:val="22"/>
          <w:szCs w:val="22"/>
        </w:rPr>
        <w:t>he results demonstrated that 75% of the people support the establishment of the park, 17% of the people are against the establishment of the park and 8% of the people surveyed abstained.</w:t>
      </w:r>
      <w:r>
        <w:rPr>
          <w:sz w:val="22"/>
          <w:szCs w:val="22"/>
        </w:rPr>
        <w:t xml:space="preserve">  </w:t>
      </w:r>
      <w:r w:rsidRPr="00BD1E2F">
        <w:rPr>
          <w:sz w:val="22"/>
          <w:szCs w:val="22"/>
        </w:rPr>
        <w:t xml:space="preserve">While this demonstrates that the majority of people support the establishment of the park, it does little to change the situation – that a minority of people within </w:t>
      </w:r>
      <w:proofErr w:type="spellStart"/>
      <w:r w:rsidRPr="00BD1E2F">
        <w:rPr>
          <w:sz w:val="22"/>
          <w:szCs w:val="22"/>
        </w:rPr>
        <w:t>Otradnoe</w:t>
      </w:r>
      <w:proofErr w:type="spellEnd"/>
      <w:r w:rsidRPr="00BD1E2F">
        <w:rPr>
          <w:sz w:val="22"/>
          <w:szCs w:val="22"/>
        </w:rPr>
        <w:t xml:space="preserve"> </w:t>
      </w:r>
      <w:proofErr w:type="spellStart"/>
      <w:r w:rsidRPr="00BD1E2F">
        <w:rPr>
          <w:i/>
          <w:sz w:val="22"/>
          <w:szCs w:val="22"/>
        </w:rPr>
        <w:t>aiyl</w:t>
      </w:r>
      <w:proofErr w:type="spellEnd"/>
      <w:r w:rsidRPr="00BD1E2F">
        <w:rPr>
          <w:i/>
          <w:sz w:val="22"/>
          <w:szCs w:val="22"/>
        </w:rPr>
        <w:t xml:space="preserve"> </w:t>
      </w:r>
      <w:proofErr w:type="spellStart"/>
      <w:r w:rsidRPr="00BD1E2F">
        <w:rPr>
          <w:i/>
          <w:sz w:val="22"/>
          <w:szCs w:val="22"/>
        </w:rPr>
        <w:t>okmotu</w:t>
      </w:r>
      <w:proofErr w:type="spellEnd"/>
      <w:r w:rsidRPr="00BD1E2F">
        <w:rPr>
          <w:sz w:val="22"/>
          <w:szCs w:val="22"/>
        </w:rPr>
        <w:t xml:space="preserve"> have the ability to stall the process.</w:t>
      </w:r>
    </w:p>
    <w:p w14:paraId="147C75CA" w14:textId="77777777" w:rsidR="001D5172" w:rsidRPr="00BD1E2F" w:rsidRDefault="001D5172" w:rsidP="001D5172">
      <w:pPr>
        <w:jc w:val="both"/>
        <w:rPr>
          <w:sz w:val="22"/>
          <w:szCs w:val="22"/>
        </w:rPr>
      </w:pPr>
      <w:r w:rsidRPr="00BD1E2F">
        <w:rPr>
          <w:sz w:val="22"/>
          <w:szCs w:val="22"/>
        </w:rPr>
        <w:t>Other mistakes were also made during the process</w:t>
      </w:r>
      <w:r>
        <w:rPr>
          <w:sz w:val="22"/>
          <w:szCs w:val="22"/>
        </w:rPr>
        <w:t xml:space="preserve"> – for example</w:t>
      </w:r>
      <w:r w:rsidRPr="00BD1E2F">
        <w:rPr>
          <w:sz w:val="22"/>
          <w:szCs w:val="22"/>
        </w:rPr>
        <w:t xml:space="preserve">: </w:t>
      </w:r>
      <w:proofErr w:type="spellStart"/>
      <w:r w:rsidRPr="00BD1E2F">
        <w:rPr>
          <w:sz w:val="22"/>
          <w:szCs w:val="22"/>
        </w:rPr>
        <w:t>i</w:t>
      </w:r>
      <w:proofErr w:type="spellEnd"/>
      <w:r w:rsidRPr="00BD1E2F">
        <w:rPr>
          <w:sz w:val="22"/>
          <w:szCs w:val="22"/>
        </w:rPr>
        <w:t>) the calculation of the area of the pastures belonging to the seven communities affected by the establishment of the park has, on more than one occasion, proved to be flawed; ii) the language that was being used was often alienating and threatening (e.g., “own” vs. “include” – when referring to the pastures of each of the communities that are propose</w:t>
      </w:r>
      <w:r>
        <w:rPr>
          <w:sz w:val="22"/>
          <w:szCs w:val="22"/>
        </w:rPr>
        <w:t>d to be included into the park).</w:t>
      </w:r>
      <w:r w:rsidRPr="00BD1E2F">
        <w:rPr>
          <w:sz w:val="22"/>
          <w:szCs w:val="22"/>
        </w:rPr>
        <w:t xml:space="preserve"> </w:t>
      </w:r>
      <w:r>
        <w:rPr>
          <w:sz w:val="22"/>
          <w:szCs w:val="22"/>
        </w:rPr>
        <w:t>T</w:t>
      </w:r>
      <w:r w:rsidRPr="00BD1E2F">
        <w:rPr>
          <w:sz w:val="22"/>
          <w:szCs w:val="22"/>
        </w:rPr>
        <w:t xml:space="preserve">hese </w:t>
      </w:r>
      <w:r>
        <w:rPr>
          <w:sz w:val="22"/>
          <w:szCs w:val="22"/>
        </w:rPr>
        <w:t xml:space="preserve">have </w:t>
      </w:r>
      <w:r w:rsidRPr="00BD1E2F">
        <w:rPr>
          <w:sz w:val="22"/>
          <w:szCs w:val="22"/>
        </w:rPr>
        <w:t>deepen</w:t>
      </w:r>
      <w:r>
        <w:rPr>
          <w:sz w:val="22"/>
          <w:szCs w:val="22"/>
        </w:rPr>
        <w:t>ed</w:t>
      </w:r>
      <w:r w:rsidRPr="00BD1E2F">
        <w:rPr>
          <w:sz w:val="22"/>
          <w:szCs w:val="22"/>
        </w:rPr>
        <w:t xml:space="preserve"> distrust – specifically of the government – among the local communities and contribute to the intransigence.</w:t>
      </w:r>
    </w:p>
    <w:p w14:paraId="05BF8ADF" w14:textId="77777777" w:rsidR="001D5172" w:rsidRPr="00BD1E2F" w:rsidRDefault="001D5172" w:rsidP="001D5172">
      <w:pPr>
        <w:jc w:val="both"/>
        <w:rPr>
          <w:sz w:val="22"/>
          <w:szCs w:val="22"/>
        </w:rPr>
      </w:pPr>
      <w:r w:rsidRPr="00BD1E2F">
        <w:rPr>
          <w:sz w:val="22"/>
          <w:szCs w:val="22"/>
        </w:rPr>
        <w:t xml:space="preserve">Finally, </w:t>
      </w:r>
      <w:r>
        <w:rPr>
          <w:sz w:val="22"/>
          <w:szCs w:val="22"/>
        </w:rPr>
        <w:t xml:space="preserve">the project has not yet carried out any </w:t>
      </w:r>
      <w:r w:rsidRPr="00BD1E2F">
        <w:rPr>
          <w:sz w:val="22"/>
          <w:szCs w:val="22"/>
        </w:rPr>
        <w:t xml:space="preserve">study tour(s) </w:t>
      </w:r>
      <w:r>
        <w:rPr>
          <w:sz w:val="22"/>
          <w:szCs w:val="22"/>
        </w:rPr>
        <w:t xml:space="preserve">(as included </w:t>
      </w:r>
      <w:r w:rsidRPr="00BD1E2F">
        <w:rPr>
          <w:sz w:val="22"/>
          <w:szCs w:val="22"/>
        </w:rPr>
        <w:t xml:space="preserve">in the </w:t>
      </w:r>
      <w:proofErr w:type="spellStart"/>
      <w:r w:rsidRPr="00BD1E2F">
        <w:rPr>
          <w:sz w:val="22"/>
          <w:szCs w:val="22"/>
        </w:rPr>
        <w:t>Prodoc</w:t>
      </w:r>
      <w:proofErr w:type="spellEnd"/>
      <w:r>
        <w:rPr>
          <w:sz w:val="22"/>
          <w:szCs w:val="22"/>
        </w:rPr>
        <w:t xml:space="preserve">) even though </w:t>
      </w:r>
      <w:r w:rsidRPr="00BD1E2F">
        <w:rPr>
          <w:sz w:val="22"/>
          <w:szCs w:val="22"/>
        </w:rPr>
        <w:t xml:space="preserve">study tours are supposed to be learning processes during which participants are exposed to good practices and examples in an attempt to expose people to new ideas and practices either to persuade them to adopt those ideas or to teach them the techniques involved.  Conducting a study tour with selected members of the </w:t>
      </w:r>
      <w:proofErr w:type="spellStart"/>
      <w:r w:rsidRPr="00BD1E2F">
        <w:rPr>
          <w:sz w:val="22"/>
          <w:szCs w:val="22"/>
        </w:rPr>
        <w:t>Otradnoe</w:t>
      </w:r>
      <w:proofErr w:type="spellEnd"/>
      <w:r w:rsidRPr="00BD1E2F">
        <w:rPr>
          <w:sz w:val="22"/>
          <w:szCs w:val="22"/>
        </w:rPr>
        <w:t xml:space="preserve"> </w:t>
      </w:r>
      <w:proofErr w:type="spellStart"/>
      <w:r w:rsidRPr="00BD1E2F">
        <w:rPr>
          <w:i/>
          <w:sz w:val="22"/>
          <w:szCs w:val="22"/>
        </w:rPr>
        <w:t>aiyl</w:t>
      </w:r>
      <w:proofErr w:type="spellEnd"/>
      <w:r w:rsidRPr="00BD1E2F">
        <w:rPr>
          <w:i/>
          <w:sz w:val="22"/>
          <w:szCs w:val="22"/>
        </w:rPr>
        <w:t xml:space="preserve"> </w:t>
      </w:r>
      <w:proofErr w:type="spellStart"/>
      <w:r w:rsidRPr="00BD1E2F">
        <w:rPr>
          <w:i/>
          <w:sz w:val="22"/>
          <w:szCs w:val="22"/>
        </w:rPr>
        <w:t>okmotu</w:t>
      </w:r>
      <w:proofErr w:type="spellEnd"/>
      <w:r w:rsidRPr="00BD1E2F">
        <w:rPr>
          <w:sz w:val="22"/>
          <w:szCs w:val="22"/>
        </w:rPr>
        <w:t xml:space="preserve"> (as well as members from other communities) may have persuaded them from the outset that the park (with its associated benefits) would be worth supporting.</w:t>
      </w:r>
    </w:p>
    <w:p w14:paraId="203F413D" w14:textId="09127684" w:rsidR="001D5172" w:rsidRPr="00BD1E2F" w:rsidRDefault="001D5172" w:rsidP="001D5172">
      <w:pPr>
        <w:jc w:val="both"/>
        <w:rPr>
          <w:sz w:val="22"/>
          <w:szCs w:val="22"/>
        </w:rPr>
      </w:pPr>
      <w:r w:rsidRPr="00BD1E2F">
        <w:rPr>
          <w:sz w:val="22"/>
          <w:szCs w:val="22"/>
        </w:rPr>
        <w:t xml:space="preserve">The project </w:t>
      </w:r>
      <w:r w:rsidR="007E16F4">
        <w:rPr>
          <w:sz w:val="22"/>
          <w:szCs w:val="22"/>
        </w:rPr>
        <w:t xml:space="preserve">has initiated the process of collecting ideas and recommendations for a management plan for </w:t>
      </w:r>
      <w:r w:rsidR="007E16F4" w:rsidRPr="00BD1E2F">
        <w:rPr>
          <w:sz w:val="22"/>
          <w:szCs w:val="22"/>
        </w:rPr>
        <w:t xml:space="preserve">the proposed Khan </w:t>
      </w:r>
      <w:proofErr w:type="spellStart"/>
      <w:r w:rsidR="007E16F4" w:rsidRPr="00BD1E2F">
        <w:rPr>
          <w:sz w:val="22"/>
          <w:szCs w:val="22"/>
        </w:rPr>
        <w:t>Tengri</w:t>
      </w:r>
      <w:proofErr w:type="spellEnd"/>
      <w:r w:rsidR="007E16F4" w:rsidRPr="00BD1E2F">
        <w:rPr>
          <w:sz w:val="22"/>
          <w:szCs w:val="22"/>
        </w:rPr>
        <w:t xml:space="preserve"> National Park </w:t>
      </w:r>
      <w:r w:rsidR="007E16F4">
        <w:rPr>
          <w:sz w:val="22"/>
          <w:szCs w:val="22"/>
        </w:rPr>
        <w:t xml:space="preserve">but </w:t>
      </w:r>
      <w:r w:rsidRPr="00BD1E2F">
        <w:rPr>
          <w:sz w:val="22"/>
          <w:szCs w:val="22"/>
        </w:rPr>
        <w:t>obviously</w:t>
      </w:r>
      <w:r w:rsidR="007E16F4">
        <w:rPr>
          <w:sz w:val="22"/>
          <w:szCs w:val="22"/>
        </w:rPr>
        <w:t xml:space="preserve"> it</w:t>
      </w:r>
      <w:r w:rsidRPr="00BD1E2F">
        <w:rPr>
          <w:sz w:val="22"/>
          <w:szCs w:val="22"/>
        </w:rPr>
        <w:t xml:space="preserve"> has not yet </w:t>
      </w:r>
      <w:r w:rsidR="007E16F4">
        <w:rPr>
          <w:sz w:val="22"/>
          <w:szCs w:val="22"/>
        </w:rPr>
        <w:t xml:space="preserve">launched the full process of </w:t>
      </w:r>
      <w:r w:rsidRPr="00BD1E2F">
        <w:rPr>
          <w:sz w:val="22"/>
          <w:szCs w:val="22"/>
        </w:rPr>
        <w:t>management plan</w:t>
      </w:r>
      <w:r w:rsidR="007E16F4">
        <w:rPr>
          <w:sz w:val="22"/>
          <w:szCs w:val="22"/>
        </w:rPr>
        <w:t xml:space="preserve"> development</w:t>
      </w:r>
      <w:r w:rsidRPr="00BD1E2F">
        <w:rPr>
          <w:sz w:val="22"/>
          <w:szCs w:val="22"/>
        </w:rPr>
        <w:t>.  This should happen only once the park has actually been legally established.  However the project did hold a national workshop on the process to develop management plans for protected areas and published a manual on the basis of this workshop that was subsequently approved by the SAEPF.</w:t>
      </w:r>
    </w:p>
    <w:p w14:paraId="35B68BCA" w14:textId="77777777" w:rsidR="001D5172" w:rsidRPr="00BD1E2F" w:rsidRDefault="001D5172" w:rsidP="001D5172">
      <w:pPr>
        <w:jc w:val="both"/>
        <w:rPr>
          <w:sz w:val="22"/>
          <w:szCs w:val="22"/>
        </w:rPr>
      </w:pPr>
      <w:r w:rsidRPr="00BD1E2F">
        <w:rPr>
          <w:sz w:val="22"/>
          <w:szCs w:val="22"/>
        </w:rPr>
        <w:t>To start the process of building capacity (</w:t>
      </w:r>
      <w:r w:rsidRPr="00BD1E2F">
        <w:rPr>
          <w:i/>
          <w:sz w:val="22"/>
          <w:szCs w:val="22"/>
        </w:rPr>
        <w:t>Output 1.2</w:t>
      </w:r>
      <w:r w:rsidRPr="00BD1E2F">
        <w:rPr>
          <w:sz w:val="22"/>
          <w:szCs w:val="22"/>
        </w:rPr>
        <w:t xml:space="preserve">), nine “freelance inspectors” have been recruited and the project has provided training for them and other inspectors.  The freelance inspectors are not salaried; instead, they earn 30% of fines imposed on people who are caught poaching.  In addition, </w:t>
      </w:r>
      <w:proofErr w:type="gramStart"/>
      <w:r w:rsidRPr="00BD1E2F">
        <w:rPr>
          <w:sz w:val="22"/>
          <w:szCs w:val="22"/>
        </w:rPr>
        <w:t>a training</w:t>
      </w:r>
      <w:proofErr w:type="gramEnd"/>
      <w:r w:rsidRPr="00BD1E2F">
        <w:rPr>
          <w:sz w:val="22"/>
          <w:szCs w:val="22"/>
        </w:rPr>
        <w:t xml:space="preserve"> needs assessment for the SAEPF was carried out.</w:t>
      </w:r>
    </w:p>
    <w:p w14:paraId="371D9AED" w14:textId="77777777" w:rsidR="001D5172" w:rsidRPr="00BD1E2F" w:rsidRDefault="001D5172" w:rsidP="001D5172">
      <w:pPr>
        <w:jc w:val="both"/>
        <w:rPr>
          <w:sz w:val="22"/>
          <w:szCs w:val="22"/>
        </w:rPr>
      </w:pPr>
      <w:r w:rsidRPr="00BD1E2F">
        <w:rPr>
          <w:sz w:val="22"/>
          <w:szCs w:val="22"/>
        </w:rPr>
        <w:t xml:space="preserve">A training of the use of METT as a tool for monitoring the management effectiveness of protected areas was carried out and the METT was applied to both the </w:t>
      </w:r>
      <w:proofErr w:type="spellStart"/>
      <w:r w:rsidRPr="00BD1E2F">
        <w:rPr>
          <w:sz w:val="22"/>
          <w:szCs w:val="22"/>
        </w:rPr>
        <w:t>Sarychat</w:t>
      </w:r>
      <w:proofErr w:type="spellEnd"/>
      <w:r w:rsidRPr="00BD1E2F">
        <w:rPr>
          <w:sz w:val="22"/>
          <w:szCs w:val="22"/>
        </w:rPr>
        <w:t xml:space="preserve"> </w:t>
      </w:r>
      <w:proofErr w:type="spellStart"/>
      <w:r w:rsidRPr="00BD1E2F">
        <w:rPr>
          <w:sz w:val="22"/>
          <w:szCs w:val="22"/>
        </w:rPr>
        <w:t>Ertash</w:t>
      </w:r>
      <w:proofErr w:type="spellEnd"/>
      <w:r w:rsidRPr="00BD1E2F">
        <w:rPr>
          <w:sz w:val="22"/>
          <w:szCs w:val="22"/>
        </w:rPr>
        <w:t xml:space="preserve"> </w:t>
      </w:r>
      <w:proofErr w:type="spellStart"/>
      <w:r w:rsidRPr="00907BC5">
        <w:rPr>
          <w:i/>
          <w:sz w:val="22"/>
          <w:szCs w:val="22"/>
        </w:rPr>
        <w:t>zapovednik</w:t>
      </w:r>
      <w:proofErr w:type="spellEnd"/>
      <w:r w:rsidRPr="00BD1E2F">
        <w:rPr>
          <w:sz w:val="22"/>
          <w:szCs w:val="22"/>
        </w:rPr>
        <w:t xml:space="preserve"> and the propo</w:t>
      </w:r>
      <w:r>
        <w:rPr>
          <w:sz w:val="22"/>
          <w:szCs w:val="22"/>
        </w:rPr>
        <w:t xml:space="preserve">sed Khan </w:t>
      </w:r>
      <w:proofErr w:type="spellStart"/>
      <w:r>
        <w:rPr>
          <w:sz w:val="22"/>
          <w:szCs w:val="22"/>
        </w:rPr>
        <w:t>Tengri</w:t>
      </w:r>
      <w:proofErr w:type="spellEnd"/>
      <w:r>
        <w:rPr>
          <w:sz w:val="22"/>
          <w:szCs w:val="22"/>
        </w:rPr>
        <w:t xml:space="preserve"> National Park (</w:t>
      </w:r>
      <w:r w:rsidRPr="00BD1E2F">
        <w:rPr>
          <w:sz w:val="22"/>
          <w:szCs w:val="22"/>
        </w:rPr>
        <w:t xml:space="preserve">as well 17 other protected areas within the country; </w:t>
      </w:r>
      <w:r w:rsidRPr="00BD1E2F">
        <w:rPr>
          <w:i/>
          <w:sz w:val="22"/>
          <w:szCs w:val="22"/>
        </w:rPr>
        <w:t>Output 1.4</w:t>
      </w:r>
      <w:r w:rsidRPr="00BD1E2F">
        <w:rPr>
          <w:sz w:val="22"/>
          <w:szCs w:val="22"/>
        </w:rPr>
        <w:t>).</w:t>
      </w:r>
    </w:p>
    <w:p w14:paraId="05CD4813" w14:textId="77777777" w:rsidR="001D5172" w:rsidRPr="00BD1E2F" w:rsidRDefault="001D5172" w:rsidP="001D5172">
      <w:pPr>
        <w:jc w:val="both"/>
        <w:rPr>
          <w:sz w:val="22"/>
          <w:szCs w:val="22"/>
        </w:rPr>
      </w:pPr>
      <w:r w:rsidRPr="00BD1E2F">
        <w:rPr>
          <w:sz w:val="22"/>
          <w:szCs w:val="22"/>
        </w:rPr>
        <w:t xml:space="preserve">The conclusion of this section </w:t>
      </w:r>
      <w:r>
        <w:rPr>
          <w:sz w:val="22"/>
          <w:szCs w:val="22"/>
        </w:rPr>
        <w:t>(</w:t>
      </w:r>
      <w:r w:rsidRPr="00471342">
        <w:rPr>
          <w:i/>
          <w:sz w:val="22"/>
          <w:szCs w:val="22"/>
        </w:rPr>
        <w:t>Outcome 1</w:t>
      </w:r>
      <w:r>
        <w:rPr>
          <w:sz w:val="22"/>
          <w:szCs w:val="22"/>
        </w:rPr>
        <w:t xml:space="preserve">) </w:t>
      </w:r>
      <w:r w:rsidRPr="00BD1E2F">
        <w:rPr>
          <w:sz w:val="22"/>
          <w:szCs w:val="22"/>
        </w:rPr>
        <w:t xml:space="preserve">on the establishment of the park is this: the project has 20 months remaining and there is a huge amount of work to be done </w:t>
      </w:r>
      <w:proofErr w:type="spellStart"/>
      <w:r w:rsidRPr="00BD1E2F">
        <w:rPr>
          <w:sz w:val="22"/>
          <w:szCs w:val="22"/>
        </w:rPr>
        <w:t>i</w:t>
      </w:r>
      <w:proofErr w:type="spellEnd"/>
      <w:r w:rsidRPr="00BD1E2F">
        <w:rPr>
          <w:sz w:val="22"/>
          <w:szCs w:val="22"/>
        </w:rPr>
        <w:t>) if the park is to be established and ii) if the foundations that the project lays are sufficiently strong to ensure its sustainability.</w:t>
      </w:r>
    </w:p>
    <w:p w14:paraId="2F52A971" w14:textId="23B67B4B" w:rsidR="001D5172" w:rsidRPr="00BD1E2F" w:rsidRDefault="001D5172" w:rsidP="001D5172">
      <w:pPr>
        <w:jc w:val="both"/>
        <w:rPr>
          <w:sz w:val="22"/>
          <w:szCs w:val="22"/>
        </w:rPr>
      </w:pPr>
      <w:r w:rsidRPr="00BD1E2F">
        <w:rPr>
          <w:sz w:val="22"/>
          <w:szCs w:val="22"/>
        </w:rPr>
        <w:t>Under Outcome 2, there has also been progress.</w:t>
      </w:r>
      <w:r>
        <w:rPr>
          <w:sz w:val="22"/>
          <w:szCs w:val="22"/>
        </w:rPr>
        <w:t xml:space="preserve">  </w:t>
      </w:r>
      <w:r w:rsidRPr="00BD1E2F">
        <w:rPr>
          <w:sz w:val="22"/>
          <w:szCs w:val="22"/>
        </w:rPr>
        <w:t xml:space="preserve">The project has worked on a number of pieces of legislation (under </w:t>
      </w:r>
      <w:r w:rsidRPr="00BD1E2F">
        <w:rPr>
          <w:i/>
          <w:sz w:val="22"/>
          <w:szCs w:val="22"/>
        </w:rPr>
        <w:t>Output 2.1</w:t>
      </w:r>
      <w:r w:rsidRPr="00BD1E2F">
        <w:rPr>
          <w:sz w:val="22"/>
          <w:szCs w:val="22"/>
        </w:rPr>
        <w:t xml:space="preserve">), some of which have already been approved (see Annex </w:t>
      </w:r>
      <w:r w:rsidR="00027594">
        <w:rPr>
          <w:sz w:val="22"/>
          <w:szCs w:val="22"/>
        </w:rPr>
        <w:t>V</w:t>
      </w:r>
      <w:r>
        <w:rPr>
          <w:sz w:val="22"/>
          <w:szCs w:val="22"/>
        </w:rPr>
        <w:t>), although this appeared to have been a top-down process</w:t>
      </w:r>
      <w:r w:rsidRPr="00BD1E2F">
        <w:rPr>
          <w:sz w:val="22"/>
          <w:szCs w:val="22"/>
        </w:rPr>
        <w:t xml:space="preserve"> – rather than something that was being defined from the needs of the protected areas – thus, as a bottom up process.  </w:t>
      </w:r>
      <w:r>
        <w:rPr>
          <w:sz w:val="22"/>
          <w:szCs w:val="22"/>
        </w:rPr>
        <w:t xml:space="preserve">A number of examples were encountered </w:t>
      </w:r>
      <w:r w:rsidRPr="00BD1E2F">
        <w:rPr>
          <w:sz w:val="22"/>
          <w:szCs w:val="22"/>
        </w:rPr>
        <w:t>to substantiate this observation.</w:t>
      </w:r>
    </w:p>
    <w:p w14:paraId="113B11CB" w14:textId="515429AC" w:rsidR="001D5172" w:rsidRPr="00BD1E2F" w:rsidRDefault="001D5172" w:rsidP="001D5172">
      <w:pPr>
        <w:jc w:val="both"/>
        <w:rPr>
          <w:sz w:val="22"/>
          <w:szCs w:val="22"/>
        </w:rPr>
      </w:pPr>
      <w:r w:rsidRPr="00BD1E2F">
        <w:rPr>
          <w:sz w:val="22"/>
          <w:szCs w:val="22"/>
        </w:rPr>
        <w:t xml:space="preserve">The identification of </w:t>
      </w:r>
      <w:r w:rsidR="006F2F52">
        <w:rPr>
          <w:sz w:val="22"/>
          <w:szCs w:val="22"/>
        </w:rPr>
        <w:t xml:space="preserve">the ecologically important areas surrounding </w:t>
      </w:r>
      <w:r w:rsidRPr="00BD1E2F">
        <w:rPr>
          <w:sz w:val="22"/>
          <w:szCs w:val="22"/>
        </w:rPr>
        <w:t xml:space="preserve">the Khan </w:t>
      </w:r>
      <w:proofErr w:type="spellStart"/>
      <w:r w:rsidRPr="00BD1E2F">
        <w:rPr>
          <w:sz w:val="22"/>
          <w:szCs w:val="22"/>
        </w:rPr>
        <w:t>Tengri</w:t>
      </w:r>
      <w:proofErr w:type="spellEnd"/>
      <w:r w:rsidRPr="00BD1E2F">
        <w:rPr>
          <w:sz w:val="22"/>
          <w:szCs w:val="22"/>
        </w:rPr>
        <w:t xml:space="preserve"> National Park and ecological corridors between the KTNP and other important a</w:t>
      </w:r>
      <w:r w:rsidR="006F2F52">
        <w:rPr>
          <w:sz w:val="22"/>
          <w:szCs w:val="22"/>
        </w:rPr>
        <w:t>reas in the vicinity – includ</w:t>
      </w:r>
      <w:r w:rsidRPr="00BD1E2F">
        <w:rPr>
          <w:sz w:val="22"/>
          <w:szCs w:val="22"/>
        </w:rPr>
        <w:t xml:space="preserve">ing the </w:t>
      </w:r>
      <w:proofErr w:type="spellStart"/>
      <w:r w:rsidRPr="00BD1E2F">
        <w:rPr>
          <w:sz w:val="22"/>
          <w:szCs w:val="22"/>
        </w:rPr>
        <w:t>Sarychat</w:t>
      </w:r>
      <w:proofErr w:type="spellEnd"/>
      <w:r w:rsidRPr="00BD1E2F">
        <w:rPr>
          <w:sz w:val="22"/>
          <w:szCs w:val="22"/>
        </w:rPr>
        <w:t xml:space="preserve"> </w:t>
      </w:r>
      <w:proofErr w:type="spellStart"/>
      <w:r w:rsidRPr="00BD1E2F">
        <w:rPr>
          <w:sz w:val="22"/>
          <w:szCs w:val="22"/>
        </w:rPr>
        <w:t>Ertash</w:t>
      </w:r>
      <w:proofErr w:type="spellEnd"/>
      <w:r w:rsidRPr="00BD1E2F">
        <w:rPr>
          <w:sz w:val="22"/>
          <w:szCs w:val="22"/>
        </w:rPr>
        <w:t xml:space="preserve"> </w:t>
      </w:r>
      <w:proofErr w:type="spellStart"/>
      <w:r w:rsidRPr="00907BC5">
        <w:rPr>
          <w:i/>
          <w:sz w:val="22"/>
          <w:szCs w:val="22"/>
        </w:rPr>
        <w:t>zapovednik</w:t>
      </w:r>
      <w:proofErr w:type="spellEnd"/>
      <w:r w:rsidRPr="00BD1E2F">
        <w:rPr>
          <w:sz w:val="22"/>
          <w:szCs w:val="22"/>
        </w:rPr>
        <w:t xml:space="preserve"> – (</w:t>
      </w:r>
      <w:r w:rsidRPr="00BD1E2F">
        <w:rPr>
          <w:i/>
          <w:sz w:val="22"/>
          <w:szCs w:val="22"/>
        </w:rPr>
        <w:t>Output 2.2</w:t>
      </w:r>
      <w:r w:rsidRPr="00BD1E2F">
        <w:rPr>
          <w:sz w:val="22"/>
          <w:szCs w:val="22"/>
        </w:rPr>
        <w:t xml:space="preserve">) was carried out simultaneously with the survey work for the proposed park (see above in description of </w:t>
      </w:r>
      <w:r w:rsidRPr="00BD1E2F">
        <w:rPr>
          <w:i/>
          <w:sz w:val="22"/>
          <w:szCs w:val="22"/>
        </w:rPr>
        <w:t>Output 1.1</w:t>
      </w:r>
      <w:r w:rsidRPr="00BD1E2F">
        <w:rPr>
          <w:sz w:val="22"/>
          <w:szCs w:val="22"/>
        </w:rPr>
        <w:t xml:space="preserve">). </w:t>
      </w:r>
    </w:p>
    <w:p w14:paraId="22266600" w14:textId="77777777" w:rsidR="001D5172" w:rsidRPr="00BD1E2F" w:rsidRDefault="001D5172" w:rsidP="001D5172">
      <w:pPr>
        <w:jc w:val="both"/>
        <w:rPr>
          <w:sz w:val="22"/>
          <w:szCs w:val="22"/>
        </w:rPr>
      </w:pPr>
      <w:r w:rsidRPr="00BD1E2F">
        <w:rPr>
          <w:sz w:val="22"/>
          <w:szCs w:val="22"/>
        </w:rPr>
        <w:t xml:space="preserve">The next result targeted by the project was mainstreaming biodiversity conservation into the “territorial land use plans” of the two </w:t>
      </w:r>
      <w:proofErr w:type="spellStart"/>
      <w:r w:rsidRPr="00BD1E2F">
        <w:rPr>
          <w:sz w:val="22"/>
          <w:szCs w:val="22"/>
        </w:rPr>
        <w:t>rayons</w:t>
      </w:r>
      <w:proofErr w:type="spellEnd"/>
      <w:r w:rsidRPr="00BD1E2F">
        <w:rPr>
          <w:sz w:val="22"/>
          <w:szCs w:val="22"/>
        </w:rPr>
        <w:t xml:space="preserve"> that are adjacent to the proposed national park (</w:t>
      </w:r>
      <w:r w:rsidRPr="00BD1E2F">
        <w:rPr>
          <w:i/>
          <w:sz w:val="22"/>
          <w:szCs w:val="22"/>
        </w:rPr>
        <w:t>Output 2.3</w:t>
      </w:r>
      <w:r w:rsidRPr="00BD1E2F">
        <w:rPr>
          <w:sz w:val="22"/>
          <w:szCs w:val="22"/>
        </w:rPr>
        <w:t xml:space="preserve">).  Here, the project developed a Programme and an Action Plan of Transition to Sustainable Development of the Ecological and Economic System of Issyk-Kul for 2015-2017 that </w:t>
      </w:r>
      <w:proofErr w:type="gramStart"/>
      <w:r w:rsidRPr="00BD1E2F">
        <w:rPr>
          <w:sz w:val="22"/>
          <w:szCs w:val="22"/>
        </w:rPr>
        <w:t>contain</w:t>
      </w:r>
      <w:proofErr w:type="gramEnd"/>
      <w:r w:rsidRPr="00BD1E2F">
        <w:rPr>
          <w:sz w:val="22"/>
          <w:szCs w:val="22"/>
        </w:rPr>
        <w:t xml:space="preserve"> elements of mainstreaming biodiversity conservation issues into economic development. The Programme and Action Plan were, thereafter, integrated in the Sustainable Development Strategy of the Issyk-Kul oblast for the period 2015-2017 and the Strategy and Action Plan were approved.</w:t>
      </w:r>
    </w:p>
    <w:p w14:paraId="3623CBE4" w14:textId="77777777" w:rsidR="001D5172" w:rsidRPr="00BD1E2F" w:rsidRDefault="001D5172" w:rsidP="001D5172">
      <w:pPr>
        <w:jc w:val="both"/>
        <w:rPr>
          <w:sz w:val="22"/>
          <w:szCs w:val="22"/>
        </w:rPr>
      </w:pPr>
      <w:r w:rsidRPr="00BD1E2F">
        <w:rPr>
          <w:sz w:val="22"/>
          <w:szCs w:val="22"/>
        </w:rPr>
        <w:t>With respect to the development of natural resource use agreements (</w:t>
      </w:r>
      <w:r w:rsidRPr="00BD1E2F">
        <w:rPr>
          <w:i/>
          <w:sz w:val="22"/>
          <w:szCs w:val="22"/>
        </w:rPr>
        <w:t>Output 2.4</w:t>
      </w:r>
      <w:r w:rsidRPr="00BD1E2F">
        <w:rPr>
          <w:sz w:val="22"/>
          <w:szCs w:val="22"/>
        </w:rPr>
        <w:t>) and alternative livelihoods for local communities (</w:t>
      </w:r>
      <w:r w:rsidRPr="00BD1E2F">
        <w:rPr>
          <w:i/>
          <w:sz w:val="22"/>
          <w:szCs w:val="22"/>
        </w:rPr>
        <w:t>Output 2.5</w:t>
      </w:r>
      <w:r w:rsidRPr="00BD1E2F">
        <w:rPr>
          <w:sz w:val="22"/>
          <w:szCs w:val="22"/>
        </w:rPr>
        <w:t>), the project carried out socio-economic surveys of a sample from the local communities.  The MTR was unable to evaluate the methodology of the survey or the results and, in particular, their usefulness for developing a number of indicators and targets for the livelihood work that is proposed under the project.  It is important that the project considers the direction in which the livelihoods work will go and the outcomes that should be achieved through this work; the outcomes should not be perverse and inadvertently result is further pressure on natural resources or destruction of the environment – as is so often the case with “alternative livelihood” programmes.</w:t>
      </w:r>
    </w:p>
    <w:p w14:paraId="1651C505" w14:textId="77777777" w:rsidR="001D5172" w:rsidRPr="00BD1E2F" w:rsidRDefault="001D5172" w:rsidP="001D5172">
      <w:pPr>
        <w:jc w:val="both"/>
        <w:rPr>
          <w:sz w:val="22"/>
          <w:szCs w:val="22"/>
        </w:rPr>
      </w:pPr>
      <w:r w:rsidRPr="00BD1E2F">
        <w:rPr>
          <w:sz w:val="22"/>
          <w:szCs w:val="22"/>
        </w:rPr>
        <w:t xml:space="preserve">As would be expected, a number of the activities have not yet started (e.g., vocational training for PA staff in cooperation with WWF – </w:t>
      </w:r>
      <w:r w:rsidRPr="00614D7C">
        <w:rPr>
          <w:i/>
          <w:sz w:val="22"/>
          <w:szCs w:val="22"/>
        </w:rPr>
        <w:t>Output 1.3</w:t>
      </w:r>
      <w:r w:rsidRPr="00BD1E2F">
        <w:rPr>
          <w:sz w:val="22"/>
          <w:szCs w:val="22"/>
        </w:rPr>
        <w:t xml:space="preserve">; procurement of equipment for the Khan </w:t>
      </w:r>
      <w:proofErr w:type="spellStart"/>
      <w:r w:rsidRPr="00BD1E2F">
        <w:rPr>
          <w:sz w:val="22"/>
          <w:szCs w:val="22"/>
        </w:rPr>
        <w:t>Tengri</w:t>
      </w:r>
      <w:proofErr w:type="spellEnd"/>
      <w:r w:rsidRPr="00BD1E2F">
        <w:rPr>
          <w:sz w:val="22"/>
          <w:szCs w:val="22"/>
        </w:rPr>
        <w:t xml:space="preserve"> National Park – under </w:t>
      </w:r>
      <w:r w:rsidRPr="00614D7C">
        <w:rPr>
          <w:i/>
          <w:sz w:val="22"/>
          <w:szCs w:val="22"/>
        </w:rPr>
        <w:t>Output 1.2</w:t>
      </w:r>
      <w:r w:rsidRPr="00BD1E2F">
        <w:rPr>
          <w:sz w:val="22"/>
          <w:szCs w:val="22"/>
        </w:rPr>
        <w:t xml:space="preserve">, securing natural resource use agreements with local communities – </w:t>
      </w:r>
      <w:r w:rsidRPr="00614D7C">
        <w:rPr>
          <w:i/>
          <w:sz w:val="22"/>
          <w:szCs w:val="22"/>
        </w:rPr>
        <w:t>Output 2.4</w:t>
      </w:r>
      <w:r w:rsidRPr="00BD1E2F">
        <w:rPr>
          <w:sz w:val="22"/>
          <w:szCs w:val="22"/>
        </w:rPr>
        <w:t xml:space="preserve">, implementing alternative livelihood programmes for local communities – </w:t>
      </w:r>
      <w:r w:rsidRPr="00614D7C">
        <w:rPr>
          <w:i/>
          <w:sz w:val="22"/>
          <w:szCs w:val="22"/>
        </w:rPr>
        <w:t>Output 2.5</w:t>
      </w:r>
      <w:r w:rsidRPr="00BD1E2F">
        <w:rPr>
          <w:sz w:val="22"/>
          <w:szCs w:val="22"/>
        </w:rPr>
        <w:t xml:space="preserve">, replicating the mainstreaming practices of </w:t>
      </w:r>
      <w:r w:rsidRPr="00614D7C">
        <w:rPr>
          <w:i/>
          <w:sz w:val="22"/>
          <w:szCs w:val="22"/>
        </w:rPr>
        <w:t>Output 2.3</w:t>
      </w:r>
      <w:r w:rsidRPr="00BD1E2F">
        <w:rPr>
          <w:sz w:val="22"/>
          <w:szCs w:val="22"/>
        </w:rPr>
        <w:t xml:space="preserve"> elsewhere in the </w:t>
      </w:r>
      <w:proofErr w:type="spellStart"/>
      <w:r w:rsidRPr="00BD1E2F">
        <w:rPr>
          <w:sz w:val="22"/>
          <w:szCs w:val="22"/>
        </w:rPr>
        <w:t>Tian</w:t>
      </w:r>
      <w:proofErr w:type="spellEnd"/>
      <w:r w:rsidRPr="00BD1E2F">
        <w:rPr>
          <w:sz w:val="22"/>
          <w:szCs w:val="22"/>
        </w:rPr>
        <w:t xml:space="preserve"> Shan Mountains) as these largely await the establishment of the Khan </w:t>
      </w:r>
      <w:proofErr w:type="spellStart"/>
      <w:r w:rsidRPr="00BD1E2F">
        <w:rPr>
          <w:sz w:val="22"/>
          <w:szCs w:val="22"/>
        </w:rPr>
        <w:t>Tengri</w:t>
      </w:r>
      <w:proofErr w:type="spellEnd"/>
      <w:r w:rsidRPr="00BD1E2F">
        <w:rPr>
          <w:sz w:val="22"/>
          <w:szCs w:val="22"/>
        </w:rPr>
        <w:t xml:space="preserve"> National Park – but some, such as the work with the communities, </w:t>
      </w:r>
      <w:r>
        <w:rPr>
          <w:sz w:val="22"/>
          <w:szCs w:val="22"/>
        </w:rPr>
        <w:t>could have been already initiated</w:t>
      </w:r>
      <w:r w:rsidRPr="00BD1E2F">
        <w:rPr>
          <w:sz w:val="22"/>
          <w:szCs w:val="22"/>
        </w:rPr>
        <w:t>.</w:t>
      </w:r>
    </w:p>
    <w:p w14:paraId="5A000677" w14:textId="77777777" w:rsidR="001D5172" w:rsidRPr="00BD1E2F" w:rsidRDefault="001D5172" w:rsidP="001D5172">
      <w:pPr>
        <w:jc w:val="both"/>
        <w:rPr>
          <w:sz w:val="22"/>
          <w:szCs w:val="22"/>
        </w:rPr>
      </w:pPr>
      <w:r w:rsidRPr="00BD1E2F">
        <w:rPr>
          <w:sz w:val="22"/>
          <w:szCs w:val="22"/>
        </w:rPr>
        <w:t xml:space="preserve">In addition to these targeted gains, there were some unplanned, inadvertent outcomes.  As examples, first, despite the mistrust of the government (and most specifically the SAEPF), the project has acted as a bridge between the local communities structures (the </w:t>
      </w:r>
      <w:proofErr w:type="spellStart"/>
      <w:r w:rsidRPr="00BD1E2F">
        <w:rPr>
          <w:i/>
          <w:sz w:val="22"/>
          <w:szCs w:val="22"/>
        </w:rPr>
        <w:t>aiyl</w:t>
      </w:r>
      <w:proofErr w:type="spellEnd"/>
      <w:r w:rsidRPr="00BD1E2F">
        <w:rPr>
          <w:i/>
          <w:sz w:val="22"/>
          <w:szCs w:val="22"/>
        </w:rPr>
        <w:t xml:space="preserve"> </w:t>
      </w:r>
      <w:proofErr w:type="spellStart"/>
      <w:r w:rsidRPr="00BD1E2F">
        <w:rPr>
          <w:i/>
          <w:sz w:val="22"/>
          <w:szCs w:val="22"/>
        </w:rPr>
        <w:t>okmotu</w:t>
      </w:r>
      <w:proofErr w:type="spellEnd"/>
      <w:r w:rsidRPr="00BD1E2F">
        <w:rPr>
          <w:sz w:val="22"/>
          <w:szCs w:val="22"/>
        </w:rPr>
        <w:t xml:space="preserve"> and deputies) and the formal government structures (the rayon and oblast), engendering communication and building trust.  Second, the recruitment of the freelance inspectors was primarily to improve law enforcement.  However, they were recruited directly from the local communities and, as such, are trusted by those communities.  As a result, they have been approached by the community for clarifications and, as a result, have become the primary advocates for the establishment of the park.</w:t>
      </w:r>
    </w:p>
    <w:p w14:paraId="4E04DF2B" w14:textId="77777777" w:rsidR="001D5172" w:rsidRPr="00BD1E2F" w:rsidRDefault="001D5172" w:rsidP="001D5172">
      <w:pPr>
        <w:jc w:val="both"/>
        <w:rPr>
          <w:sz w:val="22"/>
          <w:szCs w:val="22"/>
        </w:rPr>
      </w:pPr>
      <w:r w:rsidRPr="00BD1E2F">
        <w:rPr>
          <w:sz w:val="22"/>
          <w:szCs w:val="22"/>
        </w:rPr>
        <w:t xml:space="preserve">In the paragraphs above, some of the mistakes, miscommunication and other misgivings have been described, as appropriate.  One further aspect should be discussed: the management of trophy hunting.  Trophy hunting is briefly mentioned in the </w:t>
      </w:r>
      <w:proofErr w:type="spellStart"/>
      <w:r w:rsidRPr="00BD1E2F">
        <w:rPr>
          <w:sz w:val="22"/>
          <w:szCs w:val="22"/>
        </w:rPr>
        <w:t>Prodoc</w:t>
      </w:r>
      <w:proofErr w:type="spellEnd"/>
      <w:r w:rsidRPr="00BD1E2F">
        <w:rPr>
          <w:sz w:val="22"/>
          <w:szCs w:val="22"/>
        </w:rPr>
        <w:t xml:space="preserve"> (under </w:t>
      </w:r>
      <w:r w:rsidRPr="00BD1E2F">
        <w:rPr>
          <w:i/>
          <w:sz w:val="22"/>
          <w:szCs w:val="22"/>
        </w:rPr>
        <w:t>Output 2.4</w:t>
      </w:r>
      <w:r w:rsidRPr="00BD1E2F">
        <w:rPr>
          <w:sz w:val="22"/>
          <w:szCs w:val="22"/>
        </w:rPr>
        <w:t xml:space="preserve">) but it is included as an indicator in the project’s results framework (“Better management of hunting in buffers and corridors as reflected in </w:t>
      </w:r>
      <w:proofErr w:type="spellStart"/>
      <w:r w:rsidRPr="00BD1E2F">
        <w:rPr>
          <w:sz w:val="22"/>
          <w:szCs w:val="22"/>
        </w:rPr>
        <w:t>percent</w:t>
      </w:r>
      <w:proofErr w:type="spellEnd"/>
      <w:r w:rsidRPr="00BD1E2F">
        <w:rPr>
          <w:sz w:val="22"/>
          <w:szCs w:val="22"/>
        </w:rPr>
        <w:t xml:space="preserve"> of trophy hunting that is controlled and monitored”).  With the overwhelming focus that the project has adopted towards the establishment of Khan </w:t>
      </w:r>
      <w:proofErr w:type="spellStart"/>
      <w:r w:rsidRPr="00BD1E2F">
        <w:rPr>
          <w:sz w:val="22"/>
          <w:szCs w:val="22"/>
        </w:rPr>
        <w:t>Tengri</w:t>
      </w:r>
      <w:proofErr w:type="spellEnd"/>
      <w:r w:rsidRPr="00BD1E2F">
        <w:rPr>
          <w:sz w:val="22"/>
          <w:szCs w:val="22"/>
        </w:rPr>
        <w:t xml:space="preserve"> National Park, improved management of the trophy hunting industry has been somewhat </w:t>
      </w:r>
      <w:proofErr w:type="gramStart"/>
      <w:r w:rsidRPr="00BD1E2F">
        <w:rPr>
          <w:sz w:val="22"/>
          <w:szCs w:val="22"/>
        </w:rPr>
        <w:t>side-lined</w:t>
      </w:r>
      <w:proofErr w:type="gramEnd"/>
      <w:r w:rsidRPr="00BD1E2F">
        <w:rPr>
          <w:sz w:val="22"/>
          <w:szCs w:val="22"/>
        </w:rPr>
        <w:t xml:space="preserve">.  Indeed, from the outset, the </w:t>
      </w:r>
      <w:proofErr w:type="spellStart"/>
      <w:r w:rsidRPr="00BD1E2F">
        <w:rPr>
          <w:sz w:val="22"/>
          <w:szCs w:val="22"/>
        </w:rPr>
        <w:t>Prodoc</w:t>
      </w:r>
      <w:proofErr w:type="spellEnd"/>
      <w:r w:rsidRPr="00BD1E2F">
        <w:rPr>
          <w:sz w:val="22"/>
          <w:szCs w:val="22"/>
        </w:rPr>
        <w:t xml:space="preserve"> wholly underestimates the work that is required to improve management within the trophy hunting industry.  Globally, this industry is wracked with corruption, abuse and mismanagement.  From the accounts of interviewees, it is unlikely that Kyrgyzstan is any different.  Dealing with these issues and improving the management of the trophy hunting industry is an enormous task and one that been profoundly underestimated in the few references in the </w:t>
      </w:r>
      <w:proofErr w:type="spellStart"/>
      <w:r w:rsidRPr="00BD1E2F">
        <w:rPr>
          <w:sz w:val="22"/>
          <w:szCs w:val="22"/>
        </w:rPr>
        <w:t>Prodoc</w:t>
      </w:r>
      <w:proofErr w:type="spellEnd"/>
      <w:r w:rsidRPr="00BD1E2F">
        <w:rPr>
          <w:sz w:val="22"/>
          <w:szCs w:val="22"/>
        </w:rPr>
        <w:t xml:space="preserve">.  It is an issue that warrants a project in and of </w:t>
      </w:r>
      <w:proofErr w:type="gramStart"/>
      <w:r w:rsidRPr="00BD1E2F">
        <w:rPr>
          <w:sz w:val="22"/>
          <w:szCs w:val="22"/>
        </w:rPr>
        <w:t>itself</w:t>
      </w:r>
      <w:proofErr w:type="gramEnd"/>
      <w:r w:rsidRPr="00BD1E2F">
        <w:rPr>
          <w:sz w:val="22"/>
          <w:szCs w:val="22"/>
        </w:rPr>
        <w:t xml:space="preserve">; dealing with it in a complete and satisfactory way is quite beyond </w:t>
      </w:r>
      <w:r>
        <w:rPr>
          <w:sz w:val="22"/>
          <w:szCs w:val="22"/>
        </w:rPr>
        <w:t xml:space="preserve">the scope of </w:t>
      </w:r>
      <w:r w:rsidRPr="00BD1E2F">
        <w:rPr>
          <w:sz w:val="22"/>
          <w:szCs w:val="22"/>
        </w:rPr>
        <w:t>this project.</w:t>
      </w:r>
    </w:p>
    <w:p w14:paraId="127764BB" w14:textId="66E0BD67" w:rsidR="00E4257F" w:rsidRPr="00E70FE7" w:rsidRDefault="007E16F4" w:rsidP="00115228">
      <w:pPr>
        <w:pStyle w:val="Heading2"/>
        <w:numPr>
          <w:ilvl w:val="0"/>
          <w:numId w:val="0"/>
        </w:numPr>
      </w:pPr>
      <w:bookmarkStart w:id="6" w:name="_Toc311452858"/>
      <w:r>
        <w:t>MTR</w:t>
      </w:r>
      <w:r w:rsidR="00E4257F" w:rsidRPr="00E70FE7">
        <w:t xml:space="preserve"> Ratings &amp; Achievement Summary Table</w:t>
      </w:r>
      <w:r w:rsidR="00E70FE7" w:rsidRPr="00E70FE7">
        <w:t xml:space="preserve"> for UN</w:t>
      </w:r>
      <w:r w:rsidR="00115228">
        <w:t xml:space="preserve">DP-GEF Project </w:t>
      </w:r>
      <w:r w:rsidR="00E70FE7" w:rsidRPr="00E70FE7">
        <w:t>“</w:t>
      </w:r>
      <w:r>
        <w:t xml:space="preserve">Improving the Coverage and Management Effectiveness of Protected Areas in the Central </w:t>
      </w:r>
      <w:proofErr w:type="spellStart"/>
      <w:r>
        <w:t>Tian</w:t>
      </w:r>
      <w:proofErr w:type="spellEnd"/>
      <w:r>
        <w:t xml:space="preserve"> Shan Mountains</w:t>
      </w:r>
      <w:r w:rsidR="00E70FE7">
        <w:t>”</w:t>
      </w:r>
      <w:bookmarkEnd w:id="6"/>
    </w:p>
    <w:tbl>
      <w:tblPr>
        <w:tblStyle w:val="TableGrid"/>
        <w:tblW w:w="0" w:type="auto"/>
        <w:tblLayout w:type="fixed"/>
        <w:tblLook w:val="04A0" w:firstRow="1" w:lastRow="0" w:firstColumn="1" w:lastColumn="0" w:noHBand="0" w:noVBand="1"/>
      </w:tblPr>
      <w:tblGrid>
        <w:gridCol w:w="1668"/>
        <w:gridCol w:w="1275"/>
        <w:gridCol w:w="851"/>
        <w:gridCol w:w="4728"/>
      </w:tblGrid>
      <w:tr w:rsidR="009D289B" w:rsidRPr="00FF6383" w14:paraId="2F24F11E" w14:textId="77777777" w:rsidTr="00FF6383">
        <w:trPr>
          <w:tblHeader/>
        </w:trPr>
        <w:tc>
          <w:tcPr>
            <w:tcW w:w="1668" w:type="dxa"/>
            <w:shd w:val="clear" w:color="auto" w:fill="D9D9D9" w:themeFill="background1" w:themeFillShade="D9"/>
          </w:tcPr>
          <w:p w14:paraId="6F551698" w14:textId="1A334E41" w:rsidR="009D289B" w:rsidRPr="00FF6383" w:rsidRDefault="009D289B" w:rsidP="009D289B">
            <w:pPr>
              <w:rPr>
                <w:b/>
                <w:sz w:val="18"/>
                <w:szCs w:val="18"/>
              </w:rPr>
            </w:pPr>
            <w:r w:rsidRPr="00FF6383">
              <w:rPr>
                <w:b/>
                <w:sz w:val="18"/>
                <w:szCs w:val="18"/>
              </w:rPr>
              <w:t>Measure</w:t>
            </w:r>
          </w:p>
        </w:tc>
        <w:tc>
          <w:tcPr>
            <w:tcW w:w="1275" w:type="dxa"/>
            <w:shd w:val="clear" w:color="auto" w:fill="D9D9D9" w:themeFill="background1" w:themeFillShade="D9"/>
          </w:tcPr>
          <w:p w14:paraId="2E50B769" w14:textId="3F295B9C" w:rsidR="009D289B" w:rsidRPr="00FF6383" w:rsidRDefault="009D289B" w:rsidP="009D289B">
            <w:pPr>
              <w:rPr>
                <w:b/>
                <w:sz w:val="18"/>
                <w:szCs w:val="18"/>
              </w:rPr>
            </w:pPr>
          </w:p>
        </w:tc>
        <w:tc>
          <w:tcPr>
            <w:tcW w:w="851" w:type="dxa"/>
            <w:shd w:val="clear" w:color="auto" w:fill="D9D9D9" w:themeFill="background1" w:themeFillShade="D9"/>
          </w:tcPr>
          <w:p w14:paraId="2F5088C3" w14:textId="50345614" w:rsidR="009D289B" w:rsidRPr="00FF6383" w:rsidRDefault="00E70FE7" w:rsidP="00E70FE7">
            <w:pPr>
              <w:jc w:val="center"/>
              <w:rPr>
                <w:b/>
                <w:sz w:val="18"/>
                <w:szCs w:val="18"/>
              </w:rPr>
            </w:pPr>
            <w:r w:rsidRPr="00FF6383">
              <w:rPr>
                <w:b/>
                <w:sz w:val="18"/>
                <w:szCs w:val="18"/>
              </w:rPr>
              <w:t xml:space="preserve">MTR </w:t>
            </w:r>
            <w:r w:rsidR="009D289B" w:rsidRPr="00FF6383">
              <w:rPr>
                <w:b/>
                <w:sz w:val="18"/>
                <w:szCs w:val="18"/>
              </w:rPr>
              <w:t>Rating</w:t>
            </w:r>
          </w:p>
        </w:tc>
        <w:tc>
          <w:tcPr>
            <w:tcW w:w="4728" w:type="dxa"/>
            <w:shd w:val="clear" w:color="auto" w:fill="D9D9D9" w:themeFill="background1" w:themeFillShade="D9"/>
          </w:tcPr>
          <w:p w14:paraId="69990A17" w14:textId="7ABE003F" w:rsidR="009D289B" w:rsidRPr="00FF6383" w:rsidRDefault="00724DEF" w:rsidP="009D289B">
            <w:pPr>
              <w:rPr>
                <w:b/>
                <w:sz w:val="18"/>
                <w:szCs w:val="18"/>
              </w:rPr>
            </w:pPr>
            <w:r w:rsidRPr="00FF6383">
              <w:rPr>
                <w:b/>
                <w:sz w:val="18"/>
                <w:szCs w:val="18"/>
              </w:rPr>
              <w:t>Achievement Description</w:t>
            </w:r>
          </w:p>
        </w:tc>
      </w:tr>
      <w:tr w:rsidR="009D289B" w:rsidRPr="00FF6383" w14:paraId="0B11B2EA" w14:textId="77777777" w:rsidTr="009020A1">
        <w:tc>
          <w:tcPr>
            <w:tcW w:w="1668" w:type="dxa"/>
            <w:shd w:val="clear" w:color="auto" w:fill="D9D9D9" w:themeFill="background1" w:themeFillShade="D9"/>
          </w:tcPr>
          <w:p w14:paraId="3742E0CB" w14:textId="0E1D519E" w:rsidR="009D289B" w:rsidRPr="00FF6383" w:rsidRDefault="00E8196F" w:rsidP="009D289B">
            <w:pPr>
              <w:rPr>
                <w:b/>
                <w:sz w:val="18"/>
                <w:szCs w:val="18"/>
              </w:rPr>
            </w:pPr>
            <w:r w:rsidRPr="00FF6383">
              <w:rPr>
                <w:b/>
                <w:sz w:val="18"/>
                <w:szCs w:val="18"/>
              </w:rPr>
              <w:t>Project Strategy</w:t>
            </w:r>
          </w:p>
        </w:tc>
        <w:tc>
          <w:tcPr>
            <w:tcW w:w="1275" w:type="dxa"/>
            <w:shd w:val="clear" w:color="auto" w:fill="D9D9D9" w:themeFill="background1" w:themeFillShade="D9"/>
          </w:tcPr>
          <w:p w14:paraId="1BB69DDF" w14:textId="77777777" w:rsidR="009D289B" w:rsidRPr="00FF6383" w:rsidRDefault="009D289B" w:rsidP="009D289B">
            <w:pPr>
              <w:rPr>
                <w:b/>
                <w:sz w:val="18"/>
                <w:szCs w:val="18"/>
              </w:rPr>
            </w:pPr>
          </w:p>
        </w:tc>
        <w:tc>
          <w:tcPr>
            <w:tcW w:w="851" w:type="dxa"/>
            <w:shd w:val="clear" w:color="auto" w:fill="D9D9D9" w:themeFill="background1" w:themeFillShade="D9"/>
          </w:tcPr>
          <w:p w14:paraId="2C4FC0AF" w14:textId="661C7B5A" w:rsidR="009D289B" w:rsidRPr="00FF6383" w:rsidRDefault="00724DEF" w:rsidP="00E70FE7">
            <w:pPr>
              <w:jc w:val="center"/>
              <w:rPr>
                <w:sz w:val="18"/>
                <w:szCs w:val="18"/>
              </w:rPr>
            </w:pPr>
            <w:r w:rsidRPr="00FF6383">
              <w:rPr>
                <w:sz w:val="18"/>
                <w:szCs w:val="18"/>
              </w:rPr>
              <w:t>N/A</w:t>
            </w:r>
          </w:p>
        </w:tc>
        <w:tc>
          <w:tcPr>
            <w:tcW w:w="4728" w:type="dxa"/>
          </w:tcPr>
          <w:p w14:paraId="47D32A7C" w14:textId="5164C679" w:rsidR="009D289B" w:rsidRPr="00FF6383" w:rsidRDefault="00F3270B" w:rsidP="00022D85">
            <w:pPr>
              <w:rPr>
                <w:sz w:val="18"/>
                <w:szCs w:val="18"/>
              </w:rPr>
            </w:pPr>
            <w:r>
              <w:rPr>
                <w:sz w:val="18"/>
                <w:szCs w:val="18"/>
              </w:rPr>
              <w:t xml:space="preserve">The project’s design is appropriate to overcome the majority of root causes of the threats to the biodiversity of the Central </w:t>
            </w:r>
            <w:proofErr w:type="spellStart"/>
            <w:r>
              <w:rPr>
                <w:sz w:val="18"/>
                <w:szCs w:val="18"/>
              </w:rPr>
              <w:t>Tian</w:t>
            </w:r>
            <w:proofErr w:type="spellEnd"/>
            <w:r>
              <w:rPr>
                <w:sz w:val="18"/>
                <w:szCs w:val="18"/>
              </w:rPr>
              <w:t xml:space="preserve"> Shan Mountains in Kyrgyzstan.  It is, however, </w:t>
            </w:r>
            <w:r w:rsidR="00BA7202">
              <w:rPr>
                <w:sz w:val="18"/>
                <w:szCs w:val="18"/>
              </w:rPr>
              <w:t xml:space="preserve">a complex, challenging and ambitious project with limited time and financial resources.  As such, </w:t>
            </w:r>
            <w:r w:rsidR="00A06689">
              <w:rPr>
                <w:sz w:val="18"/>
                <w:szCs w:val="18"/>
              </w:rPr>
              <w:t>the project can be defined as being</w:t>
            </w:r>
            <w:r w:rsidR="00BA7202">
              <w:rPr>
                <w:sz w:val="18"/>
                <w:szCs w:val="18"/>
              </w:rPr>
              <w:t xml:space="preserve"> high risk, high impact in that if it achieves what it set out to achieve</w:t>
            </w:r>
            <w:r w:rsidR="00022D85">
              <w:rPr>
                <w:sz w:val="18"/>
                <w:szCs w:val="18"/>
              </w:rPr>
              <w:t xml:space="preserve"> with the resources it has</w:t>
            </w:r>
            <w:r w:rsidR="00BA7202">
              <w:rPr>
                <w:sz w:val="18"/>
                <w:szCs w:val="18"/>
              </w:rPr>
              <w:t>, it will be a great success</w:t>
            </w:r>
            <w:r w:rsidR="00CF0033">
              <w:rPr>
                <w:sz w:val="18"/>
                <w:szCs w:val="18"/>
              </w:rPr>
              <w:t>.  Some fundamental barriers remain (as discussed in Section 4.2.2)</w:t>
            </w:r>
            <w:r>
              <w:rPr>
                <w:sz w:val="18"/>
                <w:szCs w:val="18"/>
              </w:rPr>
              <w:t xml:space="preserve"> </w:t>
            </w:r>
          </w:p>
        </w:tc>
      </w:tr>
      <w:tr w:rsidR="009D289B" w:rsidRPr="00FF6383" w14:paraId="50C7C3FC" w14:textId="77777777" w:rsidTr="009020A1">
        <w:tc>
          <w:tcPr>
            <w:tcW w:w="1668" w:type="dxa"/>
            <w:shd w:val="clear" w:color="auto" w:fill="D9D9D9" w:themeFill="background1" w:themeFillShade="D9"/>
          </w:tcPr>
          <w:p w14:paraId="410962A5" w14:textId="08FC6C91" w:rsidR="009D289B" w:rsidRPr="00FF6383" w:rsidRDefault="00E8196F" w:rsidP="009D289B">
            <w:pPr>
              <w:rPr>
                <w:b/>
                <w:sz w:val="18"/>
                <w:szCs w:val="18"/>
              </w:rPr>
            </w:pPr>
            <w:r w:rsidRPr="00FF6383">
              <w:rPr>
                <w:b/>
                <w:sz w:val="18"/>
                <w:szCs w:val="18"/>
              </w:rPr>
              <w:t>Progress towards Results</w:t>
            </w:r>
          </w:p>
        </w:tc>
        <w:tc>
          <w:tcPr>
            <w:tcW w:w="1275" w:type="dxa"/>
            <w:shd w:val="clear" w:color="auto" w:fill="D9D9D9" w:themeFill="background1" w:themeFillShade="D9"/>
          </w:tcPr>
          <w:p w14:paraId="201A3128" w14:textId="3B20CABF" w:rsidR="009D289B" w:rsidRPr="00FF6383" w:rsidRDefault="00E8196F" w:rsidP="009D289B">
            <w:pPr>
              <w:rPr>
                <w:b/>
                <w:sz w:val="18"/>
                <w:szCs w:val="18"/>
              </w:rPr>
            </w:pPr>
            <w:r w:rsidRPr="00FF6383">
              <w:rPr>
                <w:b/>
                <w:sz w:val="18"/>
                <w:szCs w:val="18"/>
              </w:rPr>
              <w:t>Objective</w:t>
            </w:r>
          </w:p>
        </w:tc>
        <w:tc>
          <w:tcPr>
            <w:tcW w:w="851" w:type="dxa"/>
          </w:tcPr>
          <w:p w14:paraId="6375F1EE" w14:textId="34060314" w:rsidR="009D289B" w:rsidRPr="00FF6383" w:rsidRDefault="001C670B" w:rsidP="00E70FE7">
            <w:pPr>
              <w:jc w:val="center"/>
              <w:rPr>
                <w:b/>
                <w:sz w:val="18"/>
                <w:szCs w:val="18"/>
              </w:rPr>
            </w:pPr>
            <w:r>
              <w:rPr>
                <w:b/>
                <w:sz w:val="18"/>
                <w:szCs w:val="18"/>
              </w:rPr>
              <w:t>MS</w:t>
            </w:r>
          </w:p>
        </w:tc>
        <w:tc>
          <w:tcPr>
            <w:tcW w:w="4728" w:type="dxa"/>
          </w:tcPr>
          <w:p w14:paraId="27DC7D83" w14:textId="2F0A5046" w:rsidR="00780DFB" w:rsidRPr="00FF6383" w:rsidRDefault="00CD0CDD" w:rsidP="00CD0CDD">
            <w:pPr>
              <w:rPr>
                <w:sz w:val="18"/>
                <w:szCs w:val="18"/>
              </w:rPr>
            </w:pPr>
            <w:r>
              <w:rPr>
                <w:sz w:val="18"/>
                <w:szCs w:val="18"/>
              </w:rPr>
              <w:t xml:space="preserve">While </w:t>
            </w:r>
            <w:r w:rsidR="00022D85">
              <w:rPr>
                <w:sz w:val="18"/>
                <w:szCs w:val="18"/>
              </w:rPr>
              <w:t xml:space="preserve">good, overall </w:t>
            </w:r>
            <w:r>
              <w:rPr>
                <w:sz w:val="18"/>
                <w:szCs w:val="18"/>
              </w:rPr>
              <w:t>progress has been made, t</w:t>
            </w:r>
            <w:r w:rsidR="00CF0033">
              <w:rPr>
                <w:sz w:val="18"/>
                <w:szCs w:val="18"/>
              </w:rPr>
              <w:t xml:space="preserve">he </w:t>
            </w:r>
            <w:r>
              <w:rPr>
                <w:sz w:val="18"/>
                <w:szCs w:val="18"/>
              </w:rPr>
              <w:t xml:space="preserve">project still has far to </w:t>
            </w:r>
            <w:r w:rsidR="00150D28">
              <w:rPr>
                <w:sz w:val="18"/>
                <w:szCs w:val="18"/>
              </w:rPr>
              <w:t xml:space="preserve">go before it </w:t>
            </w:r>
            <w:r w:rsidR="002F6803">
              <w:rPr>
                <w:sz w:val="18"/>
                <w:szCs w:val="18"/>
              </w:rPr>
              <w:t>achieve</w:t>
            </w:r>
            <w:r w:rsidR="00150D28">
              <w:rPr>
                <w:sz w:val="18"/>
                <w:szCs w:val="18"/>
              </w:rPr>
              <w:t>s</w:t>
            </w:r>
            <w:r w:rsidR="002F6803">
              <w:rPr>
                <w:sz w:val="18"/>
                <w:szCs w:val="18"/>
              </w:rPr>
              <w:t xml:space="preserve"> the project’s objective: the coverage of protected areas has yet to be increased</w:t>
            </w:r>
            <w:r w:rsidR="00780DFB">
              <w:rPr>
                <w:sz w:val="18"/>
                <w:szCs w:val="18"/>
              </w:rPr>
              <w:t xml:space="preserve">; until the Khan </w:t>
            </w:r>
            <w:proofErr w:type="spellStart"/>
            <w:r w:rsidR="00780DFB">
              <w:rPr>
                <w:sz w:val="18"/>
                <w:szCs w:val="18"/>
              </w:rPr>
              <w:t>Tengri</w:t>
            </w:r>
            <w:proofErr w:type="spellEnd"/>
            <w:r w:rsidR="00780DFB">
              <w:rPr>
                <w:sz w:val="18"/>
                <w:szCs w:val="18"/>
              </w:rPr>
              <w:t xml:space="preserve"> National Park is established, management effectiveness cannot be significantly increased and the project has done little to improve the management of </w:t>
            </w:r>
            <w:proofErr w:type="spellStart"/>
            <w:r w:rsidR="00780DFB">
              <w:rPr>
                <w:sz w:val="18"/>
                <w:szCs w:val="18"/>
              </w:rPr>
              <w:t>Sarychat</w:t>
            </w:r>
            <w:proofErr w:type="spellEnd"/>
            <w:r w:rsidR="00780DFB">
              <w:rPr>
                <w:sz w:val="18"/>
                <w:szCs w:val="18"/>
              </w:rPr>
              <w:t xml:space="preserve"> </w:t>
            </w:r>
            <w:proofErr w:type="spellStart"/>
            <w:r w:rsidR="00780DFB">
              <w:rPr>
                <w:sz w:val="18"/>
                <w:szCs w:val="18"/>
              </w:rPr>
              <w:t>Ertash</w:t>
            </w:r>
            <w:proofErr w:type="spellEnd"/>
            <w:r w:rsidR="00780DFB">
              <w:rPr>
                <w:sz w:val="18"/>
                <w:szCs w:val="18"/>
              </w:rPr>
              <w:t xml:space="preserve"> </w:t>
            </w:r>
            <w:proofErr w:type="spellStart"/>
            <w:r w:rsidR="00780DFB">
              <w:rPr>
                <w:sz w:val="18"/>
                <w:szCs w:val="18"/>
              </w:rPr>
              <w:t>zapovednik</w:t>
            </w:r>
            <w:proofErr w:type="spellEnd"/>
            <w:r w:rsidR="00780DFB">
              <w:rPr>
                <w:sz w:val="18"/>
                <w:szCs w:val="18"/>
              </w:rPr>
              <w:t xml:space="preserve">; the management of the corridors and buffers has not changed since the inception of the project with the exception of the integration of biodiversity in </w:t>
            </w:r>
            <w:proofErr w:type="spellStart"/>
            <w:r w:rsidR="00780DFB">
              <w:rPr>
                <w:sz w:val="18"/>
                <w:szCs w:val="18"/>
              </w:rPr>
              <w:t>Issyl</w:t>
            </w:r>
            <w:proofErr w:type="spellEnd"/>
            <w:r w:rsidR="00780DFB">
              <w:rPr>
                <w:sz w:val="18"/>
                <w:szCs w:val="18"/>
              </w:rPr>
              <w:t xml:space="preserve"> </w:t>
            </w:r>
            <w:proofErr w:type="spellStart"/>
            <w:r w:rsidR="00780DFB">
              <w:rPr>
                <w:sz w:val="18"/>
                <w:szCs w:val="18"/>
              </w:rPr>
              <w:t>Kul’s</w:t>
            </w:r>
            <w:proofErr w:type="spellEnd"/>
            <w:r w:rsidR="00780DFB">
              <w:rPr>
                <w:sz w:val="18"/>
                <w:szCs w:val="18"/>
              </w:rPr>
              <w:t xml:space="preserve"> development framework and the recruitment of nine “freelance” inspectors.  The livelihoods work has not yet started.</w:t>
            </w:r>
            <w:r w:rsidR="00022D85">
              <w:rPr>
                <w:sz w:val="18"/>
                <w:szCs w:val="18"/>
              </w:rPr>
              <w:t xml:space="preserve">  Impact is negligible.</w:t>
            </w:r>
          </w:p>
        </w:tc>
      </w:tr>
      <w:tr w:rsidR="009D289B" w:rsidRPr="00FF6383" w14:paraId="5F21C7BA" w14:textId="77777777" w:rsidTr="009020A1">
        <w:tc>
          <w:tcPr>
            <w:tcW w:w="1668" w:type="dxa"/>
            <w:shd w:val="clear" w:color="auto" w:fill="D9D9D9" w:themeFill="background1" w:themeFillShade="D9"/>
          </w:tcPr>
          <w:p w14:paraId="1AB679A2" w14:textId="28FA491D" w:rsidR="009D289B" w:rsidRPr="00FF6383" w:rsidRDefault="009D289B" w:rsidP="009D289B">
            <w:pPr>
              <w:rPr>
                <w:b/>
                <w:sz w:val="18"/>
                <w:szCs w:val="18"/>
              </w:rPr>
            </w:pPr>
          </w:p>
        </w:tc>
        <w:tc>
          <w:tcPr>
            <w:tcW w:w="1275" w:type="dxa"/>
            <w:shd w:val="clear" w:color="auto" w:fill="D9D9D9" w:themeFill="background1" w:themeFillShade="D9"/>
          </w:tcPr>
          <w:p w14:paraId="65650295" w14:textId="02D7281E" w:rsidR="009D289B" w:rsidRPr="00FF6383" w:rsidRDefault="00E70FE7" w:rsidP="009D289B">
            <w:pPr>
              <w:rPr>
                <w:b/>
                <w:sz w:val="18"/>
                <w:szCs w:val="18"/>
              </w:rPr>
            </w:pPr>
            <w:r w:rsidRPr="00FF6383">
              <w:rPr>
                <w:b/>
                <w:sz w:val="18"/>
                <w:szCs w:val="18"/>
              </w:rPr>
              <w:t>Outcome 1</w:t>
            </w:r>
          </w:p>
        </w:tc>
        <w:tc>
          <w:tcPr>
            <w:tcW w:w="851" w:type="dxa"/>
          </w:tcPr>
          <w:p w14:paraId="712420FC" w14:textId="3EE15768" w:rsidR="009D289B" w:rsidRPr="00FF6383" w:rsidRDefault="00573353" w:rsidP="00E70FE7">
            <w:pPr>
              <w:jc w:val="center"/>
              <w:rPr>
                <w:b/>
                <w:sz w:val="18"/>
                <w:szCs w:val="18"/>
              </w:rPr>
            </w:pPr>
            <w:r>
              <w:rPr>
                <w:b/>
                <w:sz w:val="18"/>
                <w:szCs w:val="18"/>
              </w:rPr>
              <w:t>S</w:t>
            </w:r>
          </w:p>
        </w:tc>
        <w:tc>
          <w:tcPr>
            <w:tcW w:w="4728" w:type="dxa"/>
          </w:tcPr>
          <w:p w14:paraId="6F20F9F3" w14:textId="7C59D82F" w:rsidR="003A204B" w:rsidRPr="00FF6383" w:rsidRDefault="004725EB" w:rsidP="00022D85">
            <w:pPr>
              <w:rPr>
                <w:sz w:val="18"/>
                <w:szCs w:val="18"/>
              </w:rPr>
            </w:pPr>
            <w:r>
              <w:rPr>
                <w:sz w:val="18"/>
                <w:szCs w:val="18"/>
              </w:rPr>
              <w:t xml:space="preserve">Outcome 1 is largely reflective of </w:t>
            </w:r>
            <w:r w:rsidR="009D7231">
              <w:rPr>
                <w:sz w:val="18"/>
                <w:szCs w:val="18"/>
              </w:rPr>
              <w:t xml:space="preserve">the project’s objective and the project has focused the greater part of its attention on the establishment of the KTNP.  In this, it has followed all due process albeit in a rather </w:t>
            </w:r>
            <w:r w:rsidR="00022D85">
              <w:rPr>
                <w:sz w:val="18"/>
                <w:szCs w:val="18"/>
              </w:rPr>
              <w:t>measured</w:t>
            </w:r>
            <w:r w:rsidR="009D7231">
              <w:rPr>
                <w:sz w:val="18"/>
                <w:szCs w:val="18"/>
              </w:rPr>
              <w:t xml:space="preserve"> and painstaking way.</w:t>
            </w:r>
            <w:r w:rsidR="00CB4C4C">
              <w:rPr>
                <w:sz w:val="18"/>
                <w:szCs w:val="18"/>
              </w:rPr>
              <w:t xml:space="preserve">  The progress was halted by the obstruction by the </w:t>
            </w:r>
            <w:proofErr w:type="spellStart"/>
            <w:r w:rsidR="00CB4C4C">
              <w:rPr>
                <w:sz w:val="18"/>
                <w:szCs w:val="18"/>
              </w:rPr>
              <w:t>Otradnoe</w:t>
            </w:r>
            <w:proofErr w:type="spellEnd"/>
            <w:r w:rsidR="00CB4C4C">
              <w:rPr>
                <w:sz w:val="18"/>
                <w:szCs w:val="18"/>
              </w:rPr>
              <w:t xml:space="preserve"> </w:t>
            </w:r>
            <w:proofErr w:type="spellStart"/>
            <w:r w:rsidR="00CB4C4C" w:rsidRPr="00B57043">
              <w:rPr>
                <w:i/>
                <w:sz w:val="18"/>
                <w:szCs w:val="18"/>
              </w:rPr>
              <w:t>aiyl</w:t>
            </w:r>
            <w:proofErr w:type="spellEnd"/>
            <w:r w:rsidR="00CB4C4C" w:rsidRPr="00B57043">
              <w:rPr>
                <w:i/>
                <w:sz w:val="18"/>
                <w:szCs w:val="18"/>
              </w:rPr>
              <w:t xml:space="preserve"> </w:t>
            </w:r>
            <w:proofErr w:type="spellStart"/>
            <w:r w:rsidR="00CB4C4C" w:rsidRPr="00B57043">
              <w:rPr>
                <w:i/>
                <w:sz w:val="18"/>
                <w:szCs w:val="18"/>
              </w:rPr>
              <w:t>okmotu</w:t>
            </w:r>
            <w:proofErr w:type="spellEnd"/>
            <w:r w:rsidR="00022D85">
              <w:rPr>
                <w:sz w:val="18"/>
                <w:szCs w:val="18"/>
              </w:rPr>
              <w:t xml:space="preserve">, </w:t>
            </w:r>
            <w:r w:rsidR="00CB4C4C">
              <w:rPr>
                <w:sz w:val="18"/>
                <w:szCs w:val="18"/>
              </w:rPr>
              <w:t xml:space="preserve">and the project and government’s efforts to persuade this community has been rather heavy handed.  </w:t>
            </w:r>
            <w:r w:rsidR="00022D85">
              <w:rPr>
                <w:sz w:val="18"/>
                <w:szCs w:val="18"/>
              </w:rPr>
              <w:t xml:space="preserve">A change of approach </w:t>
            </w:r>
            <w:r w:rsidR="009F601B">
              <w:rPr>
                <w:sz w:val="18"/>
                <w:szCs w:val="18"/>
              </w:rPr>
              <w:t xml:space="preserve">(as proposed in Section 5.2.1) </w:t>
            </w:r>
            <w:r w:rsidR="00022D85">
              <w:rPr>
                <w:sz w:val="18"/>
                <w:szCs w:val="18"/>
              </w:rPr>
              <w:t>is necessary</w:t>
            </w:r>
            <w:r w:rsidR="009F601B">
              <w:rPr>
                <w:sz w:val="18"/>
                <w:szCs w:val="18"/>
              </w:rPr>
              <w:t xml:space="preserve">.  </w:t>
            </w:r>
            <w:r w:rsidR="00B57043">
              <w:rPr>
                <w:sz w:val="18"/>
                <w:szCs w:val="18"/>
              </w:rPr>
              <w:t xml:space="preserve">However, everything is otherwise prepared for the establishment of the park. </w:t>
            </w:r>
          </w:p>
        </w:tc>
      </w:tr>
      <w:tr w:rsidR="009D289B" w:rsidRPr="00FF6383" w14:paraId="72342F8C" w14:textId="77777777" w:rsidTr="009020A1">
        <w:tc>
          <w:tcPr>
            <w:tcW w:w="1668" w:type="dxa"/>
            <w:shd w:val="clear" w:color="auto" w:fill="D9D9D9" w:themeFill="background1" w:themeFillShade="D9"/>
          </w:tcPr>
          <w:p w14:paraId="2DF80C81" w14:textId="18CC3FBB" w:rsidR="009D289B" w:rsidRPr="00FF6383" w:rsidRDefault="009D289B" w:rsidP="009D289B">
            <w:pPr>
              <w:rPr>
                <w:b/>
                <w:sz w:val="18"/>
                <w:szCs w:val="18"/>
              </w:rPr>
            </w:pPr>
          </w:p>
        </w:tc>
        <w:tc>
          <w:tcPr>
            <w:tcW w:w="1275" w:type="dxa"/>
            <w:shd w:val="clear" w:color="auto" w:fill="D9D9D9" w:themeFill="background1" w:themeFillShade="D9"/>
          </w:tcPr>
          <w:p w14:paraId="200473DA" w14:textId="132ABB20" w:rsidR="009D289B" w:rsidRPr="00FF6383" w:rsidRDefault="00E70FE7" w:rsidP="009D289B">
            <w:pPr>
              <w:rPr>
                <w:b/>
                <w:sz w:val="18"/>
                <w:szCs w:val="18"/>
              </w:rPr>
            </w:pPr>
            <w:r w:rsidRPr="00FF6383">
              <w:rPr>
                <w:b/>
                <w:sz w:val="18"/>
                <w:szCs w:val="18"/>
              </w:rPr>
              <w:t>Outcome 2</w:t>
            </w:r>
          </w:p>
        </w:tc>
        <w:tc>
          <w:tcPr>
            <w:tcW w:w="851" w:type="dxa"/>
          </w:tcPr>
          <w:p w14:paraId="04D2FBC0" w14:textId="357FDD9D" w:rsidR="009D289B" w:rsidRPr="00FF6383" w:rsidRDefault="006D29EA" w:rsidP="00E70FE7">
            <w:pPr>
              <w:jc w:val="center"/>
              <w:rPr>
                <w:b/>
                <w:sz w:val="18"/>
                <w:szCs w:val="18"/>
              </w:rPr>
            </w:pPr>
            <w:r>
              <w:rPr>
                <w:b/>
                <w:sz w:val="18"/>
                <w:szCs w:val="18"/>
              </w:rPr>
              <w:t>MS</w:t>
            </w:r>
          </w:p>
        </w:tc>
        <w:tc>
          <w:tcPr>
            <w:tcW w:w="4728" w:type="dxa"/>
          </w:tcPr>
          <w:p w14:paraId="4AEFB111" w14:textId="117CD816" w:rsidR="008D2C60" w:rsidRDefault="00742825" w:rsidP="009D289B">
            <w:pPr>
              <w:rPr>
                <w:sz w:val="18"/>
                <w:szCs w:val="18"/>
              </w:rPr>
            </w:pPr>
            <w:r>
              <w:rPr>
                <w:sz w:val="18"/>
                <w:szCs w:val="18"/>
              </w:rPr>
              <w:t>There has been good progress in various aspects of Outcome 2 but other parts are seriously lagging behind where the project should be with only 20 months of</w:t>
            </w:r>
            <w:r w:rsidR="009F601B">
              <w:rPr>
                <w:sz w:val="18"/>
                <w:szCs w:val="18"/>
              </w:rPr>
              <w:t xml:space="preserve"> implementation time remaining.  A number of amendments to legislation have been proposed and two pieces of legislation have been approved.  </w:t>
            </w:r>
            <w:r w:rsidR="00F076FE">
              <w:rPr>
                <w:sz w:val="18"/>
                <w:szCs w:val="18"/>
              </w:rPr>
              <w:t xml:space="preserve">The </w:t>
            </w:r>
            <w:r w:rsidR="006F2F52">
              <w:rPr>
                <w:sz w:val="18"/>
                <w:szCs w:val="18"/>
              </w:rPr>
              <w:t>ecologically important areas surrounding the park</w:t>
            </w:r>
            <w:r w:rsidR="00F076FE">
              <w:rPr>
                <w:sz w:val="18"/>
                <w:szCs w:val="18"/>
              </w:rPr>
              <w:t xml:space="preserve"> and ecological corridors have been identified (but little action to protect them or change the behaviour of the people using them).  Mainstreaming biodiversity in land use plans has occurred at the oblast but not at the rayon level, as was originally envisaged.</w:t>
            </w:r>
          </w:p>
          <w:p w14:paraId="01E43A97" w14:textId="50FBDE11" w:rsidR="00F076FE" w:rsidRDefault="00F076FE" w:rsidP="009D289B">
            <w:pPr>
              <w:rPr>
                <w:sz w:val="18"/>
                <w:szCs w:val="18"/>
              </w:rPr>
            </w:pPr>
            <w:r>
              <w:rPr>
                <w:sz w:val="18"/>
                <w:szCs w:val="18"/>
              </w:rPr>
              <w:t>Most critically, the work on livelihoods – micro-credit schemes, natural resource use (and pasture use) agreements and community-based tourism – has not been started.</w:t>
            </w:r>
          </w:p>
          <w:p w14:paraId="65DD3481" w14:textId="5B4FD024" w:rsidR="009F601B" w:rsidRPr="00FF6383" w:rsidRDefault="009F601B" w:rsidP="009D289B">
            <w:pPr>
              <w:rPr>
                <w:sz w:val="18"/>
                <w:szCs w:val="18"/>
              </w:rPr>
            </w:pPr>
            <w:r>
              <w:rPr>
                <w:sz w:val="18"/>
                <w:szCs w:val="18"/>
              </w:rPr>
              <w:t xml:space="preserve">At the landscape level – which is the objective underlying Outcome 2 – little </w:t>
            </w:r>
            <w:r w:rsidRPr="00F076FE">
              <w:rPr>
                <w:i/>
                <w:sz w:val="18"/>
                <w:szCs w:val="18"/>
              </w:rPr>
              <w:t>impact</w:t>
            </w:r>
            <w:r>
              <w:rPr>
                <w:sz w:val="18"/>
                <w:szCs w:val="18"/>
              </w:rPr>
              <w:t xml:space="preserve"> has been achieved to date.</w:t>
            </w:r>
          </w:p>
        </w:tc>
      </w:tr>
      <w:tr w:rsidR="009D289B" w:rsidRPr="00FF6383" w14:paraId="03F46999" w14:textId="77777777" w:rsidTr="009020A1">
        <w:tc>
          <w:tcPr>
            <w:tcW w:w="1668" w:type="dxa"/>
            <w:shd w:val="clear" w:color="auto" w:fill="D9D9D9" w:themeFill="background1" w:themeFillShade="D9"/>
          </w:tcPr>
          <w:p w14:paraId="2FD52471" w14:textId="2BA87611" w:rsidR="009D289B" w:rsidRPr="00FF6383" w:rsidRDefault="00E8196F" w:rsidP="009D289B">
            <w:pPr>
              <w:rPr>
                <w:b/>
                <w:sz w:val="18"/>
                <w:szCs w:val="18"/>
              </w:rPr>
            </w:pPr>
            <w:r w:rsidRPr="00FF6383">
              <w:rPr>
                <w:b/>
                <w:sz w:val="18"/>
                <w:szCs w:val="18"/>
              </w:rPr>
              <w:t>Project Implementation and Adaptive Management</w:t>
            </w:r>
          </w:p>
        </w:tc>
        <w:tc>
          <w:tcPr>
            <w:tcW w:w="1275" w:type="dxa"/>
            <w:shd w:val="clear" w:color="auto" w:fill="D9D9D9" w:themeFill="background1" w:themeFillShade="D9"/>
          </w:tcPr>
          <w:p w14:paraId="1EE3BD92" w14:textId="77777777" w:rsidR="009D289B" w:rsidRPr="00FF6383" w:rsidRDefault="009D289B" w:rsidP="009D289B">
            <w:pPr>
              <w:rPr>
                <w:b/>
                <w:sz w:val="18"/>
                <w:szCs w:val="18"/>
              </w:rPr>
            </w:pPr>
          </w:p>
        </w:tc>
        <w:tc>
          <w:tcPr>
            <w:tcW w:w="851" w:type="dxa"/>
          </w:tcPr>
          <w:p w14:paraId="1DAFEAA0" w14:textId="5EC529EB" w:rsidR="009D289B" w:rsidRPr="00FF6383" w:rsidRDefault="008F53C4" w:rsidP="00E70FE7">
            <w:pPr>
              <w:jc w:val="center"/>
              <w:rPr>
                <w:b/>
                <w:sz w:val="18"/>
                <w:szCs w:val="18"/>
              </w:rPr>
            </w:pPr>
            <w:r>
              <w:rPr>
                <w:b/>
                <w:sz w:val="18"/>
                <w:szCs w:val="18"/>
              </w:rPr>
              <w:t>MS</w:t>
            </w:r>
          </w:p>
        </w:tc>
        <w:tc>
          <w:tcPr>
            <w:tcW w:w="4728" w:type="dxa"/>
          </w:tcPr>
          <w:p w14:paraId="4A95D9E8" w14:textId="7BB14DC6" w:rsidR="008D2C60" w:rsidRDefault="00573353" w:rsidP="0046496D">
            <w:pPr>
              <w:rPr>
                <w:sz w:val="18"/>
                <w:szCs w:val="18"/>
              </w:rPr>
            </w:pPr>
            <w:r>
              <w:rPr>
                <w:sz w:val="18"/>
                <w:szCs w:val="18"/>
              </w:rPr>
              <w:t xml:space="preserve">As indicated in the section on Outcome 1, the project has made steady but slow progress towards achieving this Outcome.  </w:t>
            </w:r>
            <w:r w:rsidR="0046496D">
              <w:rPr>
                <w:sz w:val="18"/>
                <w:szCs w:val="18"/>
              </w:rPr>
              <w:t xml:space="preserve">The government </w:t>
            </w:r>
            <w:r w:rsidR="001734F6">
              <w:rPr>
                <w:sz w:val="18"/>
                <w:szCs w:val="18"/>
              </w:rPr>
              <w:t xml:space="preserve">(specifically the SAEPF) </w:t>
            </w:r>
            <w:r w:rsidR="0046496D">
              <w:rPr>
                <w:sz w:val="18"/>
                <w:szCs w:val="18"/>
              </w:rPr>
              <w:t xml:space="preserve">has influenced the process (partly because the </w:t>
            </w:r>
            <w:r w:rsidR="001734F6">
              <w:rPr>
                <w:sz w:val="18"/>
                <w:szCs w:val="18"/>
              </w:rPr>
              <w:t xml:space="preserve">relatively inexperienced </w:t>
            </w:r>
            <w:r w:rsidR="0046496D">
              <w:rPr>
                <w:sz w:val="18"/>
                <w:szCs w:val="18"/>
              </w:rPr>
              <w:t xml:space="preserve">PC had relied on their support for some of the processes).  </w:t>
            </w:r>
            <w:r w:rsidR="009D7231">
              <w:rPr>
                <w:sz w:val="18"/>
                <w:szCs w:val="18"/>
              </w:rPr>
              <w:t>A series of mistakes and miscommunications led to misunderstanding, alienation and mistrust of the government by the communities.</w:t>
            </w:r>
          </w:p>
          <w:p w14:paraId="21EC5E8F" w14:textId="3A7F80B7" w:rsidR="0046496D" w:rsidRPr="00FF6383" w:rsidRDefault="008F53C4" w:rsidP="001734F6">
            <w:pPr>
              <w:rPr>
                <w:sz w:val="18"/>
                <w:szCs w:val="18"/>
              </w:rPr>
            </w:pPr>
            <w:r>
              <w:rPr>
                <w:sz w:val="18"/>
                <w:szCs w:val="18"/>
              </w:rPr>
              <w:t xml:space="preserve">The project is being implemented (a little too) strictly according to the project document with little adaptive management – except when it is pragmatic.  There is room for improvement in implementation </w:t>
            </w:r>
            <w:r w:rsidR="001734F6">
              <w:rPr>
                <w:sz w:val="18"/>
                <w:szCs w:val="18"/>
              </w:rPr>
              <w:t xml:space="preserve">– with an emphasis on effectiveness of achieving outcomes – but the project should be in line to make this </w:t>
            </w:r>
            <w:r>
              <w:rPr>
                <w:sz w:val="18"/>
                <w:szCs w:val="18"/>
              </w:rPr>
              <w:t xml:space="preserve">happen in the remainder of </w:t>
            </w:r>
            <w:r w:rsidR="001734F6">
              <w:rPr>
                <w:sz w:val="18"/>
                <w:szCs w:val="18"/>
              </w:rPr>
              <w:t>its life</w:t>
            </w:r>
            <w:r>
              <w:rPr>
                <w:sz w:val="18"/>
                <w:szCs w:val="18"/>
              </w:rPr>
              <w:t xml:space="preserve"> as the PC continues to gain confidence and if the PC is supported through the recruitment of a good CTA (who should lead the </w:t>
            </w:r>
            <w:r w:rsidR="00204613">
              <w:rPr>
                <w:sz w:val="18"/>
                <w:szCs w:val="18"/>
              </w:rPr>
              <w:t>implementation of the livelihoods programme).</w:t>
            </w:r>
          </w:p>
        </w:tc>
      </w:tr>
      <w:tr w:rsidR="009D289B" w:rsidRPr="00FF6383" w14:paraId="4E1F19F3" w14:textId="77777777" w:rsidTr="009020A1">
        <w:tc>
          <w:tcPr>
            <w:tcW w:w="1668" w:type="dxa"/>
            <w:shd w:val="clear" w:color="auto" w:fill="D9D9D9" w:themeFill="background1" w:themeFillShade="D9"/>
          </w:tcPr>
          <w:p w14:paraId="5283B74C" w14:textId="53041CF5" w:rsidR="009D289B" w:rsidRPr="00FF6383" w:rsidRDefault="00E8196F" w:rsidP="009D289B">
            <w:pPr>
              <w:rPr>
                <w:b/>
                <w:sz w:val="18"/>
                <w:szCs w:val="18"/>
              </w:rPr>
            </w:pPr>
            <w:r w:rsidRPr="00FF6383">
              <w:rPr>
                <w:b/>
                <w:sz w:val="18"/>
                <w:szCs w:val="18"/>
              </w:rPr>
              <w:t>Sustainability</w:t>
            </w:r>
          </w:p>
        </w:tc>
        <w:tc>
          <w:tcPr>
            <w:tcW w:w="1275" w:type="dxa"/>
            <w:shd w:val="clear" w:color="auto" w:fill="D9D9D9" w:themeFill="background1" w:themeFillShade="D9"/>
          </w:tcPr>
          <w:p w14:paraId="221BB89A" w14:textId="77777777" w:rsidR="009D289B" w:rsidRPr="00FF6383" w:rsidRDefault="009D289B" w:rsidP="009D289B">
            <w:pPr>
              <w:rPr>
                <w:b/>
                <w:sz w:val="18"/>
                <w:szCs w:val="18"/>
              </w:rPr>
            </w:pPr>
          </w:p>
        </w:tc>
        <w:tc>
          <w:tcPr>
            <w:tcW w:w="851" w:type="dxa"/>
          </w:tcPr>
          <w:p w14:paraId="0772303C" w14:textId="4879BF6D" w:rsidR="009D289B" w:rsidRPr="00FF6383" w:rsidRDefault="001734F6" w:rsidP="00E70FE7">
            <w:pPr>
              <w:jc w:val="center"/>
              <w:rPr>
                <w:b/>
                <w:sz w:val="18"/>
                <w:szCs w:val="18"/>
              </w:rPr>
            </w:pPr>
            <w:r>
              <w:rPr>
                <w:b/>
                <w:sz w:val="18"/>
                <w:szCs w:val="18"/>
              </w:rPr>
              <w:t>MU</w:t>
            </w:r>
          </w:p>
        </w:tc>
        <w:tc>
          <w:tcPr>
            <w:tcW w:w="4728" w:type="dxa"/>
          </w:tcPr>
          <w:p w14:paraId="1C85A531" w14:textId="67304E05" w:rsidR="00C7075E" w:rsidRPr="00BB01A7" w:rsidRDefault="001734F6" w:rsidP="00BB01A7">
            <w:pPr>
              <w:rPr>
                <w:sz w:val="18"/>
                <w:szCs w:val="18"/>
              </w:rPr>
            </w:pPr>
            <w:r>
              <w:rPr>
                <w:sz w:val="18"/>
                <w:szCs w:val="18"/>
              </w:rPr>
              <w:t>With only 20 months of implementation time remaining</w:t>
            </w:r>
            <w:r w:rsidR="00BB01A7">
              <w:rPr>
                <w:sz w:val="18"/>
                <w:szCs w:val="18"/>
              </w:rPr>
              <w:t xml:space="preserve"> and with a great deal of work to be completed</w:t>
            </w:r>
            <w:r w:rsidR="00277B8A">
              <w:rPr>
                <w:sz w:val="18"/>
                <w:szCs w:val="18"/>
              </w:rPr>
              <w:t xml:space="preserve">, </w:t>
            </w:r>
            <w:r w:rsidR="00BB01A7">
              <w:rPr>
                <w:sz w:val="18"/>
                <w:szCs w:val="18"/>
              </w:rPr>
              <w:t xml:space="preserve">real </w:t>
            </w:r>
            <w:r w:rsidR="00277B8A">
              <w:rPr>
                <w:sz w:val="18"/>
                <w:szCs w:val="18"/>
              </w:rPr>
              <w:t>questions emerge about the sustainability of</w:t>
            </w:r>
            <w:r w:rsidR="00BB01A7">
              <w:rPr>
                <w:sz w:val="18"/>
                <w:szCs w:val="18"/>
              </w:rPr>
              <w:t>:</w:t>
            </w:r>
            <w:r w:rsidR="00277B8A">
              <w:rPr>
                <w:sz w:val="18"/>
                <w:szCs w:val="18"/>
              </w:rPr>
              <w:t xml:space="preserve"> </w:t>
            </w:r>
            <w:proofErr w:type="spellStart"/>
            <w:r w:rsidR="00BB01A7">
              <w:rPr>
                <w:sz w:val="18"/>
                <w:szCs w:val="18"/>
              </w:rPr>
              <w:t>i</w:t>
            </w:r>
            <w:proofErr w:type="spellEnd"/>
            <w:r w:rsidR="00BB01A7">
              <w:rPr>
                <w:sz w:val="18"/>
                <w:szCs w:val="18"/>
              </w:rPr>
              <w:t xml:space="preserve">) the KTNP (if and when legally established), ii) the ecological functionality of the buffers and corridors, and iii) </w:t>
            </w:r>
            <w:r w:rsidR="00277B8A">
              <w:rPr>
                <w:sz w:val="18"/>
                <w:szCs w:val="18"/>
              </w:rPr>
              <w:t>any livelihoods work that the project may carry out in its remaining lifetime.</w:t>
            </w:r>
            <w:r w:rsidR="00BB01A7">
              <w:rPr>
                <w:sz w:val="18"/>
                <w:szCs w:val="18"/>
              </w:rPr>
              <w:t xml:space="preserve">  The project </w:t>
            </w:r>
            <w:r w:rsidR="00BB01A7">
              <w:rPr>
                <w:i/>
                <w:sz w:val="18"/>
                <w:szCs w:val="18"/>
              </w:rPr>
              <w:t>may</w:t>
            </w:r>
            <w:r w:rsidR="00BB01A7">
              <w:rPr>
                <w:sz w:val="18"/>
                <w:szCs w:val="18"/>
              </w:rPr>
              <w:t xml:space="preserve"> deliver on all of its outputs, expenditure and achieve the majority of the indicator targets  - but that does not necessarily guarantee sustainability.  The project has a great deal of work to do to build foundations that will make the work that it has carried out and the impacts that it may achieve sustainable.</w:t>
            </w:r>
          </w:p>
        </w:tc>
      </w:tr>
    </w:tbl>
    <w:p w14:paraId="40FED21C" w14:textId="557FD96A" w:rsidR="009D289B" w:rsidRDefault="009D289B" w:rsidP="009D289B"/>
    <w:p w14:paraId="3FEB9D75" w14:textId="77777777" w:rsidR="00E4257F" w:rsidRDefault="00E4257F" w:rsidP="00E4257F">
      <w:pPr>
        <w:pStyle w:val="Heading2"/>
        <w:numPr>
          <w:ilvl w:val="0"/>
          <w:numId w:val="0"/>
        </w:numPr>
      </w:pPr>
      <w:bookmarkStart w:id="7" w:name="_Toc311452859"/>
      <w:r w:rsidRPr="00516656">
        <w:t>Summary of conclusions</w:t>
      </w:r>
      <w:bookmarkEnd w:id="7"/>
    </w:p>
    <w:p w14:paraId="78B9AB76" w14:textId="04C2078C" w:rsidR="00392415" w:rsidRPr="00BA7202" w:rsidRDefault="00392415" w:rsidP="00392415">
      <w:pPr>
        <w:jc w:val="both"/>
        <w:rPr>
          <w:sz w:val="22"/>
          <w:szCs w:val="22"/>
        </w:rPr>
      </w:pPr>
      <w:r w:rsidRPr="00BA7202">
        <w:rPr>
          <w:sz w:val="22"/>
          <w:szCs w:val="22"/>
        </w:rPr>
        <w:t xml:space="preserve">In conclusion, then, the project is complex, challenging and ambitious in a number of ways: </w:t>
      </w:r>
      <w:proofErr w:type="spellStart"/>
      <w:r w:rsidRPr="00BA7202">
        <w:rPr>
          <w:sz w:val="22"/>
          <w:szCs w:val="22"/>
        </w:rPr>
        <w:t>i</w:t>
      </w:r>
      <w:proofErr w:type="spellEnd"/>
      <w:r w:rsidRPr="00BA7202">
        <w:rPr>
          <w:sz w:val="22"/>
          <w:szCs w:val="22"/>
        </w:rPr>
        <w:t xml:space="preserve">) it proposes to amend laws and establish a new protected area at the national level – both of which will require high level governmental approvals, ii) work with local authorities at the provincial and district levels to mainstream biodiversity conservation into the land use plans – especially within the identified </w:t>
      </w:r>
      <w:r w:rsidR="006F2F52">
        <w:rPr>
          <w:sz w:val="22"/>
          <w:szCs w:val="22"/>
        </w:rPr>
        <w:t xml:space="preserve">ecologically important areas surrounding the </w:t>
      </w:r>
      <w:r w:rsidRPr="00BA7202">
        <w:rPr>
          <w:sz w:val="22"/>
          <w:szCs w:val="22"/>
        </w:rPr>
        <w:t>protected area</w:t>
      </w:r>
      <w:r w:rsidR="006F2F52">
        <w:rPr>
          <w:sz w:val="22"/>
          <w:szCs w:val="22"/>
        </w:rPr>
        <w:t>s</w:t>
      </w:r>
      <w:r w:rsidRPr="00BA7202">
        <w:rPr>
          <w:sz w:val="22"/>
          <w:szCs w:val="22"/>
        </w:rPr>
        <w:t xml:space="preserve"> and within the corridors between the protected areas – and implement measure to enforce regulations, and iii) develop and implement an alternative livelihood program among local communities.  The project proposes to do all this in a four-year period and with a budget of less than USD one million!  </w:t>
      </w:r>
    </w:p>
    <w:p w14:paraId="7D928307" w14:textId="0EFE0799" w:rsidR="00392415" w:rsidRPr="00EB4ACE" w:rsidRDefault="00392415" w:rsidP="00EB4ACE">
      <w:pPr>
        <w:jc w:val="both"/>
        <w:rPr>
          <w:sz w:val="22"/>
          <w:szCs w:val="22"/>
        </w:rPr>
      </w:pPr>
      <w:r w:rsidRPr="00BA7202">
        <w:rPr>
          <w:sz w:val="22"/>
          <w:szCs w:val="22"/>
        </w:rPr>
        <w:t xml:space="preserve">As such, it fits into the category of a high risk, high impact project: if it manages what it set out to achieve, it will be a great success.  Indeed, to date, the project has made some good progress but there are a number of shortcomings.  And while there has been significant progress, there is a huge amount yet to be done in a relatively short (20 months) period of time particularly if the project is to provide secure foundations on which the Khan </w:t>
      </w:r>
      <w:proofErr w:type="spellStart"/>
      <w:r w:rsidRPr="00BA7202">
        <w:rPr>
          <w:sz w:val="22"/>
          <w:szCs w:val="22"/>
        </w:rPr>
        <w:t>Tengri</w:t>
      </w:r>
      <w:proofErr w:type="spellEnd"/>
      <w:r w:rsidRPr="00BA7202">
        <w:rPr>
          <w:sz w:val="22"/>
          <w:szCs w:val="22"/>
        </w:rPr>
        <w:t xml:space="preserve"> National Park can be built and on which the livelihoods of the local communities can remain secure without an over-dependence on natural resources.  It is ensuring the likelihood of the </w:t>
      </w:r>
      <w:r w:rsidRPr="00BA7202">
        <w:rPr>
          <w:i/>
          <w:sz w:val="22"/>
          <w:szCs w:val="22"/>
        </w:rPr>
        <w:t>sustainability</w:t>
      </w:r>
      <w:r w:rsidRPr="00BA7202">
        <w:rPr>
          <w:sz w:val="22"/>
          <w:szCs w:val="22"/>
        </w:rPr>
        <w:t xml:space="preserve"> of the projects outputs and outcomes that will be the biggest challenge that the project faces in the coming 20 months.</w:t>
      </w:r>
    </w:p>
    <w:p w14:paraId="4D0473BC" w14:textId="77777777" w:rsidR="00E4257F" w:rsidRDefault="00E4257F" w:rsidP="00E4257F">
      <w:pPr>
        <w:pStyle w:val="Heading2"/>
        <w:numPr>
          <w:ilvl w:val="0"/>
          <w:numId w:val="0"/>
        </w:numPr>
      </w:pPr>
      <w:bookmarkStart w:id="8" w:name="_Toc311452860"/>
      <w:r w:rsidRPr="00516656">
        <w:t>Recommendation Summary Table</w:t>
      </w:r>
      <w:bookmarkEnd w:id="8"/>
    </w:p>
    <w:tbl>
      <w:tblPr>
        <w:tblStyle w:val="TableGrid"/>
        <w:tblW w:w="0" w:type="auto"/>
        <w:tblLayout w:type="fixed"/>
        <w:tblLook w:val="04A0" w:firstRow="1" w:lastRow="0" w:firstColumn="1" w:lastColumn="0" w:noHBand="0" w:noVBand="1"/>
      </w:tblPr>
      <w:tblGrid>
        <w:gridCol w:w="675"/>
        <w:gridCol w:w="6096"/>
        <w:gridCol w:w="1751"/>
      </w:tblGrid>
      <w:tr w:rsidR="00EE7FE8" w:rsidRPr="00BB109F" w14:paraId="2169D0A9" w14:textId="77777777" w:rsidTr="0043125F">
        <w:trPr>
          <w:tblHeader/>
        </w:trPr>
        <w:tc>
          <w:tcPr>
            <w:tcW w:w="675" w:type="dxa"/>
            <w:shd w:val="clear" w:color="auto" w:fill="BFBFBF" w:themeFill="background1" w:themeFillShade="BF"/>
          </w:tcPr>
          <w:p w14:paraId="786928B1" w14:textId="77777777" w:rsidR="00EE7FE8" w:rsidRPr="00BB109F" w:rsidRDefault="00EE7FE8" w:rsidP="00EE7FE8">
            <w:pPr>
              <w:rPr>
                <w:b/>
                <w:sz w:val="20"/>
                <w:szCs w:val="20"/>
              </w:rPr>
            </w:pPr>
            <w:r w:rsidRPr="00BB109F">
              <w:rPr>
                <w:b/>
                <w:sz w:val="20"/>
                <w:szCs w:val="20"/>
              </w:rPr>
              <w:t>Rec#</w:t>
            </w:r>
          </w:p>
        </w:tc>
        <w:tc>
          <w:tcPr>
            <w:tcW w:w="6096" w:type="dxa"/>
            <w:shd w:val="clear" w:color="auto" w:fill="BFBFBF" w:themeFill="background1" w:themeFillShade="BF"/>
          </w:tcPr>
          <w:p w14:paraId="754AFB9E" w14:textId="77777777" w:rsidR="00EE7FE8" w:rsidRPr="00BB109F" w:rsidRDefault="00EE7FE8" w:rsidP="00EE7FE8">
            <w:pPr>
              <w:rPr>
                <w:b/>
                <w:sz w:val="20"/>
                <w:szCs w:val="20"/>
              </w:rPr>
            </w:pPr>
            <w:r w:rsidRPr="00BB109F">
              <w:rPr>
                <w:b/>
                <w:sz w:val="20"/>
                <w:szCs w:val="20"/>
              </w:rPr>
              <w:t>Recommendation</w:t>
            </w:r>
          </w:p>
        </w:tc>
        <w:tc>
          <w:tcPr>
            <w:tcW w:w="1751" w:type="dxa"/>
            <w:shd w:val="clear" w:color="auto" w:fill="BFBFBF" w:themeFill="background1" w:themeFillShade="BF"/>
          </w:tcPr>
          <w:p w14:paraId="58A3DD33" w14:textId="77777777" w:rsidR="00EE7FE8" w:rsidRPr="00BB109F" w:rsidRDefault="00EE7FE8" w:rsidP="00EE7FE8">
            <w:pPr>
              <w:rPr>
                <w:b/>
                <w:sz w:val="20"/>
                <w:szCs w:val="20"/>
              </w:rPr>
            </w:pPr>
            <w:r w:rsidRPr="00BB109F">
              <w:rPr>
                <w:b/>
                <w:sz w:val="20"/>
                <w:szCs w:val="20"/>
              </w:rPr>
              <w:t>Entity Responsible</w:t>
            </w:r>
          </w:p>
        </w:tc>
      </w:tr>
      <w:tr w:rsidR="00EE7FE8" w:rsidRPr="00BB109F" w14:paraId="17921612" w14:textId="77777777" w:rsidTr="0043125F">
        <w:tc>
          <w:tcPr>
            <w:tcW w:w="675" w:type="dxa"/>
            <w:shd w:val="clear" w:color="auto" w:fill="D9D9D9" w:themeFill="background1" w:themeFillShade="D9"/>
          </w:tcPr>
          <w:p w14:paraId="7376A2C8" w14:textId="77777777" w:rsidR="00EE7FE8" w:rsidRPr="00BB109F" w:rsidRDefault="00EE7FE8" w:rsidP="00EE7FE8">
            <w:pPr>
              <w:rPr>
                <w:sz w:val="20"/>
                <w:szCs w:val="20"/>
              </w:rPr>
            </w:pPr>
            <w:r w:rsidRPr="00BB109F">
              <w:rPr>
                <w:sz w:val="20"/>
                <w:szCs w:val="20"/>
              </w:rPr>
              <w:t>A</w:t>
            </w:r>
          </w:p>
        </w:tc>
        <w:tc>
          <w:tcPr>
            <w:tcW w:w="6096" w:type="dxa"/>
            <w:shd w:val="clear" w:color="auto" w:fill="D9D9D9" w:themeFill="background1" w:themeFillShade="D9"/>
          </w:tcPr>
          <w:p w14:paraId="294FC61F" w14:textId="77777777" w:rsidR="00EE7FE8" w:rsidRPr="00BB109F" w:rsidRDefault="00EE7FE8" w:rsidP="00EE7FE8">
            <w:pPr>
              <w:rPr>
                <w:sz w:val="20"/>
                <w:szCs w:val="20"/>
              </w:rPr>
            </w:pPr>
            <w:r w:rsidRPr="00BB109F">
              <w:rPr>
                <w:sz w:val="20"/>
                <w:szCs w:val="20"/>
              </w:rPr>
              <w:t xml:space="preserve">Objective: </w:t>
            </w:r>
          </w:p>
        </w:tc>
        <w:tc>
          <w:tcPr>
            <w:tcW w:w="1751" w:type="dxa"/>
            <w:shd w:val="clear" w:color="auto" w:fill="D9D9D9" w:themeFill="background1" w:themeFillShade="D9"/>
          </w:tcPr>
          <w:p w14:paraId="747069A7" w14:textId="77777777" w:rsidR="00EE7FE8" w:rsidRPr="00BB109F" w:rsidRDefault="00EE7FE8" w:rsidP="00EE7FE8">
            <w:pPr>
              <w:rPr>
                <w:sz w:val="20"/>
                <w:szCs w:val="20"/>
              </w:rPr>
            </w:pPr>
          </w:p>
        </w:tc>
      </w:tr>
      <w:tr w:rsidR="00EE7FE8" w:rsidRPr="00BB109F" w14:paraId="78DC0873" w14:textId="77777777" w:rsidTr="0043125F">
        <w:tc>
          <w:tcPr>
            <w:tcW w:w="675" w:type="dxa"/>
          </w:tcPr>
          <w:p w14:paraId="5A656151" w14:textId="77777777" w:rsidR="00EE7FE8" w:rsidRPr="00BB109F" w:rsidRDefault="00EE7FE8" w:rsidP="00EE7FE8">
            <w:pPr>
              <w:rPr>
                <w:sz w:val="20"/>
                <w:szCs w:val="20"/>
              </w:rPr>
            </w:pPr>
            <w:r>
              <w:rPr>
                <w:sz w:val="20"/>
                <w:szCs w:val="20"/>
              </w:rPr>
              <w:t>A.1</w:t>
            </w:r>
          </w:p>
        </w:tc>
        <w:tc>
          <w:tcPr>
            <w:tcW w:w="6096" w:type="dxa"/>
          </w:tcPr>
          <w:p w14:paraId="7E5343C7" w14:textId="50D0C364" w:rsidR="00EE7FE8" w:rsidRPr="00BB109F" w:rsidRDefault="00EE7FE8" w:rsidP="0043125F">
            <w:pPr>
              <w:rPr>
                <w:sz w:val="20"/>
                <w:szCs w:val="20"/>
              </w:rPr>
            </w:pPr>
            <w:r>
              <w:rPr>
                <w:sz w:val="20"/>
                <w:szCs w:val="20"/>
              </w:rPr>
              <w:t>Amendments to project results framework (</w:t>
            </w:r>
            <w:r w:rsidRPr="0043125F">
              <w:rPr>
                <w:sz w:val="20"/>
                <w:szCs w:val="20"/>
              </w:rPr>
              <w:t>see</w:t>
            </w:r>
            <w:r w:rsidR="0043125F" w:rsidRPr="0043125F">
              <w:rPr>
                <w:sz w:val="20"/>
                <w:szCs w:val="20"/>
              </w:rPr>
              <w:t xml:space="preserve"> </w:t>
            </w:r>
            <w:r w:rsidR="0043125F" w:rsidRPr="0043125F">
              <w:rPr>
                <w:sz w:val="20"/>
                <w:szCs w:val="20"/>
              </w:rPr>
              <w:fldChar w:fldCharType="begin"/>
            </w:r>
            <w:r w:rsidR="0043125F" w:rsidRPr="0043125F">
              <w:rPr>
                <w:sz w:val="20"/>
                <w:szCs w:val="20"/>
              </w:rPr>
              <w:instrText xml:space="preserve"> REF _Ref311445607 \h </w:instrText>
            </w:r>
            <w:r w:rsidR="0043125F" w:rsidRPr="0043125F">
              <w:rPr>
                <w:sz w:val="20"/>
                <w:szCs w:val="20"/>
              </w:rPr>
            </w:r>
            <w:r w:rsidR="0043125F" w:rsidRPr="0043125F">
              <w:rPr>
                <w:sz w:val="20"/>
                <w:szCs w:val="20"/>
              </w:rPr>
              <w:fldChar w:fldCharType="separate"/>
            </w:r>
            <w:r w:rsidR="0043125F" w:rsidRPr="0043125F">
              <w:rPr>
                <w:sz w:val="20"/>
                <w:szCs w:val="20"/>
              </w:rPr>
              <w:t xml:space="preserve">Table </w:t>
            </w:r>
            <w:r w:rsidR="0043125F" w:rsidRPr="0043125F">
              <w:rPr>
                <w:noProof/>
                <w:sz w:val="20"/>
                <w:szCs w:val="20"/>
              </w:rPr>
              <w:t>9</w:t>
            </w:r>
            <w:r w:rsidR="0043125F" w:rsidRPr="0043125F">
              <w:rPr>
                <w:sz w:val="20"/>
                <w:szCs w:val="20"/>
              </w:rPr>
              <w:fldChar w:fldCharType="end"/>
            </w:r>
            <w:r>
              <w:rPr>
                <w:sz w:val="20"/>
                <w:szCs w:val="20"/>
              </w:rPr>
              <w:t>)</w:t>
            </w:r>
          </w:p>
        </w:tc>
        <w:tc>
          <w:tcPr>
            <w:tcW w:w="1751" w:type="dxa"/>
          </w:tcPr>
          <w:p w14:paraId="5B5C23F3" w14:textId="77777777" w:rsidR="00EE7FE8" w:rsidRPr="00BB109F" w:rsidRDefault="00EE7FE8" w:rsidP="00EE7FE8">
            <w:pPr>
              <w:rPr>
                <w:sz w:val="20"/>
                <w:szCs w:val="20"/>
              </w:rPr>
            </w:pPr>
            <w:r>
              <w:rPr>
                <w:sz w:val="20"/>
                <w:szCs w:val="20"/>
              </w:rPr>
              <w:t>PB, UNDP-GEF RTA</w:t>
            </w:r>
          </w:p>
        </w:tc>
      </w:tr>
      <w:tr w:rsidR="00EE7FE8" w:rsidRPr="00BB109F" w14:paraId="2C8B23DF" w14:textId="77777777" w:rsidTr="0043125F">
        <w:tc>
          <w:tcPr>
            <w:tcW w:w="675" w:type="dxa"/>
          </w:tcPr>
          <w:p w14:paraId="2C3D288D" w14:textId="77777777" w:rsidR="00EE7FE8" w:rsidRDefault="00EE7FE8" w:rsidP="00EE7FE8">
            <w:pPr>
              <w:rPr>
                <w:sz w:val="20"/>
                <w:szCs w:val="20"/>
              </w:rPr>
            </w:pPr>
            <w:r>
              <w:rPr>
                <w:sz w:val="20"/>
                <w:szCs w:val="20"/>
              </w:rPr>
              <w:t>A.2</w:t>
            </w:r>
          </w:p>
        </w:tc>
        <w:tc>
          <w:tcPr>
            <w:tcW w:w="6096" w:type="dxa"/>
          </w:tcPr>
          <w:p w14:paraId="41497DF8" w14:textId="77777777" w:rsidR="00EE7FE8" w:rsidRDefault="00EE7FE8" w:rsidP="00EE7FE8">
            <w:pPr>
              <w:rPr>
                <w:sz w:val="20"/>
                <w:szCs w:val="20"/>
              </w:rPr>
            </w:pPr>
            <w:r>
              <w:rPr>
                <w:sz w:val="20"/>
                <w:szCs w:val="20"/>
              </w:rPr>
              <w:t>The project requests a no-cost extension of up to one year.</w:t>
            </w:r>
          </w:p>
        </w:tc>
        <w:tc>
          <w:tcPr>
            <w:tcW w:w="1751" w:type="dxa"/>
          </w:tcPr>
          <w:p w14:paraId="3B725747" w14:textId="77777777" w:rsidR="00EE7FE8" w:rsidRDefault="00EE7FE8" w:rsidP="00EE7FE8">
            <w:pPr>
              <w:rPr>
                <w:sz w:val="20"/>
                <w:szCs w:val="20"/>
              </w:rPr>
            </w:pPr>
            <w:r>
              <w:rPr>
                <w:sz w:val="20"/>
                <w:szCs w:val="20"/>
              </w:rPr>
              <w:t>PB, UNDP-CO, UNDP-GEF RTA</w:t>
            </w:r>
          </w:p>
        </w:tc>
      </w:tr>
      <w:tr w:rsidR="00EE7FE8" w:rsidRPr="00BB109F" w14:paraId="6C4DAA2C" w14:textId="77777777" w:rsidTr="0043125F">
        <w:tc>
          <w:tcPr>
            <w:tcW w:w="675" w:type="dxa"/>
          </w:tcPr>
          <w:p w14:paraId="70EBFD1F" w14:textId="77777777" w:rsidR="00EE7FE8" w:rsidRDefault="00EE7FE8" w:rsidP="00EE7FE8">
            <w:pPr>
              <w:rPr>
                <w:sz w:val="20"/>
                <w:szCs w:val="20"/>
              </w:rPr>
            </w:pPr>
            <w:r>
              <w:rPr>
                <w:sz w:val="20"/>
                <w:szCs w:val="20"/>
              </w:rPr>
              <w:t>A.3</w:t>
            </w:r>
          </w:p>
        </w:tc>
        <w:tc>
          <w:tcPr>
            <w:tcW w:w="6096" w:type="dxa"/>
          </w:tcPr>
          <w:p w14:paraId="285A89AC" w14:textId="373ED11A" w:rsidR="00EE7FE8" w:rsidRDefault="00EE7FE8" w:rsidP="009835F5">
            <w:pPr>
              <w:rPr>
                <w:sz w:val="20"/>
                <w:szCs w:val="20"/>
              </w:rPr>
            </w:pPr>
            <w:r>
              <w:rPr>
                <w:sz w:val="20"/>
                <w:szCs w:val="20"/>
              </w:rPr>
              <w:t xml:space="preserve">If the project does not hit a series of four triggers by </w:t>
            </w:r>
            <w:r w:rsidR="009835F5">
              <w:rPr>
                <w:sz w:val="20"/>
                <w:szCs w:val="20"/>
              </w:rPr>
              <w:t>30 September</w:t>
            </w:r>
            <w:r>
              <w:rPr>
                <w:sz w:val="20"/>
                <w:szCs w:val="20"/>
              </w:rPr>
              <w:t xml:space="preserve"> 2016, the project should be closed immediately</w:t>
            </w:r>
          </w:p>
        </w:tc>
        <w:tc>
          <w:tcPr>
            <w:tcW w:w="1751" w:type="dxa"/>
          </w:tcPr>
          <w:p w14:paraId="34604541" w14:textId="77777777" w:rsidR="00EE7FE8" w:rsidRDefault="00EE7FE8" w:rsidP="00EE7FE8">
            <w:pPr>
              <w:rPr>
                <w:sz w:val="20"/>
                <w:szCs w:val="20"/>
              </w:rPr>
            </w:pPr>
            <w:r>
              <w:rPr>
                <w:sz w:val="20"/>
                <w:szCs w:val="20"/>
              </w:rPr>
              <w:t>PB, UNDP-CO, UNDP-GEF RTA</w:t>
            </w:r>
          </w:p>
        </w:tc>
      </w:tr>
      <w:tr w:rsidR="00EE7FE8" w:rsidRPr="00BB109F" w14:paraId="79BE24A5" w14:textId="77777777" w:rsidTr="0043125F">
        <w:tc>
          <w:tcPr>
            <w:tcW w:w="675" w:type="dxa"/>
            <w:shd w:val="clear" w:color="auto" w:fill="D9D9D9" w:themeFill="background1" w:themeFillShade="D9"/>
          </w:tcPr>
          <w:p w14:paraId="7A8658D6" w14:textId="77777777" w:rsidR="00EE7FE8" w:rsidRPr="00BB109F" w:rsidRDefault="00EE7FE8" w:rsidP="00EE7FE8">
            <w:pPr>
              <w:rPr>
                <w:sz w:val="20"/>
                <w:szCs w:val="20"/>
              </w:rPr>
            </w:pPr>
            <w:r w:rsidRPr="00BB109F">
              <w:rPr>
                <w:sz w:val="20"/>
                <w:szCs w:val="20"/>
              </w:rPr>
              <w:t>B</w:t>
            </w:r>
          </w:p>
        </w:tc>
        <w:tc>
          <w:tcPr>
            <w:tcW w:w="6096" w:type="dxa"/>
            <w:shd w:val="clear" w:color="auto" w:fill="D9D9D9" w:themeFill="background1" w:themeFillShade="D9"/>
          </w:tcPr>
          <w:p w14:paraId="0F0AF784" w14:textId="77777777" w:rsidR="00EE7FE8" w:rsidRPr="00BB109F" w:rsidRDefault="00EE7FE8" w:rsidP="00EE7FE8">
            <w:pPr>
              <w:rPr>
                <w:sz w:val="20"/>
                <w:szCs w:val="20"/>
              </w:rPr>
            </w:pPr>
            <w:r w:rsidRPr="00BB109F">
              <w:rPr>
                <w:sz w:val="20"/>
                <w:szCs w:val="20"/>
              </w:rPr>
              <w:t>Outcome 1:</w:t>
            </w:r>
          </w:p>
        </w:tc>
        <w:tc>
          <w:tcPr>
            <w:tcW w:w="1751" w:type="dxa"/>
            <w:shd w:val="clear" w:color="auto" w:fill="D9D9D9" w:themeFill="background1" w:themeFillShade="D9"/>
          </w:tcPr>
          <w:p w14:paraId="32C63A7A" w14:textId="77777777" w:rsidR="00EE7FE8" w:rsidRPr="00BB109F" w:rsidRDefault="00EE7FE8" w:rsidP="00EE7FE8">
            <w:pPr>
              <w:rPr>
                <w:sz w:val="20"/>
                <w:szCs w:val="20"/>
              </w:rPr>
            </w:pPr>
          </w:p>
        </w:tc>
      </w:tr>
      <w:tr w:rsidR="00EE7FE8" w:rsidRPr="00BB109F" w14:paraId="0F71A7AF" w14:textId="77777777" w:rsidTr="0043125F">
        <w:tc>
          <w:tcPr>
            <w:tcW w:w="675" w:type="dxa"/>
          </w:tcPr>
          <w:p w14:paraId="0E90D557" w14:textId="77777777" w:rsidR="00EE7FE8" w:rsidRPr="00BB109F" w:rsidRDefault="00EE7FE8" w:rsidP="00EE7FE8">
            <w:pPr>
              <w:rPr>
                <w:sz w:val="20"/>
                <w:szCs w:val="20"/>
              </w:rPr>
            </w:pPr>
            <w:r>
              <w:rPr>
                <w:sz w:val="20"/>
                <w:szCs w:val="20"/>
              </w:rPr>
              <w:t>B.1</w:t>
            </w:r>
          </w:p>
        </w:tc>
        <w:tc>
          <w:tcPr>
            <w:tcW w:w="6096" w:type="dxa"/>
          </w:tcPr>
          <w:p w14:paraId="655526C5" w14:textId="77777777" w:rsidR="00EE7FE8" w:rsidRPr="00BB109F" w:rsidRDefault="00EE7FE8" w:rsidP="00EE7FE8">
            <w:pPr>
              <w:rPr>
                <w:sz w:val="20"/>
                <w:szCs w:val="20"/>
              </w:rPr>
            </w:pPr>
            <w:r>
              <w:rPr>
                <w:sz w:val="20"/>
                <w:szCs w:val="20"/>
              </w:rPr>
              <w:t xml:space="preserve">Do not establish the KTNP without first exhausting </w:t>
            </w:r>
            <w:r w:rsidRPr="006C4593">
              <w:rPr>
                <w:i/>
                <w:sz w:val="20"/>
                <w:szCs w:val="20"/>
              </w:rPr>
              <w:t xml:space="preserve">all possible options </w:t>
            </w:r>
            <w:r>
              <w:rPr>
                <w:sz w:val="20"/>
                <w:szCs w:val="20"/>
              </w:rPr>
              <w:t xml:space="preserve">with the </w:t>
            </w:r>
            <w:proofErr w:type="spellStart"/>
            <w:r>
              <w:rPr>
                <w:sz w:val="20"/>
                <w:szCs w:val="20"/>
              </w:rPr>
              <w:t>Otradnoe</w:t>
            </w:r>
            <w:proofErr w:type="spellEnd"/>
            <w:r>
              <w:rPr>
                <w:sz w:val="20"/>
                <w:szCs w:val="20"/>
              </w:rPr>
              <w:t xml:space="preserve"> </w:t>
            </w:r>
            <w:proofErr w:type="spellStart"/>
            <w:r w:rsidRPr="006C4593">
              <w:rPr>
                <w:i/>
                <w:sz w:val="20"/>
                <w:szCs w:val="20"/>
              </w:rPr>
              <w:t>aiyl</w:t>
            </w:r>
            <w:proofErr w:type="spellEnd"/>
            <w:r w:rsidRPr="006C4593">
              <w:rPr>
                <w:i/>
                <w:sz w:val="20"/>
                <w:szCs w:val="20"/>
              </w:rPr>
              <w:t xml:space="preserve"> </w:t>
            </w:r>
            <w:proofErr w:type="spellStart"/>
            <w:r w:rsidRPr="006C4593">
              <w:rPr>
                <w:i/>
                <w:sz w:val="20"/>
                <w:szCs w:val="20"/>
              </w:rPr>
              <w:t>okmotu</w:t>
            </w:r>
            <w:proofErr w:type="spellEnd"/>
            <w:r>
              <w:rPr>
                <w:sz w:val="20"/>
                <w:szCs w:val="20"/>
              </w:rPr>
              <w:t xml:space="preserve"> (see Recommendation C.1); the 25,000ha area of pasture is of biodiversity importance and its exclusion from the KTNP would lead to fragmentation and a loss of integrity.   Other options do exist for further negotiations.</w:t>
            </w:r>
          </w:p>
        </w:tc>
        <w:tc>
          <w:tcPr>
            <w:tcW w:w="1751" w:type="dxa"/>
          </w:tcPr>
          <w:p w14:paraId="0EBD4E4D" w14:textId="77777777" w:rsidR="00EE7FE8" w:rsidRPr="00BB109F" w:rsidRDefault="00EE7FE8" w:rsidP="00EE7FE8">
            <w:pPr>
              <w:rPr>
                <w:sz w:val="20"/>
                <w:szCs w:val="20"/>
              </w:rPr>
            </w:pPr>
            <w:r>
              <w:rPr>
                <w:sz w:val="20"/>
                <w:szCs w:val="20"/>
              </w:rPr>
              <w:t>SAEPF, PIU</w:t>
            </w:r>
          </w:p>
        </w:tc>
      </w:tr>
      <w:tr w:rsidR="00EE7FE8" w:rsidRPr="00BB109F" w14:paraId="5BE41A36" w14:textId="77777777" w:rsidTr="0043125F">
        <w:tc>
          <w:tcPr>
            <w:tcW w:w="675" w:type="dxa"/>
          </w:tcPr>
          <w:p w14:paraId="163A9189" w14:textId="77777777" w:rsidR="00EE7FE8" w:rsidRDefault="00EE7FE8" w:rsidP="00EE7FE8">
            <w:pPr>
              <w:rPr>
                <w:sz w:val="20"/>
                <w:szCs w:val="20"/>
              </w:rPr>
            </w:pPr>
            <w:r>
              <w:rPr>
                <w:sz w:val="20"/>
                <w:szCs w:val="20"/>
              </w:rPr>
              <w:t>B.2</w:t>
            </w:r>
          </w:p>
        </w:tc>
        <w:tc>
          <w:tcPr>
            <w:tcW w:w="6096" w:type="dxa"/>
          </w:tcPr>
          <w:p w14:paraId="5FEDE7A5" w14:textId="77777777" w:rsidR="00EE7FE8" w:rsidRDefault="00EE7FE8" w:rsidP="00EE7FE8">
            <w:pPr>
              <w:rPr>
                <w:sz w:val="20"/>
                <w:szCs w:val="20"/>
              </w:rPr>
            </w:pPr>
            <w:r>
              <w:rPr>
                <w:sz w:val="20"/>
                <w:szCs w:val="20"/>
              </w:rPr>
              <w:t>Seek a long-term, non-governmental partner for the KTNP; secure a long-term agreement between SAEPF and the partner for financial and technical support.</w:t>
            </w:r>
          </w:p>
        </w:tc>
        <w:tc>
          <w:tcPr>
            <w:tcW w:w="1751" w:type="dxa"/>
          </w:tcPr>
          <w:p w14:paraId="44DC8B98" w14:textId="77777777" w:rsidR="00EE7FE8" w:rsidRDefault="00EE7FE8" w:rsidP="00EE7FE8">
            <w:pPr>
              <w:rPr>
                <w:sz w:val="20"/>
                <w:szCs w:val="20"/>
              </w:rPr>
            </w:pPr>
            <w:r>
              <w:rPr>
                <w:sz w:val="20"/>
                <w:szCs w:val="20"/>
              </w:rPr>
              <w:t>PIU, SAEPF, NGOs</w:t>
            </w:r>
          </w:p>
        </w:tc>
      </w:tr>
      <w:tr w:rsidR="00EE7FE8" w:rsidRPr="00BB109F" w14:paraId="5AD6E529" w14:textId="77777777" w:rsidTr="0043125F">
        <w:tc>
          <w:tcPr>
            <w:tcW w:w="675" w:type="dxa"/>
          </w:tcPr>
          <w:p w14:paraId="58CE7B35" w14:textId="77777777" w:rsidR="00EE7FE8" w:rsidRDefault="00EE7FE8" w:rsidP="00EE7FE8">
            <w:pPr>
              <w:rPr>
                <w:sz w:val="20"/>
                <w:szCs w:val="20"/>
              </w:rPr>
            </w:pPr>
            <w:r>
              <w:rPr>
                <w:sz w:val="20"/>
                <w:szCs w:val="20"/>
              </w:rPr>
              <w:t>B.3</w:t>
            </w:r>
          </w:p>
        </w:tc>
        <w:tc>
          <w:tcPr>
            <w:tcW w:w="6096" w:type="dxa"/>
          </w:tcPr>
          <w:p w14:paraId="0459882F" w14:textId="0BF466D3" w:rsidR="00EE7FE8" w:rsidRDefault="00EE7FE8" w:rsidP="00027594">
            <w:pPr>
              <w:rPr>
                <w:sz w:val="20"/>
                <w:szCs w:val="20"/>
              </w:rPr>
            </w:pPr>
            <w:r>
              <w:rPr>
                <w:sz w:val="20"/>
                <w:szCs w:val="20"/>
              </w:rPr>
              <w:t xml:space="preserve">Establish the KTNP according to best current knowledge and practices from around the globe (see Annex </w:t>
            </w:r>
            <w:r w:rsidR="00027594">
              <w:rPr>
                <w:sz w:val="20"/>
                <w:szCs w:val="20"/>
              </w:rPr>
              <w:t>VII</w:t>
            </w:r>
            <w:r>
              <w:rPr>
                <w:sz w:val="20"/>
                <w:szCs w:val="20"/>
              </w:rPr>
              <w:t>)</w:t>
            </w:r>
          </w:p>
        </w:tc>
        <w:tc>
          <w:tcPr>
            <w:tcW w:w="1751" w:type="dxa"/>
          </w:tcPr>
          <w:p w14:paraId="79CA2413" w14:textId="77777777" w:rsidR="00EE7FE8" w:rsidRDefault="00EE7FE8" w:rsidP="00EE7FE8">
            <w:pPr>
              <w:rPr>
                <w:sz w:val="20"/>
                <w:szCs w:val="20"/>
              </w:rPr>
            </w:pPr>
            <w:r>
              <w:rPr>
                <w:sz w:val="20"/>
                <w:szCs w:val="20"/>
              </w:rPr>
              <w:t>PIU, SAEPF, UNDP-GEF RTA</w:t>
            </w:r>
          </w:p>
        </w:tc>
      </w:tr>
      <w:tr w:rsidR="00EE7FE8" w:rsidRPr="00BB109F" w14:paraId="40C4ED55" w14:textId="77777777" w:rsidTr="0043125F">
        <w:tc>
          <w:tcPr>
            <w:tcW w:w="675" w:type="dxa"/>
          </w:tcPr>
          <w:p w14:paraId="01224445" w14:textId="77777777" w:rsidR="00EE7FE8" w:rsidRDefault="00EE7FE8" w:rsidP="00EE7FE8">
            <w:pPr>
              <w:rPr>
                <w:sz w:val="20"/>
                <w:szCs w:val="20"/>
              </w:rPr>
            </w:pPr>
            <w:r>
              <w:rPr>
                <w:sz w:val="20"/>
                <w:szCs w:val="20"/>
              </w:rPr>
              <w:t>B.4</w:t>
            </w:r>
          </w:p>
        </w:tc>
        <w:tc>
          <w:tcPr>
            <w:tcW w:w="6096" w:type="dxa"/>
          </w:tcPr>
          <w:p w14:paraId="1AA1AD89" w14:textId="3BB9053A" w:rsidR="00EE7FE8" w:rsidRDefault="00EE7FE8" w:rsidP="00EE7FE8">
            <w:pPr>
              <w:rPr>
                <w:sz w:val="20"/>
                <w:szCs w:val="20"/>
              </w:rPr>
            </w:pPr>
            <w:r>
              <w:rPr>
                <w:sz w:val="20"/>
                <w:szCs w:val="20"/>
              </w:rPr>
              <w:t xml:space="preserve">Determine possibilities for </w:t>
            </w:r>
            <w:r w:rsidR="007E16F4">
              <w:rPr>
                <w:sz w:val="20"/>
                <w:szCs w:val="20"/>
              </w:rPr>
              <w:t xml:space="preserve">further </w:t>
            </w:r>
            <w:r>
              <w:rPr>
                <w:sz w:val="20"/>
                <w:szCs w:val="20"/>
              </w:rPr>
              <w:t>support an</w:t>
            </w:r>
            <w:r w:rsidR="007E16F4">
              <w:rPr>
                <w:sz w:val="20"/>
                <w:szCs w:val="20"/>
              </w:rPr>
              <w:t>d</w:t>
            </w:r>
            <w:r>
              <w:rPr>
                <w:sz w:val="20"/>
                <w:szCs w:val="20"/>
              </w:rPr>
              <w:t xml:space="preserve"> assistance in </w:t>
            </w:r>
            <w:proofErr w:type="spellStart"/>
            <w:r>
              <w:rPr>
                <w:sz w:val="20"/>
                <w:szCs w:val="20"/>
              </w:rPr>
              <w:t>Sarychat</w:t>
            </w:r>
            <w:proofErr w:type="spellEnd"/>
            <w:r>
              <w:rPr>
                <w:sz w:val="20"/>
                <w:szCs w:val="20"/>
              </w:rPr>
              <w:t xml:space="preserve"> </w:t>
            </w:r>
            <w:proofErr w:type="spellStart"/>
            <w:r>
              <w:rPr>
                <w:sz w:val="20"/>
                <w:szCs w:val="20"/>
              </w:rPr>
              <w:t>Ertash</w:t>
            </w:r>
            <w:proofErr w:type="spellEnd"/>
            <w:r>
              <w:rPr>
                <w:sz w:val="20"/>
                <w:szCs w:val="20"/>
              </w:rPr>
              <w:t xml:space="preserve"> </w:t>
            </w:r>
            <w:proofErr w:type="spellStart"/>
            <w:r>
              <w:rPr>
                <w:sz w:val="20"/>
                <w:szCs w:val="20"/>
              </w:rPr>
              <w:t>zapovednik</w:t>
            </w:r>
            <w:proofErr w:type="spellEnd"/>
            <w:r w:rsidR="007E16F4">
              <w:rPr>
                <w:sz w:val="20"/>
                <w:szCs w:val="20"/>
              </w:rPr>
              <w:t xml:space="preserve"> to ensure that the targeted METT score is </w:t>
            </w:r>
            <w:r w:rsidR="002306AB">
              <w:rPr>
                <w:sz w:val="20"/>
                <w:szCs w:val="20"/>
              </w:rPr>
              <w:t>achieved</w:t>
            </w:r>
          </w:p>
        </w:tc>
        <w:tc>
          <w:tcPr>
            <w:tcW w:w="1751" w:type="dxa"/>
          </w:tcPr>
          <w:p w14:paraId="478B2987" w14:textId="77777777" w:rsidR="00EE7FE8" w:rsidRDefault="00EE7FE8" w:rsidP="00EE7FE8">
            <w:pPr>
              <w:rPr>
                <w:sz w:val="20"/>
                <w:szCs w:val="20"/>
              </w:rPr>
            </w:pPr>
            <w:r>
              <w:rPr>
                <w:sz w:val="20"/>
                <w:szCs w:val="20"/>
              </w:rPr>
              <w:t>PIU, SAZ partners, SAEPF</w:t>
            </w:r>
          </w:p>
        </w:tc>
      </w:tr>
      <w:tr w:rsidR="00EE7FE8" w:rsidRPr="00BB109F" w14:paraId="070B2BCD" w14:textId="77777777" w:rsidTr="0043125F">
        <w:tc>
          <w:tcPr>
            <w:tcW w:w="675" w:type="dxa"/>
          </w:tcPr>
          <w:p w14:paraId="5DD1AA66" w14:textId="77777777" w:rsidR="00EE7FE8" w:rsidRDefault="00EE7FE8" w:rsidP="00EE7FE8">
            <w:pPr>
              <w:rPr>
                <w:sz w:val="20"/>
                <w:szCs w:val="20"/>
              </w:rPr>
            </w:pPr>
            <w:r>
              <w:rPr>
                <w:sz w:val="20"/>
                <w:szCs w:val="20"/>
              </w:rPr>
              <w:t>B.5</w:t>
            </w:r>
          </w:p>
        </w:tc>
        <w:tc>
          <w:tcPr>
            <w:tcW w:w="6096" w:type="dxa"/>
          </w:tcPr>
          <w:p w14:paraId="4F82E0B2" w14:textId="77777777" w:rsidR="00EE7FE8" w:rsidRDefault="00EE7FE8" w:rsidP="00EE7FE8">
            <w:pPr>
              <w:rPr>
                <w:sz w:val="20"/>
                <w:szCs w:val="20"/>
              </w:rPr>
            </w:pPr>
            <w:r>
              <w:rPr>
                <w:sz w:val="20"/>
                <w:szCs w:val="20"/>
              </w:rPr>
              <w:t>Catalyse the process of establishing a Snow Leopard Conservation Forum (for ensuring cooperation, collaboration and coordination among snow leopard conservation actors in Kyrgyzstan)</w:t>
            </w:r>
          </w:p>
        </w:tc>
        <w:tc>
          <w:tcPr>
            <w:tcW w:w="1751" w:type="dxa"/>
          </w:tcPr>
          <w:p w14:paraId="6AF2FE1A" w14:textId="77777777" w:rsidR="00EE7FE8" w:rsidRDefault="00EE7FE8" w:rsidP="00EE7FE8">
            <w:pPr>
              <w:rPr>
                <w:sz w:val="20"/>
                <w:szCs w:val="20"/>
              </w:rPr>
            </w:pPr>
            <w:r>
              <w:rPr>
                <w:sz w:val="20"/>
                <w:szCs w:val="20"/>
              </w:rPr>
              <w:t>SAEPF, PIU</w:t>
            </w:r>
          </w:p>
        </w:tc>
      </w:tr>
      <w:tr w:rsidR="00EE7FE8" w:rsidRPr="00BB109F" w14:paraId="4750BA29" w14:textId="77777777" w:rsidTr="0043125F">
        <w:tc>
          <w:tcPr>
            <w:tcW w:w="675" w:type="dxa"/>
            <w:shd w:val="clear" w:color="auto" w:fill="D9D9D9" w:themeFill="background1" w:themeFillShade="D9"/>
          </w:tcPr>
          <w:p w14:paraId="529C10CB" w14:textId="77777777" w:rsidR="00EE7FE8" w:rsidRPr="00BB109F" w:rsidRDefault="00EE7FE8" w:rsidP="00EE7FE8">
            <w:pPr>
              <w:rPr>
                <w:sz w:val="20"/>
                <w:szCs w:val="20"/>
              </w:rPr>
            </w:pPr>
            <w:r w:rsidRPr="00BB109F">
              <w:rPr>
                <w:sz w:val="20"/>
                <w:szCs w:val="20"/>
              </w:rPr>
              <w:t>C</w:t>
            </w:r>
          </w:p>
        </w:tc>
        <w:tc>
          <w:tcPr>
            <w:tcW w:w="6096" w:type="dxa"/>
            <w:shd w:val="clear" w:color="auto" w:fill="D9D9D9" w:themeFill="background1" w:themeFillShade="D9"/>
          </w:tcPr>
          <w:p w14:paraId="483D13DD" w14:textId="77777777" w:rsidR="00EE7FE8" w:rsidRPr="00BB109F" w:rsidRDefault="00EE7FE8" w:rsidP="00EE7FE8">
            <w:pPr>
              <w:rPr>
                <w:sz w:val="20"/>
                <w:szCs w:val="20"/>
              </w:rPr>
            </w:pPr>
            <w:r w:rsidRPr="00BB109F">
              <w:rPr>
                <w:sz w:val="20"/>
                <w:szCs w:val="20"/>
              </w:rPr>
              <w:t>Outcome 2:</w:t>
            </w:r>
          </w:p>
        </w:tc>
        <w:tc>
          <w:tcPr>
            <w:tcW w:w="1751" w:type="dxa"/>
            <w:shd w:val="clear" w:color="auto" w:fill="D9D9D9" w:themeFill="background1" w:themeFillShade="D9"/>
          </w:tcPr>
          <w:p w14:paraId="6A2FD023" w14:textId="77777777" w:rsidR="00EE7FE8" w:rsidRPr="00BB109F" w:rsidRDefault="00EE7FE8" w:rsidP="00EE7FE8">
            <w:pPr>
              <w:rPr>
                <w:sz w:val="20"/>
                <w:szCs w:val="20"/>
              </w:rPr>
            </w:pPr>
          </w:p>
        </w:tc>
      </w:tr>
      <w:tr w:rsidR="00EE7FE8" w:rsidRPr="00BB109F" w14:paraId="3333B37B" w14:textId="77777777" w:rsidTr="0043125F">
        <w:tc>
          <w:tcPr>
            <w:tcW w:w="675" w:type="dxa"/>
          </w:tcPr>
          <w:p w14:paraId="7F02A2DD" w14:textId="77777777" w:rsidR="00EE7FE8" w:rsidRPr="00BB109F" w:rsidRDefault="00EE7FE8" w:rsidP="00EE7FE8">
            <w:pPr>
              <w:rPr>
                <w:sz w:val="20"/>
                <w:szCs w:val="20"/>
              </w:rPr>
            </w:pPr>
            <w:r>
              <w:rPr>
                <w:sz w:val="20"/>
                <w:szCs w:val="20"/>
              </w:rPr>
              <w:t>C.1</w:t>
            </w:r>
          </w:p>
        </w:tc>
        <w:tc>
          <w:tcPr>
            <w:tcW w:w="6096" w:type="dxa"/>
          </w:tcPr>
          <w:p w14:paraId="232EEEAD" w14:textId="77777777" w:rsidR="00EE7FE8" w:rsidRDefault="00EE7FE8" w:rsidP="00EE7FE8">
            <w:pPr>
              <w:rPr>
                <w:sz w:val="20"/>
                <w:szCs w:val="20"/>
              </w:rPr>
            </w:pPr>
            <w:r>
              <w:rPr>
                <w:sz w:val="20"/>
                <w:szCs w:val="20"/>
              </w:rPr>
              <w:t>Immediately hire a CTA – Livelihoods</w:t>
            </w:r>
          </w:p>
          <w:p w14:paraId="5A871606" w14:textId="77777777" w:rsidR="00EE7FE8" w:rsidRPr="00BB109F" w:rsidRDefault="00EE7FE8" w:rsidP="00EE7FE8">
            <w:pPr>
              <w:rPr>
                <w:sz w:val="20"/>
                <w:szCs w:val="20"/>
              </w:rPr>
            </w:pPr>
            <w:r>
              <w:rPr>
                <w:sz w:val="20"/>
                <w:szCs w:val="20"/>
              </w:rPr>
              <w:t xml:space="preserve">CTA to review and assess feasibility and sustainability of livelihoods programme, lead negotiation with </w:t>
            </w:r>
            <w:proofErr w:type="spellStart"/>
            <w:r>
              <w:rPr>
                <w:sz w:val="20"/>
                <w:szCs w:val="20"/>
              </w:rPr>
              <w:t>Otradnoe</w:t>
            </w:r>
            <w:proofErr w:type="spellEnd"/>
            <w:r>
              <w:rPr>
                <w:sz w:val="20"/>
                <w:szCs w:val="20"/>
              </w:rPr>
              <w:t xml:space="preserve"> </w:t>
            </w:r>
            <w:proofErr w:type="spellStart"/>
            <w:r w:rsidRPr="009835F5">
              <w:rPr>
                <w:i/>
                <w:sz w:val="20"/>
                <w:szCs w:val="20"/>
              </w:rPr>
              <w:t>aiyl</w:t>
            </w:r>
            <w:proofErr w:type="spellEnd"/>
            <w:r w:rsidRPr="009835F5">
              <w:rPr>
                <w:i/>
                <w:sz w:val="20"/>
                <w:szCs w:val="20"/>
              </w:rPr>
              <w:t xml:space="preserve"> </w:t>
            </w:r>
            <w:proofErr w:type="spellStart"/>
            <w:r w:rsidRPr="009835F5">
              <w:rPr>
                <w:i/>
                <w:sz w:val="20"/>
                <w:szCs w:val="20"/>
              </w:rPr>
              <w:t>okmotu</w:t>
            </w:r>
            <w:proofErr w:type="spellEnd"/>
            <w:r>
              <w:rPr>
                <w:sz w:val="20"/>
                <w:szCs w:val="20"/>
              </w:rPr>
              <w:t xml:space="preserve">; lead study tour for local community representatives; support PC; select non-governmental partner for livelihoods work; implement livelihoods programme (including three components – community-based tourism, use and management of pastures/NRM, and micro-credit schemes); negotiate and sign natural resource use and management agreements with seven </w:t>
            </w:r>
            <w:proofErr w:type="spellStart"/>
            <w:r w:rsidRPr="00630079">
              <w:rPr>
                <w:i/>
                <w:sz w:val="20"/>
                <w:szCs w:val="20"/>
              </w:rPr>
              <w:t>aiyl</w:t>
            </w:r>
            <w:proofErr w:type="spellEnd"/>
            <w:r w:rsidRPr="00630079">
              <w:rPr>
                <w:i/>
                <w:sz w:val="20"/>
                <w:szCs w:val="20"/>
              </w:rPr>
              <w:t xml:space="preserve"> </w:t>
            </w:r>
            <w:proofErr w:type="spellStart"/>
            <w:r w:rsidRPr="00630079">
              <w:rPr>
                <w:i/>
                <w:sz w:val="20"/>
                <w:szCs w:val="20"/>
              </w:rPr>
              <w:t>okmotu</w:t>
            </w:r>
            <w:r>
              <w:rPr>
                <w:sz w:val="20"/>
                <w:szCs w:val="20"/>
              </w:rPr>
              <w:t>s</w:t>
            </w:r>
            <w:proofErr w:type="spellEnd"/>
            <w:r>
              <w:rPr>
                <w:sz w:val="20"/>
                <w:szCs w:val="20"/>
              </w:rPr>
              <w:t xml:space="preserve"> (and their pasture committees) with pastures included in KTNP</w:t>
            </w:r>
          </w:p>
        </w:tc>
        <w:tc>
          <w:tcPr>
            <w:tcW w:w="1751" w:type="dxa"/>
          </w:tcPr>
          <w:p w14:paraId="0B64C058" w14:textId="77777777" w:rsidR="00EE7FE8" w:rsidRPr="00BB109F" w:rsidRDefault="00EE7FE8" w:rsidP="00EE7FE8">
            <w:pPr>
              <w:rPr>
                <w:sz w:val="20"/>
                <w:szCs w:val="20"/>
              </w:rPr>
            </w:pPr>
            <w:r>
              <w:rPr>
                <w:sz w:val="20"/>
                <w:szCs w:val="20"/>
              </w:rPr>
              <w:t>PIU</w:t>
            </w:r>
          </w:p>
        </w:tc>
      </w:tr>
      <w:tr w:rsidR="00EE7FE8" w:rsidRPr="00BB109F" w14:paraId="15F3A5BC" w14:textId="77777777" w:rsidTr="0043125F">
        <w:tc>
          <w:tcPr>
            <w:tcW w:w="675" w:type="dxa"/>
          </w:tcPr>
          <w:p w14:paraId="61794269" w14:textId="77777777" w:rsidR="00EE7FE8" w:rsidRDefault="00EE7FE8" w:rsidP="00EE7FE8">
            <w:pPr>
              <w:rPr>
                <w:sz w:val="20"/>
                <w:szCs w:val="20"/>
              </w:rPr>
            </w:pPr>
            <w:r>
              <w:rPr>
                <w:sz w:val="20"/>
                <w:szCs w:val="20"/>
              </w:rPr>
              <w:t>C.2</w:t>
            </w:r>
          </w:p>
        </w:tc>
        <w:tc>
          <w:tcPr>
            <w:tcW w:w="6096" w:type="dxa"/>
          </w:tcPr>
          <w:p w14:paraId="03F58FFD" w14:textId="77777777" w:rsidR="00EE7FE8" w:rsidRDefault="00EE7FE8" w:rsidP="00EE7FE8">
            <w:pPr>
              <w:rPr>
                <w:sz w:val="20"/>
                <w:szCs w:val="20"/>
              </w:rPr>
            </w:pPr>
            <w:r>
              <w:rPr>
                <w:sz w:val="20"/>
                <w:szCs w:val="20"/>
              </w:rPr>
              <w:t>With the exception of quick wins (e.g., training inspectors), accept that improving the trophy hunting industry is beyond the scope of this project</w:t>
            </w:r>
          </w:p>
        </w:tc>
        <w:tc>
          <w:tcPr>
            <w:tcW w:w="1751" w:type="dxa"/>
          </w:tcPr>
          <w:p w14:paraId="7EA18837" w14:textId="77777777" w:rsidR="00EE7FE8" w:rsidRDefault="00EE7FE8" w:rsidP="00EE7FE8">
            <w:pPr>
              <w:rPr>
                <w:sz w:val="20"/>
                <w:szCs w:val="20"/>
              </w:rPr>
            </w:pPr>
            <w:r>
              <w:rPr>
                <w:sz w:val="20"/>
                <w:szCs w:val="20"/>
              </w:rPr>
              <w:t>SAEPF, UNDP-CO, UNDP-GEF RTA</w:t>
            </w:r>
          </w:p>
        </w:tc>
      </w:tr>
      <w:tr w:rsidR="00EE7FE8" w:rsidRPr="00BB109F" w14:paraId="3503280F" w14:textId="77777777" w:rsidTr="0043125F">
        <w:tc>
          <w:tcPr>
            <w:tcW w:w="675" w:type="dxa"/>
          </w:tcPr>
          <w:p w14:paraId="3F29EB99" w14:textId="77777777" w:rsidR="00EE7FE8" w:rsidRDefault="00EE7FE8" w:rsidP="00EE7FE8">
            <w:pPr>
              <w:rPr>
                <w:sz w:val="20"/>
                <w:szCs w:val="20"/>
              </w:rPr>
            </w:pPr>
            <w:r>
              <w:rPr>
                <w:sz w:val="20"/>
                <w:szCs w:val="20"/>
              </w:rPr>
              <w:t>C.3</w:t>
            </w:r>
          </w:p>
        </w:tc>
        <w:tc>
          <w:tcPr>
            <w:tcW w:w="6096" w:type="dxa"/>
          </w:tcPr>
          <w:p w14:paraId="46401F4E" w14:textId="77777777" w:rsidR="00EE7FE8" w:rsidRDefault="00EE7FE8" w:rsidP="00EE7FE8">
            <w:pPr>
              <w:rPr>
                <w:sz w:val="20"/>
                <w:szCs w:val="20"/>
              </w:rPr>
            </w:pPr>
            <w:r>
              <w:rPr>
                <w:sz w:val="20"/>
                <w:szCs w:val="20"/>
              </w:rPr>
              <w:t>Include courts in capacity building activities and formally request prosecution data</w:t>
            </w:r>
          </w:p>
        </w:tc>
        <w:tc>
          <w:tcPr>
            <w:tcW w:w="1751" w:type="dxa"/>
          </w:tcPr>
          <w:p w14:paraId="24FDBB32" w14:textId="77777777" w:rsidR="00EE7FE8" w:rsidRDefault="00EE7FE8" w:rsidP="00EE7FE8">
            <w:pPr>
              <w:rPr>
                <w:sz w:val="20"/>
                <w:szCs w:val="20"/>
              </w:rPr>
            </w:pPr>
            <w:r>
              <w:rPr>
                <w:sz w:val="20"/>
                <w:szCs w:val="20"/>
              </w:rPr>
              <w:t xml:space="preserve">SAEPF, PIU, </w:t>
            </w:r>
            <w:proofErr w:type="spellStart"/>
            <w:r>
              <w:rPr>
                <w:sz w:val="20"/>
                <w:szCs w:val="20"/>
              </w:rPr>
              <w:t>Issyl</w:t>
            </w:r>
            <w:proofErr w:type="spellEnd"/>
            <w:r>
              <w:rPr>
                <w:sz w:val="20"/>
                <w:szCs w:val="20"/>
              </w:rPr>
              <w:t xml:space="preserve"> </w:t>
            </w:r>
            <w:proofErr w:type="spellStart"/>
            <w:r>
              <w:rPr>
                <w:sz w:val="20"/>
                <w:szCs w:val="20"/>
              </w:rPr>
              <w:t>Kul</w:t>
            </w:r>
            <w:proofErr w:type="spellEnd"/>
            <w:r>
              <w:rPr>
                <w:sz w:val="20"/>
                <w:szCs w:val="20"/>
              </w:rPr>
              <w:t xml:space="preserve"> Biosphere Territory; </w:t>
            </w:r>
            <w:proofErr w:type="spellStart"/>
            <w:r>
              <w:rPr>
                <w:sz w:val="20"/>
                <w:szCs w:val="20"/>
              </w:rPr>
              <w:t>Issyl</w:t>
            </w:r>
            <w:proofErr w:type="spellEnd"/>
            <w:r>
              <w:rPr>
                <w:sz w:val="20"/>
                <w:szCs w:val="20"/>
              </w:rPr>
              <w:t xml:space="preserve"> </w:t>
            </w:r>
            <w:proofErr w:type="spellStart"/>
            <w:r>
              <w:rPr>
                <w:sz w:val="20"/>
                <w:szCs w:val="20"/>
              </w:rPr>
              <w:t>Kul</w:t>
            </w:r>
            <w:proofErr w:type="spellEnd"/>
            <w:r>
              <w:rPr>
                <w:sz w:val="20"/>
                <w:szCs w:val="20"/>
              </w:rPr>
              <w:t xml:space="preserve"> oblast</w:t>
            </w:r>
          </w:p>
        </w:tc>
      </w:tr>
      <w:tr w:rsidR="00EE7FE8" w:rsidRPr="00BB109F" w14:paraId="00B73A33" w14:textId="77777777" w:rsidTr="0043125F">
        <w:tc>
          <w:tcPr>
            <w:tcW w:w="675" w:type="dxa"/>
            <w:shd w:val="clear" w:color="auto" w:fill="D9D9D9" w:themeFill="background1" w:themeFillShade="D9"/>
          </w:tcPr>
          <w:p w14:paraId="55249872" w14:textId="77777777" w:rsidR="00EE7FE8" w:rsidRPr="00BB109F" w:rsidRDefault="00EE7FE8" w:rsidP="00EE7FE8">
            <w:pPr>
              <w:rPr>
                <w:sz w:val="20"/>
                <w:szCs w:val="20"/>
              </w:rPr>
            </w:pPr>
            <w:r w:rsidRPr="00BB109F">
              <w:rPr>
                <w:sz w:val="20"/>
                <w:szCs w:val="20"/>
              </w:rPr>
              <w:t>D</w:t>
            </w:r>
          </w:p>
        </w:tc>
        <w:tc>
          <w:tcPr>
            <w:tcW w:w="6096" w:type="dxa"/>
            <w:shd w:val="clear" w:color="auto" w:fill="D9D9D9" w:themeFill="background1" w:themeFillShade="D9"/>
          </w:tcPr>
          <w:p w14:paraId="77F934D0" w14:textId="77777777" w:rsidR="00EE7FE8" w:rsidRPr="00BB109F" w:rsidRDefault="00EE7FE8" w:rsidP="00EE7FE8">
            <w:pPr>
              <w:rPr>
                <w:sz w:val="20"/>
                <w:szCs w:val="20"/>
              </w:rPr>
            </w:pPr>
            <w:r w:rsidRPr="00BB109F">
              <w:rPr>
                <w:sz w:val="20"/>
                <w:szCs w:val="20"/>
              </w:rPr>
              <w:t>Outcome 3: Project Management</w:t>
            </w:r>
          </w:p>
        </w:tc>
        <w:tc>
          <w:tcPr>
            <w:tcW w:w="1751" w:type="dxa"/>
            <w:shd w:val="clear" w:color="auto" w:fill="D9D9D9" w:themeFill="background1" w:themeFillShade="D9"/>
          </w:tcPr>
          <w:p w14:paraId="2E6C02E1" w14:textId="77777777" w:rsidR="00EE7FE8" w:rsidRPr="00BB109F" w:rsidRDefault="00EE7FE8" w:rsidP="00EE7FE8">
            <w:pPr>
              <w:rPr>
                <w:sz w:val="20"/>
                <w:szCs w:val="20"/>
              </w:rPr>
            </w:pPr>
          </w:p>
        </w:tc>
      </w:tr>
      <w:tr w:rsidR="00EE7FE8" w:rsidRPr="00BB109F" w14:paraId="11D79D12" w14:textId="77777777" w:rsidTr="0043125F">
        <w:tc>
          <w:tcPr>
            <w:tcW w:w="675" w:type="dxa"/>
          </w:tcPr>
          <w:p w14:paraId="10405C72" w14:textId="77777777" w:rsidR="00EE7FE8" w:rsidRPr="00BB109F" w:rsidRDefault="00EE7FE8" w:rsidP="00EE7FE8">
            <w:pPr>
              <w:rPr>
                <w:sz w:val="20"/>
                <w:szCs w:val="20"/>
              </w:rPr>
            </w:pPr>
            <w:r>
              <w:rPr>
                <w:sz w:val="20"/>
                <w:szCs w:val="20"/>
              </w:rPr>
              <w:t>D.1</w:t>
            </w:r>
          </w:p>
        </w:tc>
        <w:tc>
          <w:tcPr>
            <w:tcW w:w="6096" w:type="dxa"/>
          </w:tcPr>
          <w:p w14:paraId="10273173" w14:textId="77777777" w:rsidR="00EE7FE8" w:rsidRPr="00BB109F" w:rsidRDefault="00EE7FE8" w:rsidP="00EE7FE8">
            <w:pPr>
              <w:rPr>
                <w:sz w:val="20"/>
                <w:szCs w:val="20"/>
              </w:rPr>
            </w:pPr>
            <w:r>
              <w:rPr>
                <w:sz w:val="20"/>
                <w:szCs w:val="20"/>
              </w:rPr>
              <w:t>No amendment to implementation modality – continue DIM</w:t>
            </w:r>
          </w:p>
        </w:tc>
        <w:tc>
          <w:tcPr>
            <w:tcW w:w="1751" w:type="dxa"/>
          </w:tcPr>
          <w:p w14:paraId="4AA0B1F3" w14:textId="77777777" w:rsidR="00EE7FE8" w:rsidRPr="00BB109F" w:rsidRDefault="00EE7FE8" w:rsidP="00EE7FE8">
            <w:pPr>
              <w:rPr>
                <w:sz w:val="20"/>
                <w:szCs w:val="20"/>
              </w:rPr>
            </w:pPr>
            <w:r>
              <w:rPr>
                <w:sz w:val="20"/>
                <w:szCs w:val="20"/>
              </w:rPr>
              <w:t>PB, PIU</w:t>
            </w:r>
          </w:p>
        </w:tc>
      </w:tr>
      <w:tr w:rsidR="00EE7FE8" w:rsidRPr="00BB109F" w14:paraId="525131A5" w14:textId="77777777" w:rsidTr="0043125F">
        <w:tc>
          <w:tcPr>
            <w:tcW w:w="675" w:type="dxa"/>
          </w:tcPr>
          <w:p w14:paraId="17B178FC" w14:textId="77777777" w:rsidR="00EE7FE8" w:rsidRDefault="00EE7FE8" w:rsidP="00EE7FE8">
            <w:pPr>
              <w:rPr>
                <w:sz w:val="20"/>
                <w:szCs w:val="20"/>
              </w:rPr>
            </w:pPr>
            <w:r>
              <w:rPr>
                <w:sz w:val="20"/>
                <w:szCs w:val="20"/>
              </w:rPr>
              <w:t>D.2</w:t>
            </w:r>
          </w:p>
        </w:tc>
        <w:tc>
          <w:tcPr>
            <w:tcW w:w="6096" w:type="dxa"/>
          </w:tcPr>
          <w:p w14:paraId="0E7B0CEE" w14:textId="77777777" w:rsidR="00EE7FE8" w:rsidRDefault="00EE7FE8" w:rsidP="00EE7FE8">
            <w:pPr>
              <w:rPr>
                <w:sz w:val="20"/>
                <w:szCs w:val="20"/>
              </w:rPr>
            </w:pPr>
            <w:r>
              <w:rPr>
                <w:sz w:val="20"/>
                <w:szCs w:val="20"/>
              </w:rPr>
              <w:t>Project implementation should be more flexible, incorporating adaptive management – so long as it serves and contributes to the objective and outcomes of the project</w:t>
            </w:r>
          </w:p>
        </w:tc>
        <w:tc>
          <w:tcPr>
            <w:tcW w:w="1751" w:type="dxa"/>
          </w:tcPr>
          <w:p w14:paraId="21ABAE7A" w14:textId="77777777" w:rsidR="00EE7FE8" w:rsidRDefault="00EE7FE8" w:rsidP="00EE7FE8">
            <w:pPr>
              <w:rPr>
                <w:sz w:val="20"/>
                <w:szCs w:val="20"/>
              </w:rPr>
            </w:pPr>
            <w:r>
              <w:rPr>
                <w:sz w:val="20"/>
                <w:szCs w:val="20"/>
              </w:rPr>
              <w:t>PIU</w:t>
            </w:r>
          </w:p>
        </w:tc>
      </w:tr>
      <w:tr w:rsidR="00EE7FE8" w:rsidRPr="00BB109F" w14:paraId="31E55B82" w14:textId="77777777" w:rsidTr="0043125F">
        <w:tc>
          <w:tcPr>
            <w:tcW w:w="675" w:type="dxa"/>
          </w:tcPr>
          <w:p w14:paraId="0FEA710B" w14:textId="77777777" w:rsidR="00EE7FE8" w:rsidRDefault="00EE7FE8" w:rsidP="00EE7FE8">
            <w:pPr>
              <w:rPr>
                <w:sz w:val="20"/>
                <w:szCs w:val="20"/>
              </w:rPr>
            </w:pPr>
            <w:r>
              <w:rPr>
                <w:sz w:val="20"/>
                <w:szCs w:val="20"/>
              </w:rPr>
              <w:t>D.3</w:t>
            </w:r>
          </w:p>
        </w:tc>
        <w:tc>
          <w:tcPr>
            <w:tcW w:w="6096" w:type="dxa"/>
          </w:tcPr>
          <w:p w14:paraId="2FFF6E44" w14:textId="77777777" w:rsidR="00EE7FE8" w:rsidRDefault="00EE7FE8" w:rsidP="00EE7FE8">
            <w:pPr>
              <w:rPr>
                <w:sz w:val="20"/>
                <w:szCs w:val="20"/>
              </w:rPr>
            </w:pPr>
            <w:r>
              <w:rPr>
                <w:sz w:val="20"/>
                <w:szCs w:val="20"/>
              </w:rPr>
              <w:t>Enhance the effectiveness, efficiency and urgency of implementation</w:t>
            </w:r>
          </w:p>
        </w:tc>
        <w:tc>
          <w:tcPr>
            <w:tcW w:w="1751" w:type="dxa"/>
          </w:tcPr>
          <w:p w14:paraId="7535F42D" w14:textId="77777777" w:rsidR="00EE7FE8" w:rsidRDefault="00EE7FE8" w:rsidP="00EE7FE8">
            <w:pPr>
              <w:rPr>
                <w:sz w:val="20"/>
                <w:szCs w:val="20"/>
              </w:rPr>
            </w:pPr>
            <w:r>
              <w:rPr>
                <w:sz w:val="20"/>
                <w:szCs w:val="20"/>
              </w:rPr>
              <w:t>PIU</w:t>
            </w:r>
          </w:p>
        </w:tc>
      </w:tr>
    </w:tbl>
    <w:p w14:paraId="7FBEE4A6" w14:textId="77777777" w:rsidR="000D22A0" w:rsidRPr="00516656" w:rsidRDefault="000D22A0" w:rsidP="000D22A0"/>
    <w:p w14:paraId="0B88D3FB" w14:textId="77777777" w:rsidR="000D22A0" w:rsidRPr="00516656" w:rsidRDefault="000D22A0" w:rsidP="000D22A0">
      <w:pPr>
        <w:sectPr w:rsidR="000D22A0" w:rsidRPr="00516656" w:rsidSect="006D6157">
          <w:footerReference w:type="even" r:id="rId15"/>
          <w:footerReference w:type="default" r:id="rId16"/>
          <w:pgSz w:w="11900" w:h="16840"/>
          <w:pgMar w:top="1440" w:right="1797" w:bottom="1440" w:left="1797" w:header="709" w:footer="709" w:gutter="0"/>
          <w:pgNumType w:fmt="lowerRoman"/>
          <w:cols w:space="708"/>
          <w:titlePg/>
          <w:docGrid w:linePitch="360"/>
        </w:sectPr>
      </w:pPr>
    </w:p>
    <w:p w14:paraId="53B233A4" w14:textId="76740B7E" w:rsidR="00E4257F" w:rsidRPr="00516656" w:rsidRDefault="00E4257F" w:rsidP="00683205">
      <w:pPr>
        <w:pStyle w:val="Heading1"/>
      </w:pPr>
      <w:bookmarkStart w:id="9" w:name="_Toc311452861"/>
      <w:r w:rsidRPr="00516656">
        <w:t>Introduction</w:t>
      </w:r>
      <w:bookmarkEnd w:id="9"/>
    </w:p>
    <w:p w14:paraId="278B77EC" w14:textId="62E23DE8" w:rsidR="00A00266" w:rsidRPr="00516656" w:rsidRDefault="00A00266" w:rsidP="00683205">
      <w:pPr>
        <w:pStyle w:val="Heading2"/>
      </w:pPr>
      <w:bookmarkStart w:id="10" w:name="_Toc311452862"/>
      <w:r w:rsidRPr="00516656">
        <w:t xml:space="preserve">Purpose of the </w:t>
      </w:r>
      <w:r w:rsidR="00A02EDE" w:rsidRPr="00516656">
        <w:t>review</w:t>
      </w:r>
      <w:bookmarkEnd w:id="10"/>
    </w:p>
    <w:p w14:paraId="37A3FE30" w14:textId="32992243" w:rsidR="001C495D" w:rsidRPr="00516656" w:rsidRDefault="001C495D" w:rsidP="0039653C">
      <w:pPr>
        <w:numPr>
          <w:ilvl w:val="0"/>
          <w:numId w:val="2"/>
        </w:numPr>
        <w:ind w:left="0" w:firstLine="0"/>
        <w:jc w:val="both"/>
        <w:rPr>
          <w:rFonts w:cs="Times New Roman"/>
        </w:rPr>
      </w:pPr>
      <w:r w:rsidRPr="00516656">
        <w:t>The Midterm Review (MTR) of the UNDP-GEF project “</w:t>
      </w:r>
      <w:r w:rsidR="00E302D5">
        <w:t xml:space="preserve">Improving the coverage and management effectiveness of PAs in the Central </w:t>
      </w:r>
      <w:proofErr w:type="spellStart"/>
      <w:r w:rsidR="00E67A02">
        <w:t>Tian</w:t>
      </w:r>
      <w:proofErr w:type="spellEnd"/>
      <w:r w:rsidR="00E302D5">
        <w:t xml:space="preserve"> Shan Mountains</w:t>
      </w:r>
      <w:r w:rsidRPr="00516656">
        <w:t xml:space="preserve">” </w:t>
      </w:r>
      <w:r w:rsidR="004E5FC6" w:rsidRPr="00516656">
        <w:t>was</w:t>
      </w:r>
      <w:r w:rsidRPr="00516656">
        <w:t xml:space="preserve"> carried out according to the UNDP-GEF Monitoring and Evaluation Policy. Thus, it </w:t>
      </w:r>
      <w:r w:rsidR="004E5FC6" w:rsidRPr="00516656">
        <w:t>was</w:t>
      </w:r>
      <w:r w:rsidRPr="00516656">
        <w:t xml:space="preserve"> carried out with the aim of providing a systematic and comprehensive review and evaluation of the performance of the project </w:t>
      </w:r>
      <w:r w:rsidR="004E5FC6" w:rsidRPr="00516656">
        <w:t xml:space="preserve">to date </w:t>
      </w:r>
      <w:r w:rsidRPr="00516656">
        <w:t xml:space="preserve">by assessing its design, processes of implementation, achievement relative to its objectives. </w:t>
      </w:r>
    </w:p>
    <w:p w14:paraId="2C84689C" w14:textId="77777777" w:rsidR="00683205" w:rsidRPr="00516656" w:rsidRDefault="00683205" w:rsidP="00683205">
      <w:pPr>
        <w:pStyle w:val="Heading2"/>
      </w:pPr>
      <w:bookmarkStart w:id="11" w:name="_Toc311452863"/>
      <w:r w:rsidRPr="00516656">
        <w:t>Scope &amp; Methodology</w:t>
      </w:r>
      <w:bookmarkEnd w:id="11"/>
    </w:p>
    <w:p w14:paraId="19BCB8B6" w14:textId="74DD1CE1" w:rsidR="00956F30" w:rsidRPr="00516656" w:rsidRDefault="00135049" w:rsidP="0039653C">
      <w:pPr>
        <w:numPr>
          <w:ilvl w:val="0"/>
          <w:numId w:val="2"/>
        </w:numPr>
        <w:ind w:left="0" w:firstLine="0"/>
        <w:jc w:val="both"/>
      </w:pPr>
      <w:r w:rsidRPr="00516656">
        <w:t xml:space="preserve">The approach for the </w:t>
      </w:r>
      <w:r w:rsidR="005475FF" w:rsidRPr="00516656">
        <w:t>MTR</w:t>
      </w:r>
      <w:r w:rsidRPr="00516656">
        <w:t xml:space="preserve"> </w:t>
      </w:r>
      <w:r w:rsidR="003676FD" w:rsidRPr="00516656">
        <w:t>was</w:t>
      </w:r>
      <w:r w:rsidRPr="00516656">
        <w:t xml:space="preserve"> determined by the Terms of Reference (TOR, see Annex I)</w:t>
      </w:r>
      <w:r w:rsidR="005475FF" w:rsidRPr="00516656">
        <w:t xml:space="preserve"> and by the UNDP-GEF Guidance for conducting Midterm Reviews</w:t>
      </w:r>
      <w:r w:rsidR="005475FF" w:rsidRPr="00516656">
        <w:rPr>
          <w:rStyle w:val="FootnoteReference"/>
        </w:rPr>
        <w:footnoteReference w:id="2"/>
      </w:r>
      <w:r w:rsidR="00D147B4" w:rsidRPr="00516656">
        <w:t xml:space="preserve">.  Thus, it </w:t>
      </w:r>
      <w:r w:rsidR="003676FD" w:rsidRPr="00516656">
        <w:t>was</w:t>
      </w:r>
      <w:r w:rsidR="00D147B4" w:rsidRPr="00516656">
        <w:t xml:space="preserve"> carried out with the aim of providing a systematic, evidence-based and comprehensive review of the performance of the project to date by assessing its strategy and design, processes of implementation and achievements relative to its objectives.  As such, the MTR determine</w:t>
      </w:r>
      <w:r w:rsidR="00956F30" w:rsidRPr="00516656">
        <w:t>d</w:t>
      </w:r>
      <w:r w:rsidR="00D147B4" w:rsidRPr="00516656">
        <w:t xml:space="preserve"> the progress of the project in relation to its stated objectives (through the assessment of results, effectiveness, relevance, sustainability, impact and efficiency - requiring a review of the fund allocations, budgets and projections, and the financial coordination mechanisms), to promote learning, feedback and knowledge sharing on the results and lessons (both positive and negative) that can be learned from the implementation of the project to date.  The MTR examine</w:t>
      </w:r>
      <w:r w:rsidR="00956F30" w:rsidRPr="00516656">
        <w:t>d</w:t>
      </w:r>
      <w:r w:rsidR="00D147B4" w:rsidRPr="00516656">
        <w:t xml:space="preserve"> whether the implementation arrangements – including the relationships and interactions among the pr</w:t>
      </w:r>
      <w:r w:rsidR="009F797B">
        <w:t>oject’s partners, including the State Agency for Environmental Protection and Forestry</w:t>
      </w:r>
      <w:r w:rsidR="00D147B4" w:rsidRPr="00516656">
        <w:rPr>
          <w:rFonts w:cs="Times New Roman PS"/>
          <w:bCs/>
          <w:color w:val="000000"/>
        </w:rPr>
        <w:t xml:space="preserve"> (</w:t>
      </w:r>
      <w:r w:rsidR="00FF5EC3">
        <w:rPr>
          <w:rFonts w:cs="Times New Roman PS"/>
          <w:bCs/>
          <w:color w:val="000000"/>
        </w:rPr>
        <w:t>SAEPF</w:t>
      </w:r>
      <w:r w:rsidR="00D147B4" w:rsidRPr="00516656">
        <w:rPr>
          <w:rFonts w:cs="Times New Roman PS"/>
          <w:bCs/>
          <w:color w:val="000000"/>
        </w:rPr>
        <w:t xml:space="preserve">), </w:t>
      </w:r>
      <w:r w:rsidR="00D147B4" w:rsidRPr="00516656">
        <w:t>UNDP, and other partners – are effective and efficient.</w:t>
      </w:r>
    </w:p>
    <w:p w14:paraId="17C35D5B" w14:textId="37927A14" w:rsidR="00956F30" w:rsidRPr="00516656" w:rsidRDefault="00D147B4" w:rsidP="0039653C">
      <w:pPr>
        <w:numPr>
          <w:ilvl w:val="0"/>
          <w:numId w:val="2"/>
        </w:numPr>
        <w:ind w:left="0" w:firstLine="0"/>
        <w:jc w:val="both"/>
      </w:pPr>
      <w:r w:rsidRPr="00516656">
        <w:t>The MTR include</w:t>
      </w:r>
      <w:r w:rsidR="00956F30" w:rsidRPr="00516656">
        <w:t>d</w:t>
      </w:r>
      <w:r w:rsidRPr="00516656">
        <w:t xml:space="preserve"> a thorough review of the project documents and other outputs, financial plans and audits, monitoring reports, the PIF, UNDP Initiation Plan, Inception Report, Annual Project Reviews (APR), Project Implementation Reviews (PIR), monitoring tools (including</w:t>
      </w:r>
      <w:r w:rsidR="00AA0B9A" w:rsidRPr="00516656">
        <w:t>, for example,</w:t>
      </w:r>
      <w:r w:rsidRPr="00516656">
        <w:t xml:space="preserve"> the METT), relevant correspondence and other project related material produced by the project staff or their partners.</w:t>
      </w:r>
    </w:p>
    <w:p w14:paraId="77F2F53E" w14:textId="61A9E13E" w:rsidR="009F797B" w:rsidRDefault="00D147B4" w:rsidP="0039653C">
      <w:pPr>
        <w:numPr>
          <w:ilvl w:val="0"/>
          <w:numId w:val="2"/>
        </w:numPr>
        <w:ind w:left="0" w:firstLine="0"/>
        <w:jc w:val="both"/>
      </w:pPr>
      <w:r w:rsidRPr="00516656">
        <w:t>The MTR also include</w:t>
      </w:r>
      <w:r w:rsidR="00956F30" w:rsidRPr="00516656">
        <w:t>d</w:t>
      </w:r>
      <w:r w:rsidRPr="00516656">
        <w:t xml:space="preserve"> a mission to </w:t>
      </w:r>
      <w:r w:rsidR="009F797B">
        <w:t>Kyrgyzstan</w:t>
      </w:r>
      <w:r w:rsidRPr="00516656">
        <w:t xml:space="preserve"> between </w:t>
      </w:r>
      <w:r w:rsidR="009F797B">
        <w:t>01</w:t>
      </w:r>
      <w:r w:rsidRPr="00516656">
        <w:t xml:space="preserve"> – </w:t>
      </w:r>
      <w:r w:rsidR="009F797B">
        <w:t>10 November</w:t>
      </w:r>
      <w:r w:rsidRPr="00516656">
        <w:t xml:space="preserve"> 2015. The mission follow</w:t>
      </w:r>
      <w:r w:rsidR="00956F30" w:rsidRPr="00516656">
        <w:t>ed</w:t>
      </w:r>
      <w:r w:rsidRPr="00516656">
        <w:t xml:space="preserve"> a </w:t>
      </w:r>
      <w:r w:rsidR="00EC3359" w:rsidRPr="00516656">
        <w:t xml:space="preserve">collaborative and </w:t>
      </w:r>
      <w:r w:rsidRPr="00516656">
        <w:t>participatory approach and include</w:t>
      </w:r>
      <w:r w:rsidR="00956F30" w:rsidRPr="00516656">
        <w:t>d</w:t>
      </w:r>
      <w:r w:rsidRPr="00516656">
        <w:t xml:space="preserve"> a series of structured and unstructured interviews, both individually and in small groups. </w:t>
      </w:r>
      <w:r w:rsidR="00FF5EC3">
        <w:t xml:space="preserve">Stakeholders in both Bishkek, and </w:t>
      </w:r>
      <w:proofErr w:type="spellStart"/>
      <w:r w:rsidR="00FF5EC3">
        <w:t>Karakol</w:t>
      </w:r>
      <w:proofErr w:type="spellEnd"/>
      <w:r w:rsidR="00FF5EC3">
        <w:t xml:space="preserve"> (and surrounding villages) were interviewed.  </w:t>
      </w:r>
      <w:r w:rsidR="009F797B" w:rsidRPr="00516656">
        <w:t xml:space="preserve">Particular attention was paid to listening to the stakeholders’ views and the confidentiality of all interviews was stressed.  Whenever possible, the information was crosschecked among the various sources.  In addition, the review examined the achievements of the project within the realistic political, institutional and socio-economic framework of </w:t>
      </w:r>
      <w:r w:rsidR="009F797B">
        <w:t>Kyrgyzstan</w:t>
      </w:r>
      <w:r w:rsidR="009F797B" w:rsidRPr="00516656">
        <w:t>.</w:t>
      </w:r>
    </w:p>
    <w:p w14:paraId="04A7B75E" w14:textId="7101D76C" w:rsidR="00B95775" w:rsidRPr="00516656" w:rsidRDefault="00D147B4" w:rsidP="0039653C">
      <w:pPr>
        <w:numPr>
          <w:ilvl w:val="0"/>
          <w:numId w:val="2"/>
        </w:numPr>
        <w:ind w:left="0" w:firstLine="0"/>
        <w:jc w:val="both"/>
      </w:pPr>
      <w:r w:rsidRPr="00516656">
        <w:t>The logical framework towards which the project is working form</w:t>
      </w:r>
      <w:r w:rsidR="00F2244B" w:rsidRPr="00516656">
        <w:t>ed</w:t>
      </w:r>
      <w:r w:rsidRPr="00516656">
        <w:t xml:space="preserve"> a</w:t>
      </w:r>
      <w:r w:rsidR="003425B4">
        <w:t>n important part of the MTR</w:t>
      </w:r>
      <w:r w:rsidRPr="00516656">
        <w:t>.</w:t>
      </w:r>
    </w:p>
    <w:p w14:paraId="368C7AB4" w14:textId="4A3C3F8B" w:rsidR="00DE13A8" w:rsidRPr="00516656" w:rsidRDefault="00D147B4" w:rsidP="0039653C">
      <w:pPr>
        <w:numPr>
          <w:ilvl w:val="0"/>
          <w:numId w:val="2"/>
        </w:numPr>
        <w:ind w:left="0" w:firstLine="0"/>
        <w:jc w:val="both"/>
      </w:pPr>
      <w:r w:rsidRPr="00516656">
        <w:t xml:space="preserve">The </w:t>
      </w:r>
      <w:r w:rsidR="00E73D73" w:rsidRPr="00516656">
        <w:t>review</w:t>
      </w:r>
      <w:r w:rsidRPr="00516656">
        <w:t xml:space="preserve"> </w:t>
      </w:r>
      <w:r w:rsidR="00E73D73" w:rsidRPr="00516656">
        <w:t>was</w:t>
      </w:r>
      <w:r w:rsidRPr="00516656">
        <w:t xml:space="preserve"> carried out according to the UNDP/GEF M</w:t>
      </w:r>
      <w:r w:rsidR="00E73D73" w:rsidRPr="00516656">
        <w:t>onitoring and Evaluation Policy and, t</w:t>
      </w:r>
      <w:r w:rsidRPr="00516656">
        <w:t xml:space="preserve">herefore, ratings </w:t>
      </w:r>
      <w:r w:rsidR="00E73D73" w:rsidRPr="00516656">
        <w:t xml:space="preserve">(see Annex </w:t>
      </w:r>
      <w:r w:rsidR="00F04F89">
        <w:t>I</w:t>
      </w:r>
      <w:r w:rsidR="00E73D73" w:rsidRPr="00516656">
        <w:t xml:space="preserve">) were provided </w:t>
      </w:r>
      <w:r w:rsidRPr="00516656">
        <w:t xml:space="preserve">for: </w:t>
      </w:r>
      <w:proofErr w:type="spellStart"/>
      <w:r w:rsidRPr="00516656">
        <w:t>i</w:t>
      </w:r>
      <w:proofErr w:type="spellEnd"/>
      <w:r w:rsidRPr="00516656">
        <w:t>) the progress towards results, by outcome</w:t>
      </w:r>
      <w:r w:rsidR="00DE13A8" w:rsidRPr="00516656">
        <w:t xml:space="preserve"> and by the objective</w:t>
      </w:r>
      <w:r w:rsidRPr="00516656">
        <w:t xml:space="preserve">, ii) project implementation and adaptive management, and iii) sustainability (and the risks </w:t>
      </w:r>
      <w:r w:rsidR="00E73D73" w:rsidRPr="00516656">
        <w:t>thereto).  Overall there was</w:t>
      </w:r>
      <w:r w:rsidRPr="00516656">
        <w:t xml:space="preserve"> an emphasis on supportive recommendations.</w:t>
      </w:r>
    </w:p>
    <w:p w14:paraId="4EECB16F" w14:textId="2ECCDD1D" w:rsidR="00592251" w:rsidRPr="00516656" w:rsidRDefault="00D147B4" w:rsidP="0039653C">
      <w:pPr>
        <w:numPr>
          <w:ilvl w:val="0"/>
          <w:numId w:val="2"/>
        </w:numPr>
        <w:ind w:left="0" w:firstLine="0"/>
        <w:jc w:val="both"/>
      </w:pPr>
      <w:proofErr w:type="gramStart"/>
      <w:r w:rsidRPr="00516656">
        <w:t xml:space="preserve">The MTR </w:t>
      </w:r>
      <w:r w:rsidR="00592251" w:rsidRPr="00516656">
        <w:t>was</w:t>
      </w:r>
      <w:r w:rsidRPr="00516656">
        <w:t xml:space="preserve"> conducted by one international</w:t>
      </w:r>
      <w:r w:rsidR="00FF5EC3">
        <w:t xml:space="preserve"> consultant</w:t>
      </w:r>
      <w:proofErr w:type="gramEnd"/>
      <w:r w:rsidR="00FF5EC3">
        <w:t>. The consultant</w:t>
      </w:r>
      <w:r w:rsidRPr="00516656">
        <w:t xml:space="preserve"> </w:t>
      </w:r>
      <w:r w:rsidR="00FF5EC3">
        <w:t>was</w:t>
      </w:r>
      <w:r w:rsidRPr="00516656">
        <w:t xml:space="preserve"> independent of the policy-making process, and the delivery and management of the assistance</w:t>
      </w:r>
      <w:r w:rsidR="00FF5EC3">
        <w:t xml:space="preserve"> to the project; the consultant</w:t>
      </w:r>
      <w:r w:rsidRPr="00516656">
        <w:t xml:space="preserve"> ha</w:t>
      </w:r>
      <w:r w:rsidR="00FF5EC3">
        <w:t>s</w:t>
      </w:r>
      <w:r w:rsidRPr="00516656">
        <w:t xml:space="preserve"> not been involved in the implementation and/or supervision of the project. </w:t>
      </w:r>
    </w:p>
    <w:p w14:paraId="65C84EE8" w14:textId="33E9687C" w:rsidR="00592251" w:rsidRPr="00516656" w:rsidRDefault="002A6A2C" w:rsidP="0039653C">
      <w:pPr>
        <w:numPr>
          <w:ilvl w:val="0"/>
          <w:numId w:val="2"/>
        </w:numPr>
        <w:ind w:left="0" w:firstLine="0"/>
        <w:jc w:val="both"/>
      </w:pPr>
      <w:r w:rsidRPr="00516656">
        <w:t>The</w:t>
      </w:r>
      <w:r w:rsidR="00AA0B9A" w:rsidRPr="00516656">
        <w:t xml:space="preserve"> preliminary findings of the MTR</w:t>
      </w:r>
      <w:r w:rsidRPr="00516656">
        <w:t xml:space="preserve"> were presented at a debriefing meeting at the end of the mission on </w:t>
      </w:r>
      <w:r w:rsidR="00FF5EC3">
        <w:t>09 November</w:t>
      </w:r>
      <w:r w:rsidRPr="00516656">
        <w:t xml:space="preserve"> 2015 at the UNDP-CO offices</w:t>
      </w:r>
      <w:r w:rsidR="00D147B4" w:rsidRPr="00516656">
        <w:t>.</w:t>
      </w:r>
    </w:p>
    <w:p w14:paraId="244DC315" w14:textId="5751F300" w:rsidR="006F60DE" w:rsidRPr="00516656" w:rsidRDefault="00D147B4" w:rsidP="0039653C">
      <w:pPr>
        <w:numPr>
          <w:ilvl w:val="0"/>
          <w:numId w:val="2"/>
        </w:numPr>
        <w:ind w:left="0" w:firstLine="0"/>
        <w:jc w:val="both"/>
      </w:pPr>
      <w:r w:rsidRPr="00516656">
        <w:t xml:space="preserve">Finally, the MTR </w:t>
      </w:r>
      <w:r w:rsidR="002A6A2C" w:rsidRPr="00516656">
        <w:t>was</w:t>
      </w:r>
      <w:r w:rsidRPr="00516656">
        <w:t xml:space="preserve"> carried out with a number of audiences in mind, including: </w:t>
      </w:r>
      <w:proofErr w:type="spellStart"/>
      <w:r w:rsidRPr="00516656">
        <w:t>i</w:t>
      </w:r>
      <w:proofErr w:type="spellEnd"/>
      <w:r w:rsidRPr="00516656">
        <w:t xml:space="preserve">) </w:t>
      </w:r>
      <w:r w:rsidR="007B22E4" w:rsidRPr="00516656">
        <w:t xml:space="preserve">the various </w:t>
      </w:r>
      <w:r w:rsidR="00F06896" w:rsidRPr="00516656">
        <w:t>entities</w:t>
      </w:r>
      <w:r w:rsidR="007B22E4" w:rsidRPr="00516656">
        <w:t xml:space="preserve"> of the Government of </w:t>
      </w:r>
      <w:r w:rsidR="00C12804">
        <w:t>Kyrgyzstan</w:t>
      </w:r>
      <w:r w:rsidR="007B22E4" w:rsidRPr="00516656">
        <w:t xml:space="preserve"> that are involved with the </w:t>
      </w:r>
      <w:r w:rsidR="007B22E4" w:rsidRPr="00F06896">
        <w:t xml:space="preserve">project – primarily the </w:t>
      </w:r>
      <w:r w:rsidR="00C12804">
        <w:t>State Agency for Environmental Protection and Forestry</w:t>
      </w:r>
      <w:r w:rsidRPr="00F06896">
        <w:rPr>
          <w:bCs/>
          <w:color w:val="000000"/>
        </w:rPr>
        <w:t xml:space="preserve"> (</w:t>
      </w:r>
      <w:r w:rsidR="00FF5EC3">
        <w:rPr>
          <w:bCs/>
          <w:color w:val="000000"/>
        </w:rPr>
        <w:t>SAEPF</w:t>
      </w:r>
      <w:r w:rsidRPr="00F06896">
        <w:rPr>
          <w:bCs/>
          <w:color w:val="000000"/>
        </w:rPr>
        <w:t>)</w:t>
      </w:r>
      <w:r w:rsidRPr="00F06896">
        <w:t>, ii) the UNDP-CO</w:t>
      </w:r>
      <w:r w:rsidRPr="00516656">
        <w:t xml:space="preserve"> and UNDP-GEF RTC in </w:t>
      </w:r>
      <w:r w:rsidR="00714D05" w:rsidRPr="00516656">
        <w:t>Istanbul</w:t>
      </w:r>
      <w:r w:rsidRPr="00516656">
        <w:t>, and iv) the GEF.</w:t>
      </w:r>
    </w:p>
    <w:p w14:paraId="6EADF446" w14:textId="1EB0F4C8" w:rsidR="00683205" w:rsidRPr="00516656" w:rsidRDefault="00683205" w:rsidP="00683205">
      <w:pPr>
        <w:pStyle w:val="Heading2"/>
      </w:pPr>
      <w:bookmarkStart w:id="12" w:name="_Toc311452864"/>
      <w:r w:rsidRPr="00516656">
        <w:t xml:space="preserve">Structure of the </w:t>
      </w:r>
      <w:r w:rsidR="001B1CDD" w:rsidRPr="00516656">
        <w:t>review</w:t>
      </w:r>
      <w:r w:rsidRPr="00516656">
        <w:t xml:space="preserve"> report</w:t>
      </w:r>
      <w:bookmarkEnd w:id="12"/>
    </w:p>
    <w:p w14:paraId="7AFBAAE1" w14:textId="5D3C4A5D" w:rsidR="005267D9" w:rsidRPr="00DA6405" w:rsidRDefault="005267D9" w:rsidP="0039653C">
      <w:pPr>
        <w:numPr>
          <w:ilvl w:val="0"/>
          <w:numId w:val="2"/>
        </w:numPr>
        <w:ind w:left="0" w:firstLine="0"/>
        <w:jc w:val="both"/>
      </w:pPr>
      <w:r w:rsidRPr="00DA6405">
        <w:t>The report follows the structure of Project Evaluations recommended in the UNDP Evaluation Guidance for GEF-Financed Projects</w:t>
      </w:r>
      <w:r w:rsidR="00422501" w:rsidRPr="00DA6405">
        <w:t xml:space="preserve"> as given in Annex 5 of the TOR</w:t>
      </w:r>
      <w:r w:rsidRPr="00DA6405">
        <w:t xml:space="preserve">.  As such, it first deals with </w:t>
      </w:r>
      <w:r w:rsidR="00DA6405" w:rsidRPr="00DA6405">
        <w:t xml:space="preserve">the purpose of the review and the methodology used for the review (Section 2), </w:t>
      </w:r>
      <w:r w:rsidRPr="00DA6405">
        <w:t xml:space="preserve">a description of the project and the development context in </w:t>
      </w:r>
      <w:r w:rsidR="005D5812">
        <w:t>Kyrgyzstan</w:t>
      </w:r>
      <w:r w:rsidR="00DA6405" w:rsidRPr="00DA6405">
        <w:t xml:space="preserve"> (Section 3</w:t>
      </w:r>
      <w:r w:rsidRPr="00DA6405">
        <w:t>), it then de</w:t>
      </w:r>
      <w:r w:rsidR="00DA6405" w:rsidRPr="00DA6405">
        <w:t>als with the Findings (Section 4</w:t>
      </w:r>
      <w:r w:rsidRPr="00DA6405">
        <w:t xml:space="preserve">) of the evaluation within </w:t>
      </w:r>
      <w:r w:rsidR="00DA6405" w:rsidRPr="00DA6405">
        <w:t>four</w:t>
      </w:r>
      <w:r w:rsidRPr="00DA6405">
        <w:t xml:space="preserve"> sections (Project </w:t>
      </w:r>
      <w:r w:rsidR="00DA6405" w:rsidRPr="00DA6405">
        <w:t>Strategy</w:t>
      </w:r>
      <w:r w:rsidRPr="00DA6405">
        <w:t xml:space="preserve">, </w:t>
      </w:r>
      <w:r w:rsidR="00963F51" w:rsidRPr="00DA6405">
        <w:t>Progress</w:t>
      </w:r>
      <w:r w:rsidR="00DA6405" w:rsidRPr="00DA6405">
        <w:t xml:space="preserve"> Towards Results</w:t>
      </w:r>
      <w:r w:rsidR="00963F51" w:rsidRPr="00DA6405">
        <w:t xml:space="preserve">, </w:t>
      </w:r>
      <w:r w:rsidR="00DA6405" w:rsidRPr="00DA6405">
        <w:t xml:space="preserve">Project Implementation and </w:t>
      </w:r>
      <w:r w:rsidR="00963F51" w:rsidRPr="00DA6405">
        <w:t xml:space="preserve">Adaptive Management, and </w:t>
      </w:r>
      <w:r w:rsidR="00DA6405" w:rsidRPr="00DA6405">
        <w:t>Sustainability</w:t>
      </w:r>
      <w:r w:rsidRPr="00DA6405">
        <w:t>).  The report then draws together the Conclusions</w:t>
      </w:r>
      <w:r w:rsidR="00DA6405" w:rsidRPr="00DA6405">
        <w:t xml:space="preserve"> and</w:t>
      </w:r>
      <w:r w:rsidRPr="00DA6405">
        <w:t xml:space="preserve"> Recommendations </w:t>
      </w:r>
      <w:r w:rsidR="00DA6405" w:rsidRPr="00DA6405">
        <w:t>from the project (Section 5</w:t>
      </w:r>
      <w:r w:rsidRPr="00DA6405">
        <w:t>).</w:t>
      </w:r>
    </w:p>
    <w:p w14:paraId="228105D6" w14:textId="5AB5583E" w:rsidR="00A00266" w:rsidRPr="00516656" w:rsidRDefault="00A00266" w:rsidP="00A00266">
      <w:pPr>
        <w:pStyle w:val="Heading1"/>
      </w:pPr>
      <w:bookmarkStart w:id="13" w:name="_Toc311452865"/>
      <w:r w:rsidRPr="00516656">
        <w:t xml:space="preserve">Project description and </w:t>
      </w:r>
      <w:r w:rsidR="00E4257F" w:rsidRPr="00516656">
        <w:t>background</w:t>
      </w:r>
      <w:r w:rsidRPr="00516656">
        <w:t xml:space="preserve"> context</w:t>
      </w:r>
      <w:bookmarkEnd w:id="13"/>
    </w:p>
    <w:p w14:paraId="7A072966" w14:textId="7FCC16F3" w:rsidR="00E4257F" w:rsidRPr="00516656" w:rsidRDefault="00E4257F" w:rsidP="00683205">
      <w:pPr>
        <w:pStyle w:val="Heading2"/>
      </w:pPr>
      <w:bookmarkStart w:id="14" w:name="_Toc311452866"/>
      <w:r w:rsidRPr="00516656">
        <w:t>Development context (environmental, socio-economic, institutional, policy factors relevant to project objectives and scope)</w:t>
      </w:r>
      <w:bookmarkEnd w:id="14"/>
    </w:p>
    <w:p w14:paraId="491BA247" w14:textId="7D98CD9D" w:rsidR="00D468B1" w:rsidRDefault="00FC5C84" w:rsidP="0039653C">
      <w:pPr>
        <w:numPr>
          <w:ilvl w:val="0"/>
          <w:numId w:val="2"/>
        </w:numPr>
        <w:ind w:left="0" w:firstLine="0"/>
        <w:jc w:val="both"/>
      </w:pPr>
      <w:r>
        <w:t>Kyrgyzstan is a landlocked country of 199,900km</w:t>
      </w:r>
      <w:r>
        <w:rPr>
          <w:vertAlign w:val="superscript"/>
        </w:rPr>
        <w:t>2</w:t>
      </w:r>
      <w:r>
        <w:t xml:space="preserve"> with a human population of 5.9 million.  Although the altitudinal range in the country spans from 132 – 7,439m </w:t>
      </w:r>
      <w:proofErr w:type="spellStart"/>
      <w:proofErr w:type="gramStart"/>
      <w:r>
        <w:t>asl</w:t>
      </w:r>
      <w:proofErr w:type="spellEnd"/>
      <w:proofErr w:type="gramEnd"/>
      <w:r>
        <w:t xml:space="preserve">, the country is dominated by the </w:t>
      </w:r>
      <w:proofErr w:type="spellStart"/>
      <w:r w:rsidR="00E67A02">
        <w:t>Tian</w:t>
      </w:r>
      <w:proofErr w:type="spellEnd"/>
      <w:r>
        <w:t xml:space="preserve"> Shan Mountains. </w:t>
      </w:r>
      <w:r w:rsidR="00E67A02">
        <w:t xml:space="preserve">The highest parts of the </w:t>
      </w:r>
      <w:proofErr w:type="spellStart"/>
      <w:r w:rsidR="00E67A02">
        <w:t>Tian</w:t>
      </w:r>
      <w:proofErr w:type="spellEnd"/>
      <w:r w:rsidR="00E67A02">
        <w:t xml:space="preserve"> Shan Mountains – the Central </w:t>
      </w:r>
      <w:proofErr w:type="spellStart"/>
      <w:r w:rsidR="00E67A02">
        <w:t>Tian</w:t>
      </w:r>
      <w:proofErr w:type="spellEnd"/>
      <w:r w:rsidR="00E67A02">
        <w:t xml:space="preserve"> Shan – are found in the eastern areas of </w:t>
      </w:r>
      <w:proofErr w:type="spellStart"/>
      <w:r w:rsidR="00E67A02">
        <w:t>Kyrygzstan</w:t>
      </w:r>
      <w:proofErr w:type="spellEnd"/>
      <w:r w:rsidR="00E67A02">
        <w:t xml:space="preserve"> along the border shared with China.  Administratively, the Central </w:t>
      </w:r>
      <w:proofErr w:type="spellStart"/>
      <w:r w:rsidR="00E67A02">
        <w:t>Tian</w:t>
      </w:r>
      <w:proofErr w:type="spellEnd"/>
      <w:r w:rsidR="00E67A02">
        <w:t xml:space="preserve"> Shan falls within the </w:t>
      </w:r>
      <w:proofErr w:type="spellStart"/>
      <w:r w:rsidR="00E67A02">
        <w:t>Issyk</w:t>
      </w:r>
      <w:proofErr w:type="spellEnd"/>
      <w:r w:rsidR="00E67A02">
        <w:t xml:space="preserve"> </w:t>
      </w:r>
      <w:proofErr w:type="spellStart"/>
      <w:r w:rsidR="00E67A02">
        <w:t>Kul</w:t>
      </w:r>
      <w:proofErr w:type="spellEnd"/>
      <w:r w:rsidR="00E67A02">
        <w:t xml:space="preserve"> </w:t>
      </w:r>
      <w:r w:rsidR="00FF5EC3">
        <w:t>oblast</w:t>
      </w:r>
      <w:r w:rsidR="00E67A02">
        <w:t>.</w:t>
      </w:r>
    </w:p>
    <w:p w14:paraId="73DF112F" w14:textId="102F173C" w:rsidR="00E67A02" w:rsidRDefault="00E67A02" w:rsidP="0039653C">
      <w:pPr>
        <w:numPr>
          <w:ilvl w:val="0"/>
          <w:numId w:val="2"/>
        </w:numPr>
        <w:ind w:left="0" w:firstLine="0"/>
        <w:jc w:val="both"/>
      </w:pPr>
      <w:r>
        <w:t xml:space="preserve">Biogeographically, the </w:t>
      </w:r>
      <w:proofErr w:type="spellStart"/>
      <w:r>
        <w:t>Tian</w:t>
      </w:r>
      <w:proofErr w:type="spellEnd"/>
      <w:r>
        <w:t xml:space="preserve"> Shan forms a bridge between the mountainous biodiversity of the Himalayas and Hindu Kush, through the Pamir range to the Altai </w:t>
      </w:r>
      <w:proofErr w:type="gramStart"/>
      <w:r>
        <w:t>mountains</w:t>
      </w:r>
      <w:proofErr w:type="gramEnd"/>
      <w:r>
        <w:t xml:space="preserve"> of Kazakhstan, Mongolia, Russia and China.  The mountains also form a biogeographic barrier between the </w:t>
      </w:r>
      <w:r w:rsidR="00FF5EC3">
        <w:t xml:space="preserve">lowland </w:t>
      </w:r>
      <w:r>
        <w:t>biodiversity of adjacent parts of China, Uzbekistan and Kazakhstan.  The result is a rich diversity of speci</w:t>
      </w:r>
      <w:r w:rsidR="00FF5EC3">
        <w:t xml:space="preserve">es, ecosystems and topography, and the area is important for </w:t>
      </w:r>
      <w:r w:rsidR="0062704E">
        <w:t>a number of ecosystem services and ecological processes.</w:t>
      </w:r>
    </w:p>
    <w:p w14:paraId="705024AA" w14:textId="08863160" w:rsidR="0003624C" w:rsidRDefault="000467F3" w:rsidP="0039653C">
      <w:pPr>
        <w:numPr>
          <w:ilvl w:val="0"/>
          <w:numId w:val="2"/>
        </w:numPr>
        <w:ind w:left="0" w:firstLine="0"/>
        <w:jc w:val="both"/>
      </w:pPr>
      <w:r>
        <w:t xml:space="preserve">In terms of global biodiversity, the Central </w:t>
      </w:r>
      <w:proofErr w:type="spellStart"/>
      <w:r>
        <w:t>Tian</w:t>
      </w:r>
      <w:proofErr w:type="spellEnd"/>
      <w:r>
        <w:t xml:space="preserve"> Shan harbours the relic forests of the endemic </w:t>
      </w:r>
      <w:proofErr w:type="spellStart"/>
      <w:r>
        <w:t>Shrenk’s</w:t>
      </w:r>
      <w:proofErr w:type="spellEnd"/>
      <w:r>
        <w:t xml:space="preserve"> spruce </w:t>
      </w:r>
      <w:proofErr w:type="spellStart"/>
      <w:r>
        <w:rPr>
          <w:i/>
        </w:rPr>
        <w:t>Picea</w:t>
      </w:r>
      <w:proofErr w:type="spellEnd"/>
      <w:r>
        <w:rPr>
          <w:i/>
        </w:rPr>
        <w:t xml:space="preserve"> </w:t>
      </w:r>
      <w:proofErr w:type="spellStart"/>
      <w:r>
        <w:rPr>
          <w:i/>
        </w:rPr>
        <w:t>shrenkiana</w:t>
      </w:r>
      <w:proofErr w:type="spellEnd"/>
      <w:r w:rsidR="0062704E">
        <w:rPr>
          <w:rStyle w:val="FootnoteReference"/>
        </w:rPr>
        <w:footnoteReference w:id="3"/>
      </w:r>
      <w:r w:rsidR="000C584C">
        <w:t>.</w:t>
      </w:r>
      <w:r>
        <w:t xml:space="preserve">  The area provides habitat for the snow leopard </w:t>
      </w:r>
      <w:proofErr w:type="spellStart"/>
      <w:r>
        <w:rPr>
          <w:i/>
        </w:rPr>
        <w:t>Uncia</w:t>
      </w:r>
      <w:proofErr w:type="spellEnd"/>
      <w:r>
        <w:rPr>
          <w:i/>
        </w:rPr>
        <w:t xml:space="preserve"> </w:t>
      </w:r>
      <w:proofErr w:type="spellStart"/>
      <w:r>
        <w:rPr>
          <w:i/>
        </w:rPr>
        <w:t>uncia</w:t>
      </w:r>
      <w:proofErr w:type="spellEnd"/>
      <w:r>
        <w:t xml:space="preserve"> EN</w:t>
      </w:r>
      <w:r w:rsidR="0070588C">
        <w:t xml:space="preserve"> and a number of ungulate species that provide prey for the snow leopard, including the argali </w:t>
      </w:r>
      <w:proofErr w:type="spellStart"/>
      <w:r w:rsidR="0070588C">
        <w:rPr>
          <w:i/>
        </w:rPr>
        <w:t>Ovis</w:t>
      </w:r>
      <w:proofErr w:type="spellEnd"/>
      <w:r w:rsidR="0070588C">
        <w:rPr>
          <w:i/>
        </w:rPr>
        <w:t xml:space="preserve"> </w:t>
      </w:r>
      <w:proofErr w:type="spellStart"/>
      <w:r w:rsidR="0070588C">
        <w:rPr>
          <w:i/>
        </w:rPr>
        <w:t>ammon</w:t>
      </w:r>
      <w:proofErr w:type="spellEnd"/>
      <w:r w:rsidR="0070588C">
        <w:t xml:space="preserve"> NT, the ibex </w:t>
      </w:r>
      <w:r w:rsidR="0070588C">
        <w:rPr>
          <w:i/>
        </w:rPr>
        <w:t>Capra ibex</w:t>
      </w:r>
      <w:r w:rsidR="0070588C">
        <w:t xml:space="preserve"> and the </w:t>
      </w:r>
      <w:proofErr w:type="spellStart"/>
      <w:r w:rsidR="0070588C">
        <w:t>maral</w:t>
      </w:r>
      <w:proofErr w:type="spellEnd"/>
      <w:r w:rsidR="0070588C">
        <w:t xml:space="preserve"> </w:t>
      </w:r>
      <w:proofErr w:type="spellStart"/>
      <w:r w:rsidR="0070588C">
        <w:rPr>
          <w:i/>
        </w:rPr>
        <w:t>Cervus</w:t>
      </w:r>
      <w:proofErr w:type="spellEnd"/>
      <w:r w:rsidR="0070588C">
        <w:rPr>
          <w:i/>
        </w:rPr>
        <w:t xml:space="preserve"> </w:t>
      </w:r>
      <w:proofErr w:type="spellStart"/>
      <w:r w:rsidR="0070588C">
        <w:rPr>
          <w:i/>
        </w:rPr>
        <w:t>elaphus</w:t>
      </w:r>
      <w:proofErr w:type="spellEnd"/>
      <w:r w:rsidR="000C584C">
        <w:rPr>
          <w:rStyle w:val="FootnoteReference"/>
        </w:rPr>
        <w:footnoteReference w:id="4"/>
      </w:r>
      <w:r w:rsidR="00D04C56">
        <w:t>.</w:t>
      </w:r>
      <w:r w:rsidR="0070588C">
        <w:t xml:space="preserve">  A number of the bird species of the area are globally threatened, including the </w:t>
      </w:r>
      <w:proofErr w:type="spellStart"/>
      <w:r w:rsidR="0070588C">
        <w:t>saker</w:t>
      </w:r>
      <w:proofErr w:type="spellEnd"/>
      <w:r w:rsidR="0070588C">
        <w:t xml:space="preserve"> falcon </w:t>
      </w:r>
      <w:r w:rsidR="0070588C">
        <w:rPr>
          <w:i/>
        </w:rPr>
        <w:t xml:space="preserve">Falco </w:t>
      </w:r>
      <w:proofErr w:type="spellStart"/>
      <w:r w:rsidR="0070588C">
        <w:rPr>
          <w:i/>
        </w:rPr>
        <w:t>cherrug</w:t>
      </w:r>
      <w:proofErr w:type="spellEnd"/>
      <w:r w:rsidR="0070588C">
        <w:t xml:space="preserve"> VU, cinereous vulture </w:t>
      </w:r>
      <w:proofErr w:type="spellStart"/>
      <w:r w:rsidR="0070588C">
        <w:rPr>
          <w:i/>
        </w:rPr>
        <w:t>Aegypius</w:t>
      </w:r>
      <w:proofErr w:type="spellEnd"/>
      <w:r w:rsidR="0070588C">
        <w:rPr>
          <w:i/>
        </w:rPr>
        <w:t xml:space="preserve"> </w:t>
      </w:r>
      <w:proofErr w:type="spellStart"/>
      <w:r w:rsidR="0070588C">
        <w:rPr>
          <w:i/>
        </w:rPr>
        <w:t>monachus</w:t>
      </w:r>
      <w:proofErr w:type="spellEnd"/>
      <w:r w:rsidR="0070588C">
        <w:t xml:space="preserve"> NT, and the imperial eagle </w:t>
      </w:r>
      <w:r w:rsidR="0070588C">
        <w:rPr>
          <w:i/>
        </w:rPr>
        <w:t xml:space="preserve">Aquila </w:t>
      </w:r>
      <w:proofErr w:type="spellStart"/>
      <w:r w:rsidR="0070588C">
        <w:rPr>
          <w:i/>
        </w:rPr>
        <w:t>nipalensis</w:t>
      </w:r>
      <w:proofErr w:type="spellEnd"/>
      <w:r w:rsidR="0070588C">
        <w:t xml:space="preserve"> NT.  Among invertebrate species, 31 species are identified as being endemic.  Eleven species of vascular plant are listed as endemic.  The altitudinal range of the mountains also significantly increases the diversity of ecosystems.</w:t>
      </w:r>
    </w:p>
    <w:p w14:paraId="38C71A08" w14:textId="1F20DA36" w:rsidR="000467F3" w:rsidRPr="00516656" w:rsidRDefault="0070588C" w:rsidP="0039653C">
      <w:pPr>
        <w:numPr>
          <w:ilvl w:val="0"/>
          <w:numId w:val="2"/>
        </w:numPr>
        <w:ind w:left="0" w:firstLine="0"/>
        <w:jc w:val="both"/>
      </w:pPr>
      <w:r>
        <w:t xml:space="preserve">In addition, the Central </w:t>
      </w:r>
      <w:proofErr w:type="spellStart"/>
      <w:r>
        <w:t>Tian</w:t>
      </w:r>
      <w:proofErr w:type="spellEnd"/>
      <w:r>
        <w:t xml:space="preserve"> Shan is also a</w:t>
      </w:r>
      <w:r w:rsidR="00D04C56">
        <w:t>n important</w:t>
      </w:r>
      <w:r>
        <w:t xml:space="preserve"> w</w:t>
      </w:r>
      <w:r w:rsidR="000467F3">
        <w:t>ater catchment</w:t>
      </w:r>
      <w:r>
        <w:t xml:space="preserve"> area, providing water resources for a third of the country and, as is common with highland-lowland systems in which the lowlands are arid or semi-arid, </w:t>
      </w:r>
      <w:r w:rsidR="00091C33">
        <w:t>for all adjacent low lying land – the majority of which is in neighbouring countries.</w:t>
      </w:r>
    </w:p>
    <w:p w14:paraId="59FE9734" w14:textId="3634A4BD" w:rsidR="00B944B0" w:rsidRDefault="0003624C" w:rsidP="00B944B0">
      <w:pPr>
        <w:numPr>
          <w:ilvl w:val="0"/>
          <w:numId w:val="2"/>
        </w:numPr>
        <w:ind w:left="0" w:firstLine="0"/>
        <w:jc w:val="both"/>
      </w:pPr>
      <w:r>
        <w:t xml:space="preserve">The </w:t>
      </w:r>
      <w:r w:rsidR="00CC3C0B">
        <w:t xml:space="preserve">global conservation </w:t>
      </w:r>
      <w:r>
        <w:t xml:space="preserve">value of the </w:t>
      </w:r>
      <w:r w:rsidR="00CC3C0B">
        <w:t xml:space="preserve">Central </w:t>
      </w:r>
      <w:proofErr w:type="spellStart"/>
      <w:r w:rsidR="00CC3C0B">
        <w:t>Tian</w:t>
      </w:r>
      <w:proofErr w:type="spellEnd"/>
      <w:r w:rsidR="00CC3C0B">
        <w:t xml:space="preserve"> Shan has been recognised: it </w:t>
      </w:r>
      <w:r w:rsidR="00AB219A">
        <w:t>is listed within WWF</w:t>
      </w:r>
      <w:r w:rsidR="00D04C56">
        <w:t>’s</w:t>
      </w:r>
      <w:r w:rsidR="00AB219A">
        <w:t xml:space="preserve"> Global 200 – included under the </w:t>
      </w:r>
      <w:proofErr w:type="spellStart"/>
      <w:r w:rsidR="00AB219A">
        <w:t>Montane</w:t>
      </w:r>
      <w:proofErr w:type="spellEnd"/>
      <w:r w:rsidR="00AB219A">
        <w:t xml:space="preserve"> grasslands and </w:t>
      </w:r>
      <w:proofErr w:type="spellStart"/>
      <w:r w:rsidR="00AB219A">
        <w:t>shrublands</w:t>
      </w:r>
      <w:proofErr w:type="spellEnd"/>
      <w:r w:rsidR="00AB219A">
        <w:t xml:space="preserve"> </w:t>
      </w:r>
      <w:proofErr w:type="spellStart"/>
      <w:r w:rsidR="00AB219A">
        <w:t>ecoregion</w:t>
      </w:r>
      <w:proofErr w:type="spellEnd"/>
      <w:r w:rsidR="00AB219A">
        <w:t xml:space="preserve"> as the Middle Asian </w:t>
      </w:r>
      <w:proofErr w:type="spellStart"/>
      <w:r w:rsidR="00AB219A">
        <w:t>montane</w:t>
      </w:r>
      <w:proofErr w:type="spellEnd"/>
      <w:r w:rsidR="00AB219A">
        <w:t xml:space="preserve"> steppe and woodlands.  Curiously, there are no IBAs listed for the Central </w:t>
      </w:r>
      <w:proofErr w:type="spellStart"/>
      <w:r w:rsidR="00AB219A">
        <w:t>Tian</w:t>
      </w:r>
      <w:proofErr w:type="spellEnd"/>
      <w:r w:rsidR="00AB219A">
        <w:t xml:space="preserve"> Shan for Kyrgyzstan – although the adjacent </w:t>
      </w:r>
      <w:r w:rsidR="00D04C56">
        <w:t xml:space="preserve">and ecologically contiguous </w:t>
      </w:r>
      <w:r w:rsidR="00AB219A">
        <w:t xml:space="preserve">area in China is listed as an IBA (Mount </w:t>
      </w:r>
      <w:proofErr w:type="spellStart"/>
      <w:r w:rsidR="00AB219A">
        <w:t>Tuomuer</w:t>
      </w:r>
      <w:proofErr w:type="spellEnd"/>
      <w:r w:rsidR="00AB219A">
        <w:t xml:space="preserve"> Nature Reserve</w:t>
      </w:r>
      <w:r w:rsidR="00AB219A">
        <w:rPr>
          <w:rStyle w:val="FootnoteReference"/>
        </w:rPr>
        <w:footnoteReference w:id="5"/>
      </w:r>
      <w:r w:rsidR="00AB219A">
        <w:t>).</w:t>
      </w:r>
    </w:p>
    <w:p w14:paraId="58F09D9E" w14:textId="5EB6DD89" w:rsidR="00AB219A" w:rsidRDefault="00AB219A" w:rsidP="00B944B0">
      <w:pPr>
        <w:numPr>
          <w:ilvl w:val="0"/>
          <w:numId w:val="2"/>
        </w:numPr>
        <w:ind w:left="0" w:firstLine="0"/>
        <w:jc w:val="both"/>
      </w:pPr>
      <w:r>
        <w:t xml:space="preserve">The </w:t>
      </w:r>
      <w:proofErr w:type="spellStart"/>
      <w:r>
        <w:t>Tian</w:t>
      </w:r>
      <w:proofErr w:type="spellEnd"/>
      <w:r>
        <w:t xml:space="preserve"> Shan mountains form the central area of the Mountains of Central Asia – which was recognised as a biodiversity hotspot by Conservation International (CI) – although it should be acknowledged that such recognition works two ways: biodiversity hotspots are recognised for their biodiversity (and specifically the diversity of endemic vascular plants) but also because of the degree to which they are threatened.</w:t>
      </w:r>
    </w:p>
    <w:p w14:paraId="65279246" w14:textId="56DEA217" w:rsidR="00E510E2" w:rsidRDefault="00E510E2" w:rsidP="00B944B0">
      <w:pPr>
        <w:numPr>
          <w:ilvl w:val="0"/>
          <w:numId w:val="2"/>
        </w:numPr>
        <w:ind w:left="0" w:firstLine="0"/>
        <w:jc w:val="both"/>
      </w:pPr>
      <w:r>
        <w:t xml:space="preserve">The Central </w:t>
      </w:r>
      <w:proofErr w:type="spellStart"/>
      <w:r>
        <w:t>Tian</w:t>
      </w:r>
      <w:proofErr w:type="spellEnd"/>
      <w:r>
        <w:t xml:space="preserve"> Shan, an area of </w:t>
      </w:r>
      <w:r w:rsidR="008C7C60" w:rsidRPr="008C7C60">
        <w:t>1,400,0</w:t>
      </w:r>
      <w:r w:rsidR="008C7C60">
        <w:t>00ha</w:t>
      </w:r>
      <w:r w:rsidR="008C7C60">
        <w:rPr>
          <w:rStyle w:val="FootnoteReference"/>
        </w:rPr>
        <w:footnoteReference w:id="6"/>
      </w:r>
      <w:r>
        <w:t xml:space="preserve">, contains </w:t>
      </w:r>
      <w:r w:rsidR="00FE50E4">
        <w:t>only one protected area</w:t>
      </w:r>
      <w:r>
        <w:t xml:space="preserve">: </w:t>
      </w:r>
      <w:proofErr w:type="spellStart"/>
      <w:r>
        <w:t>Sarychat</w:t>
      </w:r>
      <w:proofErr w:type="spellEnd"/>
      <w:r>
        <w:t xml:space="preserve"> </w:t>
      </w:r>
      <w:proofErr w:type="spellStart"/>
      <w:r>
        <w:t>E</w:t>
      </w:r>
      <w:r w:rsidR="00B94CD0">
        <w:t>r</w:t>
      </w:r>
      <w:r>
        <w:t>tash</w:t>
      </w:r>
      <w:proofErr w:type="spellEnd"/>
      <w:r w:rsidR="00B94CD0">
        <w:t xml:space="preserve"> </w:t>
      </w:r>
      <w:proofErr w:type="spellStart"/>
      <w:r w:rsidR="00B94CD0">
        <w:t>zapovednik</w:t>
      </w:r>
      <w:proofErr w:type="spellEnd"/>
      <w:r w:rsidR="00B94CD0">
        <w:t xml:space="preserve"> (covering </w:t>
      </w:r>
      <w:r w:rsidR="008C7C60">
        <w:t>149,117.9</w:t>
      </w:r>
      <w:r w:rsidR="00B94CD0">
        <w:t xml:space="preserve">ha).  This represents </w:t>
      </w:r>
      <w:r w:rsidR="00FE50E4">
        <w:t xml:space="preserve">only </w:t>
      </w:r>
      <w:r w:rsidR="008C7C60" w:rsidRPr="008C7C60">
        <w:t>10.7</w:t>
      </w:r>
      <w:r w:rsidR="00B94CD0">
        <w:t>% of the area</w:t>
      </w:r>
      <w:r w:rsidR="000D7D2D">
        <w:t xml:space="preserve">.  The land use of the remainder of the area </w:t>
      </w:r>
      <w:r w:rsidR="00A52E9A">
        <w:t xml:space="preserve">includes </w:t>
      </w:r>
      <w:proofErr w:type="spellStart"/>
      <w:r w:rsidR="00A52E9A">
        <w:t>i</w:t>
      </w:r>
      <w:proofErr w:type="spellEnd"/>
      <w:r w:rsidR="00A52E9A">
        <w:t>) pastures used for seasonal grazing of livestock by local communities, ii) areas given as concession areas for trophy hunting enterprises, and iii) areas given as concession areas for mining operations.  A large proportion of the area remains unused and unprotected.</w:t>
      </w:r>
    </w:p>
    <w:p w14:paraId="61484867" w14:textId="77777777" w:rsidR="00E4257F" w:rsidRPr="00516656" w:rsidRDefault="00E4257F" w:rsidP="00683205">
      <w:pPr>
        <w:pStyle w:val="Heading2"/>
      </w:pPr>
      <w:bookmarkStart w:id="15" w:name="_Toc311452867"/>
      <w:r w:rsidRPr="00516656">
        <w:t>Problems that the project sought to address</w:t>
      </w:r>
      <w:bookmarkEnd w:id="15"/>
    </w:p>
    <w:p w14:paraId="062CDABF" w14:textId="05946DF6" w:rsidR="00C901AA" w:rsidRDefault="00091C33" w:rsidP="00C901AA">
      <w:pPr>
        <w:numPr>
          <w:ilvl w:val="0"/>
          <w:numId w:val="2"/>
        </w:numPr>
        <w:ind w:left="0" w:firstLine="0"/>
        <w:jc w:val="both"/>
      </w:pPr>
      <w:r>
        <w:t xml:space="preserve">The </w:t>
      </w:r>
      <w:proofErr w:type="spellStart"/>
      <w:r>
        <w:t>Shrenk’s</w:t>
      </w:r>
      <w:proofErr w:type="spellEnd"/>
      <w:r>
        <w:t xml:space="preserve"> spruce forests of the </w:t>
      </w:r>
      <w:proofErr w:type="spellStart"/>
      <w:r>
        <w:t>Tian</w:t>
      </w:r>
      <w:proofErr w:type="spellEnd"/>
      <w:r>
        <w:t xml:space="preserve"> Shan Mountains has, apparently, shrunk by 50% over the past 50 years. This is largely attributed to “weak protection” and over-harvesting of mature trees, which, in turn, leads to further degradation to access the trees and extract the felled trees and timber.</w:t>
      </w:r>
    </w:p>
    <w:p w14:paraId="2D0A776D" w14:textId="22D9CE7B" w:rsidR="00091C33" w:rsidRDefault="00091C33" w:rsidP="00C901AA">
      <w:pPr>
        <w:numPr>
          <w:ilvl w:val="0"/>
          <w:numId w:val="2"/>
        </w:numPr>
        <w:ind w:left="0" w:firstLine="0"/>
        <w:jc w:val="both"/>
      </w:pPr>
      <w:r>
        <w:t>Other anthropogenic activities that threaten biodiversity and ecological processes include:</w:t>
      </w:r>
    </w:p>
    <w:p w14:paraId="7A8D8950" w14:textId="3AC705D7" w:rsidR="00091C33" w:rsidRDefault="00D272D0" w:rsidP="00091C33">
      <w:pPr>
        <w:numPr>
          <w:ilvl w:val="1"/>
          <w:numId w:val="2"/>
        </w:numPr>
        <w:jc w:val="both"/>
      </w:pPr>
      <w:r>
        <w:t>Overgrazing by livestock herds</w:t>
      </w:r>
    </w:p>
    <w:p w14:paraId="68630BC2" w14:textId="0037E652" w:rsidR="00D272D0" w:rsidRDefault="00D272D0" w:rsidP="00091C33">
      <w:pPr>
        <w:numPr>
          <w:ilvl w:val="1"/>
          <w:numId w:val="2"/>
        </w:numPr>
        <w:jc w:val="both"/>
      </w:pPr>
      <w:r>
        <w:t>Trophy hunting, particularly for ungulate species</w:t>
      </w:r>
    </w:p>
    <w:p w14:paraId="7B8B89C3" w14:textId="7A71E1D6" w:rsidR="00D272D0" w:rsidRPr="00516656" w:rsidRDefault="00D272D0" w:rsidP="00091C33">
      <w:pPr>
        <w:numPr>
          <w:ilvl w:val="1"/>
          <w:numId w:val="2"/>
        </w:numPr>
        <w:jc w:val="both"/>
      </w:pPr>
      <w:r>
        <w:t>Illegal killing of wildlife</w:t>
      </w:r>
    </w:p>
    <w:p w14:paraId="1E194E7F" w14:textId="432A7633" w:rsidR="00B4716B" w:rsidRDefault="00D272D0" w:rsidP="00B4716B">
      <w:pPr>
        <w:numPr>
          <w:ilvl w:val="0"/>
          <w:numId w:val="2"/>
        </w:numPr>
        <w:ind w:left="0" w:firstLine="0"/>
        <w:jc w:val="both"/>
      </w:pPr>
      <w:r>
        <w:t>In addition, in the project document, mining is mentioned as an emerging threat – with mining companies lobbying for the de-</w:t>
      </w:r>
      <w:proofErr w:type="spellStart"/>
      <w:r>
        <w:t>gazettement</w:t>
      </w:r>
      <w:proofErr w:type="spellEnd"/>
      <w:r>
        <w:t xml:space="preserve"> of protected areas.</w:t>
      </w:r>
    </w:p>
    <w:p w14:paraId="528E9657" w14:textId="17E5D908" w:rsidR="00D272D0" w:rsidRDefault="00D272D0" w:rsidP="00B4716B">
      <w:pPr>
        <w:numPr>
          <w:ilvl w:val="0"/>
          <w:numId w:val="2"/>
        </w:numPr>
        <w:ind w:left="0" w:firstLine="0"/>
        <w:jc w:val="both"/>
      </w:pPr>
      <w:r>
        <w:t xml:space="preserve">While the project document does not explicitly mention the </w:t>
      </w:r>
      <w:r w:rsidR="00D02372">
        <w:t>root causes of these threats, it is apparent that they are underpinned by the following:</w:t>
      </w:r>
    </w:p>
    <w:p w14:paraId="7910E31D" w14:textId="52F03DEE" w:rsidR="00D02372" w:rsidRDefault="00D02372" w:rsidP="00D02372">
      <w:pPr>
        <w:numPr>
          <w:ilvl w:val="1"/>
          <w:numId w:val="2"/>
        </w:numPr>
        <w:jc w:val="both"/>
      </w:pPr>
      <w:r>
        <w:t>Unregulated and unsustainable (commercial) use of natural resources</w:t>
      </w:r>
    </w:p>
    <w:p w14:paraId="6584A4D5" w14:textId="73747320" w:rsidR="00D02372" w:rsidRDefault="00D02372" w:rsidP="00D02372">
      <w:pPr>
        <w:numPr>
          <w:ilvl w:val="1"/>
          <w:numId w:val="2"/>
        </w:numPr>
        <w:jc w:val="both"/>
      </w:pPr>
      <w:r>
        <w:t xml:space="preserve">Unsustainable </w:t>
      </w:r>
      <w:r w:rsidR="007F2AA7">
        <w:t>use of natural resources (for subsistence)</w:t>
      </w:r>
    </w:p>
    <w:p w14:paraId="29B237C3" w14:textId="116BDE4D" w:rsidR="00D02372" w:rsidRDefault="007F2AA7" w:rsidP="00B4716B">
      <w:pPr>
        <w:numPr>
          <w:ilvl w:val="0"/>
          <w:numId w:val="2"/>
        </w:numPr>
        <w:ind w:left="0" w:firstLine="0"/>
        <w:jc w:val="both"/>
      </w:pPr>
      <w:r>
        <w:t xml:space="preserve">One of the mechanisms used by the country to counter these threats is to establish and maintain a system of protected areas or Specially Protected Nature Areas (SPNA).  At the point of the development of the project, the PA network covered 6.03% of the country and consisted of 86 PAs.  There are three categories of protected area – strict reserves, national parks and regulated reserves.  The management of the protected areas </w:t>
      </w:r>
      <w:r w:rsidR="0031104F">
        <w:t xml:space="preserve">mainly </w:t>
      </w:r>
      <w:r>
        <w:t>falls under the mandate of the State Agency for Environmental Protection and Forestry</w:t>
      </w:r>
      <w:r w:rsidR="0031104F">
        <w:rPr>
          <w:rStyle w:val="FootnoteReference"/>
        </w:rPr>
        <w:footnoteReference w:id="7"/>
      </w:r>
      <w:r>
        <w:t xml:space="preserve">.  The strict reserves and national parks are the most important – and, apparently, functional – of the protected areas as they often </w:t>
      </w:r>
      <w:r w:rsidR="00547D0E">
        <w:t>have administrative offices within or close to the protected area and patrols are carried out regularly by “inspectors”.</w:t>
      </w:r>
    </w:p>
    <w:p w14:paraId="0C363093" w14:textId="2C9B41CB" w:rsidR="0075008D" w:rsidRDefault="00547D0E" w:rsidP="0075008D">
      <w:pPr>
        <w:numPr>
          <w:ilvl w:val="0"/>
          <w:numId w:val="2"/>
        </w:numPr>
        <w:ind w:left="0" w:firstLine="0"/>
        <w:jc w:val="both"/>
      </w:pPr>
      <w:r>
        <w:t xml:space="preserve">There are, however, weaknesses of the protected area system: it does not provide adequate coverage for the spatial range of threatened species – </w:t>
      </w:r>
      <w:r w:rsidR="0031104F">
        <w:t>including</w:t>
      </w:r>
      <w:r>
        <w:t xml:space="preserve"> the snow leopard and the argali.  </w:t>
      </w:r>
      <w:r w:rsidR="0075008D">
        <w:t>As indicated above, c</w:t>
      </w:r>
      <w:r>
        <w:t xml:space="preserve">overage in the Central </w:t>
      </w:r>
      <w:proofErr w:type="spellStart"/>
      <w:r>
        <w:t>Tian</w:t>
      </w:r>
      <w:proofErr w:type="spellEnd"/>
      <w:r>
        <w:t xml:space="preserve"> Shan Mountains </w:t>
      </w:r>
      <w:r w:rsidR="0075008D">
        <w:t>is</w:t>
      </w:r>
      <w:r>
        <w:t xml:space="preserve"> relatively low (when compared to the Northern and Western </w:t>
      </w:r>
      <w:proofErr w:type="spellStart"/>
      <w:r>
        <w:t>Tian</w:t>
      </w:r>
      <w:proofErr w:type="spellEnd"/>
      <w:r>
        <w:t xml:space="preserve"> Shan)</w:t>
      </w:r>
      <w:r w:rsidR="0075008D">
        <w:t xml:space="preserve"> and the </w:t>
      </w:r>
      <w:proofErr w:type="spellStart"/>
      <w:r>
        <w:t>Sarychat-Ertash</w:t>
      </w:r>
      <w:proofErr w:type="spellEnd"/>
      <w:r>
        <w:t xml:space="preserve"> </w:t>
      </w:r>
      <w:proofErr w:type="spellStart"/>
      <w:r w:rsidR="00FE50E4">
        <w:t>zapovednik</w:t>
      </w:r>
      <w:proofErr w:type="spellEnd"/>
      <w:r>
        <w:t xml:space="preserve"> covers only 20% of the snow leopard range within the Central </w:t>
      </w:r>
      <w:proofErr w:type="spellStart"/>
      <w:r>
        <w:t>Tian</w:t>
      </w:r>
      <w:proofErr w:type="spellEnd"/>
      <w:r>
        <w:t xml:space="preserve"> Shan.  In addition, only 8.3% of the </w:t>
      </w:r>
      <w:proofErr w:type="spellStart"/>
      <w:r>
        <w:t>Skrenk’s</w:t>
      </w:r>
      <w:proofErr w:type="spellEnd"/>
      <w:r>
        <w:t xml:space="preserve"> spruce forests are protected.</w:t>
      </w:r>
    </w:p>
    <w:p w14:paraId="1128B535" w14:textId="2CAF9691" w:rsidR="00E510E2" w:rsidRPr="0075008D" w:rsidRDefault="0075008D" w:rsidP="00E510E2">
      <w:pPr>
        <w:numPr>
          <w:ilvl w:val="0"/>
          <w:numId w:val="2"/>
        </w:numPr>
        <w:ind w:left="0" w:firstLine="0"/>
        <w:jc w:val="both"/>
      </w:pPr>
      <w:r>
        <w:t xml:space="preserve">In significantly expanding the protected area coverage within the Central </w:t>
      </w:r>
      <w:proofErr w:type="spellStart"/>
      <w:r>
        <w:t>Tian</w:t>
      </w:r>
      <w:proofErr w:type="spellEnd"/>
      <w:r>
        <w:t xml:space="preserve"> Shan </w:t>
      </w:r>
      <w:r w:rsidRPr="0075008D">
        <w:t>Mountains, t</w:t>
      </w:r>
      <w:r w:rsidR="00E510E2" w:rsidRPr="0075008D">
        <w:t xml:space="preserve">he Project is expected to make a significant contribution to </w:t>
      </w:r>
      <w:proofErr w:type="spellStart"/>
      <w:r w:rsidRPr="0075008D">
        <w:t>i</w:t>
      </w:r>
      <w:proofErr w:type="spellEnd"/>
      <w:r w:rsidRPr="0075008D">
        <w:t xml:space="preserve">) </w:t>
      </w:r>
      <w:r w:rsidR="00E510E2" w:rsidRPr="0075008D">
        <w:t xml:space="preserve">the National Strategy of Sustainable Development </w:t>
      </w:r>
      <w:r w:rsidRPr="0075008D">
        <w:t xml:space="preserve">ii) the </w:t>
      </w:r>
      <w:r w:rsidR="00E510E2" w:rsidRPr="0075008D">
        <w:t>Global Snow Leopard and Ecosystem Protection Programme</w:t>
      </w:r>
      <w:r w:rsidR="0031104F">
        <w:t>, and iii) the NBSAP</w:t>
      </w:r>
      <w:r w:rsidRPr="0075008D">
        <w:t>; these strategies</w:t>
      </w:r>
      <w:r w:rsidR="00E510E2" w:rsidRPr="0075008D">
        <w:t xml:space="preserve"> were approved by both the President and the Government of the Kyrgyz Republic</w:t>
      </w:r>
      <w:r w:rsidRPr="0075008D">
        <w:t xml:space="preserve">.  </w:t>
      </w:r>
      <w:r w:rsidR="00E510E2" w:rsidRPr="0075008D">
        <w:t xml:space="preserve">In addition, issues of biodiversity conservation were integrated into the “Programme and the Action Plan of the Government for Transition to Sustainable Development” which was approved by the </w:t>
      </w:r>
      <w:r w:rsidRPr="0075008D">
        <w:t>Parliament</w:t>
      </w:r>
      <w:r w:rsidR="00E510E2" w:rsidRPr="0075008D">
        <w:t xml:space="preserve"> of the Kyrgyz Republic.</w:t>
      </w:r>
    </w:p>
    <w:p w14:paraId="4FF473E4" w14:textId="4FA08C03" w:rsidR="00483AA0" w:rsidRPr="00516656" w:rsidRDefault="00483AA0" w:rsidP="00683205">
      <w:pPr>
        <w:pStyle w:val="Heading2"/>
      </w:pPr>
      <w:bookmarkStart w:id="16" w:name="_Toc311452868"/>
      <w:r w:rsidRPr="00516656">
        <w:t xml:space="preserve">Project description and strategy (objectives, </w:t>
      </w:r>
      <w:r w:rsidR="002B60F5" w:rsidRPr="00516656">
        <w:t>outcomes</w:t>
      </w:r>
      <w:r w:rsidRPr="00516656">
        <w:t xml:space="preserve"> and expected results and description of field sites</w:t>
      </w:r>
      <w:bookmarkEnd w:id="16"/>
    </w:p>
    <w:p w14:paraId="44869079" w14:textId="3A2B95EF" w:rsidR="00B655BB" w:rsidRPr="00516656" w:rsidRDefault="0050212B" w:rsidP="000E6566">
      <w:pPr>
        <w:numPr>
          <w:ilvl w:val="0"/>
          <w:numId w:val="2"/>
        </w:numPr>
        <w:ind w:left="0" w:firstLine="0"/>
        <w:jc w:val="both"/>
      </w:pPr>
      <w:r>
        <w:t xml:space="preserve">The long-term solution is described as being the need to take a more strategic and landscape-based approach to protected area expansion and management in the </w:t>
      </w:r>
      <w:proofErr w:type="spellStart"/>
      <w:r>
        <w:t>Tian</w:t>
      </w:r>
      <w:proofErr w:type="spellEnd"/>
      <w:r>
        <w:t xml:space="preserve"> Shan Mountains, with a higher proportion of the areas critical to globally threatened species (including snow leopards, argali, corncrake and </w:t>
      </w:r>
      <w:proofErr w:type="spellStart"/>
      <w:r>
        <w:rPr>
          <w:i/>
        </w:rPr>
        <w:t>Chalepoxenus</w:t>
      </w:r>
      <w:proofErr w:type="spellEnd"/>
      <w:r>
        <w:rPr>
          <w:i/>
        </w:rPr>
        <w:t xml:space="preserve"> </w:t>
      </w:r>
      <w:proofErr w:type="spellStart"/>
      <w:r>
        <w:rPr>
          <w:i/>
        </w:rPr>
        <w:t>leonomyrma</w:t>
      </w:r>
      <w:proofErr w:type="spellEnd"/>
      <w:r>
        <w:t>) are bro</w:t>
      </w:r>
      <w:r w:rsidR="005D44D9">
        <w:t>ught under effective protection through strict conservation areas, buffer areas and corridors.  Building capacity within key institutions and communities is also identified as being important.</w:t>
      </w:r>
    </w:p>
    <w:p w14:paraId="23105505" w14:textId="35ED9119" w:rsidR="00B655BB" w:rsidRPr="00516656" w:rsidRDefault="00B655BB" w:rsidP="000E6566">
      <w:pPr>
        <w:numPr>
          <w:ilvl w:val="0"/>
          <w:numId w:val="2"/>
        </w:numPr>
        <w:ind w:left="0" w:firstLine="0"/>
        <w:jc w:val="both"/>
      </w:pPr>
      <w:r w:rsidRPr="00516656">
        <w:t>The</w:t>
      </w:r>
      <w:r w:rsidR="00CC0CBE" w:rsidRPr="00516656">
        <w:t xml:space="preserve"> project aims to contribute to this long-term goal throug</w:t>
      </w:r>
      <w:r w:rsidR="005D44D9">
        <w:t>h achievement of its objective:</w:t>
      </w:r>
    </w:p>
    <w:p w14:paraId="68C30662" w14:textId="30CD83F2" w:rsidR="00CC0CBE" w:rsidRPr="00516656" w:rsidRDefault="00C901AA" w:rsidP="00B655BB">
      <w:pPr>
        <w:ind w:left="720"/>
        <w:jc w:val="both"/>
      </w:pPr>
      <w:r>
        <w:t>“</w:t>
      </w:r>
      <w:r w:rsidR="00B6039F">
        <w:t xml:space="preserve">To enhance the sustainability of protected areas in globally important ecosystems of the Central </w:t>
      </w:r>
      <w:proofErr w:type="spellStart"/>
      <w:r w:rsidR="00B6039F">
        <w:t>Tian</w:t>
      </w:r>
      <w:proofErr w:type="spellEnd"/>
      <w:r w:rsidR="00B6039F">
        <w:t xml:space="preserve"> Shan by expanding their coverage and management effectiveness, better integrating them with land use in the wider landscape through an emphasis on well-managed buffer zones and wildlife corridors, and supporting biodiversity-compatible livelihoods.</w:t>
      </w:r>
      <w:r w:rsidR="000E6566" w:rsidRPr="00516656">
        <w:t>”</w:t>
      </w:r>
    </w:p>
    <w:p w14:paraId="574BB820" w14:textId="6D553302" w:rsidR="00B6039F" w:rsidRDefault="00B6039F" w:rsidP="000E6566">
      <w:pPr>
        <w:numPr>
          <w:ilvl w:val="0"/>
          <w:numId w:val="2"/>
        </w:numPr>
        <w:ind w:left="0" w:firstLine="0"/>
        <w:jc w:val="both"/>
      </w:pPr>
      <w:r>
        <w:t xml:space="preserve">If one is to break down this objective into its functional aspects, it includes </w:t>
      </w:r>
      <w:proofErr w:type="spellStart"/>
      <w:r>
        <w:t>i</w:t>
      </w:r>
      <w:proofErr w:type="spellEnd"/>
      <w:r>
        <w:t>) expanding protected areas, ii) improving the management effectiveness of protected areas, iii) establishing buffer areas around the protected areas and corridors between the protected areas, and iv) working with people in the vicinity of protected areas and their livelihood options.</w:t>
      </w:r>
    </w:p>
    <w:p w14:paraId="03F6DBDB" w14:textId="3F677E95" w:rsidR="000E6566" w:rsidRPr="00516656" w:rsidRDefault="000E6566" w:rsidP="000E6566">
      <w:pPr>
        <w:numPr>
          <w:ilvl w:val="0"/>
          <w:numId w:val="2"/>
        </w:numPr>
        <w:ind w:left="0" w:firstLine="0"/>
        <w:jc w:val="both"/>
      </w:pPr>
      <w:r w:rsidRPr="00516656">
        <w:t>In functional terms, this objective is to be achieved through the achievement, in turn, of the following outcomes:</w:t>
      </w:r>
    </w:p>
    <w:p w14:paraId="510B9889" w14:textId="3C0DB550" w:rsidR="000E6566" w:rsidRPr="00516656" w:rsidRDefault="00B6039F" w:rsidP="000E6566">
      <w:pPr>
        <w:numPr>
          <w:ilvl w:val="1"/>
          <w:numId w:val="2"/>
        </w:numPr>
        <w:jc w:val="both"/>
      </w:pPr>
      <w:r>
        <w:rPr>
          <w:i/>
        </w:rPr>
        <w:t>Outcome 1</w:t>
      </w:r>
      <w:r w:rsidRPr="00AD3642">
        <w:rPr>
          <w:i/>
        </w:rPr>
        <w:t xml:space="preserve">: </w:t>
      </w:r>
      <w:r w:rsidR="00AD3642" w:rsidRPr="00AD3642">
        <w:rPr>
          <w:i/>
        </w:rPr>
        <w:t xml:space="preserve">Threatened species representation is improved by increasing coverage and management effectiveness of PAs in the Central </w:t>
      </w:r>
      <w:proofErr w:type="spellStart"/>
      <w:r w:rsidR="00AD3642" w:rsidRPr="00AD3642">
        <w:rPr>
          <w:i/>
        </w:rPr>
        <w:t>Tian</w:t>
      </w:r>
      <w:proofErr w:type="spellEnd"/>
      <w:r w:rsidR="00AD3642" w:rsidRPr="00AD3642">
        <w:rPr>
          <w:i/>
        </w:rPr>
        <w:t xml:space="preserve"> Shan</w:t>
      </w:r>
      <w:r w:rsidR="00AD3642">
        <w:t xml:space="preserve">.  This first outcome focuses specifically on snow leopards and </w:t>
      </w:r>
      <w:proofErr w:type="spellStart"/>
      <w:r w:rsidR="00AD3642">
        <w:t>Shrenk’s</w:t>
      </w:r>
      <w:proofErr w:type="spellEnd"/>
      <w:r w:rsidR="00AD3642">
        <w:t xml:space="preserve"> spruce forests.  There are four outputs associated with this outcome: </w:t>
      </w:r>
      <w:proofErr w:type="spellStart"/>
      <w:r w:rsidR="00AD3642">
        <w:t>i</w:t>
      </w:r>
      <w:proofErr w:type="spellEnd"/>
      <w:r w:rsidR="00AD3642">
        <w:t xml:space="preserve">) establishment of a new Natural Park in the Khan </w:t>
      </w:r>
      <w:proofErr w:type="spellStart"/>
      <w:r w:rsidR="00AD3642">
        <w:t>Tengri</w:t>
      </w:r>
      <w:proofErr w:type="spellEnd"/>
      <w:r w:rsidR="00AD3642">
        <w:t xml:space="preserve"> region, ii) patrolling, enforcement and surveillance systems strengthened in PAs, iii) building the capacity of PA staff, and iv) using the METT to measure and monitor the effectiveness of management of PAs.</w:t>
      </w:r>
    </w:p>
    <w:p w14:paraId="44E7ABE4" w14:textId="4A44E622" w:rsidR="000E6566" w:rsidRPr="00516656" w:rsidRDefault="00AD3642" w:rsidP="000E6566">
      <w:pPr>
        <w:numPr>
          <w:ilvl w:val="1"/>
          <w:numId w:val="2"/>
        </w:numPr>
        <w:jc w:val="both"/>
      </w:pPr>
      <w:r>
        <w:rPr>
          <w:i/>
        </w:rPr>
        <w:t xml:space="preserve">Outcome </w:t>
      </w:r>
      <w:r w:rsidR="000E6566" w:rsidRPr="00516656">
        <w:rPr>
          <w:i/>
        </w:rPr>
        <w:t>2</w:t>
      </w:r>
      <w:r>
        <w:rPr>
          <w:i/>
        </w:rPr>
        <w:t xml:space="preserve">: </w:t>
      </w:r>
      <w:proofErr w:type="gramStart"/>
      <w:r>
        <w:rPr>
          <w:i/>
        </w:rPr>
        <w:t xml:space="preserve">Habitat connectivity, sustainability, and effectiveness of PAs in the Central </w:t>
      </w:r>
      <w:proofErr w:type="spellStart"/>
      <w:r>
        <w:rPr>
          <w:i/>
        </w:rPr>
        <w:t>Tian</w:t>
      </w:r>
      <w:proofErr w:type="spellEnd"/>
      <w:r>
        <w:rPr>
          <w:i/>
        </w:rPr>
        <w:t xml:space="preserve"> Shan are enhanced by regulating land use in buffer zones, wildlife corridors and other intervening landscapes</w:t>
      </w:r>
      <w:proofErr w:type="gramEnd"/>
      <w:r>
        <w:t>.</w:t>
      </w:r>
      <w:r w:rsidR="000E6566" w:rsidRPr="00516656">
        <w:t xml:space="preserve"> </w:t>
      </w:r>
      <w:r>
        <w:t xml:space="preserve">This outcome, in turn, has six outputs associated with it: </w:t>
      </w:r>
      <w:proofErr w:type="spellStart"/>
      <w:r>
        <w:t>i</w:t>
      </w:r>
      <w:proofErr w:type="spellEnd"/>
      <w:r>
        <w:t xml:space="preserve">) amend the law on protected areas that define the establishment, operation and enforcement of buffer zones and wildlife corridors, ii) identification and designation of buffer areas for the proposed Khan </w:t>
      </w:r>
      <w:proofErr w:type="spellStart"/>
      <w:r>
        <w:t>Tengri</w:t>
      </w:r>
      <w:proofErr w:type="spellEnd"/>
      <w:r>
        <w:t xml:space="preserve"> Natural Park</w:t>
      </w:r>
      <w:r w:rsidR="00830CBE">
        <w:t xml:space="preserve">, and the wildlife corridors between the proposed Khan </w:t>
      </w:r>
      <w:proofErr w:type="spellStart"/>
      <w:r w:rsidR="00830CBE">
        <w:t>Tenri</w:t>
      </w:r>
      <w:proofErr w:type="spellEnd"/>
      <w:r w:rsidR="00830CBE">
        <w:t xml:space="preserve"> Natural Park and the </w:t>
      </w:r>
      <w:proofErr w:type="spellStart"/>
      <w:r w:rsidR="00830CBE">
        <w:t>Sarychat-Ertash</w:t>
      </w:r>
      <w:proofErr w:type="spellEnd"/>
      <w:r w:rsidR="00830CBE">
        <w:t xml:space="preserve"> Nature Reserve, iii) aligning the conservation management objectives of the protected areas, buffer zones and wildlife corridors with the land used plans of the adjacent five districts, iv) develop agreements with local communities regarding natural resource use and putting in place a system for enforcing regulations, v) designing and implementing an alternative livelihoods program for local communities and vi) build capacity among local district authorities to allow for mainstreaming biodiversity conservation in land use planning and regulation enforcement.</w:t>
      </w:r>
    </w:p>
    <w:p w14:paraId="2441C729" w14:textId="500D010E" w:rsidR="00676705" w:rsidRDefault="00676705" w:rsidP="0039653C">
      <w:pPr>
        <w:numPr>
          <w:ilvl w:val="0"/>
          <w:numId w:val="2"/>
        </w:numPr>
        <w:ind w:left="0" w:firstLine="0"/>
        <w:jc w:val="both"/>
      </w:pPr>
      <w:r w:rsidRPr="00516656">
        <w:t xml:space="preserve">The analysis of the outputs and indicators under each of these outcomes is </w:t>
      </w:r>
      <w:r>
        <w:t>p</w:t>
      </w:r>
      <w:r w:rsidRPr="00516656">
        <w:t>resented below (see Section 4.1)</w:t>
      </w:r>
      <w:r>
        <w:t>.</w:t>
      </w:r>
    </w:p>
    <w:p w14:paraId="11BDBCB0" w14:textId="77777777" w:rsidR="00756F6E" w:rsidRDefault="00830CBE" w:rsidP="0039653C">
      <w:pPr>
        <w:numPr>
          <w:ilvl w:val="0"/>
          <w:numId w:val="2"/>
        </w:numPr>
        <w:ind w:left="0" w:firstLine="0"/>
        <w:jc w:val="both"/>
      </w:pPr>
      <w:r>
        <w:t>The project, then, is ambitious</w:t>
      </w:r>
      <w:r w:rsidR="00676705">
        <w:t xml:space="preserve"> in a number of ways: </w:t>
      </w:r>
      <w:proofErr w:type="spellStart"/>
      <w:r w:rsidR="00676705">
        <w:t>i</w:t>
      </w:r>
      <w:proofErr w:type="spellEnd"/>
      <w:r w:rsidR="00676705">
        <w:t xml:space="preserve">) it proposes to amend laws and establish a new protected area at the national level – both of which will require high level governmental approvals, ii) work with local authorities at the provincial and district levels to mainstream biodiversity conservation into the land use plans – especially within the identified protected area buffer zones and within the corridors between the protected areas – and implement measure to enforce regulations, and iii) develop and implement an alternative livelihood program among local communities.  </w:t>
      </w:r>
    </w:p>
    <w:p w14:paraId="503D7207" w14:textId="0EA54BFD" w:rsidR="00830CBE" w:rsidRPr="00830CBE" w:rsidRDefault="00676705" w:rsidP="0039653C">
      <w:pPr>
        <w:numPr>
          <w:ilvl w:val="0"/>
          <w:numId w:val="2"/>
        </w:numPr>
        <w:ind w:left="0" w:firstLine="0"/>
        <w:jc w:val="both"/>
      </w:pPr>
      <w:r>
        <w:t xml:space="preserve">The project proposes to do </w:t>
      </w:r>
      <w:r w:rsidR="00756F6E">
        <w:t xml:space="preserve">all </w:t>
      </w:r>
      <w:r>
        <w:t>this in a four-ye</w:t>
      </w:r>
      <w:r w:rsidR="00756F6E">
        <w:t>ar period and with a budget of l</w:t>
      </w:r>
      <w:r>
        <w:t>ess than USD one million!</w:t>
      </w:r>
    </w:p>
    <w:p w14:paraId="13414112" w14:textId="01BDB0BE" w:rsidR="00483AA0" w:rsidRPr="00516656" w:rsidRDefault="00483AA0" w:rsidP="00683205">
      <w:pPr>
        <w:pStyle w:val="Heading2"/>
      </w:pPr>
      <w:bookmarkStart w:id="17" w:name="_Toc311452869"/>
      <w:r w:rsidRPr="00516656">
        <w:t>Project Implementation Arrangements</w:t>
      </w:r>
      <w:bookmarkEnd w:id="17"/>
    </w:p>
    <w:p w14:paraId="2D4633EE" w14:textId="242A2FE1" w:rsidR="004E389F" w:rsidRDefault="004E389F" w:rsidP="0039653C">
      <w:pPr>
        <w:numPr>
          <w:ilvl w:val="0"/>
          <w:numId w:val="2"/>
        </w:numPr>
        <w:ind w:left="0" w:firstLine="0"/>
        <w:jc w:val="both"/>
      </w:pPr>
      <w:r w:rsidRPr="00516656">
        <w:t xml:space="preserve">The </w:t>
      </w:r>
      <w:r w:rsidR="00676705">
        <w:t>project is being implemented using Direct Implementation Modalities (DIM) with UNDP as the implementing and executing agency.  The project</w:t>
      </w:r>
      <w:r w:rsidR="005218F5">
        <w:t>’s</w:t>
      </w:r>
      <w:r w:rsidR="00676705">
        <w:t xml:space="preserve"> implementation </w:t>
      </w:r>
      <w:r w:rsidR="005218F5">
        <w:t xml:space="preserve">is </w:t>
      </w:r>
      <w:r w:rsidR="00676705">
        <w:t>be</w:t>
      </w:r>
      <w:r w:rsidR="005218F5">
        <w:t>ing</w:t>
      </w:r>
      <w:r w:rsidR="00676705">
        <w:t xml:space="preserve"> governed by a Projec</w:t>
      </w:r>
      <w:r w:rsidR="005218F5">
        <w:t>t Board; project assurance is</w:t>
      </w:r>
      <w:r w:rsidR="00676705">
        <w:t xml:space="preserve"> the responsibility of the UNDP-CO, and the day-to-day operations of the project </w:t>
      </w:r>
      <w:r w:rsidR="005218F5">
        <w:t>is</w:t>
      </w:r>
      <w:r w:rsidR="00676705">
        <w:t xml:space="preserve"> be</w:t>
      </w:r>
      <w:r w:rsidR="005218F5">
        <w:t>ing</w:t>
      </w:r>
      <w:r w:rsidR="00676705">
        <w:t xml:space="preserve"> carried out by a Project Implementation Unit (PIU).</w:t>
      </w:r>
    </w:p>
    <w:p w14:paraId="1BBC7119" w14:textId="5FC38BF2" w:rsidR="00676705" w:rsidRDefault="00EC0FB7" w:rsidP="0039653C">
      <w:pPr>
        <w:numPr>
          <w:ilvl w:val="0"/>
          <w:numId w:val="2"/>
        </w:numPr>
        <w:ind w:left="0" w:firstLine="0"/>
        <w:jc w:val="both"/>
      </w:pPr>
      <w:r>
        <w:t xml:space="preserve">The PB has the ultimate legal responsibility over the project.  Its role includes: </w:t>
      </w:r>
      <w:proofErr w:type="spellStart"/>
      <w:r>
        <w:t>i</w:t>
      </w:r>
      <w:proofErr w:type="spellEnd"/>
      <w:r>
        <w:t>) overseeing M&amp;E processes, ii) supporting the Project Coordinator, iii) ensuring that the required resources are committed to the project, iv) arbitrate on any conflicts that may arise, and v) approve annual and quarterly plans, including any deviation from original plans.</w:t>
      </w:r>
    </w:p>
    <w:p w14:paraId="6BDCB6FA" w14:textId="13B2E0D7" w:rsidR="00EC0FB7" w:rsidRDefault="00EC0FB7" w:rsidP="0039653C">
      <w:pPr>
        <w:numPr>
          <w:ilvl w:val="0"/>
          <w:numId w:val="2"/>
        </w:numPr>
        <w:ind w:left="0" w:firstLine="0"/>
        <w:jc w:val="both"/>
      </w:pPr>
      <w:r>
        <w:t>Project Assurance – thus, carrying out objective and independent project monitoring and oversight – was proposed, in the project document, to be carried out by the Programme and Policy Analyst within the UNDP-CO.</w:t>
      </w:r>
    </w:p>
    <w:p w14:paraId="199EEA8D" w14:textId="52DA605B" w:rsidR="004E389F" w:rsidRPr="00516656" w:rsidRDefault="00EC0FB7" w:rsidP="0072161C">
      <w:pPr>
        <w:numPr>
          <w:ilvl w:val="0"/>
          <w:numId w:val="2"/>
        </w:numPr>
        <w:ind w:left="0" w:firstLine="0"/>
        <w:jc w:val="both"/>
      </w:pPr>
      <w:r>
        <w:t>The PIU is comprised of a Project Coordinat</w:t>
      </w:r>
      <w:r w:rsidR="00990A79">
        <w:t>or (PC) and a Project Assistant</w:t>
      </w:r>
      <w:r w:rsidR="0072161C">
        <w:rPr>
          <w:rStyle w:val="FootnoteReference"/>
        </w:rPr>
        <w:footnoteReference w:id="8"/>
      </w:r>
      <w:r w:rsidR="00990A79">
        <w:t xml:space="preserve">.  The PC’s responsibilities include: </w:t>
      </w:r>
      <w:proofErr w:type="spellStart"/>
      <w:r w:rsidR="00990A79">
        <w:t>i</w:t>
      </w:r>
      <w:proofErr w:type="spellEnd"/>
      <w:r w:rsidR="00990A79">
        <w:t xml:space="preserve">) day-to-day implementation of the project’s activities, ii) consolidation of </w:t>
      </w:r>
      <w:proofErr w:type="spellStart"/>
      <w:r w:rsidR="00990A79">
        <w:t>workplans</w:t>
      </w:r>
      <w:proofErr w:type="spellEnd"/>
      <w:r w:rsidR="00990A79">
        <w:t xml:space="preserve"> and reports, and iii) developing TOR for experts, supervising their work and assuring the quality of their work.  In short, the PC has the responsibility to ensure overall that the project produces the intended results.</w:t>
      </w:r>
    </w:p>
    <w:p w14:paraId="4AC9A581" w14:textId="4DBE9F94" w:rsidR="00683205" w:rsidRPr="00516656" w:rsidRDefault="00683205" w:rsidP="00683205">
      <w:pPr>
        <w:pStyle w:val="Heading2"/>
      </w:pPr>
      <w:bookmarkStart w:id="18" w:name="_Toc311452870"/>
      <w:r w:rsidRPr="00516656">
        <w:t xml:space="preserve">Project </w:t>
      </w:r>
      <w:r w:rsidR="00483AA0" w:rsidRPr="00516656">
        <w:t>timing and milestones</w:t>
      </w:r>
      <w:bookmarkEnd w:id="18"/>
    </w:p>
    <w:p w14:paraId="08499A75" w14:textId="28D733DB" w:rsidR="00CD254D" w:rsidRDefault="0048622F" w:rsidP="002B5B93">
      <w:pPr>
        <w:numPr>
          <w:ilvl w:val="0"/>
          <w:numId w:val="2"/>
        </w:numPr>
        <w:ind w:left="0" w:firstLine="0"/>
        <w:jc w:val="both"/>
      </w:pPr>
      <w:r w:rsidRPr="00516656">
        <w:t xml:space="preserve">The project was developed along standard UNDP-GEF lines. The project </w:t>
      </w:r>
      <w:proofErr w:type="gramStart"/>
      <w:r w:rsidRPr="00516656">
        <w:t xml:space="preserve">was planned as a </w:t>
      </w:r>
      <w:r w:rsidR="002B5B93">
        <w:t>four</w:t>
      </w:r>
      <w:r w:rsidRPr="00516656">
        <w:t>-year project – thus, to be closed</w:t>
      </w:r>
      <w:proofErr w:type="gramEnd"/>
      <w:r w:rsidRPr="00516656">
        <w:t xml:space="preserve"> in </w:t>
      </w:r>
      <w:r w:rsidR="002B5B93">
        <w:t>June</w:t>
      </w:r>
      <w:r w:rsidRPr="00516656">
        <w:t xml:space="preserve"> 2017.</w:t>
      </w:r>
      <w:r w:rsidR="002B5B93">
        <w:t xml:space="preserve">  </w:t>
      </w:r>
      <w:r w:rsidR="00CD254D" w:rsidRPr="00516656">
        <w:t>The other project milestones, including the project</w:t>
      </w:r>
      <w:r w:rsidR="002B5B93">
        <w:t>ed</w:t>
      </w:r>
      <w:r w:rsidR="00CD254D" w:rsidRPr="00516656">
        <w:t xml:space="preserve"> end date for the project, are indicated in</w:t>
      </w:r>
      <w:r w:rsidR="000A3D70">
        <w:t xml:space="preserve"> </w:t>
      </w:r>
      <w:r w:rsidR="000A3D70">
        <w:fldChar w:fldCharType="begin"/>
      </w:r>
      <w:r w:rsidR="000A3D70">
        <w:instrText xml:space="preserve"> REF _Ref311445815 \h </w:instrText>
      </w:r>
      <w:r w:rsidR="000A3D70">
        <w:fldChar w:fldCharType="separate"/>
      </w:r>
      <w:r w:rsidR="000A3D70">
        <w:t xml:space="preserve">Table </w:t>
      </w:r>
      <w:r w:rsidR="000A3D70">
        <w:rPr>
          <w:noProof/>
        </w:rPr>
        <w:t>1</w:t>
      </w:r>
      <w:r w:rsidR="000A3D70">
        <w:fldChar w:fldCharType="end"/>
      </w:r>
      <w:r w:rsidR="00CD254D" w:rsidRPr="00516656">
        <w:t>.</w:t>
      </w:r>
    </w:p>
    <w:p w14:paraId="32C7ED61" w14:textId="11031F11" w:rsidR="0039419D" w:rsidRPr="0039419D" w:rsidRDefault="00121BCC" w:rsidP="0039419D">
      <w:pPr>
        <w:numPr>
          <w:ilvl w:val="0"/>
          <w:numId w:val="2"/>
        </w:numPr>
        <w:ind w:left="0" w:firstLine="0"/>
        <w:jc w:val="both"/>
      </w:pPr>
      <w:r w:rsidRPr="00403E8A">
        <w:t>Somewhat fortuitously and coincidentally, during the project’s inception period (and just before the Inception Workshop), the Kyrgyz Republic hosted the Global Snow Leopard Conservation Forum (22-23 October 2013</w:t>
      </w:r>
      <w:r w:rsidR="00B37666" w:rsidRPr="00403E8A">
        <w:t xml:space="preserve"> – with financial support from the project</w:t>
      </w:r>
      <w:r w:rsidR="00403E8A" w:rsidRPr="00403E8A">
        <w:t xml:space="preserve"> with a tour of the </w:t>
      </w:r>
      <w:proofErr w:type="spellStart"/>
      <w:r w:rsidR="00403E8A" w:rsidRPr="00403E8A">
        <w:t>Issyl</w:t>
      </w:r>
      <w:proofErr w:type="spellEnd"/>
      <w:r w:rsidR="00403E8A" w:rsidRPr="00403E8A">
        <w:t xml:space="preserve"> </w:t>
      </w:r>
      <w:proofErr w:type="spellStart"/>
      <w:r w:rsidR="00403E8A" w:rsidRPr="00403E8A">
        <w:t>Kul</w:t>
      </w:r>
      <w:proofErr w:type="spellEnd"/>
      <w:r w:rsidR="00403E8A" w:rsidRPr="00403E8A">
        <w:t xml:space="preserve"> oblast just prior to the meeting – also with financial support from the project</w:t>
      </w:r>
      <w:r w:rsidRPr="00403E8A">
        <w:t xml:space="preserve">). </w:t>
      </w:r>
      <w:r w:rsidR="00B37666" w:rsidRPr="00403E8A">
        <w:t xml:space="preserve"> This proved to be a minor marketing coup for the project as one of the primary outcomes of the Forum was the agreement that increasing the coverage and management effectiveness of protected areas in the Central </w:t>
      </w:r>
      <w:proofErr w:type="spellStart"/>
      <w:r w:rsidR="00B37666" w:rsidRPr="00403E8A">
        <w:t>Tian</w:t>
      </w:r>
      <w:proofErr w:type="spellEnd"/>
      <w:r w:rsidR="00B37666" w:rsidRPr="00403E8A">
        <w:t xml:space="preserve"> Shan Mountains was an important strategy for snow leopard conservation.  Other outcomes – as stipulated in the </w:t>
      </w:r>
      <w:r w:rsidR="00403E8A" w:rsidRPr="00403E8A">
        <w:t>Global Snow Leopard and Ecosystem Protection Program and the Bishkek Declaration on the Conservation of Snow Leopard, both of which were adopte</w:t>
      </w:r>
      <w:r w:rsidR="0039419D">
        <w:t xml:space="preserve">d at the meeting – included: </w:t>
      </w:r>
      <w:r w:rsidR="00403E8A" w:rsidRPr="00403E8A">
        <w:t>the establishment of a Secretariat on Snow Leopard Conservation in Bishkek</w:t>
      </w:r>
      <w:r w:rsidR="0039419D">
        <w:t>.</w:t>
      </w:r>
    </w:p>
    <w:p w14:paraId="21BFF303" w14:textId="1089E632" w:rsidR="0065155F" w:rsidRPr="00516656" w:rsidRDefault="001E0447" w:rsidP="001E0447">
      <w:pPr>
        <w:pStyle w:val="Caption"/>
      </w:pPr>
      <w:bookmarkStart w:id="19" w:name="_Ref311445815"/>
      <w:proofErr w:type="gramStart"/>
      <w:r>
        <w:t xml:space="preserve">Table </w:t>
      </w:r>
      <w:proofErr w:type="gramEnd"/>
      <w:r>
        <w:fldChar w:fldCharType="begin"/>
      </w:r>
      <w:r>
        <w:instrText xml:space="preserve"> SEQ Table \* ARABIC </w:instrText>
      </w:r>
      <w:r>
        <w:fldChar w:fldCharType="separate"/>
      </w:r>
      <w:r w:rsidR="001E10DE">
        <w:rPr>
          <w:noProof/>
        </w:rPr>
        <w:t>1</w:t>
      </w:r>
      <w:r>
        <w:fldChar w:fldCharType="end"/>
      </w:r>
      <w:bookmarkEnd w:id="19"/>
      <w:proofErr w:type="gramStart"/>
      <w:r>
        <w:t>.</w:t>
      </w:r>
      <w:proofErr w:type="gramEnd"/>
      <w:r>
        <w:t xml:space="preserve"> The project milestones including the projected end date for the project.</w:t>
      </w:r>
    </w:p>
    <w:tbl>
      <w:tblPr>
        <w:tblStyle w:val="TableGrid"/>
        <w:tblW w:w="0" w:type="auto"/>
        <w:tblLook w:val="04A0" w:firstRow="1" w:lastRow="0" w:firstColumn="1" w:lastColumn="0" w:noHBand="0" w:noVBand="1"/>
      </w:tblPr>
      <w:tblGrid>
        <w:gridCol w:w="4261"/>
        <w:gridCol w:w="4261"/>
      </w:tblGrid>
      <w:tr w:rsidR="0065155F" w:rsidRPr="00516656" w14:paraId="75393C0F" w14:textId="77777777" w:rsidTr="00225AD0">
        <w:tc>
          <w:tcPr>
            <w:tcW w:w="4261" w:type="dxa"/>
            <w:shd w:val="clear" w:color="auto" w:fill="D9D9D9" w:themeFill="background1" w:themeFillShade="D9"/>
          </w:tcPr>
          <w:p w14:paraId="79CDA59D" w14:textId="6C517A13" w:rsidR="0065155F" w:rsidRPr="00516656" w:rsidRDefault="00AA205B" w:rsidP="0065155F">
            <w:pPr>
              <w:jc w:val="both"/>
              <w:rPr>
                <w:b/>
              </w:rPr>
            </w:pPr>
            <w:r w:rsidRPr="00516656">
              <w:rPr>
                <w:b/>
              </w:rPr>
              <w:t>Milestone</w:t>
            </w:r>
          </w:p>
        </w:tc>
        <w:tc>
          <w:tcPr>
            <w:tcW w:w="4261" w:type="dxa"/>
            <w:shd w:val="clear" w:color="auto" w:fill="D9D9D9" w:themeFill="background1" w:themeFillShade="D9"/>
          </w:tcPr>
          <w:p w14:paraId="61578293" w14:textId="0CC5184D" w:rsidR="0065155F" w:rsidRPr="00516656" w:rsidRDefault="00AA205B" w:rsidP="0065155F">
            <w:pPr>
              <w:jc w:val="both"/>
              <w:rPr>
                <w:b/>
              </w:rPr>
            </w:pPr>
            <w:r w:rsidRPr="00516656">
              <w:rPr>
                <w:b/>
              </w:rPr>
              <w:t>Date</w:t>
            </w:r>
          </w:p>
        </w:tc>
      </w:tr>
      <w:tr w:rsidR="00225AD0" w:rsidRPr="00516656" w14:paraId="1A021E39" w14:textId="77777777" w:rsidTr="0065155F">
        <w:tc>
          <w:tcPr>
            <w:tcW w:w="4261" w:type="dxa"/>
          </w:tcPr>
          <w:p w14:paraId="0313F70F" w14:textId="784DB668" w:rsidR="00225AD0" w:rsidRPr="00516656" w:rsidRDefault="00225AD0" w:rsidP="00225AD0">
            <w:pPr>
              <w:jc w:val="both"/>
            </w:pPr>
            <w:r w:rsidRPr="00516656">
              <w:t>PIF Approval</w:t>
            </w:r>
          </w:p>
        </w:tc>
        <w:tc>
          <w:tcPr>
            <w:tcW w:w="4261" w:type="dxa"/>
          </w:tcPr>
          <w:p w14:paraId="2FF9B784" w14:textId="26E2CAC5" w:rsidR="00225AD0" w:rsidRPr="00516656" w:rsidRDefault="002A3AF7" w:rsidP="0065155F">
            <w:pPr>
              <w:jc w:val="both"/>
            </w:pPr>
            <w:r>
              <w:t>27 March 2012</w:t>
            </w:r>
          </w:p>
        </w:tc>
      </w:tr>
      <w:tr w:rsidR="00225AD0" w:rsidRPr="00516656" w14:paraId="09332455" w14:textId="77777777" w:rsidTr="0065155F">
        <w:tc>
          <w:tcPr>
            <w:tcW w:w="4261" w:type="dxa"/>
          </w:tcPr>
          <w:p w14:paraId="789D1B0F" w14:textId="5C31A9D8" w:rsidR="00225AD0" w:rsidRPr="00516656" w:rsidRDefault="00225AD0" w:rsidP="0065155F">
            <w:pPr>
              <w:jc w:val="both"/>
            </w:pPr>
            <w:r w:rsidRPr="00516656">
              <w:t>PPG Approval</w:t>
            </w:r>
          </w:p>
        </w:tc>
        <w:tc>
          <w:tcPr>
            <w:tcW w:w="4261" w:type="dxa"/>
          </w:tcPr>
          <w:p w14:paraId="3E24147F" w14:textId="6589A1EF" w:rsidR="00225AD0" w:rsidRPr="00516656" w:rsidRDefault="002A3AF7" w:rsidP="0065155F">
            <w:pPr>
              <w:jc w:val="both"/>
            </w:pPr>
            <w:r>
              <w:t>30 April 2012</w:t>
            </w:r>
          </w:p>
        </w:tc>
      </w:tr>
      <w:tr w:rsidR="0065155F" w:rsidRPr="00516656" w14:paraId="3E3E6CA0" w14:textId="77777777" w:rsidTr="0065155F">
        <w:tc>
          <w:tcPr>
            <w:tcW w:w="4261" w:type="dxa"/>
          </w:tcPr>
          <w:p w14:paraId="2FC1F28D" w14:textId="4D8A6E74" w:rsidR="0065155F" w:rsidRPr="00516656" w:rsidRDefault="00AA205B" w:rsidP="0065155F">
            <w:pPr>
              <w:jc w:val="both"/>
            </w:pPr>
            <w:r w:rsidRPr="00516656">
              <w:t xml:space="preserve">UNDP </w:t>
            </w:r>
            <w:proofErr w:type="spellStart"/>
            <w:r w:rsidRPr="00516656">
              <w:t>Prodoc</w:t>
            </w:r>
            <w:proofErr w:type="spellEnd"/>
            <w:r w:rsidRPr="00516656">
              <w:t xml:space="preserve"> signed</w:t>
            </w:r>
            <w:r w:rsidR="00E47C92">
              <w:t>*</w:t>
            </w:r>
          </w:p>
        </w:tc>
        <w:tc>
          <w:tcPr>
            <w:tcW w:w="4261" w:type="dxa"/>
          </w:tcPr>
          <w:p w14:paraId="3E82E2AA" w14:textId="507BAD8B" w:rsidR="0065155F" w:rsidRPr="00516656" w:rsidRDefault="002A3AF7" w:rsidP="0065155F">
            <w:pPr>
              <w:jc w:val="both"/>
            </w:pPr>
            <w:r>
              <w:t>27 May 2013</w:t>
            </w:r>
          </w:p>
        </w:tc>
      </w:tr>
      <w:tr w:rsidR="00BF5223" w:rsidRPr="00516656" w14:paraId="6BF6427F" w14:textId="77777777" w:rsidTr="0065155F">
        <w:tc>
          <w:tcPr>
            <w:tcW w:w="4261" w:type="dxa"/>
          </w:tcPr>
          <w:p w14:paraId="5B49233A" w14:textId="52BC45C3" w:rsidR="00BF5223" w:rsidRPr="00516656" w:rsidRDefault="00BF5223" w:rsidP="0065155F">
            <w:pPr>
              <w:jc w:val="both"/>
            </w:pPr>
            <w:r>
              <w:t>Project starting date</w:t>
            </w:r>
            <w:r w:rsidR="00E47C92">
              <w:t>*</w:t>
            </w:r>
          </w:p>
        </w:tc>
        <w:tc>
          <w:tcPr>
            <w:tcW w:w="4261" w:type="dxa"/>
          </w:tcPr>
          <w:p w14:paraId="1FD93C97" w14:textId="05CA4EE9" w:rsidR="00BF5223" w:rsidRDefault="00BF5223" w:rsidP="0065155F">
            <w:pPr>
              <w:jc w:val="both"/>
            </w:pPr>
            <w:r>
              <w:t>17 June 2013</w:t>
            </w:r>
          </w:p>
        </w:tc>
      </w:tr>
      <w:tr w:rsidR="0065155F" w:rsidRPr="00516656" w14:paraId="293FD4F4" w14:textId="77777777" w:rsidTr="0065155F">
        <w:tc>
          <w:tcPr>
            <w:tcW w:w="4261" w:type="dxa"/>
          </w:tcPr>
          <w:p w14:paraId="7BD9F9EF" w14:textId="73B47ABB" w:rsidR="0065155F" w:rsidRPr="00516656" w:rsidRDefault="00225AD0" w:rsidP="002A3AF7">
            <w:pPr>
              <w:jc w:val="both"/>
            </w:pPr>
            <w:r w:rsidRPr="00516656">
              <w:t xml:space="preserve">Project </w:t>
            </w:r>
            <w:r w:rsidR="002A3AF7">
              <w:t>Coordinator</w:t>
            </w:r>
            <w:r w:rsidRPr="00516656">
              <w:t xml:space="preserve"> appointed</w:t>
            </w:r>
          </w:p>
        </w:tc>
        <w:tc>
          <w:tcPr>
            <w:tcW w:w="4261" w:type="dxa"/>
          </w:tcPr>
          <w:p w14:paraId="74562E6C" w14:textId="6DD5469A" w:rsidR="0065155F" w:rsidRPr="00516656" w:rsidRDefault="002A3AF7" w:rsidP="0065155F">
            <w:pPr>
              <w:jc w:val="both"/>
            </w:pPr>
            <w:r>
              <w:t>16 October 2013</w:t>
            </w:r>
          </w:p>
        </w:tc>
      </w:tr>
      <w:tr w:rsidR="00225AD0" w:rsidRPr="00516656" w14:paraId="50D34780" w14:textId="77777777" w:rsidTr="0065155F">
        <w:tc>
          <w:tcPr>
            <w:tcW w:w="4261" w:type="dxa"/>
          </w:tcPr>
          <w:p w14:paraId="6F23C193" w14:textId="546AE58C" w:rsidR="00225AD0" w:rsidRPr="00516656" w:rsidRDefault="00225AD0" w:rsidP="0065155F">
            <w:pPr>
              <w:jc w:val="both"/>
            </w:pPr>
            <w:r w:rsidRPr="00516656">
              <w:t>Inception Workshop</w:t>
            </w:r>
          </w:p>
        </w:tc>
        <w:tc>
          <w:tcPr>
            <w:tcW w:w="4261" w:type="dxa"/>
          </w:tcPr>
          <w:p w14:paraId="49C62055" w14:textId="2A0266BA" w:rsidR="00225AD0" w:rsidRPr="00516656" w:rsidRDefault="002A3AF7" w:rsidP="0065155F">
            <w:pPr>
              <w:jc w:val="both"/>
            </w:pPr>
            <w:r>
              <w:t>24 October 2013</w:t>
            </w:r>
          </w:p>
        </w:tc>
      </w:tr>
      <w:tr w:rsidR="0065155F" w:rsidRPr="00516656" w14:paraId="03ADB413" w14:textId="77777777" w:rsidTr="0065155F">
        <w:tc>
          <w:tcPr>
            <w:tcW w:w="4261" w:type="dxa"/>
          </w:tcPr>
          <w:p w14:paraId="10D967E4" w14:textId="097B3A9E" w:rsidR="0065155F" w:rsidRPr="00516656" w:rsidRDefault="00225AD0" w:rsidP="0065155F">
            <w:pPr>
              <w:jc w:val="both"/>
            </w:pPr>
            <w:r w:rsidRPr="00516656">
              <w:t>MTR mission commences</w:t>
            </w:r>
          </w:p>
        </w:tc>
        <w:tc>
          <w:tcPr>
            <w:tcW w:w="4261" w:type="dxa"/>
          </w:tcPr>
          <w:p w14:paraId="7F7341BC" w14:textId="62653605" w:rsidR="0065155F" w:rsidRPr="00516656" w:rsidRDefault="002B5B93" w:rsidP="0065155F">
            <w:pPr>
              <w:jc w:val="both"/>
            </w:pPr>
            <w:r>
              <w:t>02 November 2015</w:t>
            </w:r>
          </w:p>
        </w:tc>
      </w:tr>
      <w:tr w:rsidR="0065155F" w:rsidRPr="00516656" w14:paraId="0182FB01" w14:textId="77777777" w:rsidTr="0065155F">
        <w:tc>
          <w:tcPr>
            <w:tcW w:w="4261" w:type="dxa"/>
          </w:tcPr>
          <w:p w14:paraId="39E1EA3C" w14:textId="0F9F4865" w:rsidR="0065155F" w:rsidRPr="00516656" w:rsidRDefault="00225AD0" w:rsidP="0065155F">
            <w:pPr>
              <w:jc w:val="both"/>
            </w:pPr>
            <w:r w:rsidRPr="00516656">
              <w:t>Projected EOP</w:t>
            </w:r>
          </w:p>
        </w:tc>
        <w:tc>
          <w:tcPr>
            <w:tcW w:w="4261" w:type="dxa"/>
          </w:tcPr>
          <w:p w14:paraId="2AE3D584" w14:textId="3D41E177" w:rsidR="0065155F" w:rsidRPr="00516656" w:rsidRDefault="00BF5223" w:rsidP="0065155F">
            <w:pPr>
              <w:jc w:val="both"/>
            </w:pPr>
            <w:r>
              <w:t xml:space="preserve">17 </w:t>
            </w:r>
            <w:r w:rsidR="002B5B93">
              <w:t>June 2017</w:t>
            </w:r>
          </w:p>
        </w:tc>
      </w:tr>
    </w:tbl>
    <w:p w14:paraId="119D02B0" w14:textId="4ED0E46C" w:rsidR="00E47C92" w:rsidRPr="00BB7D60" w:rsidRDefault="00E47C92">
      <w:pPr>
        <w:rPr>
          <w:sz w:val="20"/>
          <w:szCs w:val="20"/>
        </w:rPr>
      </w:pPr>
      <w:r w:rsidRPr="00BB7D60">
        <w:rPr>
          <w:sz w:val="20"/>
          <w:szCs w:val="20"/>
        </w:rPr>
        <w:t xml:space="preserve">* Project starting dates are usually the date that UNDP </w:t>
      </w:r>
      <w:proofErr w:type="spellStart"/>
      <w:r w:rsidRPr="00BB7D60">
        <w:rPr>
          <w:sz w:val="20"/>
          <w:szCs w:val="20"/>
        </w:rPr>
        <w:t>Prodoc</w:t>
      </w:r>
      <w:proofErr w:type="spellEnd"/>
      <w:r w:rsidRPr="00BB7D60">
        <w:rPr>
          <w:sz w:val="20"/>
          <w:szCs w:val="20"/>
        </w:rPr>
        <w:t xml:space="preserve"> is signed; quit</w:t>
      </w:r>
      <w:r w:rsidR="00BB7D60" w:rsidRPr="00BB7D60">
        <w:rPr>
          <w:sz w:val="20"/>
          <w:szCs w:val="20"/>
        </w:rPr>
        <w:t xml:space="preserve">e why the quoted project starting date </w:t>
      </w:r>
      <w:r w:rsidR="00BB7D60">
        <w:rPr>
          <w:sz w:val="20"/>
          <w:szCs w:val="20"/>
        </w:rPr>
        <w:t xml:space="preserve">is three weeks after the signing of the </w:t>
      </w:r>
      <w:proofErr w:type="spellStart"/>
      <w:r w:rsidR="00BB7D60">
        <w:rPr>
          <w:sz w:val="20"/>
          <w:szCs w:val="20"/>
        </w:rPr>
        <w:t>Prodoc</w:t>
      </w:r>
      <w:proofErr w:type="spellEnd"/>
      <w:r w:rsidR="00BB7D60">
        <w:rPr>
          <w:sz w:val="20"/>
          <w:szCs w:val="20"/>
        </w:rPr>
        <w:t xml:space="preserve"> remains unclear.</w:t>
      </w:r>
    </w:p>
    <w:p w14:paraId="5194D151" w14:textId="77777777" w:rsidR="00671791" w:rsidRPr="00516656" w:rsidRDefault="00671791" w:rsidP="00671791">
      <w:pPr>
        <w:pStyle w:val="Heading2"/>
      </w:pPr>
      <w:bookmarkStart w:id="20" w:name="_Toc311452871"/>
      <w:r w:rsidRPr="00516656">
        <w:t>Main stakeholders</w:t>
      </w:r>
      <w:bookmarkEnd w:id="20"/>
    </w:p>
    <w:p w14:paraId="552EE2FF" w14:textId="6A3EDEB7" w:rsidR="0054293F" w:rsidRPr="00516656" w:rsidRDefault="00D87688" w:rsidP="0039653C">
      <w:pPr>
        <w:numPr>
          <w:ilvl w:val="0"/>
          <w:numId w:val="2"/>
        </w:numPr>
        <w:ind w:left="0" w:firstLine="0"/>
        <w:jc w:val="both"/>
      </w:pPr>
      <w:r w:rsidRPr="00516656">
        <w:t xml:space="preserve">The Project Document </w:t>
      </w:r>
      <w:r w:rsidR="00166FF3">
        <w:t xml:space="preserve">and the Inception Report </w:t>
      </w:r>
      <w:r w:rsidRPr="00516656">
        <w:t xml:space="preserve">exhaustively identified </w:t>
      </w:r>
      <w:r w:rsidR="009345D4" w:rsidRPr="00516656">
        <w:t>the project’s stakeholders</w:t>
      </w:r>
      <w:r w:rsidR="009345D4" w:rsidRPr="00516656">
        <w:rPr>
          <w:rStyle w:val="FootnoteReference"/>
        </w:rPr>
        <w:footnoteReference w:id="9"/>
      </w:r>
      <w:r w:rsidR="009345D4" w:rsidRPr="00516656">
        <w:t>.  The table</w:t>
      </w:r>
      <w:r w:rsidR="00166FF3">
        <w:t>s presented in these documents</w:t>
      </w:r>
      <w:r w:rsidR="009345D4" w:rsidRPr="00516656">
        <w:t xml:space="preserve"> not only identif</w:t>
      </w:r>
      <w:r w:rsidR="00166FF3">
        <w:t>y</w:t>
      </w:r>
      <w:r w:rsidR="009345D4" w:rsidRPr="00516656">
        <w:t xml:space="preserve"> the stakeholders but </w:t>
      </w:r>
      <w:r w:rsidR="00166FF3">
        <w:t>they also describe</w:t>
      </w:r>
      <w:r w:rsidR="009345D4" w:rsidRPr="00516656">
        <w:t xml:space="preserve"> their current mandate and their role within the project.</w:t>
      </w:r>
    </w:p>
    <w:p w14:paraId="5EE8C18E" w14:textId="7DAE7F72" w:rsidR="009345D4" w:rsidRPr="00516656" w:rsidRDefault="005D32E6" w:rsidP="0039653C">
      <w:pPr>
        <w:numPr>
          <w:ilvl w:val="0"/>
          <w:numId w:val="2"/>
        </w:numPr>
        <w:ind w:left="0" w:firstLine="0"/>
        <w:jc w:val="both"/>
      </w:pPr>
      <w:r>
        <w:t xml:space="preserve">There are additional stakeholders </w:t>
      </w:r>
      <w:r w:rsidR="00F150FD">
        <w:t xml:space="preserve">(specifically non-governmental organisations, NGOs, some of which have affiliations to international NGOs) </w:t>
      </w:r>
      <w:r>
        <w:t>to those presented in the stakeholder analyses in these two documents, some of which were met over the course of the MTR miss</w:t>
      </w:r>
      <w:r w:rsidR="00C054EE">
        <w:t>i</w:t>
      </w:r>
      <w:r>
        <w:t xml:space="preserve">on (although not all the stakeholders listed in the tables in the </w:t>
      </w:r>
      <w:proofErr w:type="spellStart"/>
      <w:r>
        <w:t>Prodoc</w:t>
      </w:r>
      <w:proofErr w:type="spellEnd"/>
      <w:r>
        <w:t xml:space="preserve"> and Inception Report were met over the course of the MTR mission – see Annex </w:t>
      </w:r>
      <w:r w:rsidR="00027594">
        <w:t>III</w:t>
      </w:r>
      <w:r>
        <w:t xml:space="preserve"> for the list of people met over the course of the mission).</w:t>
      </w:r>
    </w:p>
    <w:p w14:paraId="0331533A" w14:textId="31E16EE1" w:rsidR="00A00266" w:rsidRPr="00516656" w:rsidRDefault="00A00266" w:rsidP="00A00266">
      <w:pPr>
        <w:pStyle w:val="Heading1"/>
      </w:pPr>
      <w:bookmarkStart w:id="21" w:name="_Toc311452872"/>
      <w:r w:rsidRPr="00516656">
        <w:t>Findings</w:t>
      </w:r>
      <w:bookmarkEnd w:id="21"/>
    </w:p>
    <w:p w14:paraId="343633F1" w14:textId="5459CCB8" w:rsidR="00660D28" w:rsidRPr="00516656" w:rsidRDefault="00660D28" w:rsidP="00660D28">
      <w:pPr>
        <w:pStyle w:val="Heading2"/>
      </w:pPr>
      <w:bookmarkStart w:id="22" w:name="_Toc311452873"/>
      <w:r w:rsidRPr="00516656">
        <w:t xml:space="preserve">Project </w:t>
      </w:r>
      <w:r w:rsidR="00483AA0" w:rsidRPr="00516656">
        <w:t>Strategy</w:t>
      </w:r>
      <w:bookmarkEnd w:id="22"/>
    </w:p>
    <w:p w14:paraId="676DFEF8" w14:textId="42DA7314" w:rsidR="00D938B2" w:rsidRPr="00516656" w:rsidRDefault="00D938B2" w:rsidP="00660D28">
      <w:pPr>
        <w:pStyle w:val="Heading3"/>
      </w:pPr>
      <w:bookmarkStart w:id="23" w:name="_Toc311452874"/>
      <w:r w:rsidRPr="00516656">
        <w:t>Project Design</w:t>
      </w:r>
      <w:bookmarkEnd w:id="23"/>
    </w:p>
    <w:p w14:paraId="2EA69843" w14:textId="0FA7EBFC" w:rsidR="00F150FD" w:rsidRDefault="00F150FD" w:rsidP="007358D2">
      <w:pPr>
        <w:numPr>
          <w:ilvl w:val="0"/>
          <w:numId w:val="2"/>
        </w:numPr>
        <w:ind w:left="0" w:firstLine="0"/>
        <w:jc w:val="both"/>
      </w:pPr>
      <w:r>
        <w:t xml:space="preserve">The project’s targeted long-term </w:t>
      </w:r>
      <w:proofErr w:type="gramStart"/>
      <w:r>
        <w:t>solution,</w:t>
      </w:r>
      <w:proofErr w:type="gramEnd"/>
      <w:r>
        <w:t xml:space="preserve"> objective and outcomes are described above (see Section 3.3).  That section also suggest</w:t>
      </w:r>
      <w:r w:rsidR="00DF1880">
        <w:t>s</w:t>
      </w:r>
      <w:r>
        <w:t xml:space="preserve"> that the project is ambitious, particularly given the allocated time (four years) and resources (a grant of USD 950,000 from the GEF Trust Fund).</w:t>
      </w:r>
    </w:p>
    <w:p w14:paraId="3814EDC7" w14:textId="42B335B5" w:rsidR="00DF1880" w:rsidRDefault="003A545D" w:rsidP="007358D2">
      <w:pPr>
        <w:numPr>
          <w:ilvl w:val="0"/>
          <w:numId w:val="2"/>
        </w:numPr>
        <w:ind w:left="0" w:firstLine="0"/>
        <w:jc w:val="both"/>
      </w:pPr>
      <w:r>
        <w:t xml:space="preserve">Even aside from the allocated time and resources, the project is complex and challenging.  In the context of Kyrgyzstan, today, it is inconceivable to establish a new protected area </w:t>
      </w:r>
      <w:r w:rsidR="003E4F66">
        <w:t xml:space="preserve">without significant stakeholder consultation and, ideally, agreement.  In addition, the project proposes to develop livelihood strategies among local communities in an attempt to nudge them away from those activities that threaten the biodiversity of the Central </w:t>
      </w:r>
      <w:proofErr w:type="spellStart"/>
      <w:r w:rsidR="003E4F66">
        <w:t>Tian</w:t>
      </w:r>
      <w:proofErr w:type="spellEnd"/>
      <w:r w:rsidR="003E4F66">
        <w:t xml:space="preserve"> Shan (overgrazing, trophy hunting and illegal killing, as described in Section 3.2).  </w:t>
      </w:r>
      <w:r w:rsidR="003B4EBB">
        <w:t>The livelihood strategies proposed by the project should not only reduce the threats but also, in principle, present some alternative to the potential opportunities lost through the</w:t>
      </w:r>
      <w:r w:rsidR="00206A3B">
        <w:t xml:space="preserve"> creation of the national park.</w:t>
      </w:r>
    </w:p>
    <w:p w14:paraId="471C1129" w14:textId="62F096CA" w:rsidR="003E4F66" w:rsidRDefault="00206A3B" w:rsidP="007358D2">
      <w:pPr>
        <w:numPr>
          <w:ilvl w:val="0"/>
          <w:numId w:val="2"/>
        </w:numPr>
        <w:ind w:left="0" w:firstLine="0"/>
        <w:jc w:val="both"/>
      </w:pPr>
      <w:r>
        <w:t>Some understanding of the conception of the project is also n</w:t>
      </w:r>
      <w:r w:rsidR="00966DF4">
        <w:t>ecessary to understand why limited resources were allocated to the project.  In the process of developing the project concept, other, competing proj</w:t>
      </w:r>
      <w:r w:rsidR="00353593">
        <w:t>ects were also being developed</w:t>
      </w:r>
      <w:r w:rsidR="00966DF4">
        <w:t>.  The result was that the available resources were spilt between these two projects with USD 950,000 being allocated to this project.  In other words, as a result of an inelegant and less than ideal process, this project is being attempted.</w:t>
      </w:r>
    </w:p>
    <w:p w14:paraId="5EBA03A4" w14:textId="27320AF3" w:rsidR="00966DF4" w:rsidRDefault="00966DF4" w:rsidP="007358D2">
      <w:pPr>
        <w:numPr>
          <w:ilvl w:val="0"/>
          <w:numId w:val="2"/>
        </w:numPr>
        <w:ind w:left="0" w:firstLine="0"/>
        <w:jc w:val="both"/>
      </w:pPr>
      <w:r>
        <w:t xml:space="preserve">In terms of design, some questions remain unanswered – most specifically why the project did not consider establishing a larger national park that could encompass the existing </w:t>
      </w:r>
      <w:proofErr w:type="spellStart"/>
      <w:r>
        <w:t>Sarychat-Ertash</w:t>
      </w:r>
      <w:proofErr w:type="spellEnd"/>
      <w:r>
        <w:t xml:space="preserve"> </w:t>
      </w:r>
      <w:proofErr w:type="spellStart"/>
      <w:r w:rsidRPr="00A61AF0">
        <w:rPr>
          <w:i/>
        </w:rPr>
        <w:t>zapovednik</w:t>
      </w:r>
      <w:proofErr w:type="spellEnd"/>
      <w:r>
        <w:t xml:space="preserve"> (and simply include that area into zone one – i.e., strictly protected) with the proposed corridors being included as zone three (i.e., </w:t>
      </w:r>
      <w:r w:rsidR="00C66C88">
        <w:t>limited economic zone)</w:t>
      </w:r>
      <w:r w:rsidR="00C66C88">
        <w:rPr>
          <w:rStyle w:val="FootnoteReference"/>
        </w:rPr>
        <w:footnoteReference w:id="10"/>
      </w:r>
      <w:r w:rsidR="00C66C88">
        <w:t>.</w:t>
      </w:r>
    </w:p>
    <w:p w14:paraId="4CB35504" w14:textId="77983AF9" w:rsidR="003D3EEE" w:rsidRDefault="003D3EEE" w:rsidP="007358D2">
      <w:pPr>
        <w:numPr>
          <w:ilvl w:val="0"/>
          <w:numId w:val="2"/>
        </w:numPr>
        <w:ind w:left="0" w:firstLine="0"/>
        <w:jc w:val="both"/>
      </w:pPr>
      <w:r>
        <w:t xml:space="preserve">This question is </w:t>
      </w:r>
      <w:r w:rsidR="00CA7C8D">
        <w:t xml:space="preserve">partially </w:t>
      </w:r>
      <w:r>
        <w:t>answered when one further understands from where the project emerged.</w:t>
      </w:r>
      <w:r w:rsidR="00152C9C">
        <w:t xml:space="preserve">  </w:t>
      </w:r>
      <w:r w:rsidR="00152C9C" w:rsidRPr="00C054EE">
        <w:t xml:space="preserve">The project primarily grew out of </w:t>
      </w:r>
      <w:r w:rsidR="00C054EE" w:rsidRPr="00C054EE">
        <w:t xml:space="preserve">WWF’s </w:t>
      </w:r>
      <w:proofErr w:type="spellStart"/>
      <w:r w:rsidR="00C054EE" w:rsidRPr="00C054EE">
        <w:t>E</w:t>
      </w:r>
      <w:r w:rsidR="00152C9C" w:rsidRPr="00C054EE">
        <w:t>conet</w:t>
      </w:r>
      <w:proofErr w:type="spellEnd"/>
      <w:r w:rsidR="00152C9C" w:rsidRPr="00C054EE">
        <w:t xml:space="preserve"> </w:t>
      </w:r>
      <w:r w:rsidR="00C054EE" w:rsidRPr="00C054EE">
        <w:t>programme</w:t>
      </w:r>
      <w:r w:rsidR="00C054EE" w:rsidRPr="00C054EE">
        <w:rPr>
          <w:rStyle w:val="FootnoteReference"/>
        </w:rPr>
        <w:footnoteReference w:id="11"/>
      </w:r>
      <w:r w:rsidR="005069EA" w:rsidRPr="00C054EE">
        <w:t xml:space="preserve">.  In the resulting analysis, the </w:t>
      </w:r>
      <w:r w:rsidR="005B6FDC" w:rsidRPr="00C054EE">
        <w:t xml:space="preserve">Central </w:t>
      </w:r>
      <w:proofErr w:type="spellStart"/>
      <w:r w:rsidR="005B6FDC" w:rsidRPr="00C054EE">
        <w:t>Tian</w:t>
      </w:r>
      <w:proofErr w:type="spellEnd"/>
      <w:r w:rsidR="005B6FDC" w:rsidRPr="00C054EE">
        <w:t xml:space="preserve"> Shan emerges as an area of important ecological connectivity – most specifically as habitat for snow leopards.  As a</w:t>
      </w:r>
      <w:r w:rsidR="005B6FDC">
        <w:t xml:space="preserve"> result of the analysis, a new protected area of 187,000ha – the Khan </w:t>
      </w:r>
      <w:proofErr w:type="spellStart"/>
      <w:r w:rsidR="005B6FDC">
        <w:t>Tengri</w:t>
      </w:r>
      <w:proofErr w:type="spellEnd"/>
      <w:r w:rsidR="005B6FDC">
        <w:t xml:space="preserve"> National Park – is proposed.</w:t>
      </w:r>
    </w:p>
    <w:p w14:paraId="424AA4FA" w14:textId="4AB911D0" w:rsidR="00B944B0" w:rsidRDefault="008C53A7" w:rsidP="00B944B0">
      <w:pPr>
        <w:numPr>
          <w:ilvl w:val="0"/>
          <w:numId w:val="2"/>
        </w:numPr>
        <w:ind w:left="0" w:firstLine="0"/>
        <w:jc w:val="both"/>
      </w:pPr>
      <w:r>
        <w:t>As indicated in Section 3.5</w:t>
      </w:r>
      <w:r w:rsidR="00806622">
        <w:t xml:space="preserve">, the PIF was approved on 27 March 2012 with the PPG process beginning on 30 April 2012.  The UNDP </w:t>
      </w:r>
      <w:proofErr w:type="spellStart"/>
      <w:r w:rsidR="00806622">
        <w:t>Prodoc</w:t>
      </w:r>
      <w:proofErr w:type="spellEnd"/>
      <w:r w:rsidR="00806622">
        <w:t xml:space="preserve"> was signed just over a year later, on 27 May 2013.  The Inception Workshop was held on 24 October 2013</w:t>
      </w:r>
      <w:r w:rsidR="00020AED">
        <w:t xml:space="preserve">.  </w:t>
      </w:r>
      <w:r w:rsidR="005D2B5A">
        <w:t>T</w:t>
      </w:r>
      <w:r w:rsidR="00020AED">
        <w:t xml:space="preserve">he Inception Workshop was </w:t>
      </w:r>
      <w:r w:rsidR="005D2B5A">
        <w:t>mostly</w:t>
      </w:r>
      <w:r w:rsidR="00020AED">
        <w:t xml:space="preserve"> an awareness creation </w:t>
      </w:r>
      <w:r w:rsidR="00295C3B">
        <w:t xml:space="preserve">exercise for the </w:t>
      </w:r>
      <w:r w:rsidR="002327C7">
        <w:t xml:space="preserve">many </w:t>
      </w:r>
      <w:r w:rsidR="00295C3B">
        <w:t>attendees.</w:t>
      </w:r>
    </w:p>
    <w:tbl>
      <w:tblPr>
        <w:tblStyle w:val="TableGrid"/>
        <w:tblW w:w="0" w:type="auto"/>
        <w:tblLayout w:type="fixed"/>
        <w:tblLook w:val="04A0" w:firstRow="1" w:lastRow="0" w:firstColumn="1" w:lastColumn="0" w:noHBand="0" w:noVBand="1"/>
      </w:tblPr>
      <w:tblGrid>
        <w:gridCol w:w="1668"/>
        <w:gridCol w:w="1417"/>
        <w:gridCol w:w="5437"/>
      </w:tblGrid>
      <w:tr w:rsidR="00754D8A" w:rsidRPr="00FF6383" w14:paraId="2B898070" w14:textId="77777777" w:rsidTr="00754D8A">
        <w:trPr>
          <w:tblHeader/>
        </w:trPr>
        <w:tc>
          <w:tcPr>
            <w:tcW w:w="1668" w:type="dxa"/>
            <w:shd w:val="clear" w:color="auto" w:fill="D9D9D9" w:themeFill="background1" w:themeFillShade="D9"/>
          </w:tcPr>
          <w:p w14:paraId="29625CE9" w14:textId="5C7A8930" w:rsidR="00754D8A" w:rsidRPr="00FF6383" w:rsidRDefault="00754D8A" w:rsidP="006D37D3">
            <w:pPr>
              <w:rPr>
                <w:b/>
                <w:sz w:val="18"/>
                <w:szCs w:val="18"/>
              </w:rPr>
            </w:pPr>
            <w:r w:rsidRPr="00FF6383">
              <w:rPr>
                <w:b/>
                <w:sz w:val="18"/>
                <w:szCs w:val="18"/>
              </w:rPr>
              <w:t>Measure</w:t>
            </w:r>
          </w:p>
        </w:tc>
        <w:tc>
          <w:tcPr>
            <w:tcW w:w="1417" w:type="dxa"/>
            <w:shd w:val="clear" w:color="auto" w:fill="D9D9D9" w:themeFill="background1" w:themeFillShade="D9"/>
          </w:tcPr>
          <w:p w14:paraId="3D931390" w14:textId="77777777" w:rsidR="00754D8A" w:rsidRPr="00FF6383" w:rsidRDefault="00754D8A" w:rsidP="006D37D3">
            <w:pPr>
              <w:jc w:val="center"/>
              <w:rPr>
                <w:b/>
                <w:sz w:val="18"/>
                <w:szCs w:val="18"/>
              </w:rPr>
            </w:pPr>
            <w:r w:rsidRPr="00FF6383">
              <w:rPr>
                <w:b/>
                <w:sz w:val="18"/>
                <w:szCs w:val="18"/>
              </w:rPr>
              <w:t>MTR Rating</w:t>
            </w:r>
          </w:p>
        </w:tc>
        <w:tc>
          <w:tcPr>
            <w:tcW w:w="5437" w:type="dxa"/>
            <w:shd w:val="clear" w:color="auto" w:fill="D9D9D9" w:themeFill="background1" w:themeFillShade="D9"/>
          </w:tcPr>
          <w:p w14:paraId="4E6248A3" w14:textId="77777777" w:rsidR="00754D8A" w:rsidRPr="00FF6383" w:rsidRDefault="00754D8A" w:rsidP="006D37D3">
            <w:pPr>
              <w:rPr>
                <w:b/>
                <w:sz w:val="18"/>
                <w:szCs w:val="18"/>
              </w:rPr>
            </w:pPr>
            <w:r w:rsidRPr="00FF6383">
              <w:rPr>
                <w:b/>
                <w:sz w:val="18"/>
                <w:szCs w:val="18"/>
              </w:rPr>
              <w:t>Achievement Description</w:t>
            </w:r>
          </w:p>
        </w:tc>
      </w:tr>
      <w:tr w:rsidR="00754D8A" w:rsidRPr="00FF6383" w14:paraId="3F56AF43" w14:textId="77777777" w:rsidTr="00754D8A">
        <w:tc>
          <w:tcPr>
            <w:tcW w:w="1668" w:type="dxa"/>
            <w:shd w:val="clear" w:color="auto" w:fill="D9D9D9" w:themeFill="background1" w:themeFillShade="D9"/>
          </w:tcPr>
          <w:p w14:paraId="0CFC0B81" w14:textId="0272C187" w:rsidR="00754D8A" w:rsidRPr="00FF6383" w:rsidRDefault="00754D8A" w:rsidP="006D37D3">
            <w:pPr>
              <w:rPr>
                <w:b/>
                <w:sz w:val="18"/>
                <w:szCs w:val="18"/>
              </w:rPr>
            </w:pPr>
            <w:r w:rsidRPr="00FF6383">
              <w:rPr>
                <w:b/>
                <w:sz w:val="18"/>
                <w:szCs w:val="18"/>
              </w:rPr>
              <w:t>Project Strategy</w:t>
            </w:r>
          </w:p>
        </w:tc>
        <w:tc>
          <w:tcPr>
            <w:tcW w:w="1417" w:type="dxa"/>
            <w:shd w:val="clear" w:color="auto" w:fill="D9D9D9" w:themeFill="background1" w:themeFillShade="D9"/>
          </w:tcPr>
          <w:p w14:paraId="3C5205EA" w14:textId="77777777" w:rsidR="00754D8A" w:rsidRPr="00FF6383" w:rsidRDefault="00754D8A" w:rsidP="006D37D3">
            <w:pPr>
              <w:jc w:val="center"/>
              <w:rPr>
                <w:sz w:val="18"/>
                <w:szCs w:val="18"/>
              </w:rPr>
            </w:pPr>
            <w:r w:rsidRPr="00FF6383">
              <w:rPr>
                <w:sz w:val="18"/>
                <w:szCs w:val="18"/>
              </w:rPr>
              <w:t>N/A</w:t>
            </w:r>
          </w:p>
        </w:tc>
        <w:tc>
          <w:tcPr>
            <w:tcW w:w="5437" w:type="dxa"/>
          </w:tcPr>
          <w:p w14:paraId="31B9C8BC" w14:textId="77777777" w:rsidR="00754D8A" w:rsidRPr="00FF6383" w:rsidRDefault="00754D8A" w:rsidP="006D37D3">
            <w:pPr>
              <w:rPr>
                <w:sz w:val="18"/>
                <w:szCs w:val="18"/>
              </w:rPr>
            </w:pPr>
            <w:r>
              <w:rPr>
                <w:sz w:val="18"/>
                <w:szCs w:val="18"/>
              </w:rPr>
              <w:t xml:space="preserve">The project’s design is appropriate to overcome the majority of root causes of the threats to the biodiversity of the Central </w:t>
            </w:r>
            <w:proofErr w:type="spellStart"/>
            <w:r>
              <w:rPr>
                <w:sz w:val="18"/>
                <w:szCs w:val="18"/>
              </w:rPr>
              <w:t>Tian</w:t>
            </w:r>
            <w:proofErr w:type="spellEnd"/>
            <w:r>
              <w:rPr>
                <w:sz w:val="18"/>
                <w:szCs w:val="18"/>
              </w:rPr>
              <w:t xml:space="preserve"> Shan Mountains in Kyrgyzstan.  It is, however, a complex, challenging and ambitious project with limited time and financial resources.  As such, the project can be defined as being high risk, high impact in that if it achieves what it set out to achieve with the resources it has, it will be a great success.  Some fundamental barriers remain (as discussed in Section 4.2.2) </w:t>
            </w:r>
          </w:p>
        </w:tc>
      </w:tr>
    </w:tbl>
    <w:p w14:paraId="57E4FA90" w14:textId="77777777" w:rsidR="00887486" w:rsidRPr="00B944B0" w:rsidRDefault="00887486" w:rsidP="00887486">
      <w:pPr>
        <w:jc w:val="both"/>
      </w:pPr>
    </w:p>
    <w:p w14:paraId="33D662EE" w14:textId="77777777" w:rsidR="00660D28" w:rsidRPr="00516656" w:rsidRDefault="00660D28" w:rsidP="00660D28">
      <w:pPr>
        <w:pStyle w:val="Heading3"/>
      </w:pPr>
      <w:bookmarkStart w:id="24" w:name="_Toc311452875"/>
      <w:r w:rsidRPr="00516656">
        <w:t>Analysis of LFA/Results Framework (Project logic /strategy; Indicators)</w:t>
      </w:r>
      <w:bookmarkEnd w:id="24"/>
    </w:p>
    <w:p w14:paraId="7BC49A52" w14:textId="17DA42FB" w:rsidR="00D16D93" w:rsidRPr="00516656" w:rsidRDefault="002227CD" w:rsidP="00D16D93">
      <w:pPr>
        <w:numPr>
          <w:ilvl w:val="0"/>
          <w:numId w:val="2"/>
        </w:numPr>
        <w:ind w:left="0" w:firstLine="0"/>
        <w:jc w:val="both"/>
      </w:pPr>
      <w:r>
        <w:t xml:space="preserve">As a result of the unusual process of the Inception Workshop (as reported in the resulting Inception Report), there were no amendments to the project’s results framework at that stage.  Therefore, the MTR offered an opportunity to reflect on the project’s indicators, as originally drafted.  The results of this analysis are presented in </w:t>
      </w:r>
      <w:r w:rsidR="000A3D70">
        <w:fldChar w:fldCharType="begin"/>
      </w:r>
      <w:r w:rsidR="000A3D70">
        <w:instrText xml:space="preserve"> REF _Ref296246669 \h </w:instrText>
      </w:r>
      <w:r w:rsidR="000A3D70">
        <w:fldChar w:fldCharType="separate"/>
      </w:r>
      <w:r w:rsidR="000A3D70">
        <w:t xml:space="preserve">Table </w:t>
      </w:r>
      <w:r w:rsidR="000A3D70">
        <w:rPr>
          <w:noProof/>
        </w:rPr>
        <w:t>2</w:t>
      </w:r>
      <w:r w:rsidR="000A3D70">
        <w:fldChar w:fldCharType="end"/>
      </w:r>
      <w:r w:rsidR="000A3D70">
        <w:t xml:space="preserve"> </w:t>
      </w:r>
      <w:r w:rsidR="00D16D93">
        <w:t xml:space="preserve">and as will be seen, </w:t>
      </w:r>
      <w:r w:rsidR="009618F0">
        <w:t>a number of proposals are made to amend indicators and, in one instance, to delete an indicator.</w:t>
      </w:r>
    </w:p>
    <w:p w14:paraId="0D14D24B" w14:textId="77777777" w:rsidR="007358D2" w:rsidRPr="00516656" w:rsidRDefault="007358D2" w:rsidP="00ED4AC8">
      <w:pPr>
        <w:jc w:val="both"/>
      </w:pPr>
    </w:p>
    <w:p w14:paraId="6AD99887" w14:textId="77777777" w:rsidR="002F588D" w:rsidRPr="00516656" w:rsidRDefault="002F588D" w:rsidP="002F588D">
      <w:pPr>
        <w:jc w:val="both"/>
        <w:sectPr w:rsidR="002F588D" w:rsidRPr="00516656" w:rsidSect="006D6157">
          <w:pgSz w:w="11900" w:h="16840"/>
          <w:pgMar w:top="1440" w:right="1797" w:bottom="1440" w:left="1797" w:header="709" w:footer="709" w:gutter="0"/>
          <w:pgNumType w:start="1"/>
          <w:cols w:space="708"/>
          <w:titlePg/>
          <w:docGrid w:linePitch="360"/>
        </w:sectPr>
      </w:pPr>
    </w:p>
    <w:p w14:paraId="6FEFDEF9" w14:textId="651E2C45" w:rsidR="002F588D" w:rsidRDefault="00400C01" w:rsidP="009619FD">
      <w:pPr>
        <w:pStyle w:val="Caption"/>
      </w:pPr>
      <w:bookmarkStart w:id="25" w:name="_Ref296246669"/>
      <w:proofErr w:type="gramStart"/>
      <w:r>
        <w:t xml:space="preserve">Table </w:t>
      </w:r>
      <w:proofErr w:type="gramEnd"/>
      <w:r>
        <w:fldChar w:fldCharType="begin"/>
      </w:r>
      <w:r>
        <w:instrText xml:space="preserve"> SEQ Table \* ARABIC </w:instrText>
      </w:r>
      <w:r>
        <w:fldChar w:fldCharType="separate"/>
      </w:r>
      <w:r w:rsidR="001E10DE">
        <w:rPr>
          <w:noProof/>
        </w:rPr>
        <w:t>2</w:t>
      </w:r>
      <w:r>
        <w:fldChar w:fldCharType="end"/>
      </w:r>
      <w:bookmarkEnd w:id="25"/>
      <w:proofErr w:type="gramStart"/>
      <w:r>
        <w:t>.</w:t>
      </w:r>
      <w:proofErr w:type="gramEnd"/>
      <w:r>
        <w:t xml:space="preserve"> The Project Result Framework including MTR comments on its design.</w:t>
      </w:r>
    </w:p>
    <w:tbl>
      <w:tblPr>
        <w:tblStyle w:val="TableGrid"/>
        <w:tblW w:w="0" w:type="auto"/>
        <w:tblLayout w:type="fixed"/>
        <w:tblLook w:val="04A0" w:firstRow="1" w:lastRow="0" w:firstColumn="1" w:lastColumn="0" w:noHBand="0" w:noVBand="1"/>
      </w:tblPr>
      <w:tblGrid>
        <w:gridCol w:w="1892"/>
        <w:gridCol w:w="1893"/>
        <w:gridCol w:w="1893"/>
        <w:gridCol w:w="1893"/>
        <w:gridCol w:w="1893"/>
        <w:gridCol w:w="4692"/>
      </w:tblGrid>
      <w:tr w:rsidR="006A454B" w:rsidRPr="00D415E0" w14:paraId="70276F58" w14:textId="77777777" w:rsidTr="006A454B">
        <w:trPr>
          <w:tblHeader/>
        </w:trPr>
        <w:tc>
          <w:tcPr>
            <w:tcW w:w="1892" w:type="dxa"/>
            <w:shd w:val="clear" w:color="auto" w:fill="D9D9D9" w:themeFill="background1" w:themeFillShade="D9"/>
          </w:tcPr>
          <w:p w14:paraId="07AE4DD3" w14:textId="78C49CC1" w:rsidR="00D415E0" w:rsidRPr="00D415E0" w:rsidRDefault="00D415E0" w:rsidP="004D6910">
            <w:pPr>
              <w:rPr>
                <w:b/>
                <w:sz w:val="20"/>
                <w:szCs w:val="20"/>
              </w:rPr>
            </w:pPr>
            <w:r w:rsidRPr="00D415E0">
              <w:rPr>
                <w:b/>
                <w:sz w:val="20"/>
                <w:szCs w:val="20"/>
              </w:rPr>
              <w:t>Project Strategy</w:t>
            </w:r>
          </w:p>
        </w:tc>
        <w:tc>
          <w:tcPr>
            <w:tcW w:w="1893" w:type="dxa"/>
            <w:shd w:val="clear" w:color="auto" w:fill="D9D9D9" w:themeFill="background1" w:themeFillShade="D9"/>
          </w:tcPr>
          <w:p w14:paraId="44EC52B2" w14:textId="77777777" w:rsidR="00D415E0" w:rsidRPr="00D415E0" w:rsidRDefault="00D415E0" w:rsidP="004D6910">
            <w:pPr>
              <w:rPr>
                <w:b/>
                <w:sz w:val="20"/>
                <w:szCs w:val="20"/>
              </w:rPr>
            </w:pPr>
            <w:r w:rsidRPr="00D415E0">
              <w:rPr>
                <w:b/>
                <w:sz w:val="20"/>
                <w:szCs w:val="20"/>
              </w:rPr>
              <w:t>Indicators</w:t>
            </w:r>
          </w:p>
        </w:tc>
        <w:tc>
          <w:tcPr>
            <w:tcW w:w="1893" w:type="dxa"/>
            <w:shd w:val="clear" w:color="auto" w:fill="D9D9D9" w:themeFill="background1" w:themeFillShade="D9"/>
          </w:tcPr>
          <w:p w14:paraId="392D611A" w14:textId="77777777" w:rsidR="00D415E0" w:rsidRPr="00D415E0" w:rsidRDefault="00D415E0" w:rsidP="004D6910">
            <w:pPr>
              <w:rPr>
                <w:b/>
                <w:sz w:val="20"/>
                <w:szCs w:val="20"/>
              </w:rPr>
            </w:pPr>
            <w:r w:rsidRPr="00D415E0">
              <w:rPr>
                <w:b/>
                <w:sz w:val="20"/>
                <w:szCs w:val="20"/>
              </w:rPr>
              <w:t>Baseline levels</w:t>
            </w:r>
          </w:p>
        </w:tc>
        <w:tc>
          <w:tcPr>
            <w:tcW w:w="1893" w:type="dxa"/>
            <w:shd w:val="clear" w:color="auto" w:fill="D9D9D9" w:themeFill="background1" w:themeFillShade="D9"/>
          </w:tcPr>
          <w:p w14:paraId="1CF2E9EE" w14:textId="77777777" w:rsidR="00D415E0" w:rsidRPr="00D415E0" w:rsidRDefault="00D415E0" w:rsidP="004D6910">
            <w:pPr>
              <w:rPr>
                <w:b/>
                <w:sz w:val="20"/>
                <w:szCs w:val="20"/>
              </w:rPr>
            </w:pPr>
            <w:r w:rsidRPr="00D415E0">
              <w:rPr>
                <w:b/>
                <w:sz w:val="20"/>
                <w:szCs w:val="20"/>
              </w:rPr>
              <w:t>EOP target</w:t>
            </w:r>
          </w:p>
        </w:tc>
        <w:tc>
          <w:tcPr>
            <w:tcW w:w="1893" w:type="dxa"/>
            <w:shd w:val="clear" w:color="auto" w:fill="D9D9D9" w:themeFill="background1" w:themeFillShade="D9"/>
          </w:tcPr>
          <w:p w14:paraId="2E050DE1" w14:textId="35EDF292" w:rsidR="00D415E0" w:rsidRPr="00D415E0" w:rsidRDefault="00D415E0" w:rsidP="001B2E54">
            <w:pPr>
              <w:rPr>
                <w:b/>
                <w:sz w:val="20"/>
                <w:szCs w:val="20"/>
              </w:rPr>
            </w:pPr>
            <w:r w:rsidRPr="00D415E0">
              <w:rPr>
                <w:b/>
                <w:sz w:val="20"/>
                <w:szCs w:val="20"/>
              </w:rPr>
              <w:t xml:space="preserve">Proposed </w:t>
            </w:r>
            <w:r w:rsidR="001B2E54">
              <w:rPr>
                <w:b/>
                <w:sz w:val="20"/>
                <w:szCs w:val="20"/>
              </w:rPr>
              <w:t>Means</w:t>
            </w:r>
            <w:r w:rsidRPr="00D415E0">
              <w:rPr>
                <w:b/>
                <w:sz w:val="20"/>
                <w:szCs w:val="20"/>
              </w:rPr>
              <w:t xml:space="preserve"> of verification</w:t>
            </w:r>
          </w:p>
        </w:tc>
        <w:tc>
          <w:tcPr>
            <w:tcW w:w="4692" w:type="dxa"/>
            <w:shd w:val="clear" w:color="auto" w:fill="D9D9D9" w:themeFill="background1" w:themeFillShade="D9"/>
          </w:tcPr>
          <w:p w14:paraId="12F22FFB" w14:textId="77777777" w:rsidR="00D415E0" w:rsidRPr="00D415E0" w:rsidRDefault="00D415E0" w:rsidP="004D6910">
            <w:pPr>
              <w:rPr>
                <w:b/>
                <w:sz w:val="20"/>
                <w:szCs w:val="20"/>
              </w:rPr>
            </w:pPr>
            <w:r w:rsidRPr="00D415E0">
              <w:rPr>
                <w:b/>
                <w:sz w:val="20"/>
                <w:szCs w:val="20"/>
              </w:rPr>
              <w:t>MTR comments</w:t>
            </w:r>
          </w:p>
        </w:tc>
      </w:tr>
      <w:tr w:rsidR="006A454B" w:rsidRPr="00D415E0" w14:paraId="3BF110A6" w14:textId="77777777" w:rsidTr="006A454B">
        <w:tc>
          <w:tcPr>
            <w:tcW w:w="1892" w:type="dxa"/>
            <w:vMerge w:val="restart"/>
          </w:tcPr>
          <w:p w14:paraId="33E787E5" w14:textId="77777777" w:rsidR="006A454B" w:rsidRPr="00D415E0" w:rsidRDefault="006A454B" w:rsidP="004D6910">
            <w:pPr>
              <w:rPr>
                <w:sz w:val="20"/>
                <w:szCs w:val="20"/>
              </w:rPr>
            </w:pPr>
            <w:r w:rsidRPr="00D415E0">
              <w:rPr>
                <w:sz w:val="20"/>
                <w:szCs w:val="20"/>
              </w:rPr>
              <w:t xml:space="preserve">Objective: To improve the coverage and effectiveness of protected areas in the Central </w:t>
            </w:r>
            <w:proofErr w:type="spellStart"/>
            <w:r w:rsidRPr="00D415E0">
              <w:rPr>
                <w:sz w:val="20"/>
                <w:szCs w:val="20"/>
              </w:rPr>
              <w:t>Tian</w:t>
            </w:r>
            <w:proofErr w:type="spellEnd"/>
            <w:r w:rsidRPr="00D415E0">
              <w:rPr>
                <w:sz w:val="20"/>
                <w:szCs w:val="20"/>
              </w:rPr>
              <w:t xml:space="preserve"> Shan Mountains so as to expand threatened species representation in the national system</w:t>
            </w:r>
          </w:p>
        </w:tc>
        <w:tc>
          <w:tcPr>
            <w:tcW w:w="1893" w:type="dxa"/>
          </w:tcPr>
          <w:p w14:paraId="545518A8" w14:textId="77777777" w:rsidR="006A454B" w:rsidRPr="00D415E0" w:rsidRDefault="006A454B" w:rsidP="004D6910">
            <w:pPr>
              <w:rPr>
                <w:sz w:val="20"/>
                <w:szCs w:val="20"/>
              </w:rPr>
            </w:pPr>
            <w:r w:rsidRPr="00D415E0">
              <w:rPr>
                <w:sz w:val="20"/>
                <w:szCs w:val="20"/>
              </w:rPr>
              <w:t xml:space="preserve">Territorial coverage of SPNAs in Central </w:t>
            </w:r>
            <w:proofErr w:type="spellStart"/>
            <w:r w:rsidRPr="00D415E0">
              <w:rPr>
                <w:sz w:val="20"/>
                <w:szCs w:val="20"/>
              </w:rPr>
              <w:t>Tian</w:t>
            </w:r>
            <w:proofErr w:type="spellEnd"/>
            <w:r w:rsidRPr="00D415E0">
              <w:rPr>
                <w:sz w:val="20"/>
                <w:szCs w:val="20"/>
              </w:rPr>
              <w:t xml:space="preserve"> Shan Mountains which provide habitat for the endangered snow leopard</w:t>
            </w:r>
          </w:p>
        </w:tc>
        <w:tc>
          <w:tcPr>
            <w:tcW w:w="1893" w:type="dxa"/>
          </w:tcPr>
          <w:p w14:paraId="5F9FD546" w14:textId="77777777" w:rsidR="006A454B" w:rsidRPr="00D415E0" w:rsidRDefault="006A454B" w:rsidP="004D6910">
            <w:pPr>
              <w:rPr>
                <w:sz w:val="20"/>
                <w:szCs w:val="20"/>
              </w:rPr>
            </w:pPr>
            <w:r w:rsidRPr="00D415E0">
              <w:rPr>
                <w:sz w:val="20"/>
                <w:szCs w:val="20"/>
              </w:rPr>
              <w:t xml:space="preserve">149,119.9 ha (Existing </w:t>
            </w:r>
            <w:proofErr w:type="spellStart"/>
            <w:r w:rsidRPr="00D415E0">
              <w:rPr>
                <w:sz w:val="20"/>
                <w:szCs w:val="20"/>
              </w:rPr>
              <w:t>Sarychat</w:t>
            </w:r>
            <w:proofErr w:type="spellEnd"/>
            <w:r w:rsidRPr="00D415E0">
              <w:rPr>
                <w:sz w:val="20"/>
                <w:szCs w:val="20"/>
              </w:rPr>
              <w:t xml:space="preserve"> </w:t>
            </w:r>
            <w:proofErr w:type="spellStart"/>
            <w:r w:rsidRPr="00D415E0">
              <w:rPr>
                <w:sz w:val="20"/>
                <w:szCs w:val="20"/>
              </w:rPr>
              <w:t>Ertash</w:t>
            </w:r>
            <w:proofErr w:type="spellEnd"/>
            <w:r w:rsidRPr="00D415E0">
              <w:rPr>
                <w:sz w:val="20"/>
                <w:szCs w:val="20"/>
              </w:rPr>
              <w:t xml:space="preserve"> reserve area)</w:t>
            </w:r>
          </w:p>
        </w:tc>
        <w:tc>
          <w:tcPr>
            <w:tcW w:w="1893" w:type="dxa"/>
          </w:tcPr>
          <w:p w14:paraId="11C5BC05" w14:textId="77777777" w:rsidR="006A454B" w:rsidRPr="00D415E0" w:rsidRDefault="006A454B" w:rsidP="004D6910">
            <w:pPr>
              <w:rPr>
                <w:sz w:val="20"/>
                <w:szCs w:val="20"/>
              </w:rPr>
            </w:pPr>
            <w:r w:rsidRPr="00D415E0">
              <w:rPr>
                <w:sz w:val="20"/>
                <w:szCs w:val="20"/>
              </w:rPr>
              <w:t>Up to 336,119.9ha by EOP</w:t>
            </w:r>
          </w:p>
        </w:tc>
        <w:tc>
          <w:tcPr>
            <w:tcW w:w="1893" w:type="dxa"/>
          </w:tcPr>
          <w:p w14:paraId="1C02A195" w14:textId="5912E8AB" w:rsidR="006A454B" w:rsidRPr="00D415E0" w:rsidRDefault="006A454B" w:rsidP="004D6910">
            <w:pPr>
              <w:rPr>
                <w:sz w:val="20"/>
                <w:szCs w:val="20"/>
              </w:rPr>
            </w:pPr>
            <w:r>
              <w:rPr>
                <w:sz w:val="20"/>
                <w:szCs w:val="20"/>
              </w:rPr>
              <w:t>Land records of the State Registration Service of the Kyrgyz Republic</w:t>
            </w:r>
          </w:p>
        </w:tc>
        <w:tc>
          <w:tcPr>
            <w:tcW w:w="4692" w:type="dxa"/>
          </w:tcPr>
          <w:p w14:paraId="720638B6" w14:textId="707CB184" w:rsidR="006A454B" w:rsidRDefault="006A454B" w:rsidP="004D6910">
            <w:pPr>
              <w:rPr>
                <w:sz w:val="20"/>
                <w:szCs w:val="20"/>
              </w:rPr>
            </w:pPr>
            <w:r>
              <w:rPr>
                <w:sz w:val="20"/>
                <w:szCs w:val="20"/>
              </w:rPr>
              <w:t xml:space="preserve">This indicator simply reflects the establishment of the proposed Khan </w:t>
            </w:r>
            <w:proofErr w:type="spellStart"/>
            <w:r>
              <w:rPr>
                <w:sz w:val="20"/>
                <w:szCs w:val="20"/>
              </w:rPr>
              <w:t>Tengri</w:t>
            </w:r>
            <w:proofErr w:type="spellEnd"/>
            <w:r>
              <w:rPr>
                <w:sz w:val="20"/>
                <w:szCs w:val="20"/>
              </w:rPr>
              <w:t xml:space="preserve"> National Park (KTNP) based on WWF’s </w:t>
            </w:r>
            <w:proofErr w:type="spellStart"/>
            <w:r>
              <w:rPr>
                <w:sz w:val="20"/>
                <w:szCs w:val="20"/>
              </w:rPr>
              <w:t>Econet</w:t>
            </w:r>
            <w:proofErr w:type="spellEnd"/>
            <w:r>
              <w:rPr>
                <w:sz w:val="20"/>
                <w:szCs w:val="20"/>
              </w:rPr>
              <w:t xml:space="preserve"> analysis: this proposed a PA of 187,000ha.</w:t>
            </w:r>
          </w:p>
          <w:p w14:paraId="2BFDA008" w14:textId="15B41399" w:rsidR="006A454B" w:rsidRPr="00D415E0" w:rsidRDefault="006A454B" w:rsidP="004D6910">
            <w:pPr>
              <w:rPr>
                <w:sz w:val="20"/>
                <w:szCs w:val="20"/>
              </w:rPr>
            </w:pPr>
            <w:r w:rsidRPr="00584826">
              <w:rPr>
                <w:sz w:val="20"/>
                <w:szCs w:val="20"/>
              </w:rPr>
              <w:t xml:space="preserve">The means of verification should also include the publication of the legal establishment of Khan </w:t>
            </w:r>
            <w:proofErr w:type="spellStart"/>
            <w:r w:rsidRPr="00584826">
              <w:rPr>
                <w:sz w:val="20"/>
                <w:szCs w:val="20"/>
              </w:rPr>
              <w:t>Tengri</w:t>
            </w:r>
            <w:proofErr w:type="spellEnd"/>
            <w:r w:rsidRPr="00584826">
              <w:rPr>
                <w:sz w:val="20"/>
                <w:szCs w:val="20"/>
              </w:rPr>
              <w:t xml:space="preserve"> National Park in the national gazette</w:t>
            </w:r>
          </w:p>
        </w:tc>
      </w:tr>
      <w:tr w:rsidR="006A454B" w:rsidRPr="00D415E0" w14:paraId="34117BE9" w14:textId="77777777" w:rsidTr="006A454B">
        <w:tc>
          <w:tcPr>
            <w:tcW w:w="1892" w:type="dxa"/>
            <w:vMerge/>
          </w:tcPr>
          <w:p w14:paraId="2A187D8F" w14:textId="77777777" w:rsidR="006A454B" w:rsidRPr="00D415E0" w:rsidRDefault="006A454B" w:rsidP="004D6910">
            <w:pPr>
              <w:rPr>
                <w:sz w:val="20"/>
                <w:szCs w:val="20"/>
              </w:rPr>
            </w:pPr>
          </w:p>
        </w:tc>
        <w:tc>
          <w:tcPr>
            <w:tcW w:w="1893" w:type="dxa"/>
          </w:tcPr>
          <w:p w14:paraId="089594D8" w14:textId="7605CC0E" w:rsidR="006A454B" w:rsidRPr="00D415E0" w:rsidRDefault="006A454B" w:rsidP="004D6910">
            <w:pPr>
              <w:rPr>
                <w:sz w:val="20"/>
                <w:szCs w:val="20"/>
              </w:rPr>
            </w:pPr>
            <w:r w:rsidRPr="00D415E0">
              <w:rPr>
                <w:sz w:val="20"/>
                <w:szCs w:val="20"/>
              </w:rPr>
              <w:t>Populati</w:t>
            </w:r>
            <w:r>
              <w:rPr>
                <w:sz w:val="20"/>
                <w:szCs w:val="20"/>
              </w:rPr>
              <w:t>on size of snow leopard (</w:t>
            </w:r>
            <w:proofErr w:type="spellStart"/>
            <w:r w:rsidRPr="00C054EE">
              <w:rPr>
                <w:i/>
                <w:sz w:val="20"/>
                <w:szCs w:val="20"/>
              </w:rPr>
              <w:t>Uncia</w:t>
            </w:r>
            <w:proofErr w:type="spellEnd"/>
            <w:r w:rsidRPr="00C054EE">
              <w:rPr>
                <w:i/>
                <w:sz w:val="20"/>
                <w:szCs w:val="20"/>
              </w:rPr>
              <w:t xml:space="preserve"> </w:t>
            </w:r>
            <w:proofErr w:type="spellStart"/>
            <w:r w:rsidRPr="00C054EE">
              <w:rPr>
                <w:i/>
                <w:sz w:val="20"/>
                <w:szCs w:val="20"/>
              </w:rPr>
              <w:t>uncia</w:t>
            </w:r>
            <w:proofErr w:type="spellEnd"/>
            <w:r w:rsidRPr="00D415E0">
              <w:rPr>
                <w:sz w:val="20"/>
                <w:szCs w:val="20"/>
              </w:rPr>
              <w:t xml:space="preserve">) in Central </w:t>
            </w:r>
            <w:proofErr w:type="spellStart"/>
            <w:r w:rsidRPr="00D415E0">
              <w:rPr>
                <w:sz w:val="20"/>
                <w:szCs w:val="20"/>
              </w:rPr>
              <w:t>Tian</w:t>
            </w:r>
            <w:proofErr w:type="spellEnd"/>
            <w:r w:rsidRPr="00D415E0">
              <w:rPr>
                <w:sz w:val="20"/>
                <w:szCs w:val="20"/>
              </w:rPr>
              <w:t xml:space="preserve"> Shan shows an increasing trend </w:t>
            </w:r>
          </w:p>
        </w:tc>
        <w:tc>
          <w:tcPr>
            <w:tcW w:w="1893" w:type="dxa"/>
          </w:tcPr>
          <w:p w14:paraId="6D7BD74A" w14:textId="77777777" w:rsidR="006A454B" w:rsidRPr="00D415E0" w:rsidRDefault="006A454B" w:rsidP="004D6910">
            <w:pPr>
              <w:rPr>
                <w:sz w:val="20"/>
                <w:szCs w:val="20"/>
              </w:rPr>
            </w:pPr>
            <w:r w:rsidRPr="00D415E0">
              <w:rPr>
                <w:sz w:val="20"/>
                <w:szCs w:val="20"/>
              </w:rPr>
              <w:t>Low numbers of snow leopard (unable to quantify)</w:t>
            </w:r>
          </w:p>
        </w:tc>
        <w:tc>
          <w:tcPr>
            <w:tcW w:w="1893" w:type="dxa"/>
          </w:tcPr>
          <w:p w14:paraId="42FF3442" w14:textId="77777777" w:rsidR="006A454B" w:rsidRPr="00D415E0" w:rsidRDefault="006A454B" w:rsidP="004D6910">
            <w:pPr>
              <w:rPr>
                <w:sz w:val="20"/>
                <w:szCs w:val="20"/>
              </w:rPr>
            </w:pPr>
            <w:r w:rsidRPr="00D415E0">
              <w:rPr>
                <w:sz w:val="20"/>
                <w:szCs w:val="20"/>
              </w:rPr>
              <w:t>By EOP, target area offers permanent habitat for five females with cubs</w:t>
            </w:r>
          </w:p>
        </w:tc>
        <w:tc>
          <w:tcPr>
            <w:tcW w:w="1893" w:type="dxa"/>
          </w:tcPr>
          <w:p w14:paraId="5384A3EA" w14:textId="2B59C9AB" w:rsidR="006A454B" w:rsidRPr="00D415E0" w:rsidRDefault="006A454B" w:rsidP="004D6910">
            <w:pPr>
              <w:rPr>
                <w:sz w:val="20"/>
                <w:szCs w:val="20"/>
              </w:rPr>
            </w:pPr>
            <w:r>
              <w:rPr>
                <w:sz w:val="20"/>
                <w:szCs w:val="20"/>
              </w:rPr>
              <w:t>Monitoring records and data analyses of snow leopard populations and their prey</w:t>
            </w:r>
          </w:p>
        </w:tc>
        <w:tc>
          <w:tcPr>
            <w:tcW w:w="4692" w:type="dxa"/>
          </w:tcPr>
          <w:p w14:paraId="22911CFB" w14:textId="4161465B" w:rsidR="006A454B" w:rsidRPr="00EA7932" w:rsidRDefault="006A454B" w:rsidP="004D6910">
            <w:pPr>
              <w:rPr>
                <w:sz w:val="20"/>
                <w:szCs w:val="20"/>
              </w:rPr>
            </w:pPr>
            <w:r>
              <w:rPr>
                <w:sz w:val="20"/>
                <w:szCs w:val="20"/>
              </w:rPr>
              <w:t xml:space="preserve">There are a number of issues here: </w:t>
            </w:r>
            <w:proofErr w:type="spellStart"/>
            <w:r>
              <w:rPr>
                <w:sz w:val="20"/>
                <w:szCs w:val="20"/>
              </w:rPr>
              <w:t>i</w:t>
            </w:r>
            <w:proofErr w:type="spellEnd"/>
            <w:r>
              <w:rPr>
                <w:sz w:val="20"/>
                <w:szCs w:val="20"/>
              </w:rPr>
              <w:t xml:space="preserve">) the EOP target is flawed (as the target area </w:t>
            </w:r>
            <w:r>
              <w:rPr>
                <w:i/>
                <w:sz w:val="20"/>
                <w:szCs w:val="20"/>
              </w:rPr>
              <w:t>already</w:t>
            </w:r>
            <w:r>
              <w:rPr>
                <w:sz w:val="20"/>
                <w:szCs w:val="20"/>
              </w:rPr>
              <w:t xml:space="preserve"> offers permanent habitat for &gt;five females and cubs), ii) a four-five year project wo</w:t>
            </w:r>
            <w:r w:rsidRPr="00EA7932">
              <w:rPr>
                <w:sz w:val="20"/>
                <w:szCs w:val="20"/>
              </w:rPr>
              <w:t>uld have little impact on snow leopard populations (and/or the their prey species), and iii) the indicator (snow</w:t>
            </w:r>
            <w:r>
              <w:rPr>
                <w:sz w:val="20"/>
                <w:szCs w:val="20"/>
              </w:rPr>
              <w:t xml:space="preserve"> leopard population size) does not equate with the target (available habitat).  What the project </w:t>
            </w:r>
            <w:r>
              <w:rPr>
                <w:i/>
                <w:sz w:val="20"/>
                <w:szCs w:val="20"/>
              </w:rPr>
              <w:t xml:space="preserve">can </w:t>
            </w:r>
            <w:r>
              <w:rPr>
                <w:sz w:val="20"/>
                <w:szCs w:val="20"/>
              </w:rPr>
              <w:t xml:space="preserve">deliver is an increase in the snow leopard habitat that is effectively protected.  </w:t>
            </w:r>
            <w:r w:rsidRPr="001B65A1">
              <w:rPr>
                <w:sz w:val="20"/>
                <w:szCs w:val="20"/>
              </w:rPr>
              <w:t>The MTR, therefore, proposes that this indicator is amended to</w:t>
            </w:r>
            <w:r>
              <w:rPr>
                <w:sz w:val="20"/>
                <w:szCs w:val="20"/>
              </w:rPr>
              <w:t xml:space="preserve">: “Area of snow leopard habitat that is effectively protected in the Central </w:t>
            </w:r>
            <w:proofErr w:type="spellStart"/>
            <w:r>
              <w:rPr>
                <w:sz w:val="20"/>
                <w:szCs w:val="20"/>
              </w:rPr>
              <w:t>Tian</w:t>
            </w:r>
            <w:proofErr w:type="spellEnd"/>
            <w:r>
              <w:rPr>
                <w:sz w:val="20"/>
                <w:szCs w:val="20"/>
              </w:rPr>
              <w:t xml:space="preserve"> Shan Mountains” and the EOP targets include the two functional aspects of this indicator: </w:t>
            </w:r>
            <w:proofErr w:type="spellStart"/>
            <w:r>
              <w:rPr>
                <w:sz w:val="20"/>
                <w:szCs w:val="20"/>
              </w:rPr>
              <w:t>i</w:t>
            </w:r>
            <w:proofErr w:type="spellEnd"/>
            <w:r>
              <w:rPr>
                <w:sz w:val="20"/>
                <w:szCs w:val="20"/>
              </w:rPr>
              <w:t>) the area of snow leopard habitat that this protected and ii) the METT scores for the PAs.</w:t>
            </w:r>
          </w:p>
        </w:tc>
      </w:tr>
      <w:tr w:rsidR="006A454B" w:rsidRPr="00D415E0" w14:paraId="7B7351F4" w14:textId="77777777" w:rsidTr="006A454B">
        <w:tc>
          <w:tcPr>
            <w:tcW w:w="1892" w:type="dxa"/>
            <w:vMerge w:val="restart"/>
          </w:tcPr>
          <w:p w14:paraId="0E3890E0" w14:textId="538FB7D9" w:rsidR="006A454B" w:rsidRPr="00D415E0" w:rsidRDefault="006A454B" w:rsidP="004D6910">
            <w:pPr>
              <w:rPr>
                <w:sz w:val="20"/>
                <w:szCs w:val="20"/>
              </w:rPr>
            </w:pPr>
            <w:r w:rsidRPr="00D415E0">
              <w:rPr>
                <w:sz w:val="20"/>
                <w:szCs w:val="20"/>
              </w:rPr>
              <w:t>Outcome 1</w:t>
            </w:r>
            <w:r>
              <w:rPr>
                <w:sz w:val="20"/>
                <w:szCs w:val="20"/>
              </w:rPr>
              <w:t xml:space="preserve">: </w:t>
            </w:r>
            <w:r w:rsidRPr="00D415E0">
              <w:rPr>
                <w:sz w:val="20"/>
                <w:szCs w:val="20"/>
              </w:rPr>
              <w:t xml:space="preserve">Threatened species representation is improved by increasing coverage and management effectiveness of PAs in Central </w:t>
            </w:r>
            <w:proofErr w:type="spellStart"/>
            <w:r w:rsidRPr="00D415E0">
              <w:rPr>
                <w:sz w:val="20"/>
                <w:szCs w:val="20"/>
              </w:rPr>
              <w:t>Tian</w:t>
            </w:r>
            <w:proofErr w:type="spellEnd"/>
            <w:r w:rsidRPr="00D415E0">
              <w:rPr>
                <w:sz w:val="20"/>
                <w:szCs w:val="20"/>
              </w:rPr>
              <w:t xml:space="preserve"> Shan </w:t>
            </w:r>
          </w:p>
        </w:tc>
        <w:tc>
          <w:tcPr>
            <w:tcW w:w="1893" w:type="dxa"/>
          </w:tcPr>
          <w:p w14:paraId="2B1AA9FB" w14:textId="77777777" w:rsidR="006A454B" w:rsidRPr="00D415E0" w:rsidRDefault="006A454B" w:rsidP="004D6910">
            <w:pPr>
              <w:rPr>
                <w:sz w:val="20"/>
                <w:szCs w:val="20"/>
              </w:rPr>
            </w:pPr>
            <w:r w:rsidRPr="00D415E0">
              <w:rPr>
                <w:sz w:val="20"/>
                <w:szCs w:val="20"/>
              </w:rPr>
              <w:t xml:space="preserve">Enhanced management effectiveness of target PAs (as measured by METT) </w:t>
            </w:r>
          </w:p>
        </w:tc>
        <w:tc>
          <w:tcPr>
            <w:tcW w:w="1893" w:type="dxa"/>
          </w:tcPr>
          <w:p w14:paraId="38F7DC66" w14:textId="77777777" w:rsidR="006A454B" w:rsidRPr="00D415E0" w:rsidRDefault="006A454B" w:rsidP="004D6910">
            <w:pPr>
              <w:rPr>
                <w:sz w:val="20"/>
                <w:szCs w:val="20"/>
              </w:rPr>
            </w:pPr>
            <w:proofErr w:type="spellStart"/>
            <w:r w:rsidRPr="00D415E0">
              <w:rPr>
                <w:sz w:val="20"/>
                <w:szCs w:val="20"/>
              </w:rPr>
              <w:t>Sarychat</w:t>
            </w:r>
            <w:proofErr w:type="spellEnd"/>
            <w:r w:rsidRPr="00D415E0">
              <w:rPr>
                <w:sz w:val="20"/>
                <w:szCs w:val="20"/>
              </w:rPr>
              <w:t xml:space="preserve"> </w:t>
            </w:r>
            <w:proofErr w:type="spellStart"/>
            <w:r w:rsidRPr="00D415E0">
              <w:rPr>
                <w:sz w:val="20"/>
                <w:szCs w:val="20"/>
              </w:rPr>
              <w:t>Ertash</w:t>
            </w:r>
            <w:proofErr w:type="spellEnd"/>
            <w:r w:rsidRPr="00D415E0">
              <w:rPr>
                <w:sz w:val="20"/>
                <w:szCs w:val="20"/>
              </w:rPr>
              <w:t xml:space="preserve">: 54% </w:t>
            </w:r>
          </w:p>
          <w:p w14:paraId="17CF0335" w14:textId="77777777" w:rsidR="006A454B" w:rsidRPr="00D415E0" w:rsidRDefault="006A454B" w:rsidP="004D6910">
            <w:pPr>
              <w:rPr>
                <w:sz w:val="20"/>
                <w:szCs w:val="20"/>
              </w:rPr>
            </w:pPr>
            <w:r w:rsidRPr="00D415E0">
              <w:rPr>
                <w:sz w:val="20"/>
                <w:szCs w:val="20"/>
              </w:rPr>
              <w:t xml:space="preserve">Khan </w:t>
            </w:r>
            <w:proofErr w:type="spellStart"/>
            <w:r w:rsidRPr="00D415E0">
              <w:rPr>
                <w:sz w:val="20"/>
                <w:szCs w:val="20"/>
              </w:rPr>
              <w:t>Tengri</w:t>
            </w:r>
            <w:proofErr w:type="spellEnd"/>
            <w:r w:rsidRPr="00D415E0">
              <w:rPr>
                <w:sz w:val="20"/>
                <w:szCs w:val="20"/>
              </w:rPr>
              <w:t xml:space="preserve">: 3% </w:t>
            </w:r>
          </w:p>
        </w:tc>
        <w:tc>
          <w:tcPr>
            <w:tcW w:w="1893" w:type="dxa"/>
          </w:tcPr>
          <w:p w14:paraId="7BBACD09" w14:textId="77777777" w:rsidR="006A454B" w:rsidRPr="00D415E0" w:rsidRDefault="006A454B" w:rsidP="004D6910">
            <w:pPr>
              <w:rPr>
                <w:sz w:val="20"/>
                <w:szCs w:val="20"/>
              </w:rPr>
            </w:pPr>
            <w:proofErr w:type="spellStart"/>
            <w:r w:rsidRPr="00D415E0">
              <w:rPr>
                <w:sz w:val="20"/>
                <w:szCs w:val="20"/>
              </w:rPr>
              <w:t>Sarychat</w:t>
            </w:r>
            <w:proofErr w:type="spellEnd"/>
            <w:r w:rsidRPr="00D415E0">
              <w:rPr>
                <w:sz w:val="20"/>
                <w:szCs w:val="20"/>
              </w:rPr>
              <w:t xml:space="preserve"> </w:t>
            </w:r>
            <w:proofErr w:type="spellStart"/>
            <w:r w:rsidRPr="00D415E0">
              <w:rPr>
                <w:sz w:val="20"/>
                <w:szCs w:val="20"/>
              </w:rPr>
              <w:t>Ertash</w:t>
            </w:r>
            <w:proofErr w:type="spellEnd"/>
            <w:r w:rsidRPr="00D415E0">
              <w:rPr>
                <w:sz w:val="20"/>
                <w:szCs w:val="20"/>
              </w:rPr>
              <w:t xml:space="preserve">: 75% </w:t>
            </w:r>
          </w:p>
          <w:p w14:paraId="4858C8BB" w14:textId="77777777" w:rsidR="006A454B" w:rsidRPr="00D415E0" w:rsidRDefault="006A454B" w:rsidP="004D6910">
            <w:pPr>
              <w:rPr>
                <w:sz w:val="20"/>
                <w:szCs w:val="20"/>
              </w:rPr>
            </w:pPr>
            <w:r w:rsidRPr="00D415E0">
              <w:rPr>
                <w:sz w:val="20"/>
                <w:szCs w:val="20"/>
              </w:rPr>
              <w:t xml:space="preserve">Khan </w:t>
            </w:r>
            <w:proofErr w:type="spellStart"/>
            <w:r w:rsidRPr="00D415E0">
              <w:rPr>
                <w:sz w:val="20"/>
                <w:szCs w:val="20"/>
              </w:rPr>
              <w:t>Tengri</w:t>
            </w:r>
            <w:proofErr w:type="spellEnd"/>
            <w:r w:rsidRPr="00D415E0">
              <w:rPr>
                <w:sz w:val="20"/>
                <w:szCs w:val="20"/>
              </w:rPr>
              <w:t>: 28%</w:t>
            </w:r>
          </w:p>
        </w:tc>
        <w:tc>
          <w:tcPr>
            <w:tcW w:w="1893" w:type="dxa"/>
          </w:tcPr>
          <w:p w14:paraId="2CCE985B" w14:textId="4B8CE895" w:rsidR="006A454B" w:rsidRPr="00D415E0" w:rsidRDefault="006A454B" w:rsidP="004D6910">
            <w:pPr>
              <w:rPr>
                <w:sz w:val="20"/>
                <w:szCs w:val="20"/>
              </w:rPr>
            </w:pPr>
            <w:r>
              <w:rPr>
                <w:sz w:val="20"/>
                <w:szCs w:val="20"/>
              </w:rPr>
              <w:t>METT scorecard</w:t>
            </w:r>
          </w:p>
        </w:tc>
        <w:tc>
          <w:tcPr>
            <w:tcW w:w="4692" w:type="dxa"/>
          </w:tcPr>
          <w:p w14:paraId="0CB79F9F" w14:textId="24E2E309" w:rsidR="006A454B" w:rsidRPr="00D415E0" w:rsidRDefault="006A454B" w:rsidP="004D6910">
            <w:pPr>
              <w:rPr>
                <w:sz w:val="20"/>
                <w:szCs w:val="20"/>
              </w:rPr>
            </w:pPr>
            <w:r>
              <w:rPr>
                <w:sz w:val="20"/>
                <w:szCs w:val="20"/>
              </w:rPr>
              <w:t xml:space="preserve">For the purposes of the project, the assessments of </w:t>
            </w:r>
            <w:proofErr w:type="spellStart"/>
            <w:r>
              <w:rPr>
                <w:sz w:val="20"/>
                <w:szCs w:val="20"/>
              </w:rPr>
              <w:t>Sarychat</w:t>
            </w:r>
            <w:proofErr w:type="spellEnd"/>
            <w:r>
              <w:rPr>
                <w:sz w:val="20"/>
                <w:szCs w:val="20"/>
              </w:rPr>
              <w:t xml:space="preserve"> </w:t>
            </w:r>
            <w:proofErr w:type="spellStart"/>
            <w:r>
              <w:rPr>
                <w:sz w:val="20"/>
                <w:szCs w:val="20"/>
              </w:rPr>
              <w:t>Ertash</w:t>
            </w:r>
            <w:proofErr w:type="spellEnd"/>
            <w:r>
              <w:rPr>
                <w:sz w:val="20"/>
                <w:szCs w:val="20"/>
              </w:rPr>
              <w:t xml:space="preserve"> </w:t>
            </w:r>
            <w:proofErr w:type="spellStart"/>
            <w:r>
              <w:rPr>
                <w:sz w:val="20"/>
                <w:szCs w:val="20"/>
              </w:rPr>
              <w:t>zapovednik</w:t>
            </w:r>
            <w:proofErr w:type="spellEnd"/>
            <w:r>
              <w:rPr>
                <w:sz w:val="20"/>
                <w:szCs w:val="20"/>
              </w:rPr>
              <w:t xml:space="preserve"> and the KTNP should be carried out using that METT; however, in the future beyond the life of the project, the management effectiveness SEZ may be measured using the adapted METT</w:t>
            </w:r>
            <w:r>
              <w:rPr>
                <w:rStyle w:val="FootnoteReference"/>
                <w:sz w:val="20"/>
                <w:szCs w:val="20"/>
              </w:rPr>
              <w:footnoteReference w:id="12"/>
            </w:r>
            <w:r>
              <w:rPr>
                <w:sz w:val="20"/>
                <w:szCs w:val="20"/>
              </w:rPr>
              <w:t>.</w:t>
            </w:r>
          </w:p>
        </w:tc>
      </w:tr>
      <w:tr w:rsidR="006A454B" w:rsidRPr="00D415E0" w14:paraId="38ED49B2" w14:textId="77777777" w:rsidTr="006A454B">
        <w:tc>
          <w:tcPr>
            <w:tcW w:w="1892" w:type="dxa"/>
            <w:vMerge/>
          </w:tcPr>
          <w:p w14:paraId="121BEA84" w14:textId="77777777" w:rsidR="006A454B" w:rsidRPr="00D415E0" w:rsidRDefault="006A454B" w:rsidP="004D6910">
            <w:pPr>
              <w:rPr>
                <w:sz w:val="20"/>
                <w:szCs w:val="20"/>
              </w:rPr>
            </w:pPr>
          </w:p>
        </w:tc>
        <w:tc>
          <w:tcPr>
            <w:tcW w:w="1893" w:type="dxa"/>
          </w:tcPr>
          <w:p w14:paraId="54007A95" w14:textId="77777777" w:rsidR="006A454B" w:rsidRPr="00D415E0" w:rsidRDefault="006A454B" w:rsidP="004D6910">
            <w:pPr>
              <w:rPr>
                <w:sz w:val="20"/>
                <w:szCs w:val="20"/>
              </w:rPr>
            </w:pPr>
            <w:r w:rsidRPr="00D415E0">
              <w:rPr>
                <w:sz w:val="20"/>
                <w:szCs w:val="20"/>
              </w:rPr>
              <w:t xml:space="preserve">Reduction in poaching and illegal logging at target PAs (annual) per unit of patrolling effort, compared with year of initial patrolling </w:t>
            </w:r>
          </w:p>
          <w:p w14:paraId="316B7B8C" w14:textId="77777777" w:rsidR="006A454B" w:rsidRPr="00D415E0" w:rsidRDefault="006A454B" w:rsidP="004D6910">
            <w:pPr>
              <w:rPr>
                <w:sz w:val="20"/>
                <w:szCs w:val="20"/>
              </w:rPr>
            </w:pPr>
          </w:p>
        </w:tc>
        <w:tc>
          <w:tcPr>
            <w:tcW w:w="1893" w:type="dxa"/>
          </w:tcPr>
          <w:p w14:paraId="036F8666" w14:textId="77777777" w:rsidR="006A454B" w:rsidRPr="00D415E0" w:rsidRDefault="006A454B" w:rsidP="004D6910">
            <w:pPr>
              <w:rPr>
                <w:sz w:val="20"/>
                <w:szCs w:val="20"/>
              </w:rPr>
            </w:pPr>
            <w:r w:rsidRPr="00D415E0">
              <w:rPr>
                <w:sz w:val="20"/>
                <w:szCs w:val="20"/>
              </w:rPr>
              <w:t xml:space="preserve">Illegal logging violations: 50 </w:t>
            </w:r>
          </w:p>
          <w:p w14:paraId="6883B70B" w14:textId="77777777" w:rsidR="006A454B" w:rsidRPr="00D415E0" w:rsidRDefault="006A454B" w:rsidP="004D6910">
            <w:pPr>
              <w:rPr>
                <w:sz w:val="20"/>
                <w:szCs w:val="20"/>
              </w:rPr>
            </w:pPr>
            <w:r w:rsidRPr="00D415E0">
              <w:rPr>
                <w:sz w:val="20"/>
                <w:szCs w:val="20"/>
              </w:rPr>
              <w:t xml:space="preserve">Poaching violations: 70 </w:t>
            </w:r>
          </w:p>
          <w:p w14:paraId="6D82ED65" w14:textId="59583509" w:rsidR="006A454B" w:rsidRPr="00D415E0" w:rsidRDefault="006A454B" w:rsidP="00C90FE9">
            <w:pPr>
              <w:rPr>
                <w:sz w:val="20"/>
                <w:szCs w:val="20"/>
              </w:rPr>
            </w:pPr>
            <w:r w:rsidRPr="00D415E0">
              <w:rPr>
                <w:sz w:val="20"/>
                <w:szCs w:val="20"/>
              </w:rPr>
              <w:t xml:space="preserve">Total violations: 120 </w:t>
            </w:r>
          </w:p>
        </w:tc>
        <w:tc>
          <w:tcPr>
            <w:tcW w:w="1893" w:type="dxa"/>
          </w:tcPr>
          <w:p w14:paraId="52DA221E" w14:textId="77777777" w:rsidR="006A454B" w:rsidRPr="00D415E0" w:rsidRDefault="006A454B" w:rsidP="004D6910">
            <w:pPr>
              <w:rPr>
                <w:sz w:val="20"/>
                <w:szCs w:val="20"/>
              </w:rPr>
            </w:pPr>
            <w:r w:rsidRPr="00D415E0">
              <w:rPr>
                <w:sz w:val="20"/>
                <w:szCs w:val="20"/>
              </w:rPr>
              <w:t>Reduction by 30%</w:t>
            </w:r>
          </w:p>
          <w:p w14:paraId="155BBE6E" w14:textId="77777777" w:rsidR="006A454B" w:rsidRPr="00D415E0" w:rsidRDefault="006A454B" w:rsidP="004D6910">
            <w:pPr>
              <w:rPr>
                <w:sz w:val="20"/>
                <w:szCs w:val="20"/>
              </w:rPr>
            </w:pPr>
            <w:r w:rsidRPr="00D415E0">
              <w:rPr>
                <w:sz w:val="20"/>
                <w:szCs w:val="20"/>
              </w:rPr>
              <w:t>Illegal logging violations: 33</w:t>
            </w:r>
          </w:p>
          <w:p w14:paraId="7BA53A27" w14:textId="77777777" w:rsidR="006A454B" w:rsidRPr="00D415E0" w:rsidRDefault="006A454B" w:rsidP="004D6910">
            <w:pPr>
              <w:rPr>
                <w:sz w:val="20"/>
                <w:szCs w:val="20"/>
              </w:rPr>
            </w:pPr>
            <w:r w:rsidRPr="00D415E0">
              <w:rPr>
                <w:sz w:val="20"/>
                <w:szCs w:val="20"/>
              </w:rPr>
              <w:t>Poaching violations: 47</w:t>
            </w:r>
          </w:p>
          <w:p w14:paraId="14E34100" w14:textId="27F77D67" w:rsidR="006A454B" w:rsidRPr="00D415E0" w:rsidRDefault="006A454B" w:rsidP="00C90FE9">
            <w:pPr>
              <w:rPr>
                <w:sz w:val="20"/>
                <w:szCs w:val="20"/>
              </w:rPr>
            </w:pPr>
            <w:r w:rsidRPr="00D415E0">
              <w:rPr>
                <w:sz w:val="20"/>
                <w:szCs w:val="20"/>
              </w:rPr>
              <w:t>Total violations: 80</w:t>
            </w:r>
          </w:p>
        </w:tc>
        <w:tc>
          <w:tcPr>
            <w:tcW w:w="1893" w:type="dxa"/>
          </w:tcPr>
          <w:p w14:paraId="27B4A473" w14:textId="74E3A374" w:rsidR="006A454B" w:rsidRDefault="006A454B" w:rsidP="004D6910">
            <w:pPr>
              <w:rPr>
                <w:sz w:val="20"/>
                <w:szCs w:val="20"/>
              </w:rPr>
            </w:pPr>
            <w:r>
              <w:rPr>
                <w:sz w:val="20"/>
                <w:szCs w:val="20"/>
              </w:rPr>
              <w:t>Report of the PA administrative units and SAEPF</w:t>
            </w:r>
          </w:p>
          <w:p w14:paraId="4E4F4127" w14:textId="5C027EE4" w:rsidR="006A454B" w:rsidRPr="00D415E0" w:rsidRDefault="006A454B" w:rsidP="004D6910">
            <w:pPr>
              <w:rPr>
                <w:sz w:val="20"/>
                <w:szCs w:val="20"/>
              </w:rPr>
            </w:pPr>
            <w:r w:rsidRPr="00D415E0">
              <w:rPr>
                <w:sz w:val="20"/>
                <w:szCs w:val="20"/>
              </w:rPr>
              <w:t xml:space="preserve"> </w:t>
            </w:r>
          </w:p>
        </w:tc>
        <w:tc>
          <w:tcPr>
            <w:tcW w:w="4692" w:type="dxa"/>
          </w:tcPr>
          <w:p w14:paraId="1D14BF10" w14:textId="77777777" w:rsidR="006A454B" w:rsidRDefault="006A454B" w:rsidP="009152FB">
            <w:pPr>
              <w:rPr>
                <w:sz w:val="20"/>
                <w:szCs w:val="20"/>
              </w:rPr>
            </w:pPr>
            <w:r>
              <w:rPr>
                <w:sz w:val="20"/>
                <w:szCs w:val="20"/>
              </w:rPr>
              <w:t xml:space="preserve">This indicator is confusing and the PIU does not understand how the baseline figures (and by extension the targets) were calculated.  </w:t>
            </w:r>
          </w:p>
          <w:p w14:paraId="3E6FF83D" w14:textId="77777777" w:rsidR="006A454B" w:rsidRDefault="006A454B" w:rsidP="009152FB">
            <w:pPr>
              <w:rPr>
                <w:sz w:val="20"/>
                <w:szCs w:val="20"/>
              </w:rPr>
            </w:pPr>
            <w:proofErr w:type="gramStart"/>
            <w:r>
              <w:rPr>
                <w:sz w:val="20"/>
                <w:szCs w:val="20"/>
              </w:rPr>
              <w:t>Rudimentary patrolling data are being collected by the freelance and PA inspectors</w:t>
            </w:r>
            <w:proofErr w:type="gramEnd"/>
            <w:r>
              <w:rPr>
                <w:sz w:val="20"/>
                <w:szCs w:val="20"/>
              </w:rPr>
              <w:t xml:space="preserve">.  If these data are to be used to measure the achievement (or otherwise) of this indicator, the number of violations recorded needs to be calculated </w:t>
            </w:r>
            <w:r>
              <w:rPr>
                <w:i/>
                <w:sz w:val="20"/>
                <w:szCs w:val="20"/>
              </w:rPr>
              <w:t xml:space="preserve">per unit effort </w:t>
            </w:r>
            <w:r>
              <w:rPr>
                <w:sz w:val="20"/>
                <w:szCs w:val="20"/>
              </w:rPr>
              <w:t>– where unit effort can be, for example, the number of man-days of patrolling.  The PIU is currently not doing this.</w:t>
            </w:r>
          </w:p>
          <w:p w14:paraId="51836602" w14:textId="32977852" w:rsidR="006A454B" w:rsidRPr="00F122E0" w:rsidRDefault="006A454B" w:rsidP="009152FB">
            <w:pPr>
              <w:rPr>
                <w:sz w:val="20"/>
                <w:szCs w:val="20"/>
              </w:rPr>
            </w:pPr>
            <w:r>
              <w:rPr>
                <w:sz w:val="20"/>
                <w:szCs w:val="20"/>
              </w:rPr>
              <w:t>By EOP, the system should be upgraded to use SMART</w:t>
            </w:r>
            <w:r>
              <w:rPr>
                <w:rStyle w:val="FootnoteReference"/>
                <w:sz w:val="20"/>
                <w:szCs w:val="20"/>
              </w:rPr>
              <w:footnoteReference w:id="13"/>
            </w:r>
            <w:r>
              <w:rPr>
                <w:sz w:val="20"/>
                <w:szCs w:val="20"/>
              </w:rPr>
              <w:t xml:space="preserve"> (</w:t>
            </w:r>
            <w:r w:rsidRPr="00477C79">
              <w:rPr>
                <w:sz w:val="20"/>
                <w:szCs w:val="20"/>
              </w:rPr>
              <w:t>see Recommendations</w:t>
            </w:r>
            <w:r>
              <w:rPr>
                <w:sz w:val="20"/>
                <w:szCs w:val="20"/>
              </w:rPr>
              <w:t>) and to include both a monitoring and offender database.</w:t>
            </w:r>
          </w:p>
        </w:tc>
      </w:tr>
      <w:tr w:rsidR="006A454B" w:rsidRPr="00D415E0" w14:paraId="0D4C6D68" w14:textId="77777777" w:rsidTr="006A454B">
        <w:tc>
          <w:tcPr>
            <w:tcW w:w="1892" w:type="dxa"/>
            <w:vMerge w:val="restart"/>
          </w:tcPr>
          <w:p w14:paraId="0573E39E" w14:textId="3FBAAC0F" w:rsidR="006A454B" w:rsidRPr="00D415E0" w:rsidRDefault="006A454B" w:rsidP="004D6910">
            <w:pPr>
              <w:rPr>
                <w:sz w:val="20"/>
                <w:szCs w:val="20"/>
              </w:rPr>
            </w:pPr>
            <w:r w:rsidRPr="00D415E0">
              <w:rPr>
                <w:sz w:val="20"/>
                <w:szCs w:val="20"/>
              </w:rPr>
              <w:t>Outcome 2</w:t>
            </w:r>
            <w:r>
              <w:rPr>
                <w:sz w:val="20"/>
                <w:szCs w:val="20"/>
              </w:rPr>
              <w:t xml:space="preserve">: </w:t>
            </w:r>
            <w:r w:rsidRPr="00D415E0">
              <w:rPr>
                <w:sz w:val="20"/>
                <w:szCs w:val="20"/>
              </w:rPr>
              <w:t xml:space="preserve">Habitat connectivity, sustainability and effectiveness of PAs in Central </w:t>
            </w:r>
            <w:proofErr w:type="spellStart"/>
            <w:r w:rsidRPr="00D415E0">
              <w:rPr>
                <w:sz w:val="20"/>
                <w:szCs w:val="20"/>
              </w:rPr>
              <w:t>Tian</w:t>
            </w:r>
            <w:proofErr w:type="spellEnd"/>
            <w:r w:rsidRPr="00D415E0">
              <w:rPr>
                <w:sz w:val="20"/>
                <w:szCs w:val="20"/>
              </w:rPr>
              <w:t xml:space="preserve"> Shan are enhanced by regulating land use in buffer zones, wildlife corridors and other intervening landscapes </w:t>
            </w:r>
          </w:p>
        </w:tc>
        <w:tc>
          <w:tcPr>
            <w:tcW w:w="1893" w:type="dxa"/>
          </w:tcPr>
          <w:p w14:paraId="49EFE523" w14:textId="77777777" w:rsidR="006A454B" w:rsidRPr="00D415E0" w:rsidRDefault="006A454B" w:rsidP="004D6910">
            <w:pPr>
              <w:rPr>
                <w:sz w:val="20"/>
                <w:szCs w:val="20"/>
              </w:rPr>
            </w:pPr>
            <w:r w:rsidRPr="00D415E0">
              <w:rPr>
                <w:sz w:val="20"/>
                <w:szCs w:val="20"/>
              </w:rPr>
              <w:t xml:space="preserve">Law on SPNAs provides clear guidance on establishment, management, and responsible party for PA buffer zones and wildlife corridors </w:t>
            </w:r>
          </w:p>
        </w:tc>
        <w:tc>
          <w:tcPr>
            <w:tcW w:w="1893" w:type="dxa"/>
          </w:tcPr>
          <w:p w14:paraId="13364729" w14:textId="77777777" w:rsidR="006A454B" w:rsidRPr="00D415E0" w:rsidRDefault="006A454B" w:rsidP="004D6910">
            <w:pPr>
              <w:rPr>
                <w:sz w:val="20"/>
                <w:szCs w:val="20"/>
              </w:rPr>
            </w:pPr>
            <w:r w:rsidRPr="00D415E0">
              <w:rPr>
                <w:sz w:val="20"/>
                <w:szCs w:val="20"/>
              </w:rPr>
              <w:t>Current law is unclear</w:t>
            </w:r>
          </w:p>
        </w:tc>
        <w:tc>
          <w:tcPr>
            <w:tcW w:w="1893" w:type="dxa"/>
          </w:tcPr>
          <w:p w14:paraId="2454A266" w14:textId="77777777" w:rsidR="006A454B" w:rsidRPr="00D415E0" w:rsidRDefault="006A454B" w:rsidP="004D6910">
            <w:pPr>
              <w:rPr>
                <w:sz w:val="20"/>
                <w:szCs w:val="20"/>
              </w:rPr>
            </w:pPr>
            <w:r w:rsidRPr="00D415E0">
              <w:rPr>
                <w:sz w:val="20"/>
                <w:szCs w:val="20"/>
              </w:rPr>
              <w:t>Legislation is improved through amendments by EOP</w:t>
            </w:r>
          </w:p>
        </w:tc>
        <w:tc>
          <w:tcPr>
            <w:tcW w:w="1893" w:type="dxa"/>
          </w:tcPr>
          <w:p w14:paraId="2414720B" w14:textId="4809CC8E" w:rsidR="006A454B" w:rsidRPr="00D415E0" w:rsidRDefault="006A454B" w:rsidP="00DC3F6C">
            <w:pPr>
              <w:rPr>
                <w:sz w:val="20"/>
                <w:szCs w:val="20"/>
              </w:rPr>
            </w:pPr>
            <w:r>
              <w:rPr>
                <w:sz w:val="20"/>
                <w:szCs w:val="20"/>
              </w:rPr>
              <w:t>Project Board meeting minutes, formally adopted and government-adopted documents</w:t>
            </w:r>
          </w:p>
        </w:tc>
        <w:tc>
          <w:tcPr>
            <w:tcW w:w="4692" w:type="dxa"/>
          </w:tcPr>
          <w:p w14:paraId="3F67D468" w14:textId="7AD3D87B" w:rsidR="006A454B" w:rsidRPr="00D415E0" w:rsidRDefault="006A454B" w:rsidP="009A370B">
            <w:pPr>
              <w:rPr>
                <w:sz w:val="20"/>
                <w:szCs w:val="20"/>
              </w:rPr>
            </w:pPr>
            <w:r>
              <w:rPr>
                <w:sz w:val="20"/>
                <w:szCs w:val="20"/>
              </w:rPr>
              <w:t>There are no issues with this indicator that simply aims to include provisions for buffer areas and ecological corridors within the legislation.</w:t>
            </w:r>
          </w:p>
        </w:tc>
      </w:tr>
      <w:tr w:rsidR="006A454B" w:rsidRPr="00D415E0" w14:paraId="474CBE0F" w14:textId="77777777" w:rsidTr="006A454B">
        <w:tc>
          <w:tcPr>
            <w:tcW w:w="1892" w:type="dxa"/>
            <w:vMerge/>
          </w:tcPr>
          <w:p w14:paraId="480DD72B" w14:textId="77777777" w:rsidR="006A454B" w:rsidRPr="00D415E0" w:rsidRDefault="006A454B" w:rsidP="004D6910">
            <w:pPr>
              <w:rPr>
                <w:sz w:val="20"/>
                <w:szCs w:val="20"/>
              </w:rPr>
            </w:pPr>
          </w:p>
        </w:tc>
        <w:tc>
          <w:tcPr>
            <w:tcW w:w="1893" w:type="dxa"/>
          </w:tcPr>
          <w:p w14:paraId="560462CA" w14:textId="77777777" w:rsidR="006A454B" w:rsidRPr="00D415E0" w:rsidRDefault="006A454B" w:rsidP="004D6910">
            <w:pPr>
              <w:rPr>
                <w:sz w:val="20"/>
                <w:szCs w:val="20"/>
              </w:rPr>
            </w:pPr>
            <w:r w:rsidRPr="00D415E0">
              <w:rPr>
                <w:sz w:val="20"/>
                <w:szCs w:val="20"/>
              </w:rPr>
              <w:t xml:space="preserve">Area over which territorial land use planning is fully aligned with requirements for regulated resource use stipulated in the management plans of PA buffer zones and corridors </w:t>
            </w:r>
          </w:p>
        </w:tc>
        <w:tc>
          <w:tcPr>
            <w:tcW w:w="1893" w:type="dxa"/>
          </w:tcPr>
          <w:p w14:paraId="014EB4E1" w14:textId="77777777" w:rsidR="006A454B" w:rsidRPr="00D415E0" w:rsidRDefault="006A454B" w:rsidP="004D6910">
            <w:pPr>
              <w:rPr>
                <w:sz w:val="20"/>
                <w:szCs w:val="20"/>
              </w:rPr>
            </w:pPr>
            <w:r w:rsidRPr="00D415E0">
              <w:rPr>
                <w:sz w:val="20"/>
                <w:szCs w:val="20"/>
              </w:rPr>
              <w:t>0 ha</w:t>
            </w:r>
          </w:p>
        </w:tc>
        <w:tc>
          <w:tcPr>
            <w:tcW w:w="1893" w:type="dxa"/>
          </w:tcPr>
          <w:p w14:paraId="437DD8E1" w14:textId="77777777" w:rsidR="006A454B" w:rsidRPr="00D415E0" w:rsidRDefault="006A454B" w:rsidP="004D6910">
            <w:pPr>
              <w:rPr>
                <w:sz w:val="20"/>
                <w:szCs w:val="20"/>
              </w:rPr>
            </w:pPr>
            <w:r w:rsidRPr="00D415E0">
              <w:rPr>
                <w:sz w:val="20"/>
                <w:szCs w:val="20"/>
              </w:rPr>
              <w:t>200,000ha</w:t>
            </w:r>
          </w:p>
        </w:tc>
        <w:tc>
          <w:tcPr>
            <w:tcW w:w="1893" w:type="dxa"/>
          </w:tcPr>
          <w:p w14:paraId="2D975021" w14:textId="139639DD" w:rsidR="006A454B" w:rsidRPr="00D415E0" w:rsidRDefault="006A454B" w:rsidP="00C83879">
            <w:pPr>
              <w:rPr>
                <w:sz w:val="20"/>
                <w:szCs w:val="20"/>
              </w:rPr>
            </w:pPr>
            <w:r>
              <w:rPr>
                <w:sz w:val="20"/>
                <w:szCs w:val="20"/>
              </w:rPr>
              <w:t xml:space="preserve">Land use planning records of </w:t>
            </w:r>
            <w:proofErr w:type="spellStart"/>
            <w:r>
              <w:rPr>
                <w:sz w:val="20"/>
                <w:szCs w:val="20"/>
              </w:rPr>
              <w:t>Typ</w:t>
            </w:r>
            <w:proofErr w:type="spellEnd"/>
            <w:r>
              <w:rPr>
                <w:sz w:val="20"/>
                <w:szCs w:val="20"/>
              </w:rPr>
              <w:t xml:space="preserve"> and </w:t>
            </w:r>
            <w:proofErr w:type="spellStart"/>
            <w:r>
              <w:rPr>
                <w:sz w:val="20"/>
                <w:szCs w:val="20"/>
              </w:rPr>
              <w:t>Ak</w:t>
            </w:r>
            <w:proofErr w:type="spellEnd"/>
            <w:r>
              <w:rPr>
                <w:sz w:val="20"/>
                <w:szCs w:val="20"/>
              </w:rPr>
              <w:t xml:space="preserve"> </w:t>
            </w:r>
            <w:proofErr w:type="spellStart"/>
            <w:r>
              <w:rPr>
                <w:sz w:val="20"/>
                <w:szCs w:val="20"/>
              </w:rPr>
              <w:t>Suu</w:t>
            </w:r>
            <w:proofErr w:type="spellEnd"/>
            <w:r>
              <w:rPr>
                <w:sz w:val="20"/>
                <w:szCs w:val="20"/>
              </w:rPr>
              <w:t xml:space="preserve"> rayon administrations</w:t>
            </w:r>
          </w:p>
        </w:tc>
        <w:tc>
          <w:tcPr>
            <w:tcW w:w="4692" w:type="dxa"/>
          </w:tcPr>
          <w:p w14:paraId="4D88BCA2" w14:textId="15BFFB59" w:rsidR="006A454B" w:rsidRDefault="006A454B" w:rsidP="004D6910">
            <w:pPr>
              <w:rPr>
                <w:sz w:val="20"/>
                <w:szCs w:val="20"/>
              </w:rPr>
            </w:pPr>
            <w:r>
              <w:rPr>
                <w:sz w:val="20"/>
                <w:szCs w:val="20"/>
              </w:rPr>
              <w:t xml:space="preserve">There are problems and confusions with this indicator.  It has three functional components: </w:t>
            </w:r>
            <w:proofErr w:type="spellStart"/>
            <w:r>
              <w:rPr>
                <w:sz w:val="20"/>
                <w:szCs w:val="20"/>
              </w:rPr>
              <w:t>i</w:t>
            </w:r>
            <w:proofErr w:type="spellEnd"/>
            <w:r>
              <w:rPr>
                <w:sz w:val="20"/>
                <w:szCs w:val="20"/>
              </w:rPr>
              <w:t>) that management plans are developed for the buffer zones and ecological corridors, ii) there is alignment of land use plans with the management plans of the buffer zones and corridors</w:t>
            </w:r>
            <w:r w:rsidR="009C6963">
              <w:rPr>
                <w:sz w:val="20"/>
                <w:szCs w:val="20"/>
              </w:rPr>
              <w:t xml:space="preserve"> (i.e., mainstreaming components)</w:t>
            </w:r>
            <w:r>
              <w:rPr>
                <w:sz w:val="20"/>
                <w:szCs w:val="20"/>
              </w:rPr>
              <w:t>, and iii) the areas of the buffer areas and corridors within which this is occurring is being measured.  Despite these three functional components of the indicator, the target appears only to be measuring the area of the buffer zones and corridors.</w:t>
            </w:r>
          </w:p>
          <w:p w14:paraId="20E9E040" w14:textId="4B6590BD" w:rsidR="006A454B" w:rsidRPr="00D415E0" w:rsidRDefault="006A454B" w:rsidP="004D6910">
            <w:pPr>
              <w:rPr>
                <w:sz w:val="20"/>
                <w:szCs w:val="20"/>
              </w:rPr>
            </w:pPr>
            <w:r>
              <w:rPr>
                <w:sz w:val="20"/>
                <w:szCs w:val="20"/>
              </w:rPr>
              <w:t>The MTR proposes that the indicator is amended as such: “The area of buffer zones and corridors within which natural resource management agreements (with stakeholders) are developed and implemented”.  This would then use the same proposed target (the area of the buffer zones and corridors) and the number of natural resource management agreements that are developed and implemented in those buffer zones and corridors.</w:t>
            </w:r>
          </w:p>
        </w:tc>
      </w:tr>
      <w:tr w:rsidR="006A454B" w:rsidRPr="00D415E0" w14:paraId="1250D98C" w14:textId="77777777" w:rsidTr="006A454B">
        <w:tc>
          <w:tcPr>
            <w:tcW w:w="1892" w:type="dxa"/>
            <w:vMerge/>
          </w:tcPr>
          <w:p w14:paraId="662411E0" w14:textId="6624791C" w:rsidR="006A454B" w:rsidRPr="00D415E0" w:rsidRDefault="006A454B" w:rsidP="004D6910">
            <w:pPr>
              <w:rPr>
                <w:sz w:val="20"/>
                <w:szCs w:val="20"/>
              </w:rPr>
            </w:pPr>
          </w:p>
        </w:tc>
        <w:tc>
          <w:tcPr>
            <w:tcW w:w="1893" w:type="dxa"/>
          </w:tcPr>
          <w:p w14:paraId="6244B58B" w14:textId="291B4F52" w:rsidR="006A454B" w:rsidRPr="00D415E0" w:rsidRDefault="006A454B" w:rsidP="004D6910">
            <w:pPr>
              <w:rPr>
                <w:sz w:val="20"/>
                <w:szCs w:val="20"/>
              </w:rPr>
            </w:pPr>
            <w:r w:rsidRPr="00D415E0">
              <w:rPr>
                <w:sz w:val="20"/>
                <w:szCs w:val="20"/>
              </w:rPr>
              <w:t xml:space="preserve">Better management of hunting in buffers and corridors as reflected in </w:t>
            </w:r>
            <w:proofErr w:type="spellStart"/>
            <w:r w:rsidRPr="00D415E0">
              <w:rPr>
                <w:sz w:val="20"/>
                <w:szCs w:val="20"/>
              </w:rPr>
              <w:t>percent</w:t>
            </w:r>
            <w:proofErr w:type="spellEnd"/>
            <w:r w:rsidRPr="00D415E0">
              <w:rPr>
                <w:sz w:val="20"/>
                <w:szCs w:val="20"/>
              </w:rPr>
              <w:t xml:space="preserve"> of trophy hunting t</w:t>
            </w:r>
            <w:r>
              <w:rPr>
                <w:sz w:val="20"/>
                <w:szCs w:val="20"/>
              </w:rPr>
              <w:t>hat is controlled and monitored</w:t>
            </w:r>
          </w:p>
        </w:tc>
        <w:tc>
          <w:tcPr>
            <w:tcW w:w="1893" w:type="dxa"/>
          </w:tcPr>
          <w:p w14:paraId="00F593C1" w14:textId="77777777" w:rsidR="006A454B" w:rsidRPr="00D415E0" w:rsidRDefault="006A454B" w:rsidP="004D6910">
            <w:pPr>
              <w:rPr>
                <w:sz w:val="20"/>
                <w:szCs w:val="20"/>
              </w:rPr>
            </w:pPr>
            <w:r w:rsidRPr="00D415E0">
              <w:rPr>
                <w:sz w:val="20"/>
                <w:szCs w:val="20"/>
              </w:rPr>
              <w:t xml:space="preserve">Only 30% of trophy hunting is legal because hunters are uncontrolled and unmonitored </w:t>
            </w:r>
          </w:p>
          <w:p w14:paraId="6832090F" w14:textId="77777777" w:rsidR="006A454B" w:rsidRPr="00D415E0" w:rsidRDefault="006A454B" w:rsidP="004D6910">
            <w:pPr>
              <w:rPr>
                <w:sz w:val="20"/>
                <w:szCs w:val="20"/>
              </w:rPr>
            </w:pPr>
          </w:p>
        </w:tc>
        <w:tc>
          <w:tcPr>
            <w:tcW w:w="1893" w:type="dxa"/>
          </w:tcPr>
          <w:p w14:paraId="62927C42" w14:textId="77777777" w:rsidR="006A454B" w:rsidRPr="00D415E0" w:rsidRDefault="006A454B" w:rsidP="004D6910">
            <w:pPr>
              <w:rPr>
                <w:sz w:val="20"/>
                <w:szCs w:val="20"/>
              </w:rPr>
            </w:pPr>
            <w:r w:rsidRPr="00D415E0">
              <w:rPr>
                <w:sz w:val="20"/>
                <w:szCs w:val="20"/>
              </w:rPr>
              <w:t>90% of trophy hunting is legally licensed</w:t>
            </w:r>
          </w:p>
        </w:tc>
        <w:tc>
          <w:tcPr>
            <w:tcW w:w="1893" w:type="dxa"/>
          </w:tcPr>
          <w:p w14:paraId="5B037D6C" w14:textId="4864BAEF" w:rsidR="006A454B" w:rsidRPr="00D415E0" w:rsidRDefault="006A454B" w:rsidP="00FF28F2">
            <w:pPr>
              <w:rPr>
                <w:sz w:val="20"/>
                <w:szCs w:val="20"/>
              </w:rPr>
            </w:pPr>
            <w:r>
              <w:rPr>
                <w:sz w:val="20"/>
                <w:szCs w:val="20"/>
              </w:rPr>
              <w:t>Database of licenses. Reports of Hunting Inspection. Independent assessment.</w:t>
            </w:r>
          </w:p>
        </w:tc>
        <w:tc>
          <w:tcPr>
            <w:tcW w:w="4692" w:type="dxa"/>
          </w:tcPr>
          <w:p w14:paraId="65A0BBB7" w14:textId="77777777" w:rsidR="006A454B" w:rsidRDefault="006A454B" w:rsidP="004D6910">
            <w:pPr>
              <w:rPr>
                <w:sz w:val="20"/>
                <w:szCs w:val="20"/>
              </w:rPr>
            </w:pPr>
            <w:r w:rsidRPr="00D10D59">
              <w:rPr>
                <w:sz w:val="20"/>
                <w:szCs w:val="20"/>
              </w:rPr>
              <w:t>Again, there is confusion regarding this indicator because it is unclear how to measure how much of the trophy hunting is legall</w:t>
            </w:r>
            <w:r>
              <w:rPr>
                <w:sz w:val="20"/>
                <w:szCs w:val="20"/>
              </w:rPr>
              <w:t xml:space="preserve">y licensed.  While inspectors do work in the hunting concession areas, there is no monitoring of trophies to date (and, therefore, it is unclear how the baseline figure was derived).  </w:t>
            </w:r>
          </w:p>
          <w:p w14:paraId="2FEF81BC" w14:textId="4B3FC0A8" w:rsidR="006A454B" w:rsidRPr="00D10D59" w:rsidRDefault="006A454B" w:rsidP="004D6910">
            <w:pPr>
              <w:rPr>
                <w:sz w:val="20"/>
                <w:szCs w:val="20"/>
              </w:rPr>
            </w:pPr>
            <w:r>
              <w:rPr>
                <w:sz w:val="20"/>
                <w:szCs w:val="20"/>
              </w:rPr>
              <w:t xml:space="preserve">In addition, the nature of the trophy hunting industry is such that it is rife with corruption and mismanagement, and addressing this is quite beyond the means of the project (both in terms of time and financial resources – </w:t>
            </w:r>
            <w:r w:rsidRPr="004A4492">
              <w:rPr>
                <w:sz w:val="20"/>
                <w:szCs w:val="20"/>
              </w:rPr>
              <w:t xml:space="preserve">see Section 4.2.1 and 5.2.4 for further discussion).  Therefore, the MTR recommends that this indicator </w:t>
            </w:r>
            <w:proofErr w:type="gramStart"/>
            <w:r w:rsidRPr="004A4492">
              <w:rPr>
                <w:sz w:val="20"/>
                <w:szCs w:val="20"/>
              </w:rPr>
              <w:t>is</w:t>
            </w:r>
            <w:proofErr w:type="gramEnd"/>
            <w:r w:rsidRPr="004A4492">
              <w:rPr>
                <w:sz w:val="20"/>
                <w:szCs w:val="20"/>
              </w:rPr>
              <w:t xml:space="preserve"> deleted</w:t>
            </w:r>
            <w:r w:rsidRPr="004A4492">
              <w:rPr>
                <w:rStyle w:val="FootnoteReference"/>
                <w:sz w:val="20"/>
                <w:szCs w:val="20"/>
              </w:rPr>
              <w:footnoteReference w:id="14"/>
            </w:r>
            <w:r w:rsidRPr="004A4492">
              <w:rPr>
                <w:sz w:val="20"/>
                <w:szCs w:val="20"/>
              </w:rPr>
              <w:t>.</w:t>
            </w:r>
          </w:p>
        </w:tc>
      </w:tr>
      <w:tr w:rsidR="006A454B" w:rsidRPr="00D415E0" w14:paraId="38473F51" w14:textId="77777777" w:rsidTr="006A454B">
        <w:tc>
          <w:tcPr>
            <w:tcW w:w="1892" w:type="dxa"/>
            <w:vMerge/>
          </w:tcPr>
          <w:p w14:paraId="42B697F1" w14:textId="77777777" w:rsidR="006A454B" w:rsidRPr="00D415E0" w:rsidRDefault="006A454B" w:rsidP="004D6910">
            <w:pPr>
              <w:rPr>
                <w:sz w:val="20"/>
                <w:szCs w:val="20"/>
              </w:rPr>
            </w:pPr>
          </w:p>
        </w:tc>
        <w:tc>
          <w:tcPr>
            <w:tcW w:w="1893" w:type="dxa"/>
          </w:tcPr>
          <w:p w14:paraId="16E5E955" w14:textId="07069C7A" w:rsidR="006A454B" w:rsidRPr="00D415E0" w:rsidRDefault="006A454B" w:rsidP="004D6910">
            <w:pPr>
              <w:rPr>
                <w:sz w:val="20"/>
                <w:szCs w:val="20"/>
              </w:rPr>
            </w:pPr>
            <w:r w:rsidRPr="00D415E0">
              <w:rPr>
                <w:sz w:val="20"/>
                <w:szCs w:val="20"/>
              </w:rPr>
              <w:t>Prosecution of illegal h</w:t>
            </w:r>
            <w:r>
              <w:rPr>
                <w:sz w:val="20"/>
                <w:szCs w:val="20"/>
              </w:rPr>
              <w:t>unting in buffers and corridors</w:t>
            </w:r>
          </w:p>
        </w:tc>
        <w:tc>
          <w:tcPr>
            <w:tcW w:w="1893" w:type="dxa"/>
          </w:tcPr>
          <w:p w14:paraId="0D35240B" w14:textId="77777777" w:rsidR="006A454B" w:rsidRPr="00D415E0" w:rsidRDefault="006A454B" w:rsidP="004D6910">
            <w:pPr>
              <w:rPr>
                <w:sz w:val="20"/>
                <w:szCs w:val="20"/>
              </w:rPr>
            </w:pPr>
            <w:r w:rsidRPr="00D415E0">
              <w:rPr>
                <w:sz w:val="20"/>
                <w:szCs w:val="20"/>
              </w:rPr>
              <w:t xml:space="preserve">Only 10% of incidents of illegal hunting successfully prosecuted </w:t>
            </w:r>
          </w:p>
        </w:tc>
        <w:tc>
          <w:tcPr>
            <w:tcW w:w="1893" w:type="dxa"/>
          </w:tcPr>
          <w:p w14:paraId="4AB47C62" w14:textId="77777777" w:rsidR="006A454B" w:rsidRPr="00D415E0" w:rsidRDefault="006A454B" w:rsidP="004D6910">
            <w:pPr>
              <w:rPr>
                <w:sz w:val="20"/>
                <w:szCs w:val="20"/>
              </w:rPr>
            </w:pPr>
            <w:r w:rsidRPr="00D415E0">
              <w:rPr>
                <w:sz w:val="20"/>
                <w:szCs w:val="20"/>
              </w:rPr>
              <w:t>At least 50% of incidents of illegal hunting successfully prosecuted from YR4</w:t>
            </w:r>
          </w:p>
        </w:tc>
        <w:tc>
          <w:tcPr>
            <w:tcW w:w="1893" w:type="dxa"/>
          </w:tcPr>
          <w:p w14:paraId="091492E6" w14:textId="0C0B70A9" w:rsidR="006A454B" w:rsidRPr="00D415E0" w:rsidRDefault="006A454B" w:rsidP="004D6910">
            <w:pPr>
              <w:rPr>
                <w:sz w:val="20"/>
                <w:szCs w:val="20"/>
              </w:rPr>
            </w:pPr>
            <w:r>
              <w:rPr>
                <w:sz w:val="20"/>
                <w:szCs w:val="20"/>
              </w:rPr>
              <w:t>Records of prosecutions</w:t>
            </w:r>
          </w:p>
        </w:tc>
        <w:tc>
          <w:tcPr>
            <w:tcW w:w="4692" w:type="dxa"/>
          </w:tcPr>
          <w:p w14:paraId="7554261E" w14:textId="7AA4EF83" w:rsidR="006A454B" w:rsidRPr="00231954" w:rsidRDefault="006A454B" w:rsidP="004D6910">
            <w:pPr>
              <w:rPr>
                <w:sz w:val="20"/>
                <w:szCs w:val="20"/>
              </w:rPr>
            </w:pPr>
            <w:r w:rsidRPr="00231954">
              <w:rPr>
                <w:sz w:val="20"/>
                <w:szCs w:val="20"/>
              </w:rPr>
              <w:t xml:space="preserve">In principle, there are no issues with this indicator.  However, </w:t>
            </w:r>
            <w:proofErr w:type="spellStart"/>
            <w:r w:rsidRPr="00231954">
              <w:rPr>
                <w:sz w:val="20"/>
                <w:szCs w:val="20"/>
              </w:rPr>
              <w:t>i</w:t>
            </w:r>
            <w:proofErr w:type="spellEnd"/>
            <w:r w:rsidRPr="00231954">
              <w:rPr>
                <w:sz w:val="20"/>
                <w:szCs w:val="20"/>
              </w:rPr>
              <w:t xml:space="preserve">) why it is constrained to the buffer zones and corridors – and does not include the protected areas as well remains unclear (the MTR recommends that the indicator cover illegal hunting in the entire area covering the SEZ, the buffers, corridors and, once established, the KTNP; ii) as indicated in the </w:t>
            </w:r>
            <w:proofErr w:type="spellStart"/>
            <w:r w:rsidRPr="00231954">
              <w:rPr>
                <w:sz w:val="20"/>
                <w:szCs w:val="20"/>
              </w:rPr>
              <w:t>Prodoc</w:t>
            </w:r>
            <w:proofErr w:type="spellEnd"/>
            <w:r w:rsidRPr="00231954">
              <w:rPr>
                <w:sz w:val="20"/>
                <w:szCs w:val="20"/>
              </w:rPr>
              <w:t xml:space="preserve">, it assumes “support from the legislative arm and courts” – although the project is doing nothing to build capacity or cooperation from courts (including magistrates or prosecutors).  Finally, it assumes that the project is able to secure prosecution data from the courts; to date, this appears not to be the case </w:t>
            </w:r>
            <w:r w:rsidRPr="007F0F39">
              <w:rPr>
                <w:sz w:val="20"/>
                <w:szCs w:val="20"/>
              </w:rPr>
              <w:t>(and see Section 5.2.4 for recommendations on how this might be mitigated).</w:t>
            </w:r>
          </w:p>
        </w:tc>
      </w:tr>
      <w:tr w:rsidR="006A454B" w:rsidRPr="00D415E0" w14:paraId="0DBD72F9" w14:textId="77777777" w:rsidTr="006A454B">
        <w:tc>
          <w:tcPr>
            <w:tcW w:w="1892" w:type="dxa"/>
            <w:vMerge/>
          </w:tcPr>
          <w:p w14:paraId="2054C7FE" w14:textId="3EA62B19" w:rsidR="006A454B" w:rsidRPr="00D415E0" w:rsidRDefault="006A454B" w:rsidP="004D6910">
            <w:pPr>
              <w:rPr>
                <w:sz w:val="20"/>
                <w:szCs w:val="20"/>
              </w:rPr>
            </w:pPr>
          </w:p>
        </w:tc>
        <w:tc>
          <w:tcPr>
            <w:tcW w:w="1893" w:type="dxa"/>
          </w:tcPr>
          <w:p w14:paraId="77A8D1B0" w14:textId="5C039320" w:rsidR="006A454B" w:rsidRPr="00D415E0" w:rsidRDefault="006A454B" w:rsidP="004D6910">
            <w:pPr>
              <w:rPr>
                <w:sz w:val="20"/>
                <w:szCs w:val="20"/>
              </w:rPr>
            </w:pPr>
            <w:r w:rsidRPr="00D415E0">
              <w:rPr>
                <w:sz w:val="20"/>
                <w:szCs w:val="20"/>
              </w:rPr>
              <w:t xml:space="preserve">Increase in share of incomes of local communities from biodiversity-compatible alternative livelihood activities </w:t>
            </w:r>
          </w:p>
        </w:tc>
        <w:tc>
          <w:tcPr>
            <w:tcW w:w="1893" w:type="dxa"/>
          </w:tcPr>
          <w:p w14:paraId="52CD0E9B" w14:textId="1030257E" w:rsidR="006A454B" w:rsidRPr="00D415E0" w:rsidRDefault="006A454B" w:rsidP="004D6910">
            <w:pPr>
              <w:rPr>
                <w:sz w:val="20"/>
                <w:szCs w:val="20"/>
              </w:rPr>
            </w:pPr>
            <w:r w:rsidRPr="00D415E0">
              <w:rPr>
                <w:sz w:val="20"/>
                <w:szCs w:val="20"/>
              </w:rPr>
              <w:t xml:space="preserve">More than 60% of income comes from hunting </w:t>
            </w:r>
          </w:p>
        </w:tc>
        <w:tc>
          <w:tcPr>
            <w:tcW w:w="1893" w:type="dxa"/>
          </w:tcPr>
          <w:p w14:paraId="1FB62009" w14:textId="77777777" w:rsidR="006A454B" w:rsidRPr="00D415E0" w:rsidRDefault="006A454B" w:rsidP="004D6910">
            <w:pPr>
              <w:rPr>
                <w:sz w:val="20"/>
                <w:szCs w:val="20"/>
              </w:rPr>
            </w:pPr>
            <w:r w:rsidRPr="00D415E0">
              <w:rPr>
                <w:sz w:val="20"/>
                <w:szCs w:val="20"/>
              </w:rPr>
              <w:t>By EOP, at least 60% of income comes from sustainable livelihoods promoted by the project</w:t>
            </w:r>
          </w:p>
        </w:tc>
        <w:tc>
          <w:tcPr>
            <w:tcW w:w="1893" w:type="dxa"/>
          </w:tcPr>
          <w:p w14:paraId="28F7B6F0" w14:textId="3374E8BD" w:rsidR="006A454B" w:rsidRPr="00D415E0" w:rsidRDefault="0036420C" w:rsidP="0036420C">
            <w:pPr>
              <w:rPr>
                <w:sz w:val="20"/>
                <w:szCs w:val="20"/>
              </w:rPr>
            </w:pPr>
            <w:r>
              <w:rPr>
                <w:sz w:val="20"/>
                <w:szCs w:val="20"/>
              </w:rPr>
              <w:t>Independent survey, local records of businesses and employment</w:t>
            </w:r>
          </w:p>
        </w:tc>
        <w:tc>
          <w:tcPr>
            <w:tcW w:w="4692" w:type="dxa"/>
          </w:tcPr>
          <w:p w14:paraId="483D86B3" w14:textId="72E3F759" w:rsidR="006A454B" w:rsidRDefault="006A454B" w:rsidP="004D6910">
            <w:pPr>
              <w:rPr>
                <w:sz w:val="20"/>
                <w:szCs w:val="20"/>
              </w:rPr>
            </w:pPr>
            <w:r>
              <w:rPr>
                <w:sz w:val="20"/>
                <w:szCs w:val="20"/>
              </w:rPr>
              <w:t xml:space="preserve">This is a vastly unrealistic proposition.  First, it is unlikely that the baseline is correct: even from a cursory examination afforded by the MTR to surrounds of </w:t>
            </w:r>
            <w:proofErr w:type="spellStart"/>
            <w:r>
              <w:rPr>
                <w:sz w:val="20"/>
                <w:szCs w:val="20"/>
              </w:rPr>
              <w:t>Ak</w:t>
            </w:r>
            <w:proofErr w:type="spellEnd"/>
            <w:r>
              <w:rPr>
                <w:sz w:val="20"/>
                <w:szCs w:val="20"/>
              </w:rPr>
              <w:t xml:space="preserve"> </w:t>
            </w:r>
            <w:proofErr w:type="spellStart"/>
            <w:r>
              <w:rPr>
                <w:sz w:val="20"/>
                <w:szCs w:val="20"/>
              </w:rPr>
              <w:t>Suu</w:t>
            </w:r>
            <w:proofErr w:type="spellEnd"/>
            <w:r>
              <w:rPr>
                <w:sz w:val="20"/>
                <w:szCs w:val="20"/>
              </w:rPr>
              <w:t xml:space="preserve"> rayon suggested that the majority of rural people make their living from agriculture (barley, wheat, potatoes) and livestock husbandry.  It </w:t>
            </w:r>
            <w:r>
              <w:rPr>
                <w:i/>
                <w:sz w:val="20"/>
                <w:szCs w:val="20"/>
              </w:rPr>
              <w:t>is</w:t>
            </w:r>
            <w:r>
              <w:rPr>
                <w:sz w:val="20"/>
                <w:szCs w:val="20"/>
              </w:rPr>
              <w:t xml:space="preserve"> possible that a small proportion of the population do gain greater than 60% of their livelihoods from hunting.  It is, however, unlikely that the project will be able to detect who these people are.  In addition, it is unlikely that in its efforts to be equitable and to target vulnerable people within the communities, the project would be able to selective target the hunters in order to achieve this indicator.</w:t>
            </w:r>
          </w:p>
          <w:p w14:paraId="4825253A" w14:textId="77777777" w:rsidR="006A454B" w:rsidRDefault="006A454B" w:rsidP="004D6910">
            <w:pPr>
              <w:rPr>
                <w:sz w:val="20"/>
                <w:szCs w:val="20"/>
              </w:rPr>
            </w:pPr>
            <w:r>
              <w:rPr>
                <w:sz w:val="20"/>
                <w:szCs w:val="20"/>
              </w:rPr>
              <w:t>Second, it is vastly unrealistic that the project will directly influence the livelihoods of the area (which includes &gt;9,000 households) such that 60% of household income will come from ‘sustainable livelihoods promoted by project’.</w:t>
            </w:r>
          </w:p>
          <w:p w14:paraId="4231DB78" w14:textId="24347F88" w:rsidR="006A454B" w:rsidRPr="00D415E0" w:rsidRDefault="006A454B" w:rsidP="004D6910">
            <w:pPr>
              <w:rPr>
                <w:sz w:val="20"/>
                <w:szCs w:val="20"/>
              </w:rPr>
            </w:pPr>
            <w:r w:rsidRPr="007F0F39">
              <w:rPr>
                <w:sz w:val="20"/>
                <w:szCs w:val="20"/>
              </w:rPr>
              <w:t>See Section 4.2.1 for further discussion</w:t>
            </w:r>
            <w:r w:rsidR="007F0F39" w:rsidRPr="007F0F39">
              <w:rPr>
                <w:sz w:val="20"/>
                <w:szCs w:val="20"/>
              </w:rPr>
              <w:t>s on alternative livelihoods.</w:t>
            </w:r>
          </w:p>
        </w:tc>
      </w:tr>
      <w:tr w:rsidR="006A454B" w:rsidRPr="00D415E0" w14:paraId="4D16A4FF" w14:textId="77777777" w:rsidTr="006A454B">
        <w:tc>
          <w:tcPr>
            <w:tcW w:w="1892" w:type="dxa"/>
            <w:vMerge/>
          </w:tcPr>
          <w:p w14:paraId="37F06EE8" w14:textId="046958CB" w:rsidR="006A454B" w:rsidRPr="00D415E0" w:rsidRDefault="006A454B" w:rsidP="004D6910">
            <w:pPr>
              <w:rPr>
                <w:sz w:val="20"/>
                <w:szCs w:val="20"/>
              </w:rPr>
            </w:pPr>
          </w:p>
        </w:tc>
        <w:tc>
          <w:tcPr>
            <w:tcW w:w="1893" w:type="dxa"/>
          </w:tcPr>
          <w:p w14:paraId="0CA8B11C" w14:textId="4D99E964" w:rsidR="006A454B" w:rsidRPr="00D415E0" w:rsidRDefault="006A454B" w:rsidP="004D6910">
            <w:pPr>
              <w:rPr>
                <w:sz w:val="20"/>
                <w:szCs w:val="20"/>
              </w:rPr>
            </w:pPr>
            <w:r w:rsidRPr="00D415E0">
              <w:rPr>
                <w:sz w:val="20"/>
                <w:szCs w:val="20"/>
              </w:rPr>
              <w:t xml:space="preserve">Reduced hunting effort directly attributable to changes in livelihoods among hunters </w:t>
            </w:r>
          </w:p>
        </w:tc>
        <w:tc>
          <w:tcPr>
            <w:tcW w:w="1893" w:type="dxa"/>
          </w:tcPr>
          <w:p w14:paraId="7B64279D" w14:textId="5F0A921D" w:rsidR="006A454B" w:rsidRPr="00D415E0" w:rsidRDefault="006A454B" w:rsidP="004D6910">
            <w:pPr>
              <w:rPr>
                <w:sz w:val="20"/>
                <w:szCs w:val="20"/>
              </w:rPr>
            </w:pPr>
            <w:r>
              <w:rPr>
                <w:sz w:val="20"/>
                <w:szCs w:val="20"/>
              </w:rPr>
              <w:t>500 persons hunting in the area</w:t>
            </w:r>
          </w:p>
        </w:tc>
        <w:tc>
          <w:tcPr>
            <w:tcW w:w="1893" w:type="dxa"/>
          </w:tcPr>
          <w:p w14:paraId="4C50A50D" w14:textId="77777777" w:rsidR="006A454B" w:rsidRPr="00D415E0" w:rsidRDefault="006A454B" w:rsidP="004D6910">
            <w:pPr>
              <w:rPr>
                <w:sz w:val="20"/>
                <w:szCs w:val="20"/>
              </w:rPr>
            </w:pPr>
            <w:r w:rsidRPr="00D415E0">
              <w:rPr>
                <w:sz w:val="20"/>
                <w:szCs w:val="20"/>
              </w:rPr>
              <w:t>150 (reduction by 1/3) persons hunting by EOP</w:t>
            </w:r>
          </w:p>
        </w:tc>
        <w:tc>
          <w:tcPr>
            <w:tcW w:w="1893" w:type="dxa"/>
          </w:tcPr>
          <w:p w14:paraId="4CD8B6AB" w14:textId="1BAF4A9E" w:rsidR="006A454B" w:rsidRPr="00D415E0" w:rsidRDefault="001576F7" w:rsidP="004D6910">
            <w:pPr>
              <w:rPr>
                <w:sz w:val="20"/>
                <w:szCs w:val="20"/>
              </w:rPr>
            </w:pPr>
            <w:r>
              <w:rPr>
                <w:sz w:val="20"/>
                <w:szCs w:val="20"/>
              </w:rPr>
              <w:t>SPNA management statistics, reports from rangers</w:t>
            </w:r>
          </w:p>
        </w:tc>
        <w:tc>
          <w:tcPr>
            <w:tcW w:w="4692" w:type="dxa"/>
          </w:tcPr>
          <w:p w14:paraId="2CE2A844" w14:textId="092653B9" w:rsidR="006A454B" w:rsidRDefault="006A454B" w:rsidP="004D6910">
            <w:pPr>
              <w:rPr>
                <w:sz w:val="20"/>
                <w:szCs w:val="20"/>
              </w:rPr>
            </w:pPr>
            <w:r>
              <w:rPr>
                <w:sz w:val="20"/>
                <w:szCs w:val="20"/>
              </w:rPr>
              <w:t>While this is a result that the project would like to achieve, collecting accurate and meaningful data will be challenging.</w:t>
            </w:r>
          </w:p>
          <w:p w14:paraId="30E49AE2" w14:textId="39EC7E72" w:rsidR="006A454B" w:rsidRPr="00D415E0" w:rsidRDefault="006A454B" w:rsidP="005D49D9">
            <w:pPr>
              <w:rPr>
                <w:sz w:val="20"/>
                <w:szCs w:val="20"/>
              </w:rPr>
            </w:pPr>
            <w:r w:rsidRPr="007F0F39">
              <w:rPr>
                <w:sz w:val="20"/>
                <w:szCs w:val="20"/>
              </w:rPr>
              <w:t>The MTR is proposing amendment to this indicator to “reduced hunting among people using grazing pastures within the KTNP once it has been established”;</w:t>
            </w:r>
            <w:r>
              <w:rPr>
                <w:sz w:val="20"/>
                <w:szCs w:val="20"/>
              </w:rPr>
              <w:t xml:space="preserve"> this will make it very relevant to the threat of continued access of people to the KTNP through the continued access to pasture areas.  Such an indicator should not only be achievable, but it is very relevant.</w:t>
            </w:r>
          </w:p>
        </w:tc>
      </w:tr>
    </w:tbl>
    <w:p w14:paraId="00A65242" w14:textId="2641C714" w:rsidR="00D415E0" w:rsidRDefault="00D415E0" w:rsidP="002F588D">
      <w:pPr>
        <w:jc w:val="both"/>
      </w:pPr>
    </w:p>
    <w:p w14:paraId="7125AB2A" w14:textId="77777777" w:rsidR="00B34E2E" w:rsidRDefault="00B34E2E" w:rsidP="002F588D">
      <w:pPr>
        <w:jc w:val="both"/>
      </w:pPr>
    </w:p>
    <w:p w14:paraId="4D2465F7" w14:textId="77777777" w:rsidR="00B34E2E" w:rsidRPr="00516656" w:rsidRDefault="00B34E2E" w:rsidP="002F588D">
      <w:pPr>
        <w:jc w:val="both"/>
        <w:sectPr w:rsidR="00B34E2E" w:rsidRPr="00516656" w:rsidSect="002F588D">
          <w:pgSz w:w="16840" w:h="11901" w:orient="landscape"/>
          <w:pgMar w:top="1797" w:right="1440" w:bottom="1797" w:left="1440" w:header="709" w:footer="709" w:gutter="0"/>
          <w:cols w:space="708"/>
          <w:titlePg/>
          <w:docGrid w:linePitch="360"/>
        </w:sectPr>
      </w:pPr>
    </w:p>
    <w:p w14:paraId="64377ED9" w14:textId="716BA9B4" w:rsidR="00483AA0" w:rsidRPr="00516656" w:rsidRDefault="00483AA0" w:rsidP="00660D28">
      <w:pPr>
        <w:pStyle w:val="Heading2"/>
      </w:pPr>
      <w:bookmarkStart w:id="26" w:name="_Toc311452876"/>
      <w:r w:rsidRPr="00516656">
        <w:t>Progress Towards Results</w:t>
      </w:r>
      <w:bookmarkEnd w:id="26"/>
      <w:r w:rsidRPr="00516656">
        <w:t xml:space="preserve"> </w:t>
      </w:r>
    </w:p>
    <w:p w14:paraId="4309C1F3" w14:textId="6FA67F21" w:rsidR="00483AA0" w:rsidRPr="00516656" w:rsidRDefault="00D938B2" w:rsidP="00660D28">
      <w:pPr>
        <w:pStyle w:val="Heading3"/>
      </w:pPr>
      <w:bookmarkStart w:id="27" w:name="_Toc311452877"/>
      <w:r w:rsidRPr="00516656">
        <w:t>Analysis of progress towards outcomes</w:t>
      </w:r>
      <w:bookmarkEnd w:id="27"/>
      <w:r w:rsidR="00483AA0" w:rsidRPr="00516656">
        <w:t xml:space="preserve"> </w:t>
      </w:r>
    </w:p>
    <w:p w14:paraId="65B49E9C" w14:textId="3E108738" w:rsidR="00FC33B5" w:rsidRDefault="00D4668B" w:rsidP="00FC33B5">
      <w:pPr>
        <w:numPr>
          <w:ilvl w:val="0"/>
          <w:numId w:val="2"/>
        </w:numPr>
        <w:ind w:left="0" w:firstLine="0"/>
        <w:jc w:val="both"/>
      </w:pPr>
      <w:r>
        <w:t>The project is generally progressing at a satisfactory rate</w:t>
      </w:r>
      <w:r w:rsidR="007D5B49">
        <w:t xml:space="preserve"> and is mostly retaining a focus on the outcomes and the EOP targets for the indicators that it </w:t>
      </w:r>
      <w:r w:rsidR="00867635">
        <w:t xml:space="preserve">is </w:t>
      </w:r>
      <w:r w:rsidR="007D5B49">
        <w:t xml:space="preserve">attempting to achieve.  The progress – as well as shortcomings – will be analysed and described in the coming sections </w:t>
      </w:r>
      <w:r w:rsidR="00FC33B5">
        <w:t>of the report.</w:t>
      </w:r>
    </w:p>
    <w:p w14:paraId="3B6D548D" w14:textId="1634B51B" w:rsidR="004C167F" w:rsidRDefault="007D5B49" w:rsidP="004C167F">
      <w:pPr>
        <w:numPr>
          <w:ilvl w:val="0"/>
          <w:numId w:val="2"/>
        </w:numPr>
        <w:ind w:left="0" w:firstLine="0"/>
        <w:jc w:val="both"/>
      </w:pPr>
      <w:r>
        <w:t xml:space="preserve">The principal output for the project will be the establishment of Khan </w:t>
      </w:r>
      <w:proofErr w:type="spellStart"/>
      <w:r>
        <w:t>Tengri</w:t>
      </w:r>
      <w:proofErr w:type="spellEnd"/>
      <w:r>
        <w:t xml:space="preserve"> National Park</w:t>
      </w:r>
      <w:r w:rsidR="00FC33B5">
        <w:t xml:space="preserve"> (KTNP</w:t>
      </w:r>
      <w:r w:rsidR="004C167F">
        <w:t xml:space="preserve">; </w:t>
      </w:r>
      <w:r w:rsidR="004C167F" w:rsidRPr="004C167F">
        <w:rPr>
          <w:i/>
        </w:rPr>
        <w:t>Output 1.1</w:t>
      </w:r>
      <w:r w:rsidR="006A3523">
        <w:t xml:space="preserve"> under Outcome 1</w:t>
      </w:r>
      <w:r w:rsidR="00FC33B5">
        <w:t>).  The project is following the proscribed steps to establi</w:t>
      </w:r>
      <w:r w:rsidR="004C167F">
        <w:t>sh the park in a thorough way.</w:t>
      </w:r>
    </w:p>
    <w:p w14:paraId="735B722A" w14:textId="71F3E207" w:rsidR="004C167F" w:rsidRDefault="00FC33B5" w:rsidP="004C167F">
      <w:pPr>
        <w:numPr>
          <w:ilvl w:val="0"/>
          <w:numId w:val="2"/>
        </w:numPr>
        <w:ind w:left="0" w:firstLine="0"/>
        <w:jc w:val="both"/>
      </w:pPr>
      <w:r>
        <w:t>The original proposal of an area of 187,</w:t>
      </w:r>
      <w:r w:rsidR="008A2227">
        <w:t>785</w:t>
      </w:r>
      <w:r>
        <w:t xml:space="preserve">ha (from WWF’s </w:t>
      </w:r>
      <w:proofErr w:type="spellStart"/>
      <w:r>
        <w:t>Econet</w:t>
      </w:r>
      <w:proofErr w:type="spellEnd"/>
      <w:r>
        <w:t xml:space="preserve"> Programme) was taken as the foundation of the work.  </w:t>
      </w:r>
    </w:p>
    <w:p w14:paraId="56AE3A5B" w14:textId="15BFD52E" w:rsidR="004C167F" w:rsidRDefault="00FC33B5" w:rsidP="004C167F">
      <w:pPr>
        <w:numPr>
          <w:ilvl w:val="0"/>
          <w:numId w:val="2"/>
        </w:numPr>
        <w:ind w:left="0" w:firstLine="0"/>
        <w:jc w:val="both"/>
      </w:pPr>
      <w:r>
        <w:t xml:space="preserve">Building on the WWF </w:t>
      </w:r>
      <w:proofErr w:type="spellStart"/>
      <w:r>
        <w:t>Econet</w:t>
      </w:r>
      <w:proofErr w:type="spellEnd"/>
      <w:r>
        <w:t xml:space="preserve"> analysis, academics at the National Academy of Science (NAS) carried out </w:t>
      </w:r>
      <w:r w:rsidR="008A2227">
        <w:t xml:space="preserve">desk based and </w:t>
      </w:r>
      <w:r>
        <w:t xml:space="preserve">field surveys and analysis to determine the optimal boundaries and size of the park.  </w:t>
      </w:r>
      <w:r w:rsidR="00C72F59">
        <w:t>The resulting proposal was an area of some 325,000ha.</w:t>
      </w:r>
    </w:p>
    <w:p w14:paraId="3A58CDD0" w14:textId="7A4E67D5" w:rsidR="004C167F" w:rsidRDefault="00FA67E4" w:rsidP="004C167F">
      <w:pPr>
        <w:numPr>
          <w:ilvl w:val="0"/>
          <w:numId w:val="2"/>
        </w:numPr>
        <w:ind w:left="0" w:firstLine="0"/>
        <w:jc w:val="both"/>
      </w:pPr>
      <w:r>
        <w:t>The survey work</w:t>
      </w:r>
      <w:r w:rsidR="00F60C1A">
        <w:t xml:space="preserve"> was analysed and combined into a feasibility study </w:t>
      </w:r>
      <w:r w:rsidR="008A2227">
        <w:t xml:space="preserve">(carried out by the staff of the SAEPF) </w:t>
      </w:r>
      <w:r w:rsidR="00F60C1A">
        <w:t xml:space="preserve">for the proposed national park.  This included proposal of the zones within the proposed park, the </w:t>
      </w:r>
      <w:r w:rsidR="006F2F52">
        <w:t>ecologically important areas surrounding the park</w:t>
      </w:r>
      <w:r w:rsidR="00F60C1A">
        <w:t xml:space="preserve"> and the linkages – specifically to the </w:t>
      </w:r>
      <w:proofErr w:type="spellStart"/>
      <w:r w:rsidR="00F60C1A">
        <w:t>Sarychat</w:t>
      </w:r>
      <w:proofErr w:type="spellEnd"/>
      <w:r w:rsidR="00F60C1A">
        <w:t xml:space="preserve"> </w:t>
      </w:r>
      <w:proofErr w:type="spellStart"/>
      <w:r w:rsidR="00F60C1A">
        <w:t>Ertash</w:t>
      </w:r>
      <w:proofErr w:type="spellEnd"/>
      <w:r w:rsidR="00F60C1A">
        <w:t xml:space="preserve"> </w:t>
      </w:r>
      <w:proofErr w:type="spellStart"/>
      <w:r w:rsidR="00F60C1A" w:rsidRPr="004C167F">
        <w:rPr>
          <w:i/>
        </w:rPr>
        <w:t>zapovednik</w:t>
      </w:r>
      <w:proofErr w:type="spellEnd"/>
      <w:r w:rsidR="001A0FCC">
        <w:t xml:space="preserve"> – by corridors.</w:t>
      </w:r>
    </w:p>
    <w:p w14:paraId="0C87D478" w14:textId="7C618CE9" w:rsidR="004C167F" w:rsidRDefault="00C72F59" w:rsidP="004C167F">
      <w:pPr>
        <w:numPr>
          <w:ilvl w:val="0"/>
          <w:numId w:val="2"/>
        </w:numPr>
        <w:ind w:left="0" w:firstLine="0"/>
        <w:jc w:val="both"/>
      </w:pPr>
      <w:r>
        <w:t>On the basis of the proposal that emerged out of the NAS</w:t>
      </w:r>
      <w:r w:rsidR="008A2227">
        <w:t xml:space="preserve"> and the SAEPF</w:t>
      </w:r>
      <w:r>
        <w:t>, a series of steps were initiated.  These included working to ensure that there were no land use conflicts.  The project, therefore, consulted the Ministry of Geology and Mineral Resources, the Ministry of Agriculture</w:t>
      </w:r>
      <w:r w:rsidR="00E04BC7">
        <w:t xml:space="preserve"> and Melioration</w:t>
      </w:r>
      <w:r>
        <w:t>, and Ministry of Energy</w:t>
      </w:r>
      <w:r w:rsidR="00E04BC7">
        <w:t xml:space="preserve"> and Industry.</w:t>
      </w:r>
    </w:p>
    <w:p w14:paraId="703558F5" w14:textId="77777777" w:rsidR="004C167F" w:rsidRDefault="00E04BC7" w:rsidP="004C167F">
      <w:pPr>
        <w:numPr>
          <w:ilvl w:val="0"/>
          <w:numId w:val="2"/>
        </w:numPr>
        <w:ind w:left="0" w:firstLine="0"/>
        <w:jc w:val="both"/>
      </w:pPr>
      <w:r>
        <w:t xml:space="preserve">It is notable that </w:t>
      </w:r>
      <w:r w:rsidR="00837819">
        <w:t xml:space="preserve">on every occasion that the project consulted with </w:t>
      </w:r>
      <w:r w:rsidR="00B3208C">
        <w:t>these stakeholders, it was the project (in partnership with the SAEPF) that made concessions on the demands of the stakeholders and on no occasion did the other stakeholders make compromises on the biological basis as purported by the academics of the NAS.</w:t>
      </w:r>
    </w:p>
    <w:p w14:paraId="25690F41" w14:textId="77777777" w:rsidR="004C167F" w:rsidRDefault="001A36D0" w:rsidP="004C167F">
      <w:pPr>
        <w:numPr>
          <w:ilvl w:val="0"/>
          <w:numId w:val="2"/>
        </w:numPr>
        <w:ind w:left="0" w:firstLine="0"/>
        <w:jc w:val="both"/>
      </w:pPr>
      <w:r>
        <w:t xml:space="preserve">The project also consulted with the people and institutions in the </w:t>
      </w:r>
      <w:r w:rsidRPr="004C167F">
        <w:rPr>
          <w:i/>
        </w:rPr>
        <w:t>chain</w:t>
      </w:r>
      <w:r>
        <w:t xml:space="preserve"> that will, eventually, have to </w:t>
      </w:r>
      <w:r w:rsidR="00636234">
        <w:t>endorse the establishment of the national park – including the deputies at the local level, the local self-governing bodies (</w:t>
      </w:r>
      <w:proofErr w:type="spellStart"/>
      <w:r w:rsidR="00DB39FF" w:rsidRPr="004C167F">
        <w:rPr>
          <w:i/>
        </w:rPr>
        <w:t>aiyl</w:t>
      </w:r>
      <w:proofErr w:type="spellEnd"/>
      <w:r w:rsidR="00DB39FF" w:rsidRPr="004C167F">
        <w:rPr>
          <w:i/>
        </w:rPr>
        <w:t xml:space="preserve"> </w:t>
      </w:r>
      <w:proofErr w:type="spellStart"/>
      <w:r w:rsidR="00DB39FF" w:rsidRPr="004C167F">
        <w:rPr>
          <w:i/>
        </w:rPr>
        <w:t>okmotu</w:t>
      </w:r>
      <w:proofErr w:type="spellEnd"/>
      <w:r w:rsidR="00DB39FF">
        <w:t xml:space="preserve">), </w:t>
      </w:r>
      <w:r w:rsidR="00043682">
        <w:t xml:space="preserve">the rayon authorities, the oblast level authorities, the </w:t>
      </w:r>
      <w:proofErr w:type="spellStart"/>
      <w:r w:rsidR="00043682">
        <w:t>Issyl</w:t>
      </w:r>
      <w:proofErr w:type="spellEnd"/>
      <w:r w:rsidR="00043682">
        <w:t xml:space="preserve"> </w:t>
      </w:r>
      <w:proofErr w:type="spellStart"/>
      <w:r w:rsidR="00043682">
        <w:t>Kul</w:t>
      </w:r>
      <w:proofErr w:type="spellEnd"/>
      <w:r w:rsidR="00043682">
        <w:t xml:space="preserve"> Biosphere Territory and the SAEPF.  As a result of this work, six of the </w:t>
      </w:r>
      <w:proofErr w:type="gramStart"/>
      <w:r w:rsidR="00043682">
        <w:t xml:space="preserve">seven </w:t>
      </w:r>
      <w:proofErr w:type="spellStart"/>
      <w:r w:rsidR="00043682" w:rsidRPr="004C167F">
        <w:rPr>
          <w:i/>
        </w:rPr>
        <w:t>aiyl</w:t>
      </w:r>
      <w:proofErr w:type="spellEnd"/>
      <w:proofErr w:type="gramEnd"/>
      <w:r w:rsidR="00043682" w:rsidRPr="004C167F">
        <w:rPr>
          <w:i/>
        </w:rPr>
        <w:t xml:space="preserve"> </w:t>
      </w:r>
      <w:proofErr w:type="spellStart"/>
      <w:r w:rsidR="00043682" w:rsidRPr="004C167F">
        <w:rPr>
          <w:i/>
        </w:rPr>
        <w:t>okmotu</w:t>
      </w:r>
      <w:proofErr w:type="spellEnd"/>
      <w:r w:rsidR="00043682">
        <w:t xml:space="preserve"> have signed their endorsement to the establishment of the park</w:t>
      </w:r>
      <w:r w:rsidR="00CC679F">
        <w:t xml:space="preserve"> and all the other bodies are supportive.</w:t>
      </w:r>
    </w:p>
    <w:p w14:paraId="49D8B44C" w14:textId="2E709D18" w:rsidR="004C167F" w:rsidRDefault="00CC679F" w:rsidP="004C167F">
      <w:pPr>
        <w:numPr>
          <w:ilvl w:val="0"/>
          <w:numId w:val="2"/>
        </w:numPr>
        <w:ind w:left="0" w:firstLine="0"/>
        <w:jc w:val="both"/>
      </w:pPr>
      <w:r>
        <w:t xml:space="preserve">This does mean that one </w:t>
      </w:r>
      <w:proofErr w:type="spellStart"/>
      <w:r w:rsidRPr="004C167F">
        <w:rPr>
          <w:i/>
        </w:rPr>
        <w:t>aiyl</w:t>
      </w:r>
      <w:proofErr w:type="spellEnd"/>
      <w:r w:rsidRPr="004C167F">
        <w:rPr>
          <w:i/>
        </w:rPr>
        <w:t xml:space="preserve"> </w:t>
      </w:r>
      <w:proofErr w:type="spellStart"/>
      <w:r w:rsidRPr="004C167F">
        <w:rPr>
          <w:i/>
        </w:rPr>
        <w:t>okmotu</w:t>
      </w:r>
      <w:proofErr w:type="spellEnd"/>
      <w:r>
        <w:t xml:space="preserve"> has yet to endorse the establishment of the park.  This is the </w:t>
      </w:r>
      <w:proofErr w:type="spellStart"/>
      <w:r>
        <w:t>Otradnoe</w:t>
      </w:r>
      <w:proofErr w:type="spellEnd"/>
      <w:r>
        <w:t xml:space="preserve"> </w:t>
      </w:r>
      <w:proofErr w:type="spellStart"/>
      <w:r w:rsidRPr="004C167F">
        <w:rPr>
          <w:i/>
        </w:rPr>
        <w:t>aiyl</w:t>
      </w:r>
      <w:proofErr w:type="spellEnd"/>
      <w:r w:rsidRPr="004C167F">
        <w:rPr>
          <w:i/>
        </w:rPr>
        <w:t xml:space="preserve"> </w:t>
      </w:r>
      <w:proofErr w:type="spellStart"/>
      <w:r w:rsidRPr="004C167F">
        <w:rPr>
          <w:i/>
        </w:rPr>
        <w:t>okmotu</w:t>
      </w:r>
      <w:proofErr w:type="spellEnd"/>
      <w:r>
        <w:t>.</w:t>
      </w:r>
      <w:r w:rsidR="003A1786">
        <w:t xml:space="preserve">  Over the past three – four months, the </w:t>
      </w:r>
      <w:r w:rsidR="001D31DD">
        <w:t>project partners (including the PIU, the UNDP-CO, various members of staff of the SAEPF – including the Director, and the rayon and oblast authorities)</w:t>
      </w:r>
      <w:r w:rsidR="00076F75">
        <w:t xml:space="preserve"> have engaged with the members of this </w:t>
      </w:r>
      <w:proofErr w:type="spellStart"/>
      <w:r w:rsidR="00076F75" w:rsidRPr="004C167F">
        <w:rPr>
          <w:i/>
        </w:rPr>
        <w:t>aiyl</w:t>
      </w:r>
      <w:proofErr w:type="spellEnd"/>
      <w:r w:rsidR="00076F75" w:rsidRPr="004C167F">
        <w:rPr>
          <w:i/>
        </w:rPr>
        <w:t xml:space="preserve"> </w:t>
      </w:r>
      <w:proofErr w:type="spellStart"/>
      <w:r w:rsidR="00076F75" w:rsidRPr="004C167F">
        <w:rPr>
          <w:i/>
        </w:rPr>
        <w:t>okmotu</w:t>
      </w:r>
      <w:proofErr w:type="spellEnd"/>
      <w:r w:rsidR="00076F75">
        <w:t xml:space="preserve"> in an attempt to convince, coerce, cajole and coax them into agreeing with the establishment of the park</w:t>
      </w:r>
      <w:r w:rsidR="00271F26">
        <w:t xml:space="preserve"> (</w:t>
      </w:r>
      <w:r w:rsidR="00271F26" w:rsidRPr="00353593">
        <w:t xml:space="preserve">see </w:t>
      </w:r>
      <w:r w:rsidR="00271F26" w:rsidRPr="00027594">
        <w:t xml:space="preserve">Annex </w:t>
      </w:r>
      <w:r w:rsidR="00027594" w:rsidRPr="00027594">
        <w:t>IV</w:t>
      </w:r>
      <w:r w:rsidR="00271F26" w:rsidRPr="00027594">
        <w:t xml:space="preserve"> for list of meetings and participants with </w:t>
      </w:r>
      <w:proofErr w:type="spellStart"/>
      <w:r w:rsidR="00271F26" w:rsidRPr="00027594">
        <w:t>Otradnoe</w:t>
      </w:r>
      <w:proofErr w:type="spellEnd"/>
      <w:r w:rsidR="00271F26" w:rsidRPr="00027594">
        <w:t xml:space="preserve"> </w:t>
      </w:r>
      <w:proofErr w:type="spellStart"/>
      <w:r w:rsidR="00271F26" w:rsidRPr="00027594">
        <w:rPr>
          <w:i/>
        </w:rPr>
        <w:t>aiyl</w:t>
      </w:r>
      <w:proofErr w:type="spellEnd"/>
      <w:r w:rsidR="00271F26" w:rsidRPr="00027594">
        <w:rPr>
          <w:i/>
        </w:rPr>
        <w:t xml:space="preserve"> </w:t>
      </w:r>
      <w:proofErr w:type="spellStart"/>
      <w:r w:rsidR="00271F26" w:rsidRPr="00027594">
        <w:rPr>
          <w:i/>
        </w:rPr>
        <w:t>okmotu</w:t>
      </w:r>
      <w:proofErr w:type="spellEnd"/>
      <w:r w:rsidR="00271F26" w:rsidRPr="00027594">
        <w:rPr>
          <w:i/>
        </w:rPr>
        <w:t xml:space="preserve"> </w:t>
      </w:r>
      <w:r w:rsidR="00271F26" w:rsidRPr="00027594">
        <w:t>to date)</w:t>
      </w:r>
      <w:r w:rsidR="00076F75" w:rsidRPr="00027594">
        <w:t>.</w:t>
      </w:r>
      <w:r w:rsidR="00076F75">
        <w:t xml:space="preserve">  Despite these efforts, the community remains resolved to </w:t>
      </w:r>
      <w:r w:rsidR="00350715">
        <w:t>oppose the establishment of the park.</w:t>
      </w:r>
    </w:p>
    <w:p w14:paraId="52EBA6C6" w14:textId="6F20C6B5" w:rsidR="006A3523" w:rsidRDefault="006A3523" w:rsidP="004C167F">
      <w:pPr>
        <w:numPr>
          <w:ilvl w:val="0"/>
          <w:numId w:val="2"/>
        </w:numPr>
        <w:ind w:left="0" w:firstLine="0"/>
        <w:jc w:val="both"/>
      </w:pPr>
      <w:r>
        <w:t xml:space="preserve">As part of its efforts to establish the park and in the face of the barriers presented by this one community (as well as a minority of people within the other communities), </w:t>
      </w:r>
      <w:r w:rsidR="006712E8">
        <w:t xml:space="preserve">the project carried out a survey to determine the attitudes to the establishment of the park.  The results of the survey demonstrated that of the </w:t>
      </w:r>
      <w:r w:rsidR="003F4D87">
        <w:t xml:space="preserve">1,383 households </w:t>
      </w:r>
      <w:r w:rsidR="00301C69">
        <w:t xml:space="preserve">surveyed, </w:t>
      </w:r>
      <w:r w:rsidR="003F4D87">
        <w:t>75% of the people support the establishment of the park, 17% of the people are against the establishment of the park and 8% of the people surveyed abstained.</w:t>
      </w:r>
    </w:p>
    <w:p w14:paraId="643562EB" w14:textId="5EACDA3D" w:rsidR="003F4D87" w:rsidRDefault="003F4D87" w:rsidP="004C167F">
      <w:pPr>
        <w:numPr>
          <w:ilvl w:val="0"/>
          <w:numId w:val="2"/>
        </w:numPr>
        <w:ind w:left="0" w:firstLine="0"/>
        <w:jc w:val="both"/>
      </w:pPr>
      <w:r>
        <w:t xml:space="preserve">While this demonstrates that the majority of people support the establishment of the park, it does little to change the situation – that a minority of people within </w:t>
      </w:r>
      <w:proofErr w:type="spellStart"/>
      <w:r>
        <w:t>Otradnoe</w:t>
      </w:r>
      <w:proofErr w:type="spellEnd"/>
      <w:r>
        <w:t xml:space="preserve"> </w:t>
      </w:r>
      <w:proofErr w:type="spellStart"/>
      <w:r w:rsidRPr="00A05A4D">
        <w:rPr>
          <w:i/>
        </w:rPr>
        <w:t>aiyl</w:t>
      </w:r>
      <w:proofErr w:type="spellEnd"/>
      <w:r w:rsidRPr="00A05A4D">
        <w:rPr>
          <w:i/>
        </w:rPr>
        <w:t xml:space="preserve"> </w:t>
      </w:r>
      <w:proofErr w:type="spellStart"/>
      <w:r w:rsidRPr="00A05A4D">
        <w:rPr>
          <w:i/>
        </w:rPr>
        <w:t>okmotu</w:t>
      </w:r>
      <w:proofErr w:type="spellEnd"/>
      <w:r>
        <w:t xml:space="preserve"> have the ability to </w:t>
      </w:r>
      <w:r w:rsidR="00A05A4D">
        <w:t>stall the process</w:t>
      </w:r>
      <w:r w:rsidR="00A05A4D">
        <w:rPr>
          <w:rStyle w:val="FootnoteReference"/>
        </w:rPr>
        <w:footnoteReference w:id="15"/>
      </w:r>
      <w:r w:rsidR="003F1AA9">
        <w:t>.</w:t>
      </w:r>
    </w:p>
    <w:p w14:paraId="432DB859" w14:textId="77777777" w:rsidR="00353593" w:rsidRDefault="003F1AA9" w:rsidP="00B42862">
      <w:pPr>
        <w:numPr>
          <w:ilvl w:val="0"/>
          <w:numId w:val="2"/>
        </w:numPr>
        <w:ind w:left="0" w:firstLine="0"/>
        <w:jc w:val="both"/>
      </w:pPr>
      <w:r>
        <w:t xml:space="preserve">Other mistakes were also made during the process: </w:t>
      </w:r>
      <w:proofErr w:type="spellStart"/>
      <w:r>
        <w:t>i</w:t>
      </w:r>
      <w:proofErr w:type="spellEnd"/>
      <w:r>
        <w:t xml:space="preserve">) the calculation of the area of the pastures belonging </w:t>
      </w:r>
      <w:r w:rsidR="00620252">
        <w:t>to</w:t>
      </w:r>
      <w:r w:rsidR="000F7F8A">
        <w:t xml:space="preserve"> the seven communities affected by the establishment of the park has, on more than one occasion, proved to be flawed; </w:t>
      </w:r>
      <w:r w:rsidR="00353593">
        <w:t xml:space="preserve">and </w:t>
      </w:r>
      <w:r w:rsidR="000F7F8A">
        <w:t xml:space="preserve">ii) the language that was being used was often alienating and threatening (e.g., </w:t>
      </w:r>
      <w:r w:rsidR="00E55177">
        <w:t>“</w:t>
      </w:r>
      <w:r w:rsidR="000F7F8A">
        <w:t>own</w:t>
      </w:r>
      <w:r w:rsidR="00E55177">
        <w:t>”</w:t>
      </w:r>
      <w:r w:rsidR="000F7F8A">
        <w:t xml:space="preserve"> vs. </w:t>
      </w:r>
      <w:r w:rsidR="00E55177">
        <w:t>“</w:t>
      </w:r>
      <w:r w:rsidR="000F7F8A">
        <w:t>include</w:t>
      </w:r>
      <w:r w:rsidR="00E55177">
        <w:t>”</w:t>
      </w:r>
      <w:r w:rsidR="000F7F8A">
        <w:t xml:space="preserve"> – when referring to the pastures of each of the communities that are proposed to be included into the park)</w:t>
      </w:r>
      <w:r w:rsidR="00353593">
        <w:t>.  T</w:t>
      </w:r>
      <w:r w:rsidR="00B42862">
        <w:t>hese d</w:t>
      </w:r>
      <w:r w:rsidR="000F7F8A">
        <w:t>eepen</w:t>
      </w:r>
      <w:r w:rsidR="00B42862">
        <w:t xml:space="preserve"> </w:t>
      </w:r>
      <w:r w:rsidR="000F7F8A">
        <w:t>distrust</w:t>
      </w:r>
      <w:r w:rsidR="00B42862">
        <w:t xml:space="preserve"> – specifically of the government – among the local communities and contribute to the intransigence.</w:t>
      </w:r>
    </w:p>
    <w:p w14:paraId="3451BFDF" w14:textId="162B435E" w:rsidR="00B42862" w:rsidRDefault="00353593" w:rsidP="00B42862">
      <w:pPr>
        <w:numPr>
          <w:ilvl w:val="0"/>
          <w:numId w:val="2"/>
        </w:numPr>
        <w:ind w:left="0" w:firstLine="0"/>
        <w:jc w:val="both"/>
      </w:pPr>
      <w:r>
        <w:t xml:space="preserve">In </w:t>
      </w:r>
      <w:r w:rsidRPr="00353593">
        <w:t>addition, the project paid UNDP DSA rates to the government (and other) representatives to attend meetings with communities – as opposed to government per diem rates</w:t>
      </w:r>
      <w:r w:rsidRPr="00353593">
        <w:rPr>
          <w:rStyle w:val="FootnoteReference"/>
        </w:rPr>
        <w:footnoteReference w:id="16"/>
      </w:r>
      <w:r w:rsidRPr="00353593">
        <w:t>.</w:t>
      </w:r>
      <w:r>
        <w:t xml:space="preserve">  </w:t>
      </w:r>
    </w:p>
    <w:p w14:paraId="3569DC29" w14:textId="54C5C8C9" w:rsidR="006A3523" w:rsidRDefault="00B42862" w:rsidP="00CD719E">
      <w:pPr>
        <w:numPr>
          <w:ilvl w:val="0"/>
          <w:numId w:val="2"/>
        </w:numPr>
        <w:ind w:left="0" w:firstLine="0"/>
        <w:jc w:val="both"/>
      </w:pPr>
      <w:r>
        <w:t xml:space="preserve">Finally, there was no reason not to </w:t>
      </w:r>
      <w:r w:rsidR="00E742FA">
        <w:t xml:space="preserve">conduct at least one (if not both) study tour(s) that was (were) included in the </w:t>
      </w:r>
      <w:proofErr w:type="spellStart"/>
      <w:r w:rsidR="00E742FA">
        <w:t>Prodoc</w:t>
      </w:r>
      <w:proofErr w:type="spellEnd"/>
      <w:r w:rsidR="00E742FA">
        <w:t xml:space="preserve">.  Indeed, study tours are supposed to be learning processes during which participants are exposed to good practices and examples in an attempt to expose people to new ideas and practices either to persuade them to adopt those ideas or </w:t>
      </w:r>
      <w:r w:rsidR="00CD719E">
        <w:t xml:space="preserve">to teach them the techniques involved.  Conducting a study tour with selected members of the </w:t>
      </w:r>
      <w:proofErr w:type="spellStart"/>
      <w:r w:rsidR="00CD719E">
        <w:t>Otradnoe</w:t>
      </w:r>
      <w:proofErr w:type="spellEnd"/>
      <w:r w:rsidR="00CD719E">
        <w:t xml:space="preserve"> </w:t>
      </w:r>
      <w:proofErr w:type="spellStart"/>
      <w:r w:rsidR="00CD719E" w:rsidRPr="00CD719E">
        <w:rPr>
          <w:i/>
        </w:rPr>
        <w:t>aiyl</w:t>
      </w:r>
      <w:proofErr w:type="spellEnd"/>
      <w:r w:rsidR="00CD719E" w:rsidRPr="00CD719E">
        <w:rPr>
          <w:i/>
        </w:rPr>
        <w:t xml:space="preserve"> </w:t>
      </w:r>
      <w:proofErr w:type="spellStart"/>
      <w:r w:rsidR="00CD719E" w:rsidRPr="00CD719E">
        <w:rPr>
          <w:i/>
        </w:rPr>
        <w:t>okmotu</w:t>
      </w:r>
      <w:proofErr w:type="spellEnd"/>
      <w:r w:rsidR="00CD719E">
        <w:t xml:space="preserve"> </w:t>
      </w:r>
      <w:r w:rsidR="00390C98">
        <w:t xml:space="preserve">(as well as members from other communities) </w:t>
      </w:r>
      <w:r w:rsidR="00CD719E">
        <w:t xml:space="preserve">may </w:t>
      </w:r>
      <w:r w:rsidR="00195CF6">
        <w:t>have persuaded them from the outset that the park (with its associated benefits) would be worth supporting.</w:t>
      </w:r>
    </w:p>
    <w:p w14:paraId="24156D87" w14:textId="7C9DED39" w:rsidR="005021A1" w:rsidRDefault="00A228BD" w:rsidP="005021A1">
      <w:pPr>
        <w:numPr>
          <w:ilvl w:val="0"/>
          <w:numId w:val="2"/>
        </w:numPr>
        <w:ind w:left="0" w:firstLine="0"/>
        <w:jc w:val="both"/>
      </w:pPr>
      <w:r>
        <w:t xml:space="preserve">The project obviously has not yet worked with the relevant people to develop a management plan for the proposed Khan </w:t>
      </w:r>
      <w:proofErr w:type="spellStart"/>
      <w:r>
        <w:t>Tengri</w:t>
      </w:r>
      <w:proofErr w:type="spellEnd"/>
      <w:r>
        <w:t xml:space="preserve"> National Park.  This should happen only once the park has actually been legally established.  However the project did hold a national workshop on the process to develop management plans for protected areas and published a manual on the basis of this workshop that was subsequently approved by the SAEPF</w:t>
      </w:r>
      <w:r w:rsidR="007E3C42">
        <w:rPr>
          <w:rStyle w:val="FootnoteReference"/>
        </w:rPr>
        <w:footnoteReference w:id="17"/>
      </w:r>
      <w:r>
        <w:t>.</w:t>
      </w:r>
    </w:p>
    <w:p w14:paraId="2367F92A" w14:textId="3A656B46" w:rsidR="00AD4EBF" w:rsidRDefault="004C3721" w:rsidP="00AD4EBF">
      <w:pPr>
        <w:numPr>
          <w:ilvl w:val="0"/>
          <w:numId w:val="2"/>
        </w:numPr>
        <w:ind w:left="0" w:firstLine="0"/>
        <w:jc w:val="both"/>
      </w:pPr>
      <w:r>
        <w:t xml:space="preserve">To start the process of </w:t>
      </w:r>
      <w:r w:rsidR="0056516D">
        <w:t>building capacity</w:t>
      </w:r>
      <w:r w:rsidR="004C167F">
        <w:t xml:space="preserve"> (</w:t>
      </w:r>
      <w:r w:rsidR="004C167F" w:rsidRPr="004C167F">
        <w:rPr>
          <w:i/>
        </w:rPr>
        <w:t>Output 1.2</w:t>
      </w:r>
      <w:r w:rsidR="004C167F">
        <w:t>)</w:t>
      </w:r>
      <w:r w:rsidR="0056516D">
        <w:t xml:space="preserve">, not only for the park (in the future once it has been established) but also for the area in general (as the entire area falls within </w:t>
      </w:r>
      <w:proofErr w:type="spellStart"/>
      <w:r w:rsidR="0056516D">
        <w:t>Issyl</w:t>
      </w:r>
      <w:proofErr w:type="spellEnd"/>
      <w:r w:rsidR="0056516D">
        <w:t xml:space="preserve"> </w:t>
      </w:r>
      <w:proofErr w:type="spellStart"/>
      <w:r w:rsidR="0056516D">
        <w:t>Kul</w:t>
      </w:r>
      <w:proofErr w:type="spellEnd"/>
      <w:r w:rsidR="0056516D">
        <w:t xml:space="preserve"> Biosphere Territory), </w:t>
      </w:r>
      <w:r w:rsidR="00D251DC">
        <w:t>nine “freelance inspectors” have been recruited and the project has provided training for them and other inspectors</w:t>
      </w:r>
      <w:r w:rsidR="000B07CB">
        <w:rPr>
          <w:rStyle w:val="FootnoteReference"/>
        </w:rPr>
        <w:footnoteReference w:id="18"/>
      </w:r>
      <w:r w:rsidR="00D251DC">
        <w:t xml:space="preserve">.  </w:t>
      </w:r>
      <w:r w:rsidR="003A4E4A">
        <w:t xml:space="preserve">The freelance inspectors are not salaried; instead, they earn 30% </w:t>
      </w:r>
      <w:r w:rsidR="00EA0C69">
        <w:t xml:space="preserve">of fines imposed on people </w:t>
      </w:r>
      <w:r w:rsidR="00F91974">
        <w:t>who are caught poaching.</w:t>
      </w:r>
      <w:r w:rsidR="00880C6F">
        <w:t xml:space="preserve">  In addition, </w:t>
      </w:r>
      <w:proofErr w:type="gramStart"/>
      <w:r w:rsidR="00880C6F">
        <w:t>a training</w:t>
      </w:r>
      <w:proofErr w:type="gramEnd"/>
      <w:r w:rsidR="00880C6F">
        <w:t xml:space="preserve"> needs assessment for the SAEPF was carried out.</w:t>
      </w:r>
    </w:p>
    <w:p w14:paraId="0A9A4054" w14:textId="151886C1" w:rsidR="00AD4EBF" w:rsidRDefault="000730F7" w:rsidP="00AD4EBF">
      <w:pPr>
        <w:numPr>
          <w:ilvl w:val="0"/>
          <w:numId w:val="2"/>
        </w:numPr>
        <w:ind w:left="0" w:firstLine="0"/>
        <w:jc w:val="both"/>
      </w:pPr>
      <w:r>
        <w:t>A training of the use of METT as a tool for monitoring the management effectiveness of protected areas was carried out</w:t>
      </w:r>
      <w:r w:rsidR="00430E0A">
        <w:rPr>
          <w:rStyle w:val="FootnoteReference"/>
        </w:rPr>
        <w:footnoteReference w:id="19"/>
      </w:r>
      <w:r>
        <w:t xml:space="preserve"> and the METT was applied to both the </w:t>
      </w:r>
      <w:proofErr w:type="spellStart"/>
      <w:r>
        <w:t>Sarychat</w:t>
      </w:r>
      <w:proofErr w:type="spellEnd"/>
      <w:r>
        <w:t xml:space="preserve"> </w:t>
      </w:r>
      <w:proofErr w:type="spellStart"/>
      <w:r>
        <w:t>Ertash</w:t>
      </w:r>
      <w:proofErr w:type="spellEnd"/>
      <w:r>
        <w:t xml:space="preserve"> </w:t>
      </w:r>
      <w:proofErr w:type="spellStart"/>
      <w:r>
        <w:t>zapovednik</w:t>
      </w:r>
      <w:proofErr w:type="spellEnd"/>
      <w:r>
        <w:t xml:space="preserve"> and the proposed Khan </w:t>
      </w:r>
      <w:proofErr w:type="spellStart"/>
      <w:r>
        <w:t>Tengri</w:t>
      </w:r>
      <w:proofErr w:type="spellEnd"/>
      <w:r>
        <w:t xml:space="preserve"> National Park</w:t>
      </w:r>
      <w:r w:rsidR="00796876">
        <w:t xml:space="preserve"> (</w:t>
      </w:r>
      <w:r w:rsidR="00880C6F">
        <w:t xml:space="preserve">as well 17 other protected areas within the country; </w:t>
      </w:r>
      <w:r w:rsidR="00796876" w:rsidRPr="00AD4EBF">
        <w:rPr>
          <w:i/>
        </w:rPr>
        <w:t>Output 1.4</w:t>
      </w:r>
      <w:r w:rsidR="00796876">
        <w:t>)</w:t>
      </w:r>
      <w:r>
        <w:t>.</w:t>
      </w:r>
    </w:p>
    <w:p w14:paraId="706738EC" w14:textId="0C886EE3" w:rsidR="000730F7" w:rsidRDefault="000730F7" w:rsidP="00AD4EBF">
      <w:pPr>
        <w:numPr>
          <w:ilvl w:val="0"/>
          <w:numId w:val="2"/>
        </w:numPr>
        <w:ind w:left="0" w:firstLine="0"/>
        <w:jc w:val="both"/>
      </w:pPr>
      <w:r>
        <w:t xml:space="preserve">There is, however, some discussion about the use of the METT – specifically for the </w:t>
      </w:r>
      <w:proofErr w:type="spellStart"/>
      <w:r>
        <w:t>Sarychat</w:t>
      </w:r>
      <w:proofErr w:type="spellEnd"/>
      <w:r>
        <w:t xml:space="preserve"> </w:t>
      </w:r>
      <w:proofErr w:type="spellStart"/>
      <w:r>
        <w:t>Ertash</w:t>
      </w:r>
      <w:proofErr w:type="spellEnd"/>
      <w:r>
        <w:t xml:space="preserve"> </w:t>
      </w:r>
      <w:proofErr w:type="spellStart"/>
      <w:r>
        <w:t>zapovednik</w:t>
      </w:r>
      <w:proofErr w:type="spellEnd"/>
      <w:r>
        <w:t xml:space="preserve">.  Because of the peculiarities of </w:t>
      </w:r>
      <w:proofErr w:type="spellStart"/>
      <w:r>
        <w:t>zapovedniks</w:t>
      </w:r>
      <w:proofErr w:type="spellEnd"/>
      <w:r>
        <w:t xml:space="preserve">, as strict nature reserves, the “normal” METT that is usually applied </w:t>
      </w:r>
      <w:r w:rsidR="00022E2A">
        <w:t xml:space="preserve">to protected areas has its limitations (because of the assumptions it makes of protected areas) and, as a result, an adapted METT has been developed by WWR-RU.  While this adapted METT make be more suitable for </w:t>
      </w:r>
      <w:proofErr w:type="spellStart"/>
      <w:r w:rsidR="00022E2A">
        <w:t>zapovedniks</w:t>
      </w:r>
      <w:proofErr w:type="spellEnd"/>
      <w:r w:rsidR="00022E2A">
        <w:t xml:space="preserve">, for the purposes of the project, </w:t>
      </w:r>
      <w:r w:rsidR="00022E2A" w:rsidRPr="00421051">
        <w:t xml:space="preserve">the (normal) METT should be applied to both the </w:t>
      </w:r>
      <w:proofErr w:type="spellStart"/>
      <w:r w:rsidR="00022E2A" w:rsidRPr="00421051">
        <w:t>Sarychat</w:t>
      </w:r>
      <w:proofErr w:type="spellEnd"/>
      <w:r w:rsidR="00022E2A" w:rsidRPr="00421051">
        <w:t xml:space="preserve"> </w:t>
      </w:r>
      <w:proofErr w:type="spellStart"/>
      <w:r w:rsidR="00022E2A" w:rsidRPr="00421051">
        <w:t>Ertash</w:t>
      </w:r>
      <w:proofErr w:type="spellEnd"/>
      <w:r w:rsidR="00022E2A" w:rsidRPr="00421051">
        <w:t xml:space="preserve"> </w:t>
      </w:r>
      <w:proofErr w:type="spellStart"/>
      <w:r w:rsidR="00022E2A" w:rsidRPr="00421051">
        <w:t>zapovednik</w:t>
      </w:r>
      <w:proofErr w:type="spellEnd"/>
      <w:r w:rsidR="00022E2A" w:rsidRPr="00421051">
        <w:t xml:space="preserve"> and the </w:t>
      </w:r>
      <w:r w:rsidR="00D6642E" w:rsidRPr="00421051">
        <w:t xml:space="preserve">Khan </w:t>
      </w:r>
      <w:proofErr w:type="spellStart"/>
      <w:r w:rsidR="00D6642E" w:rsidRPr="00421051">
        <w:t>Tengri</w:t>
      </w:r>
      <w:proofErr w:type="spellEnd"/>
      <w:r w:rsidR="00AB0E37" w:rsidRPr="00421051">
        <w:t xml:space="preserve"> National Park.</w:t>
      </w:r>
      <w:r w:rsidR="00AB0E37">
        <w:t xml:space="preserve">  In the future, the adapted METT may well be applied to all </w:t>
      </w:r>
      <w:proofErr w:type="spellStart"/>
      <w:r w:rsidR="00AB0E37">
        <w:t>zapovedniks</w:t>
      </w:r>
      <w:proofErr w:type="spellEnd"/>
      <w:r w:rsidR="00AB0E37">
        <w:t>, both within Kyrgyzstan but also elsewhere in the former Soviet Union.</w:t>
      </w:r>
    </w:p>
    <w:p w14:paraId="42C6E065" w14:textId="2EAD482A" w:rsidR="003471FD" w:rsidRDefault="003471FD" w:rsidP="00AD4EBF">
      <w:pPr>
        <w:numPr>
          <w:ilvl w:val="0"/>
          <w:numId w:val="2"/>
        </w:numPr>
        <w:ind w:left="0" w:firstLine="0"/>
        <w:jc w:val="both"/>
      </w:pPr>
      <w:r>
        <w:t xml:space="preserve">The conclusion of this section on the establishment of the park is this: </w:t>
      </w:r>
      <w:r w:rsidR="005B24EF">
        <w:t xml:space="preserve">the project has 20 months remaining and there is a huge amount of work to be done </w:t>
      </w:r>
      <w:proofErr w:type="spellStart"/>
      <w:r w:rsidR="005B24EF">
        <w:t>i</w:t>
      </w:r>
      <w:proofErr w:type="spellEnd"/>
      <w:r w:rsidR="005B24EF">
        <w:t>) if the park is to be established and ii) if the foundations that the project lays are sufficiently strong to ensure its sustainability.  This means that there should be a real sense of urgency; that does not mean, however, that shortcuts should be taken – for these will only erode the sustainability and lead to issues in the years to come.</w:t>
      </w:r>
    </w:p>
    <w:p w14:paraId="2B969764" w14:textId="4BE7C9C7" w:rsidR="00AD4EBF" w:rsidRDefault="006A3523" w:rsidP="00AD4EBF">
      <w:pPr>
        <w:numPr>
          <w:ilvl w:val="0"/>
          <w:numId w:val="2"/>
        </w:numPr>
        <w:ind w:left="0" w:firstLine="0"/>
        <w:jc w:val="both"/>
      </w:pPr>
      <w:r>
        <w:t>Under Outcome 2, there has also been progress.</w:t>
      </w:r>
    </w:p>
    <w:p w14:paraId="7434162A" w14:textId="1EFFC740" w:rsidR="00D417D6" w:rsidRDefault="00B4276B" w:rsidP="00D417D6">
      <w:pPr>
        <w:numPr>
          <w:ilvl w:val="0"/>
          <w:numId w:val="2"/>
        </w:numPr>
        <w:ind w:left="0" w:firstLine="0"/>
        <w:jc w:val="both"/>
      </w:pPr>
      <w:r>
        <w:t xml:space="preserve">The project has worked on a number of pieces of legislation (under </w:t>
      </w:r>
      <w:r w:rsidRPr="00242A65">
        <w:rPr>
          <w:i/>
        </w:rPr>
        <w:t xml:space="preserve">Output </w:t>
      </w:r>
      <w:r w:rsidR="00242A65" w:rsidRPr="00242A65">
        <w:rPr>
          <w:i/>
        </w:rPr>
        <w:t>2.1</w:t>
      </w:r>
      <w:r w:rsidR="00242A65">
        <w:t xml:space="preserve">), some of which have already been approved (see Annex </w:t>
      </w:r>
      <w:r w:rsidR="00027594">
        <w:t>V</w:t>
      </w:r>
      <w:r w:rsidR="00242A65">
        <w:t xml:space="preserve"> for a list of the legislation on which the project has been working and their status at the time of the MTR).</w:t>
      </w:r>
    </w:p>
    <w:p w14:paraId="1E5154EB" w14:textId="7CAA72CE" w:rsidR="002F5291" w:rsidRPr="00092E0B" w:rsidRDefault="00B97902" w:rsidP="002F5291">
      <w:pPr>
        <w:numPr>
          <w:ilvl w:val="0"/>
          <w:numId w:val="2"/>
        </w:numPr>
        <w:ind w:left="0" w:firstLine="0"/>
        <w:jc w:val="both"/>
      </w:pPr>
      <w:r w:rsidRPr="00092E0B">
        <w:t xml:space="preserve">One issue that the MTR encountered during the mission was the fact that the formulation appeared to be a top-down process – rather than </w:t>
      </w:r>
      <w:r w:rsidR="00092E0B" w:rsidRPr="00092E0B">
        <w:t xml:space="preserve">something that was being defined from the needs of the protected areas – thus, as a bottom up process.  Two examples were encountered to substantiate this observation: </w:t>
      </w:r>
      <w:proofErr w:type="spellStart"/>
      <w:r w:rsidR="00092E0B" w:rsidRPr="00092E0B">
        <w:t>i</w:t>
      </w:r>
      <w:proofErr w:type="spellEnd"/>
      <w:r w:rsidR="00092E0B" w:rsidRPr="00092E0B">
        <w:t xml:space="preserve">) the inclusion (or otherwise) of buffer zones within the PA legislation and ii) the possibility for pasture committees to </w:t>
      </w:r>
      <w:r w:rsidR="002F5291" w:rsidRPr="00092E0B">
        <w:t xml:space="preserve">retain ownership and control of pasture use </w:t>
      </w:r>
      <w:r w:rsidR="00092E0B" w:rsidRPr="00092E0B">
        <w:t>in pastures that are included</w:t>
      </w:r>
      <w:r w:rsidR="002F5291" w:rsidRPr="00092E0B">
        <w:t xml:space="preserve"> – bu</w:t>
      </w:r>
      <w:r w:rsidR="00092E0B" w:rsidRPr="00092E0B">
        <w:t>t not owned by – protected areas.  This has the potential to undermine the effectiveness of the protected areas.</w:t>
      </w:r>
    </w:p>
    <w:p w14:paraId="204766AE" w14:textId="55C14C3B" w:rsidR="00242A65" w:rsidRDefault="00242A65" w:rsidP="00AD4EBF">
      <w:pPr>
        <w:numPr>
          <w:ilvl w:val="0"/>
          <w:numId w:val="2"/>
        </w:numPr>
        <w:ind w:left="0" w:firstLine="0"/>
        <w:jc w:val="both"/>
      </w:pPr>
      <w:r>
        <w:t>The identification of</w:t>
      </w:r>
      <w:r w:rsidR="006F2F52">
        <w:t xml:space="preserve"> ecologically important areas surrounding</w:t>
      </w:r>
      <w:r w:rsidR="00C63760">
        <w:t xml:space="preserve"> the Khan </w:t>
      </w:r>
      <w:proofErr w:type="spellStart"/>
      <w:r w:rsidR="00C63760">
        <w:t>Tengri</w:t>
      </w:r>
      <w:proofErr w:type="spellEnd"/>
      <w:r w:rsidR="00C63760">
        <w:t xml:space="preserve"> National Park </w:t>
      </w:r>
      <w:r>
        <w:t xml:space="preserve">and ecological corridors </w:t>
      </w:r>
      <w:r w:rsidR="00C63760">
        <w:t xml:space="preserve">between the KTNP and other important areas in the vicinity – </w:t>
      </w:r>
      <w:proofErr w:type="spellStart"/>
      <w:r w:rsidR="00C63760">
        <w:t>inclusing</w:t>
      </w:r>
      <w:proofErr w:type="spellEnd"/>
      <w:r w:rsidR="00C63760">
        <w:t xml:space="preserve"> the </w:t>
      </w:r>
      <w:proofErr w:type="spellStart"/>
      <w:r w:rsidR="00C63760">
        <w:t>Sarychat</w:t>
      </w:r>
      <w:proofErr w:type="spellEnd"/>
      <w:r w:rsidR="00C63760">
        <w:t xml:space="preserve"> </w:t>
      </w:r>
      <w:proofErr w:type="spellStart"/>
      <w:r w:rsidR="00C63760">
        <w:t>Ertash</w:t>
      </w:r>
      <w:proofErr w:type="spellEnd"/>
      <w:r w:rsidR="00C63760">
        <w:t xml:space="preserve"> </w:t>
      </w:r>
      <w:proofErr w:type="spellStart"/>
      <w:r w:rsidR="00C63760">
        <w:t>zapovednik</w:t>
      </w:r>
      <w:proofErr w:type="spellEnd"/>
      <w:r w:rsidR="00C63760">
        <w:t xml:space="preserve"> – </w:t>
      </w:r>
      <w:r w:rsidR="00336432">
        <w:t>(</w:t>
      </w:r>
      <w:r w:rsidR="00336432" w:rsidRPr="00336432">
        <w:rPr>
          <w:i/>
        </w:rPr>
        <w:t>Output 2.2</w:t>
      </w:r>
      <w:r w:rsidR="00336432">
        <w:t xml:space="preserve">) </w:t>
      </w:r>
      <w:r w:rsidR="00C63760">
        <w:t xml:space="preserve">was </w:t>
      </w:r>
      <w:r>
        <w:t xml:space="preserve">carried out simultaneously with the survey work for the proposed park (see above in description of </w:t>
      </w:r>
      <w:r w:rsidRPr="00242A65">
        <w:rPr>
          <w:i/>
        </w:rPr>
        <w:t>Output 1.1</w:t>
      </w:r>
      <w:r>
        <w:t xml:space="preserve">).  </w:t>
      </w:r>
      <w:r w:rsidR="00336432" w:rsidRPr="00353593">
        <w:t>The challenge now is to ensure that</w:t>
      </w:r>
      <w:r w:rsidR="00336432">
        <w:t xml:space="preserve"> </w:t>
      </w:r>
      <w:r w:rsidR="00353593">
        <w:t xml:space="preserve">the </w:t>
      </w:r>
      <w:r w:rsidR="00102A51">
        <w:t>surrounding area</w:t>
      </w:r>
      <w:r w:rsidR="00353593">
        <w:t>s and ecological corridors achieve their defined functional roles through protection and changing human behaviours.</w:t>
      </w:r>
    </w:p>
    <w:p w14:paraId="368A5534" w14:textId="0343C499" w:rsidR="002C2652" w:rsidRDefault="00336432" w:rsidP="00AD4EBF">
      <w:pPr>
        <w:numPr>
          <w:ilvl w:val="0"/>
          <w:numId w:val="2"/>
        </w:numPr>
        <w:ind w:left="0" w:firstLine="0"/>
        <w:jc w:val="both"/>
      </w:pPr>
      <w:r w:rsidRPr="00622292">
        <w:t xml:space="preserve">The next result targeted by the project was mainstreaming biodiversity conservation into the “territorial land use plans” of the </w:t>
      </w:r>
      <w:r w:rsidR="002C2652" w:rsidRPr="00622292">
        <w:t>two</w:t>
      </w:r>
      <w:r w:rsidR="00D91CBD" w:rsidRPr="00622292">
        <w:t xml:space="preserve"> </w:t>
      </w:r>
      <w:proofErr w:type="spellStart"/>
      <w:r w:rsidR="00D91CBD" w:rsidRPr="00622292">
        <w:t>rayons</w:t>
      </w:r>
      <w:proofErr w:type="spellEnd"/>
      <w:r w:rsidR="00D91CBD" w:rsidRPr="00622292">
        <w:t xml:space="preserve"> that are adjacent to the proposed national park (</w:t>
      </w:r>
      <w:r w:rsidR="00D91CBD" w:rsidRPr="00622292">
        <w:rPr>
          <w:i/>
        </w:rPr>
        <w:t>Output 2.3</w:t>
      </w:r>
      <w:r w:rsidR="00D91CBD" w:rsidRPr="00622292">
        <w:t xml:space="preserve">).  </w:t>
      </w:r>
      <w:r w:rsidR="002C2652" w:rsidRPr="00622292">
        <w:t>Here, the p</w:t>
      </w:r>
      <w:r w:rsidR="00C63760" w:rsidRPr="00622292">
        <w:t xml:space="preserve">roject developed a Programme and an Action Plan of Transition to Sustainable Development of the Ecological and Economic System of Issyk-Kul for 2015-2017 that </w:t>
      </w:r>
      <w:proofErr w:type="gramStart"/>
      <w:r w:rsidR="00C63760" w:rsidRPr="00622292">
        <w:t>contain</w:t>
      </w:r>
      <w:proofErr w:type="gramEnd"/>
      <w:r w:rsidR="00C63760" w:rsidRPr="00622292">
        <w:t xml:space="preserve"> elements of mainstreaming biodiversity conservation issues into economic development. The</w:t>
      </w:r>
      <w:r w:rsidR="002C2652" w:rsidRPr="00622292">
        <w:t xml:space="preserve"> Programme and Action Plan were, thereafter, </w:t>
      </w:r>
      <w:r w:rsidR="00C63760" w:rsidRPr="00622292">
        <w:t xml:space="preserve">integrated </w:t>
      </w:r>
      <w:r w:rsidR="002C2652" w:rsidRPr="00622292">
        <w:t>in</w:t>
      </w:r>
      <w:r w:rsidR="00C63760" w:rsidRPr="00622292">
        <w:t xml:space="preserve"> the Sustainable Development Strategy of the Issyk-Kul </w:t>
      </w:r>
      <w:r w:rsidR="002C2652" w:rsidRPr="00622292">
        <w:t xml:space="preserve">oblast for the period </w:t>
      </w:r>
      <w:r w:rsidR="00C63760" w:rsidRPr="00622292">
        <w:t>2015-2017</w:t>
      </w:r>
      <w:r w:rsidR="002C2652" w:rsidRPr="00622292">
        <w:t xml:space="preserve"> and the Strategy and Action Plan were approved</w:t>
      </w:r>
      <w:r w:rsidR="002C2652" w:rsidRPr="00622292">
        <w:rPr>
          <w:rStyle w:val="FootnoteReference"/>
        </w:rPr>
        <w:footnoteReference w:id="20"/>
      </w:r>
      <w:r w:rsidR="002C2652" w:rsidRPr="00622292">
        <w:t>.</w:t>
      </w:r>
    </w:p>
    <w:p w14:paraId="04E8362B" w14:textId="7D9568EF" w:rsidR="000E10AD" w:rsidRPr="002C36FB" w:rsidRDefault="000E10AD" w:rsidP="00901439">
      <w:pPr>
        <w:numPr>
          <w:ilvl w:val="0"/>
          <w:numId w:val="2"/>
        </w:numPr>
        <w:ind w:left="0" w:firstLine="0"/>
        <w:jc w:val="both"/>
      </w:pPr>
      <w:r>
        <w:t>With respect to the development of natural resource use agreements (</w:t>
      </w:r>
      <w:r w:rsidRPr="000E10AD">
        <w:rPr>
          <w:i/>
        </w:rPr>
        <w:t>Output 2.4</w:t>
      </w:r>
      <w:r>
        <w:t>) and alternative livelihoods for local communities (</w:t>
      </w:r>
      <w:r w:rsidRPr="000E10AD">
        <w:rPr>
          <w:i/>
        </w:rPr>
        <w:t>Output 2.5</w:t>
      </w:r>
      <w:r>
        <w:t>), the project has carried out socio-economic surveys of a sample from the local communities (</w:t>
      </w:r>
      <w:r w:rsidRPr="005219DD">
        <w:rPr>
          <w:i/>
        </w:rPr>
        <w:t>n</w:t>
      </w:r>
      <w:r w:rsidR="005219DD">
        <w:t xml:space="preserve">=1,383 households, a </w:t>
      </w:r>
      <w:r w:rsidR="00E8552A">
        <w:t>14.6</w:t>
      </w:r>
      <w:r w:rsidR="005219DD">
        <w:t xml:space="preserve">% sample of the total of </w:t>
      </w:r>
      <w:r w:rsidR="00E8552A">
        <w:t>9,493</w:t>
      </w:r>
      <w:r w:rsidR="005219DD">
        <w:t xml:space="preserve"> households)</w:t>
      </w:r>
      <w:r w:rsidR="00E54F5D">
        <w:t xml:space="preserve">.  The MTR was unable to evaluate the methodology of the survey or the results and, in particular, their usefulness for developing a number of indicators and targets for the livelihood work that is proposed under the project.  </w:t>
      </w:r>
      <w:r w:rsidR="00E54F5D" w:rsidRPr="002C36FB">
        <w:t xml:space="preserve">It is important that the project considers the direction in which the livelihoods work will go and the outcomes that </w:t>
      </w:r>
      <w:r w:rsidR="00901439" w:rsidRPr="002C36FB">
        <w:t>should be achieved through this work; the outcomes should not be perverse and inadvertently result is further pressure on natural resources or destruction of the environment – as is so often the case with “alternative livelihood” programmes.</w:t>
      </w:r>
    </w:p>
    <w:p w14:paraId="06034F4A" w14:textId="34B9E514" w:rsidR="007D5B49" w:rsidRDefault="00F91974" w:rsidP="007D5B49">
      <w:pPr>
        <w:numPr>
          <w:ilvl w:val="0"/>
          <w:numId w:val="2"/>
        </w:numPr>
        <w:ind w:left="0" w:firstLine="0"/>
        <w:jc w:val="both"/>
      </w:pPr>
      <w:r>
        <w:t>As would be expected, a number of the activities have not yet started (e.g., vocational training for PA staff in cooperation with WWF</w:t>
      </w:r>
      <w:r w:rsidR="00401FE0">
        <w:t xml:space="preserve"> – Output 1.3</w:t>
      </w:r>
      <w:r>
        <w:t xml:space="preserve">; procurement of equipment for the Khan </w:t>
      </w:r>
      <w:proofErr w:type="spellStart"/>
      <w:r>
        <w:t>Tengri</w:t>
      </w:r>
      <w:proofErr w:type="spellEnd"/>
      <w:r>
        <w:t xml:space="preserve"> National Park</w:t>
      </w:r>
      <w:r w:rsidR="00401FE0">
        <w:t xml:space="preserve"> – under Output 1.2</w:t>
      </w:r>
      <w:r>
        <w:t xml:space="preserve">, </w:t>
      </w:r>
      <w:r w:rsidR="00D231AE">
        <w:t>securing natural resource use agreements with local communities</w:t>
      </w:r>
      <w:r w:rsidR="00401FE0">
        <w:t xml:space="preserve"> – Output 2.4</w:t>
      </w:r>
      <w:r w:rsidR="00D231AE">
        <w:t>, implementing alternative livelihood programmes for local communities</w:t>
      </w:r>
      <w:r w:rsidR="00401FE0">
        <w:t xml:space="preserve"> – Output 2.5, replicating the mainstreaming practices of Output 2.3 elsewhere in the </w:t>
      </w:r>
      <w:proofErr w:type="spellStart"/>
      <w:r w:rsidR="00401FE0">
        <w:t>Tian</w:t>
      </w:r>
      <w:proofErr w:type="spellEnd"/>
      <w:r w:rsidR="00401FE0">
        <w:t xml:space="preserve"> Shan Mountains</w:t>
      </w:r>
      <w:r>
        <w:t>) as these largely await the establishment o</w:t>
      </w:r>
      <w:r w:rsidR="00D231AE">
        <w:t xml:space="preserve">f the Khan </w:t>
      </w:r>
      <w:proofErr w:type="spellStart"/>
      <w:r w:rsidR="00D231AE">
        <w:t>Tengri</w:t>
      </w:r>
      <w:proofErr w:type="spellEnd"/>
      <w:r w:rsidR="00D231AE">
        <w:t xml:space="preserve"> National Park – but some, such as the work with the communities, need not wait for the establishment of the park.</w:t>
      </w:r>
    </w:p>
    <w:p w14:paraId="4622ECB4" w14:textId="77777777" w:rsidR="000640F9" w:rsidRDefault="00FD0C0D" w:rsidP="000640F9">
      <w:pPr>
        <w:numPr>
          <w:ilvl w:val="0"/>
          <w:numId w:val="2"/>
        </w:numPr>
        <w:ind w:left="0" w:firstLine="0"/>
        <w:jc w:val="both"/>
      </w:pPr>
      <w:r>
        <w:t xml:space="preserve">In addition to these targeted gains, there were some unplanned, inadvertent outcomes.  </w:t>
      </w:r>
      <w:r w:rsidR="004A2150">
        <w:t>As examples, first, d</w:t>
      </w:r>
      <w:r>
        <w:t>espite the mistrust of the government (an</w:t>
      </w:r>
      <w:r w:rsidR="009A6DAE">
        <w:t xml:space="preserve">d most specifically the SAEPF) described above, the project has acted as a bridge between the local communities structures (the </w:t>
      </w:r>
      <w:proofErr w:type="spellStart"/>
      <w:r w:rsidR="009A6DAE" w:rsidRPr="009A6DAE">
        <w:rPr>
          <w:i/>
        </w:rPr>
        <w:t>aiyl</w:t>
      </w:r>
      <w:proofErr w:type="spellEnd"/>
      <w:r w:rsidR="009A6DAE" w:rsidRPr="009A6DAE">
        <w:rPr>
          <w:i/>
        </w:rPr>
        <w:t xml:space="preserve"> </w:t>
      </w:r>
      <w:proofErr w:type="spellStart"/>
      <w:r w:rsidR="009A6DAE" w:rsidRPr="009A6DAE">
        <w:rPr>
          <w:i/>
        </w:rPr>
        <w:t>okmotu</w:t>
      </w:r>
      <w:proofErr w:type="spellEnd"/>
      <w:r w:rsidR="009A6DAE">
        <w:t xml:space="preserve"> and deputies) and the formal government structures (the rayon and oblast</w:t>
      </w:r>
      <w:r w:rsidR="00292E3C">
        <w:t xml:space="preserve">), engendering </w:t>
      </w:r>
      <w:r w:rsidR="00EB5F28">
        <w:t>communication and building trust.  Second, the recruitment of the freelance inspectors was</w:t>
      </w:r>
      <w:r w:rsidR="00936295">
        <w:t xml:space="preserve"> </w:t>
      </w:r>
      <w:r w:rsidR="00EB5F28">
        <w:t xml:space="preserve">primarily to improve law enforcement.  However, they were recruited directly from the local communities and, as such, are trusted by those communities.  </w:t>
      </w:r>
      <w:r w:rsidR="00223BF1">
        <w:t>As a result, they have been approached by the community</w:t>
      </w:r>
      <w:r w:rsidR="009123AC">
        <w:t xml:space="preserve"> for clarifications and, as a result, have become the primary advocates for the establishment of the park.</w:t>
      </w:r>
    </w:p>
    <w:p w14:paraId="31F7105D" w14:textId="24660199" w:rsidR="000640F9" w:rsidRDefault="000640F9" w:rsidP="000640F9">
      <w:pPr>
        <w:numPr>
          <w:ilvl w:val="0"/>
          <w:numId w:val="2"/>
        </w:numPr>
        <w:ind w:left="0" w:firstLine="0"/>
        <w:jc w:val="both"/>
      </w:pPr>
      <w:r>
        <w:t>There was one issue that was brought up on a number of occasions durin</w:t>
      </w:r>
      <w:r w:rsidR="001D5172">
        <w:t>g</w:t>
      </w:r>
      <w:r>
        <w:t xml:space="preserve"> the MTR mission in Kyrgyzstan: this was of an electronic database.  The rationale for this database was not fully explained and, as a cons</w:t>
      </w:r>
      <w:r w:rsidR="002B0760">
        <w:t>equence, not fully understood but it sounded rather confused and uncoordinated, and that some form of forum bringing together the actors to ensure cooperation and coordination was necessary.</w:t>
      </w:r>
    </w:p>
    <w:p w14:paraId="6A54A215" w14:textId="7C7FE544" w:rsidR="004F3057" w:rsidRDefault="00354B39" w:rsidP="004F3057">
      <w:pPr>
        <w:numPr>
          <w:ilvl w:val="0"/>
          <w:numId w:val="2"/>
        </w:numPr>
        <w:ind w:left="0" w:firstLine="0"/>
        <w:jc w:val="both"/>
      </w:pPr>
      <w:r>
        <w:t xml:space="preserve">In the paragraphs above, some of the mistakes, miscommunication and other misgivings have been described, as appropriate.  One further aspect should be discussed: the management of trophy hunting.  Trophy hunting is </w:t>
      </w:r>
      <w:r w:rsidR="0098416B">
        <w:t xml:space="preserve">briefly </w:t>
      </w:r>
      <w:r>
        <w:t xml:space="preserve">mentioned in the </w:t>
      </w:r>
      <w:proofErr w:type="spellStart"/>
      <w:r>
        <w:t>Prodoc</w:t>
      </w:r>
      <w:proofErr w:type="spellEnd"/>
      <w:r>
        <w:t xml:space="preserve"> (under </w:t>
      </w:r>
      <w:r w:rsidRPr="0098416B">
        <w:rPr>
          <w:i/>
        </w:rPr>
        <w:t xml:space="preserve">Output </w:t>
      </w:r>
      <w:r w:rsidR="0098416B" w:rsidRPr="0098416B">
        <w:rPr>
          <w:i/>
        </w:rPr>
        <w:t>2.4</w:t>
      </w:r>
      <w:r w:rsidR="0098416B" w:rsidRPr="0098416B">
        <w:t>)</w:t>
      </w:r>
      <w:r w:rsidR="0098416B">
        <w:t xml:space="preserve"> but it is included as an indicator </w:t>
      </w:r>
      <w:r w:rsidR="0098416B" w:rsidRPr="0098416B">
        <w:t xml:space="preserve">in the project’s results framework (“Better management of hunting in buffers and corridors as reflected in </w:t>
      </w:r>
      <w:proofErr w:type="spellStart"/>
      <w:r w:rsidR="0098416B" w:rsidRPr="0098416B">
        <w:t>percent</w:t>
      </w:r>
      <w:proofErr w:type="spellEnd"/>
      <w:r w:rsidR="0098416B" w:rsidRPr="0098416B">
        <w:t xml:space="preserve"> of trophy hunting that is controlled and monitored”)</w:t>
      </w:r>
      <w:r w:rsidR="0098416B">
        <w:t xml:space="preserve">.  With the overwhelming focus that the project has adopted towards the establishment of Khan </w:t>
      </w:r>
      <w:proofErr w:type="spellStart"/>
      <w:r w:rsidR="0098416B">
        <w:t>Tengri</w:t>
      </w:r>
      <w:proofErr w:type="spellEnd"/>
      <w:r w:rsidR="0098416B">
        <w:t xml:space="preserve"> National Park, </w:t>
      </w:r>
      <w:r w:rsidR="00960BB1">
        <w:t xml:space="preserve">improved management of the trophy hunting industry has been somewhat </w:t>
      </w:r>
      <w:proofErr w:type="gramStart"/>
      <w:r w:rsidR="005C0960">
        <w:t>side-lined</w:t>
      </w:r>
      <w:proofErr w:type="gramEnd"/>
      <w:r w:rsidR="00960BB1">
        <w:t xml:space="preserve">.  </w:t>
      </w:r>
      <w:r w:rsidR="005C0960">
        <w:t xml:space="preserve">Indeed, from the outset, the </w:t>
      </w:r>
      <w:proofErr w:type="spellStart"/>
      <w:r w:rsidR="005C0960">
        <w:t>Prodoc</w:t>
      </w:r>
      <w:proofErr w:type="spellEnd"/>
      <w:r w:rsidR="005C0960">
        <w:t xml:space="preserve"> wholly underestimates the work that is required to improve management within the trophy hunting industry.  Globally, this industry is wracked with corruption, abuse and mismanagement.  From the accounts of interviewees, it </w:t>
      </w:r>
      <w:r w:rsidR="00D07156">
        <w:t xml:space="preserve">is unlikely that Kyrgyzstan is any different.  Dealing with these issues and improving the management of the trophy hunting industry is an enormous task and one that been profoundly underestimated in the few references in the </w:t>
      </w:r>
      <w:proofErr w:type="spellStart"/>
      <w:r w:rsidR="00D07156">
        <w:t>Prodoc</w:t>
      </w:r>
      <w:proofErr w:type="spellEnd"/>
      <w:r w:rsidR="00D07156">
        <w:t xml:space="preserve">.  It is an issue that warrants a project </w:t>
      </w:r>
      <w:r w:rsidR="00E9211D">
        <w:t xml:space="preserve">in and of </w:t>
      </w:r>
      <w:proofErr w:type="gramStart"/>
      <w:r w:rsidR="00E9211D">
        <w:t>itself</w:t>
      </w:r>
      <w:proofErr w:type="gramEnd"/>
      <w:r w:rsidR="00E9211D">
        <w:t xml:space="preserve">; </w:t>
      </w:r>
      <w:r w:rsidR="00E9211D" w:rsidRPr="002C36FB">
        <w:t>dealing with it in a complete and satisfactory way is quite beyond this project.</w:t>
      </w:r>
    </w:p>
    <w:tbl>
      <w:tblPr>
        <w:tblStyle w:val="TableGrid"/>
        <w:tblW w:w="0" w:type="auto"/>
        <w:tblLayout w:type="fixed"/>
        <w:tblLook w:val="04A0" w:firstRow="1" w:lastRow="0" w:firstColumn="1" w:lastColumn="0" w:noHBand="0" w:noVBand="1"/>
      </w:tblPr>
      <w:tblGrid>
        <w:gridCol w:w="1668"/>
        <w:gridCol w:w="1275"/>
        <w:gridCol w:w="851"/>
        <w:gridCol w:w="4728"/>
      </w:tblGrid>
      <w:tr w:rsidR="00887486" w:rsidRPr="00FF6383" w14:paraId="24540BEE" w14:textId="77777777" w:rsidTr="006D37D3">
        <w:trPr>
          <w:tblHeader/>
        </w:trPr>
        <w:tc>
          <w:tcPr>
            <w:tcW w:w="1668" w:type="dxa"/>
            <w:shd w:val="clear" w:color="auto" w:fill="D9D9D9" w:themeFill="background1" w:themeFillShade="D9"/>
          </w:tcPr>
          <w:p w14:paraId="6590A26A" w14:textId="77777777" w:rsidR="00887486" w:rsidRPr="00FF6383" w:rsidRDefault="00887486" w:rsidP="006D37D3">
            <w:pPr>
              <w:rPr>
                <w:b/>
                <w:sz w:val="18"/>
                <w:szCs w:val="18"/>
              </w:rPr>
            </w:pPr>
            <w:r w:rsidRPr="00FF6383">
              <w:rPr>
                <w:b/>
                <w:sz w:val="18"/>
                <w:szCs w:val="18"/>
              </w:rPr>
              <w:t>Measure</w:t>
            </w:r>
          </w:p>
        </w:tc>
        <w:tc>
          <w:tcPr>
            <w:tcW w:w="1275" w:type="dxa"/>
            <w:shd w:val="clear" w:color="auto" w:fill="D9D9D9" w:themeFill="background1" w:themeFillShade="D9"/>
          </w:tcPr>
          <w:p w14:paraId="78B39991" w14:textId="77777777" w:rsidR="00887486" w:rsidRPr="00FF6383" w:rsidRDefault="00887486" w:rsidP="006D37D3">
            <w:pPr>
              <w:rPr>
                <w:b/>
                <w:sz w:val="18"/>
                <w:szCs w:val="18"/>
              </w:rPr>
            </w:pPr>
          </w:p>
        </w:tc>
        <w:tc>
          <w:tcPr>
            <w:tcW w:w="851" w:type="dxa"/>
            <w:shd w:val="clear" w:color="auto" w:fill="D9D9D9" w:themeFill="background1" w:themeFillShade="D9"/>
          </w:tcPr>
          <w:p w14:paraId="1D174072" w14:textId="77777777" w:rsidR="00887486" w:rsidRPr="00FF6383" w:rsidRDefault="00887486" w:rsidP="006D37D3">
            <w:pPr>
              <w:jc w:val="center"/>
              <w:rPr>
                <w:b/>
                <w:sz w:val="18"/>
                <w:szCs w:val="18"/>
              </w:rPr>
            </w:pPr>
            <w:r w:rsidRPr="00FF6383">
              <w:rPr>
                <w:b/>
                <w:sz w:val="18"/>
                <w:szCs w:val="18"/>
              </w:rPr>
              <w:t>MTR Rating</w:t>
            </w:r>
          </w:p>
        </w:tc>
        <w:tc>
          <w:tcPr>
            <w:tcW w:w="4728" w:type="dxa"/>
            <w:shd w:val="clear" w:color="auto" w:fill="D9D9D9" w:themeFill="background1" w:themeFillShade="D9"/>
          </w:tcPr>
          <w:p w14:paraId="20101721" w14:textId="77777777" w:rsidR="00887486" w:rsidRPr="00FF6383" w:rsidRDefault="00887486" w:rsidP="006D37D3">
            <w:pPr>
              <w:rPr>
                <w:b/>
                <w:sz w:val="18"/>
                <w:szCs w:val="18"/>
              </w:rPr>
            </w:pPr>
            <w:r w:rsidRPr="00FF6383">
              <w:rPr>
                <w:b/>
                <w:sz w:val="18"/>
                <w:szCs w:val="18"/>
              </w:rPr>
              <w:t>Achievement Description</w:t>
            </w:r>
          </w:p>
        </w:tc>
      </w:tr>
      <w:tr w:rsidR="00887486" w:rsidRPr="00FF6383" w14:paraId="434772AF" w14:textId="77777777" w:rsidTr="006D37D3">
        <w:tc>
          <w:tcPr>
            <w:tcW w:w="1668" w:type="dxa"/>
            <w:shd w:val="clear" w:color="auto" w:fill="D9D9D9" w:themeFill="background1" w:themeFillShade="D9"/>
          </w:tcPr>
          <w:p w14:paraId="07E80565" w14:textId="77777777" w:rsidR="00887486" w:rsidRPr="00FF6383" w:rsidRDefault="00887486" w:rsidP="006D37D3">
            <w:pPr>
              <w:rPr>
                <w:b/>
                <w:sz w:val="18"/>
                <w:szCs w:val="18"/>
              </w:rPr>
            </w:pPr>
            <w:r w:rsidRPr="00FF6383">
              <w:rPr>
                <w:b/>
                <w:sz w:val="18"/>
                <w:szCs w:val="18"/>
              </w:rPr>
              <w:t>Progress towards Results</w:t>
            </w:r>
          </w:p>
        </w:tc>
        <w:tc>
          <w:tcPr>
            <w:tcW w:w="1275" w:type="dxa"/>
            <w:shd w:val="clear" w:color="auto" w:fill="D9D9D9" w:themeFill="background1" w:themeFillShade="D9"/>
          </w:tcPr>
          <w:p w14:paraId="6B2399AE" w14:textId="77777777" w:rsidR="00887486" w:rsidRPr="00FF6383" w:rsidRDefault="00887486" w:rsidP="006D37D3">
            <w:pPr>
              <w:rPr>
                <w:b/>
                <w:sz w:val="18"/>
                <w:szCs w:val="18"/>
              </w:rPr>
            </w:pPr>
            <w:r w:rsidRPr="00FF6383">
              <w:rPr>
                <w:b/>
                <w:sz w:val="18"/>
                <w:szCs w:val="18"/>
              </w:rPr>
              <w:t>Objective</w:t>
            </w:r>
          </w:p>
        </w:tc>
        <w:tc>
          <w:tcPr>
            <w:tcW w:w="851" w:type="dxa"/>
          </w:tcPr>
          <w:p w14:paraId="4FCB8592" w14:textId="77777777" w:rsidR="00887486" w:rsidRPr="00FF6383" w:rsidRDefault="00887486" w:rsidP="006D37D3">
            <w:pPr>
              <w:jc w:val="center"/>
              <w:rPr>
                <w:b/>
                <w:sz w:val="18"/>
                <w:szCs w:val="18"/>
              </w:rPr>
            </w:pPr>
            <w:r>
              <w:rPr>
                <w:b/>
                <w:sz w:val="18"/>
                <w:szCs w:val="18"/>
              </w:rPr>
              <w:t>MS</w:t>
            </w:r>
          </w:p>
        </w:tc>
        <w:tc>
          <w:tcPr>
            <w:tcW w:w="4728" w:type="dxa"/>
          </w:tcPr>
          <w:p w14:paraId="4DD01877" w14:textId="77777777" w:rsidR="00887486" w:rsidRPr="00FF6383" w:rsidRDefault="00887486" w:rsidP="006D37D3">
            <w:pPr>
              <w:rPr>
                <w:sz w:val="18"/>
                <w:szCs w:val="18"/>
              </w:rPr>
            </w:pPr>
            <w:r>
              <w:rPr>
                <w:sz w:val="18"/>
                <w:szCs w:val="18"/>
              </w:rPr>
              <w:t xml:space="preserve">While good, overall progress has been made, the project still has far to go before it achieves the project’s objective: the coverage of protected areas has yet to be increased; until the Khan </w:t>
            </w:r>
            <w:proofErr w:type="spellStart"/>
            <w:r>
              <w:rPr>
                <w:sz w:val="18"/>
                <w:szCs w:val="18"/>
              </w:rPr>
              <w:t>Tengri</w:t>
            </w:r>
            <w:proofErr w:type="spellEnd"/>
            <w:r>
              <w:rPr>
                <w:sz w:val="18"/>
                <w:szCs w:val="18"/>
              </w:rPr>
              <w:t xml:space="preserve"> National Park is established, management effectiveness cannot be significantly increased and the project has done little to improve the management of </w:t>
            </w:r>
            <w:proofErr w:type="spellStart"/>
            <w:r>
              <w:rPr>
                <w:sz w:val="18"/>
                <w:szCs w:val="18"/>
              </w:rPr>
              <w:t>Sarychat</w:t>
            </w:r>
            <w:proofErr w:type="spellEnd"/>
            <w:r>
              <w:rPr>
                <w:sz w:val="18"/>
                <w:szCs w:val="18"/>
              </w:rPr>
              <w:t xml:space="preserve"> </w:t>
            </w:r>
            <w:proofErr w:type="spellStart"/>
            <w:r>
              <w:rPr>
                <w:sz w:val="18"/>
                <w:szCs w:val="18"/>
              </w:rPr>
              <w:t>Ertash</w:t>
            </w:r>
            <w:proofErr w:type="spellEnd"/>
            <w:r>
              <w:rPr>
                <w:sz w:val="18"/>
                <w:szCs w:val="18"/>
              </w:rPr>
              <w:t xml:space="preserve"> </w:t>
            </w:r>
            <w:proofErr w:type="spellStart"/>
            <w:r>
              <w:rPr>
                <w:sz w:val="18"/>
                <w:szCs w:val="18"/>
              </w:rPr>
              <w:t>zapovednik</w:t>
            </w:r>
            <w:proofErr w:type="spellEnd"/>
            <w:r>
              <w:rPr>
                <w:sz w:val="18"/>
                <w:szCs w:val="18"/>
              </w:rPr>
              <w:t xml:space="preserve">; the management of the corridors and buffers has not changed since the inception of the project with the exception of the integration of biodiversity in </w:t>
            </w:r>
            <w:proofErr w:type="spellStart"/>
            <w:r>
              <w:rPr>
                <w:sz w:val="18"/>
                <w:szCs w:val="18"/>
              </w:rPr>
              <w:t>Issyl</w:t>
            </w:r>
            <w:proofErr w:type="spellEnd"/>
            <w:r>
              <w:rPr>
                <w:sz w:val="18"/>
                <w:szCs w:val="18"/>
              </w:rPr>
              <w:t xml:space="preserve"> </w:t>
            </w:r>
            <w:proofErr w:type="spellStart"/>
            <w:r>
              <w:rPr>
                <w:sz w:val="18"/>
                <w:szCs w:val="18"/>
              </w:rPr>
              <w:t>Kul’s</w:t>
            </w:r>
            <w:proofErr w:type="spellEnd"/>
            <w:r>
              <w:rPr>
                <w:sz w:val="18"/>
                <w:szCs w:val="18"/>
              </w:rPr>
              <w:t xml:space="preserve"> development framework and the recruitment of nine “freelance” inspectors.  The livelihoods work has not yet started.  Impact is negligible.</w:t>
            </w:r>
          </w:p>
        </w:tc>
      </w:tr>
      <w:tr w:rsidR="00887486" w:rsidRPr="00FF6383" w14:paraId="0C4E1B2C" w14:textId="77777777" w:rsidTr="006D37D3">
        <w:tc>
          <w:tcPr>
            <w:tcW w:w="1668" w:type="dxa"/>
            <w:shd w:val="clear" w:color="auto" w:fill="D9D9D9" w:themeFill="background1" w:themeFillShade="D9"/>
          </w:tcPr>
          <w:p w14:paraId="27077B2B" w14:textId="77777777" w:rsidR="00887486" w:rsidRPr="00FF6383" w:rsidRDefault="00887486" w:rsidP="006D37D3">
            <w:pPr>
              <w:rPr>
                <w:b/>
                <w:sz w:val="18"/>
                <w:szCs w:val="18"/>
              </w:rPr>
            </w:pPr>
          </w:p>
        </w:tc>
        <w:tc>
          <w:tcPr>
            <w:tcW w:w="1275" w:type="dxa"/>
            <w:shd w:val="clear" w:color="auto" w:fill="D9D9D9" w:themeFill="background1" w:themeFillShade="D9"/>
          </w:tcPr>
          <w:p w14:paraId="650CE10F" w14:textId="77777777" w:rsidR="00887486" w:rsidRPr="00FF6383" w:rsidRDefault="00887486" w:rsidP="006D37D3">
            <w:pPr>
              <w:rPr>
                <w:b/>
                <w:sz w:val="18"/>
                <w:szCs w:val="18"/>
              </w:rPr>
            </w:pPr>
            <w:r w:rsidRPr="00FF6383">
              <w:rPr>
                <w:b/>
                <w:sz w:val="18"/>
                <w:szCs w:val="18"/>
              </w:rPr>
              <w:t>Outcome 1</w:t>
            </w:r>
          </w:p>
        </w:tc>
        <w:tc>
          <w:tcPr>
            <w:tcW w:w="851" w:type="dxa"/>
          </w:tcPr>
          <w:p w14:paraId="3A22DE62" w14:textId="77777777" w:rsidR="00887486" w:rsidRPr="00FF6383" w:rsidRDefault="00887486" w:rsidP="006D37D3">
            <w:pPr>
              <w:jc w:val="center"/>
              <w:rPr>
                <w:b/>
                <w:sz w:val="18"/>
                <w:szCs w:val="18"/>
              </w:rPr>
            </w:pPr>
            <w:r>
              <w:rPr>
                <w:b/>
                <w:sz w:val="18"/>
                <w:szCs w:val="18"/>
              </w:rPr>
              <w:t>S</w:t>
            </w:r>
          </w:p>
        </w:tc>
        <w:tc>
          <w:tcPr>
            <w:tcW w:w="4728" w:type="dxa"/>
          </w:tcPr>
          <w:p w14:paraId="66BA1896" w14:textId="77777777" w:rsidR="00887486" w:rsidRPr="00FF6383" w:rsidRDefault="00887486" w:rsidP="006D37D3">
            <w:pPr>
              <w:rPr>
                <w:sz w:val="18"/>
                <w:szCs w:val="18"/>
              </w:rPr>
            </w:pPr>
            <w:r>
              <w:rPr>
                <w:sz w:val="18"/>
                <w:szCs w:val="18"/>
              </w:rPr>
              <w:t xml:space="preserve">Outcome 1 is largely reflective of the project’s objective and the project has focused the greater part of its attention on the establishment of the KTNP.  In this, it has followed all due process albeit in a rather measured and painstaking way.  The progress was halted by the obstruction by the </w:t>
            </w:r>
            <w:proofErr w:type="spellStart"/>
            <w:r>
              <w:rPr>
                <w:sz w:val="18"/>
                <w:szCs w:val="18"/>
              </w:rPr>
              <w:t>Otradnoe</w:t>
            </w:r>
            <w:proofErr w:type="spellEnd"/>
            <w:r>
              <w:rPr>
                <w:sz w:val="18"/>
                <w:szCs w:val="18"/>
              </w:rPr>
              <w:t xml:space="preserve"> </w:t>
            </w:r>
            <w:proofErr w:type="spellStart"/>
            <w:r w:rsidRPr="00B57043">
              <w:rPr>
                <w:i/>
                <w:sz w:val="18"/>
                <w:szCs w:val="18"/>
              </w:rPr>
              <w:t>aiyl</w:t>
            </w:r>
            <w:proofErr w:type="spellEnd"/>
            <w:r w:rsidRPr="00B57043">
              <w:rPr>
                <w:i/>
                <w:sz w:val="18"/>
                <w:szCs w:val="18"/>
              </w:rPr>
              <w:t xml:space="preserve"> </w:t>
            </w:r>
            <w:proofErr w:type="spellStart"/>
            <w:r w:rsidRPr="00B57043">
              <w:rPr>
                <w:i/>
                <w:sz w:val="18"/>
                <w:szCs w:val="18"/>
              </w:rPr>
              <w:t>okmotu</w:t>
            </w:r>
            <w:proofErr w:type="spellEnd"/>
            <w:r>
              <w:rPr>
                <w:sz w:val="18"/>
                <w:szCs w:val="18"/>
              </w:rPr>
              <w:t xml:space="preserve">, and the project and government’s efforts to persuade this community has been rather heavy handed.  A change of approach (as proposed in Section 5.2.1) is necessary.  However, everything is otherwise prepared for the establishment of the park. </w:t>
            </w:r>
          </w:p>
        </w:tc>
      </w:tr>
      <w:tr w:rsidR="00887486" w:rsidRPr="00FF6383" w14:paraId="47C52A27" w14:textId="77777777" w:rsidTr="006D37D3">
        <w:tc>
          <w:tcPr>
            <w:tcW w:w="1668" w:type="dxa"/>
            <w:shd w:val="clear" w:color="auto" w:fill="D9D9D9" w:themeFill="background1" w:themeFillShade="D9"/>
          </w:tcPr>
          <w:p w14:paraId="2B7510F2" w14:textId="77777777" w:rsidR="00887486" w:rsidRPr="00FF6383" w:rsidRDefault="00887486" w:rsidP="006D37D3">
            <w:pPr>
              <w:rPr>
                <w:b/>
                <w:sz w:val="18"/>
                <w:szCs w:val="18"/>
              </w:rPr>
            </w:pPr>
          </w:p>
        </w:tc>
        <w:tc>
          <w:tcPr>
            <w:tcW w:w="1275" w:type="dxa"/>
            <w:shd w:val="clear" w:color="auto" w:fill="D9D9D9" w:themeFill="background1" w:themeFillShade="D9"/>
          </w:tcPr>
          <w:p w14:paraId="4517E2F7" w14:textId="77777777" w:rsidR="00887486" w:rsidRPr="00FF6383" w:rsidRDefault="00887486" w:rsidP="006D37D3">
            <w:pPr>
              <w:rPr>
                <w:b/>
                <w:sz w:val="18"/>
                <w:szCs w:val="18"/>
              </w:rPr>
            </w:pPr>
            <w:r w:rsidRPr="00FF6383">
              <w:rPr>
                <w:b/>
                <w:sz w:val="18"/>
                <w:szCs w:val="18"/>
              </w:rPr>
              <w:t>Outcome 2</w:t>
            </w:r>
          </w:p>
        </w:tc>
        <w:tc>
          <w:tcPr>
            <w:tcW w:w="851" w:type="dxa"/>
          </w:tcPr>
          <w:p w14:paraId="406AE969" w14:textId="77777777" w:rsidR="00887486" w:rsidRPr="00FF6383" w:rsidRDefault="00887486" w:rsidP="006D37D3">
            <w:pPr>
              <w:jc w:val="center"/>
              <w:rPr>
                <w:b/>
                <w:sz w:val="18"/>
                <w:szCs w:val="18"/>
              </w:rPr>
            </w:pPr>
            <w:r>
              <w:rPr>
                <w:b/>
                <w:sz w:val="18"/>
                <w:szCs w:val="18"/>
              </w:rPr>
              <w:t>MS</w:t>
            </w:r>
          </w:p>
        </w:tc>
        <w:tc>
          <w:tcPr>
            <w:tcW w:w="4728" w:type="dxa"/>
          </w:tcPr>
          <w:p w14:paraId="60892627" w14:textId="6BA8BF5D" w:rsidR="00887486" w:rsidRDefault="00887486" w:rsidP="006D37D3">
            <w:pPr>
              <w:rPr>
                <w:sz w:val="18"/>
                <w:szCs w:val="18"/>
              </w:rPr>
            </w:pPr>
            <w:r>
              <w:rPr>
                <w:sz w:val="18"/>
                <w:szCs w:val="18"/>
              </w:rPr>
              <w:t xml:space="preserve">There has been good progress in various aspects of Outcome 2 but other parts are seriously lagging behind where the project should be with only 20 months of implementation time remaining.  A number of amendments to legislation have been proposed and two pieces of legislation have been approved.  The </w:t>
            </w:r>
            <w:r w:rsidR="00102A51">
              <w:rPr>
                <w:sz w:val="18"/>
                <w:szCs w:val="18"/>
              </w:rPr>
              <w:t>ecologically important surrounding area</w:t>
            </w:r>
            <w:r>
              <w:rPr>
                <w:sz w:val="18"/>
                <w:szCs w:val="18"/>
              </w:rPr>
              <w:t>s and ecological corridors have been identified (but little action to protect them or change the behaviour of the people using them).  Mainstreaming biodiversity in land use plans has occurred at the oblast but not at the rayon level, as was originally envisaged.</w:t>
            </w:r>
          </w:p>
          <w:p w14:paraId="08898B2D" w14:textId="77777777" w:rsidR="00887486" w:rsidRDefault="00887486" w:rsidP="006D37D3">
            <w:pPr>
              <w:rPr>
                <w:sz w:val="18"/>
                <w:szCs w:val="18"/>
              </w:rPr>
            </w:pPr>
            <w:r>
              <w:rPr>
                <w:sz w:val="18"/>
                <w:szCs w:val="18"/>
              </w:rPr>
              <w:t>Most critically, the work on livelihoods – micro-credit schemes, natural resource use (and pasture use) agreements and community-based tourism – has not been started.</w:t>
            </w:r>
          </w:p>
          <w:p w14:paraId="1FACEB22" w14:textId="77777777" w:rsidR="00887486" w:rsidRPr="00FF6383" w:rsidRDefault="00887486" w:rsidP="006D37D3">
            <w:pPr>
              <w:rPr>
                <w:sz w:val="18"/>
                <w:szCs w:val="18"/>
              </w:rPr>
            </w:pPr>
            <w:r>
              <w:rPr>
                <w:sz w:val="18"/>
                <w:szCs w:val="18"/>
              </w:rPr>
              <w:t xml:space="preserve">At the landscape level – which is the objective underlying Outcome 2 – little </w:t>
            </w:r>
            <w:r w:rsidRPr="00F076FE">
              <w:rPr>
                <w:i/>
                <w:sz w:val="18"/>
                <w:szCs w:val="18"/>
              </w:rPr>
              <w:t>impact</w:t>
            </w:r>
            <w:r>
              <w:rPr>
                <w:sz w:val="18"/>
                <w:szCs w:val="18"/>
              </w:rPr>
              <w:t xml:space="preserve"> has been achieved to date.</w:t>
            </w:r>
          </w:p>
        </w:tc>
      </w:tr>
    </w:tbl>
    <w:p w14:paraId="675FE993" w14:textId="77777777" w:rsidR="00887486" w:rsidRPr="0098416B" w:rsidRDefault="00887486" w:rsidP="00887486">
      <w:pPr>
        <w:jc w:val="both"/>
      </w:pPr>
    </w:p>
    <w:p w14:paraId="0C37D14D" w14:textId="77777777" w:rsidR="00EC3359" w:rsidRPr="00516656" w:rsidRDefault="00EC3359" w:rsidP="00EC3359">
      <w:pPr>
        <w:jc w:val="both"/>
      </w:pPr>
    </w:p>
    <w:p w14:paraId="75205E1B" w14:textId="77777777" w:rsidR="00483AA0" w:rsidRPr="00516656" w:rsidRDefault="00483AA0" w:rsidP="002F588D">
      <w:pPr>
        <w:sectPr w:rsidR="00483AA0" w:rsidRPr="00516656" w:rsidSect="00D26013">
          <w:pgSz w:w="11900" w:h="16840"/>
          <w:pgMar w:top="1440" w:right="1797" w:bottom="1440" w:left="1797" w:header="709" w:footer="709" w:gutter="0"/>
          <w:cols w:space="708"/>
          <w:titlePg/>
          <w:docGrid w:linePitch="360"/>
        </w:sectPr>
      </w:pPr>
    </w:p>
    <w:p w14:paraId="0B13B03D" w14:textId="06AA0DE9" w:rsidR="003D23C7" w:rsidRPr="003D23C7" w:rsidRDefault="00111FA0" w:rsidP="00E72F3A">
      <w:pPr>
        <w:pStyle w:val="Caption"/>
      </w:pPr>
      <w:proofErr w:type="gramStart"/>
      <w:r>
        <w:t xml:space="preserve">Table </w:t>
      </w:r>
      <w:proofErr w:type="gramEnd"/>
      <w:r>
        <w:fldChar w:fldCharType="begin"/>
      </w:r>
      <w:r>
        <w:instrText xml:space="preserve"> SEQ Table \* ARABIC </w:instrText>
      </w:r>
      <w:r>
        <w:fldChar w:fldCharType="separate"/>
      </w:r>
      <w:r w:rsidR="001E10DE">
        <w:rPr>
          <w:noProof/>
        </w:rPr>
        <w:t>3</w:t>
      </w:r>
      <w:r>
        <w:fldChar w:fldCharType="end"/>
      </w:r>
      <w:proofErr w:type="gramStart"/>
      <w:r>
        <w:t>.</w:t>
      </w:r>
      <w:proofErr w:type="gramEnd"/>
      <w:r>
        <w:t xml:space="preserve"> The Project Results Framework showing the MTR status and the MTR comments and ratings.</w:t>
      </w:r>
    </w:p>
    <w:tbl>
      <w:tblPr>
        <w:tblStyle w:val="TableGrid"/>
        <w:tblW w:w="0" w:type="auto"/>
        <w:tblLook w:val="04A0" w:firstRow="1" w:lastRow="0" w:firstColumn="1" w:lastColumn="0" w:noHBand="0" w:noVBand="1"/>
      </w:tblPr>
      <w:tblGrid>
        <w:gridCol w:w="1744"/>
        <w:gridCol w:w="1744"/>
        <w:gridCol w:w="1736"/>
        <w:gridCol w:w="1735"/>
        <w:gridCol w:w="2016"/>
        <w:gridCol w:w="1753"/>
        <w:gridCol w:w="1755"/>
        <w:gridCol w:w="1696"/>
      </w:tblGrid>
      <w:tr w:rsidR="00524CEA" w:rsidRPr="000F5DB8" w14:paraId="7BC75522" w14:textId="77777777" w:rsidTr="00617A90">
        <w:trPr>
          <w:tblHeader/>
        </w:trPr>
        <w:tc>
          <w:tcPr>
            <w:tcW w:w="1744" w:type="dxa"/>
            <w:shd w:val="clear" w:color="auto" w:fill="D9D9D9" w:themeFill="background1" w:themeFillShade="D9"/>
          </w:tcPr>
          <w:p w14:paraId="7BEE9D44" w14:textId="3AA7C720" w:rsidR="00524CEA" w:rsidRPr="000F5DB8" w:rsidRDefault="00524CEA" w:rsidP="004D6910">
            <w:pPr>
              <w:rPr>
                <w:b/>
                <w:sz w:val="18"/>
                <w:szCs w:val="18"/>
              </w:rPr>
            </w:pPr>
            <w:r w:rsidRPr="000F5DB8">
              <w:rPr>
                <w:b/>
                <w:sz w:val="18"/>
                <w:szCs w:val="18"/>
              </w:rPr>
              <w:t>Project Strategy</w:t>
            </w:r>
          </w:p>
        </w:tc>
        <w:tc>
          <w:tcPr>
            <w:tcW w:w="1744" w:type="dxa"/>
            <w:shd w:val="clear" w:color="auto" w:fill="D9D9D9" w:themeFill="background1" w:themeFillShade="D9"/>
          </w:tcPr>
          <w:p w14:paraId="0C142946" w14:textId="77777777" w:rsidR="00524CEA" w:rsidRPr="000F5DB8" w:rsidRDefault="00524CEA" w:rsidP="004D6910">
            <w:pPr>
              <w:rPr>
                <w:b/>
                <w:sz w:val="18"/>
                <w:szCs w:val="18"/>
              </w:rPr>
            </w:pPr>
            <w:r w:rsidRPr="000F5DB8">
              <w:rPr>
                <w:b/>
                <w:sz w:val="18"/>
                <w:szCs w:val="18"/>
              </w:rPr>
              <w:t>Indicators</w:t>
            </w:r>
          </w:p>
        </w:tc>
        <w:tc>
          <w:tcPr>
            <w:tcW w:w="1736" w:type="dxa"/>
            <w:shd w:val="clear" w:color="auto" w:fill="D9D9D9" w:themeFill="background1" w:themeFillShade="D9"/>
          </w:tcPr>
          <w:p w14:paraId="7C8027BC" w14:textId="77777777" w:rsidR="00524CEA" w:rsidRPr="000F5DB8" w:rsidRDefault="00524CEA" w:rsidP="004D6910">
            <w:pPr>
              <w:rPr>
                <w:b/>
                <w:sz w:val="18"/>
                <w:szCs w:val="18"/>
              </w:rPr>
            </w:pPr>
            <w:r w:rsidRPr="000F5DB8">
              <w:rPr>
                <w:b/>
                <w:sz w:val="18"/>
                <w:szCs w:val="18"/>
              </w:rPr>
              <w:t>Baseline levels</w:t>
            </w:r>
          </w:p>
        </w:tc>
        <w:tc>
          <w:tcPr>
            <w:tcW w:w="1735" w:type="dxa"/>
            <w:shd w:val="clear" w:color="auto" w:fill="D9D9D9" w:themeFill="background1" w:themeFillShade="D9"/>
          </w:tcPr>
          <w:p w14:paraId="5B81582C" w14:textId="77777777" w:rsidR="00524CEA" w:rsidRPr="000F5DB8" w:rsidRDefault="00524CEA" w:rsidP="004D6910">
            <w:pPr>
              <w:rPr>
                <w:b/>
                <w:sz w:val="18"/>
                <w:szCs w:val="18"/>
              </w:rPr>
            </w:pPr>
            <w:r w:rsidRPr="000F5DB8">
              <w:rPr>
                <w:b/>
                <w:sz w:val="18"/>
                <w:szCs w:val="18"/>
              </w:rPr>
              <w:t>EOP target</w:t>
            </w:r>
          </w:p>
        </w:tc>
        <w:tc>
          <w:tcPr>
            <w:tcW w:w="2016" w:type="dxa"/>
            <w:shd w:val="clear" w:color="auto" w:fill="D9D9D9" w:themeFill="background1" w:themeFillShade="D9"/>
          </w:tcPr>
          <w:p w14:paraId="0C207A03" w14:textId="72DA0057" w:rsidR="00524CEA" w:rsidRPr="000F5DB8" w:rsidRDefault="00524CEA" w:rsidP="00524CEA">
            <w:pPr>
              <w:rPr>
                <w:b/>
                <w:sz w:val="18"/>
                <w:szCs w:val="18"/>
              </w:rPr>
            </w:pPr>
            <w:r w:rsidRPr="000F5DB8">
              <w:rPr>
                <w:b/>
                <w:sz w:val="18"/>
                <w:szCs w:val="18"/>
              </w:rPr>
              <w:t>1st PIR level</w:t>
            </w:r>
          </w:p>
        </w:tc>
        <w:tc>
          <w:tcPr>
            <w:tcW w:w="1753" w:type="dxa"/>
            <w:shd w:val="clear" w:color="auto" w:fill="D9D9D9" w:themeFill="background1" w:themeFillShade="D9"/>
          </w:tcPr>
          <w:p w14:paraId="54F57964" w14:textId="77777777" w:rsidR="00524CEA" w:rsidRPr="000F5DB8" w:rsidRDefault="00524CEA" w:rsidP="004D6910">
            <w:pPr>
              <w:rPr>
                <w:b/>
                <w:sz w:val="18"/>
                <w:szCs w:val="18"/>
              </w:rPr>
            </w:pPr>
            <w:r w:rsidRPr="000F5DB8">
              <w:rPr>
                <w:b/>
                <w:sz w:val="18"/>
                <w:szCs w:val="18"/>
              </w:rPr>
              <w:t>MTR level</w:t>
            </w:r>
          </w:p>
        </w:tc>
        <w:tc>
          <w:tcPr>
            <w:tcW w:w="1755" w:type="dxa"/>
            <w:shd w:val="clear" w:color="auto" w:fill="D9D9D9" w:themeFill="background1" w:themeFillShade="D9"/>
          </w:tcPr>
          <w:p w14:paraId="4AC8D085" w14:textId="5A00E327" w:rsidR="00524CEA" w:rsidRPr="000F5DB8" w:rsidRDefault="00524CEA" w:rsidP="00524CEA">
            <w:pPr>
              <w:rPr>
                <w:b/>
                <w:sz w:val="18"/>
                <w:szCs w:val="18"/>
              </w:rPr>
            </w:pPr>
            <w:r w:rsidRPr="000F5DB8">
              <w:rPr>
                <w:b/>
                <w:sz w:val="18"/>
                <w:szCs w:val="18"/>
              </w:rPr>
              <w:t>Proposed Means of verification</w:t>
            </w:r>
          </w:p>
        </w:tc>
        <w:tc>
          <w:tcPr>
            <w:tcW w:w="1673" w:type="dxa"/>
            <w:shd w:val="clear" w:color="auto" w:fill="D9D9D9" w:themeFill="background1" w:themeFillShade="D9"/>
          </w:tcPr>
          <w:p w14:paraId="14F450AA" w14:textId="77777777" w:rsidR="00524CEA" w:rsidRPr="000F5DB8" w:rsidRDefault="00524CEA" w:rsidP="004D6910">
            <w:pPr>
              <w:rPr>
                <w:b/>
                <w:sz w:val="18"/>
                <w:szCs w:val="18"/>
              </w:rPr>
            </w:pPr>
            <w:r w:rsidRPr="000F5DB8">
              <w:rPr>
                <w:b/>
                <w:sz w:val="18"/>
                <w:szCs w:val="18"/>
              </w:rPr>
              <w:t>MTR rating and comments</w:t>
            </w:r>
          </w:p>
        </w:tc>
      </w:tr>
      <w:tr w:rsidR="003D23C7" w:rsidRPr="000F5DB8" w14:paraId="5EF065EA" w14:textId="77777777" w:rsidTr="004D6910">
        <w:tc>
          <w:tcPr>
            <w:tcW w:w="1744" w:type="dxa"/>
          </w:tcPr>
          <w:p w14:paraId="2919EF37" w14:textId="77777777" w:rsidR="003D23C7" w:rsidRPr="000F5DB8" w:rsidRDefault="003D23C7" w:rsidP="004D6910">
            <w:pPr>
              <w:rPr>
                <w:sz w:val="18"/>
                <w:szCs w:val="18"/>
              </w:rPr>
            </w:pPr>
            <w:r w:rsidRPr="000F5DB8">
              <w:rPr>
                <w:sz w:val="18"/>
                <w:szCs w:val="18"/>
              </w:rPr>
              <w:t xml:space="preserve">Objective: To improve the coverage and effectiveness of protected areas in the Central </w:t>
            </w:r>
            <w:proofErr w:type="spellStart"/>
            <w:r w:rsidRPr="000F5DB8">
              <w:rPr>
                <w:sz w:val="18"/>
                <w:szCs w:val="18"/>
              </w:rPr>
              <w:t>Tian</w:t>
            </w:r>
            <w:proofErr w:type="spellEnd"/>
            <w:r w:rsidRPr="000F5DB8">
              <w:rPr>
                <w:sz w:val="18"/>
                <w:szCs w:val="18"/>
              </w:rPr>
              <w:t xml:space="preserve"> Shan Mountains so as to expand threatened species representation in the national system</w:t>
            </w:r>
          </w:p>
        </w:tc>
        <w:tc>
          <w:tcPr>
            <w:tcW w:w="1744" w:type="dxa"/>
          </w:tcPr>
          <w:p w14:paraId="62FAE02E" w14:textId="77777777" w:rsidR="003D23C7" w:rsidRPr="000F5DB8" w:rsidRDefault="003D23C7" w:rsidP="004D6910">
            <w:pPr>
              <w:rPr>
                <w:sz w:val="18"/>
                <w:szCs w:val="18"/>
              </w:rPr>
            </w:pPr>
            <w:r w:rsidRPr="000F5DB8">
              <w:rPr>
                <w:sz w:val="18"/>
                <w:szCs w:val="18"/>
              </w:rPr>
              <w:t xml:space="preserve">Territorial coverage of SPNAs in Central </w:t>
            </w:r>
            <w:proofErr w:type="spellStart"/>
            <w:r w:rsidRPr="000F5DB8">
              <w:rPr>
                <w:sz w:val="18"/>
                <w:szCs w:val="18"/>
              </w:rPr>
              <w:t>Tian</w:t>
            </w:r>
            <w:proofErr w:type="spellEnd"/>
            <w:r w:rsidRPr="000F5DB8">
              <w:rPr>
                <w:sz w:val="18"/>
                <w:szCs w:val="18"/>
              </w:rPr>
              <w:t xml:space="preserve"> Shan Mountains which provide habitat for the endangered snow leopard</w:t>
            </w:r>
          </w:p>
        </w:tc>
        <w:tc>
          <w:tcPr>
            <w:tcW w:w="1736" w:type="dxa"/>
          </w:tcPr>
          <w:p w14:paraId="4D771E53" w14:textId="77777777" w:rsidR="003D23C7" w:rsidRPr="000F5DB8" w:rsidRDefault="003D23C7" w:rsidP="004D6910">
            <w:pPr>
              <w:rPr>
                <w:sz w:val="18"/>
                <w:szCs w:val="18"/>
              </w:rPr>
            </w:pPr>
            <w:r w:rsidRPr="000F5DB8">
              <w:rPr>
                <w:sz w:val="18"/>
                <w:szCs w:val="18"/>
              </w:rPr>
              <w:t xml:space="preserve">149,119.9 ha (Existing </w:t>
            </w:r>
            <w:proofErr w:type="spellStart"/>
            <w:r w:rsidRPr="000F5DB8">
              <w:rPr>
                <w:sz w:val="18"/>
                <w:szCs w:val="18"/>
              </w:rPr>
              <w:t>Sarychat</w:t>
            </w:r>
            <w:proofErr w:type="spellEnd"/>
            <w:r w:rsidRPr="000F5DB8">
              <w:rPr>
                <w:sz w:val="18"/>
                <w:szCs w:val="18"/>
              </w:rPr>
              <w:t xml:space="preserve"> </w:t>
            </w:r>
            <w:proofErr w:type="spellStart"/>
            <w:r w:rsidRPr="000F5DB8">
              <w:rPr>
                <w:sz w:val="18"/>
                <w:szCs w:val="18"/>
              </w:rPr>
              <w:t>Ertash</w:t>
            </w:r>
            <w:proofErr w:type="spellEnd"/>
            <w:r w:rsidRPr="000F5DB8">
              <w:rPr>
                <w:sz w:val="18"/>
                <w:szCs w:val="18"/>
              </w:rPr>
              <w:t xml:space="preserve"> reserve area)</w:t>
            </w:r>
          </w:p>
        </w:tc>
        <w:tc>
          <w:tcPr>
            <w:tcW w:w="1735" w:type="dxa"/>
          </w:tcPr>
          <w:p w14:paraId="6DD33948" w14:textId="77777777" w:rsidR="003D23C7" w:rsidRPr="000F5DB8" w:rsidRDefault="003D23C7" w:rsidP="004D6910">
            <w:pPr>
              <w:rPr>
                <w:sz w:val="18"/>
                <w:szCs w:val="18"/>
              </w:rPr>
            </w:pPr>
            <w:r w:rsidRPr="000F5DB8">
              <w:rPr>
                <w:sz w:val="18"/>
                <w:szCs w:val="18"/>
              </w:rPr>
              <w:t>Up to 336,119.9ha by EOP</w:t>
            </w:r>
          </w:p>
        </w:tc>
        <w:tc>
          <w:tcPr>
            <w:tcW w:w="2016" w:type="dxa"/>
          </w:tcPr>
          <w:p w14:paraId="08223473" w14:textId="7BCA51DE" w:rsidR="003D23C7" w:rsidRPr="000F5DB8" w:rsidRDefault="003D23C7" w:rsidP="005021A1">
            <w:pPr>
              <w:rPr>
                <w:sz w:val="18"/>
                <w:szCs w:val="18"/>
              </w:rPr>
            </w:pPr>
            <w:r w:rsidRPr="000F5DB8">
              <w:rPr>
                <w:sz w:val="18"/>
                <w:szCs w:val="18"/>
              </w:rPr>
              <w:t>No additional coverage</w:t>
            </w:r>
          </w:p>
        </w:tc>
        <w:tc>
          <w:tcPr>
            <w:tcW w:w="1753" w:type="dxa"/>
          </w:tcPr>
          <w:p w14:paraId="2342D49B" w14:textId="46793AEA" w:rsidR="003D23C7" w:rsidRPr="000F5DB8" w:rsidRDefault="003D23C7" w:rsidP="004D6910">
            <w:pPr>
              <w:rPr>
                <w:sz w:val="18"/>
                <w:szCs w:val="18"/>
              </w:rPr>
            </w:pPr>
            <w:r w:rsidRPr="000F5DB8">
              <w:rPr>
                <w:sz w:val="18"/>
                <w:szCs w:val="18"/>
              </w:rPr>
              <w:t>No additional coverage</w:t>
            </w:r>
          </w:p>
        </w:tc>
        <w:tc>
          <w:tcPr>
            <w:tcW w:w="1755" w:type="dxa"/>
          </w:tcPr>
          <w:p w14:paraId="11B34F68" w14:textId="34AB6F2F" w:rsidR="003D23C7" w:rsidRPr="000F5DB8" w:rsidRDefault="003D23C7" w:rsidP="004D6910">
            <w:pPr>
              <w:rPr>
                <w:sz w:val="18"/>
                <w:szCs w:val="18"/>
              </w:rPr>
            </w:pPr>
            <w:r w:rsidRPr="000F5DB8">
              <w:rPr>
                <w:sz w:val="18"/>
                <w:szCs w:val="18"/>
              </w:rPr>
              <w:t>Land records of the State Registration Service of the Kyrgyz Republic</w:t>
            </w:r>
          </w:p>
        </w:tc>
        <w:tc>
          <w:tcPr>
            <w:tcW w:w="1673" w:type="dxa"/>
          </w:tcPr>
          <w:p w14:paraId="260B6EC2" w14:textId="4D582343" w:rsidR="00AF12BA" w:rsidRPr="000F5DB8" w:rsidRDefault="00AF12BA" w:rsidP="003D23C7">
            <w:pPr>
              <w:rPr>
                <w:sz w:val="18"/>
                <w:szCs w:val="18"/>
              </w:rPr>
            </w:pPr>
            <w:r w:rsidRPr="000F5DB8">
              <w:rPr>
                <w:sz w:val="18"/>
                <w:szCs w:val="18"/>
              </w:rPr>
              <w:t>See comments in</w:t>
            </w:r>
            <w:r w:rsidR="000A3D70" w:rsidRPr="000F5DB8">
              <w:rPr>
                <w:sz w:val="18"/>
                <w:szCs w:val="18"/>
              </w:rPr>
              <w:t xml:space="preserve"> </w:t>
            </w:r>
            <w:r w:rsidR="000A3D70" w:rsidRPr="000F5DB8">
              <w:rPr>
                <w:sz w:val="18"/>
                <w:szCs w:val="18"/>
              </w:rPr>
              <w:fldChar w:fldCharType="begin"/>
            </w:r>
            <w:r w:rsidR="000A3D70" w:rsidRPr="000F5DB8">
              <w:rPr>
                <w:sz w:val="18"/>
                <w:szCs w:val="18"/>
              </w:rPr>
              <w:instrText xml:space="preserve"> REF _Ref296246669 \h </w:instrText>
            </w:r>
            <w:r w:rsidR="000A3D70" w:rsidRPr="000F5DB8">
              <w:rPr>
                <w:sz w:val="18"/>
                <w:szCs w:val="18"/>
              </w:rPr>
            </w:r>
            <w:r w:rsidR="000A3D70" w:rsidRPr="000F5DB8">
              <w:rPr>
                <w:sz w:val="18"/>
                <w:szCs w:val="18"/>
              </w:rPr>
              <w:fldChar w:fldCharType="separate"/>
            </w:r>
            <w:r w:rsidR="000A3D70" w:rsidRPr="000F5DB8">
              <w:rPr>
                <w:sz w:val="18"/>
                <w:szCs w:val="18"/>
              </w:rPr>
              <w:t xml:space="preserve">Table </w:t>
            </w:r>
            <w:r w:rsidR="000A3D70" w:rsidRPr="000F5DB8">
              <w:rPr>
                <w:noProof/>
                <w:sz w:val="18"/>
                <w:szCs w:val="18"/>
              </w:rPr>
              <w:t>2</w:t>
            </w:r>
            <w:r w:rsidR="000A3D70" w:rsidRPr="000F5DB8">
              <w:rPr>
                <w:sz w:val="18"/>
                <w:szCs w:val="18"/>
              </w:rPr>
              <w:fldChar w:fldCharType="end"/>
            </w:r>
            <w:r w:rsidRPr="000F5DB8">
              <w:rPr>
                <w:sz w:val="18"/>
                <w:szCs w:val="18"/>
              </w:rPr>
              <w:t>.</w:t>
            </w:r>
          </w:p>
          <w:p w14:paraId="26F9F9C9" w14:textId="7D1C036F" w:rsidR="003D23C7" w:rsidRPr="000F5DB8" w:rsidRDefault="003D23C7" w:rsidP="00AF12BA">
            <w:pPr>
              <w:rPr>
                <w:sz w:val="18"/>
                <w:szCs w:val="18"/>
              </w:rPr>
            </w:pPr>
            <w:r w:rsidRPr="000F5DB8">
              <w:rPr>
                <w:sz w:val="18"/>
                <w:szCs w:val="18"/>
              </w:rPr>
              <w:t xml:space="preserve">The means of verification should </w:t>
            </w:r>
            <w:r w:rsidR="00AF12BA" w:rsidRPr="000F5DB8">
              <w:rPr>
                <w:sz w:val="18"/>
                <w:szCs w:val="18"/>
              </w:rPr>
              <w:t xml:space="preserve">simply be </w:t>
            </w:r>
            <w:r w:rsidRPr="000F5DB8">
              <w:rPr>
                <w:sz w:val="18"/>
                <w:szCs w:val="18"/>
              </w:rPr>
              <w:t xml:space="preserve">the publication of the legal establishment of Khan </w:t>
            </w:r>
            <w:proofErr w:type="spellStart"/>
            <w:r w:rsidRPr="000F5DB8">
              <w:rPr>
                <w:sz w:val="18"/>
                <w:szCs w:val="18"/>
              </w:rPr>
              <w:t>Tengri</w:t>
            </w:r>
            <w:proofErr w:type="spellEnd"/>
            <w:r w:rsidRPr="000F5DB8">
              <w:rPr>
                <w:sz w:val="18"/>
                <w:szCs w:val="18"/>
              </w:rPr>
              <w:t xml:space="preserve"> National Park in the national gazette</w:t>
            </w:r>
          </w:p>
        </w:tc>
      </w:tr>
      <w:tr w:rsidR="003D23C7" w:rsidRPr="000F5DB8" w14:paraId="1BFC7498" w14:textId="77777777" w:rsidTr="004D6910">
        <w:tc>
          <w:tcPr>
            <w:tcW w:w="1744" w:type="dxa"/>
          </w:tcPr>
          <w:p w14:paraId="4782B04D" w14:textId="1FA4C013" w:rsidR="003D23C7" w:rsidRPr="000F5DB8" w:rsidRDefault="003D23C7" w:rsidP="004D6910">
            <w:pPr>
              <w:rPr>
                <w:sz w:val="18"/>
                <w:szCs w:val="18"/>
              </w:rPr>
            </w:pPr>
          </w:p>
        </w:tc>
        <w:tc>
          <w:tcPr>
            <w:tcW w:w="1744" w:type="dxa"/>
          </w:tcPr>
          <w:p w14:paraId="7BB26232" w14:textId="52601903" w:rsidR="003D23C7" w:rsidRPr="000F5DB8" w:rsidRDefault="003D23C7" w:rsidP="004D6910">
            <w:pPr>
              <w:rPr>
                <w:sz w:val="18"/>
                <w:szCs w:val="18"/>
              </w:rPr>
            </w:pPr>
            <w:r w:rsidRPr="000F5DB8">
              <w:rPr>
                <w:sz w:val="18"/>
                <w:szCs w:val="18"/>
              </w:rPr>
              <w:t>Population size of snow leopard (</w:t>
            </w:r>
            <w:proofErr w:type="spellStart"/>
            <w:r w:rsidRPr="000F5DB8">
              <w:rPr>
                <w:i/>
                <w:sz w:val="18"/>
                <w:szCs w:val="18"/>
              </w:rPr>
              <w:t>Unci</w:t>
            </w:r>
            <w:r w:rsidR="00B31623" w:rsidRPr="000F5DB8">
              <w:rPr>
                <w:i/>
                <w:sz w:val="18"/>
                <w:szCs w:val="18"/>
              </w:rPr>
              <w:t>a</w:t>
            </w:r>
            <w:proofErr w:type="spellEnd"/>
            <w:r w:rsidR="00B31623" w:rsidRPr="000F5DB8">
              <w:rPr>
                <w:i/>
                <w:sz w:val="18"/>
                <w:szCs w:val="18"/>
              </w:rPr>
              <w:t xml:space="preserve"> </w:t>
            </w:r>
            <w:proofErr w:type="spellStart"/>
            <w:r w:rsidR="00B31623" w:rsidRPr="000F5DB8">
              <w:rPr>
                <w:i/>
                <w:sz w:val="18"/>
                <w:szCs w:val="18"/>
              </w:rPr>
              <w:t>u</w:t>
            </w:r>
            <w:r w:rsidRPr="000F5DB8">
              <w:rPr>
                <w:i/>
                <w:sz w:val="18"/>
                <w:szCs w:val="18"/>
              </w:rPr>
              <w:t>ncia</w:t>
            </w:r>
            <w:proofErr w:type="spellEnd"/>
            <w:r w:rsidRPr="000F5DB8">
              <w:rPr>
                <w:sz w:val="18"/>
                <w:szCs w:val="18"/>
              </w:rPr>
              <w:t xml:space="preserve">) in Central </w:t>
            </w:r>
            <w:proofErr w:type="spellStart"/>
            <w:r w:rsidRPr="000F5DB8">
              <w:rPr>
                <w:sz w:val="18"/>
                <w:szCs w:val="18"/>
              </w:rPr>
              <w:t>Tian</w:t>
            </w:r>
            <w:proofErr w:type="spellEnd"/>
            <w:r w:rsidRPr="000F5DB8">
              <w:rPr>
                <w:sz w:val="18"/>
                <w:szCs w:val="18"/>
              </w:rPr>
              <w:t xml:space="preserve"> Shan shows an increasing trend </w:t>
            </w:r>
          </w:p>
        </w:tc>
        <w:tc>
          <w:tcPr>
            <w:tcW w:w="1736" w:type="dxa"/>
          </w:tcPr>
          <w:p w14:paraId="056E0B68" w14:textId="77777777" w:rsidR="003D23C7" w:rsidRPr="000F5DB8" w:rsidRDefault="003D23C7" w:rsidP="004D6910">
            <w:pPr>
              <w:rPr>
                <w:sz w:val="18"/>
                <w:szCs w:val="18"/>
              </w:rPr>
            </w:pPr>
            <w:r w:rsidRPr="000F5DB8">
              <w:rPr>
                <w:sz w:val="18"/>
                <w:szCs w:val="18"/>
              </w:rPr>
              <w:t>Low numbers of snow leopard (unable to quantify)</w:t>
            </w:r>
          </w:p>
        </w:tc>
        <w:tc>
          <w:tcPr>
            <w:tcW w:w="1735" w:type="dxa"/>
          </w:tcPr>
          <w:p w14:paraId="69B85657" w14:textId="77777777" w:rsidR="003D23C7" w:rsidRPr="000F5DB8" w:rsidRDefault="003D23C7" w:rsidP="004D6910">
            <w:pPr>
              <w:rPr>
                <w:sz w:val="18"/>
                <w:szCs w:val="18"/>
              </w:rPr>
            </w:pPr>
            <w:r w:rsidRPr="000F5DB8">
              <w:rPr>
                <w:sz w:val="18"/>
                <w:szCs w:val="18"/>
              </w:rPr>
              <w:t>By EOP, target area offers permanent habitat for five females with cubs</w:t>
            </w:r>
          </w:p>
        </w:tc>
        <w:tc>
          <w:tcPr>
            <w:tcW w:w="2016" w:type="dxa"/>
          </w:tcPr>
          <w:p w14:paraId="5FD54555" w14:textId="77777777" w:rsidR="003D23C7" w:rsidRPr="000F5DB8" w:rsidRDefault="003D23C7" w:rsidP="004D6910">
            <w:pPr>
              <w:rPr>
                <w:sz w:val="18"/>
                <w:szCs w:val="18"/>
              </w:rPr>
            </w:pPr>
          </w:p>
        </w:tc>
        <w:tc>
          <w:tcPr>
            <w:tcW w:w="1753" w:type="dxa"/>
          </w:tcPr>
          <w:p w14:paraId="13D1C624" w14:textId="77777777" w:rsidR="003D23C7" w:rsidRPr="000F5DB8" w:rsidRDefault="003D23C7" w:rsidP="004D6910">
            <w:pPr>
              <w:rPr>
                <w:sz w:val="18"/>
                <w:szCs w:val="18"/>
              </w:rPr>
            </w:pPr>
          </w:p>
        </w:tc>
        <w:tc>
          <w:tcPr>
            <w:tcW w:w="1755" w:type="dxa"/>
          </w:tcPr>
          <w:p w14:paraId="71AB1B02" w14:textId="77777777" w:rsidR="003D23C7" w:rsidRPr="000F5DB8" w:rsidRDefault="003D23C7" w:rsidP="004D6910">
            <w:pPr>
              <w:rPr>
                <w:sz w:val="18"/>
                <w:szCs w:val="18"/>
              </w:rPr>
            </w:pPr>
          </w:p>
        </w:tc>
        <w:tc>
          <w:tcPr>
            <w:tcW w:w="1673" w:type="dxa"/>
          </w:tcPr>
          <w:p w14:paraId="4C3803F4" w14:textId="25083978" w:rsidR="003D23C7" w:rsidRPr="000F5DB8" w:rsidRDefault="000A3D70" w:rsidP="000A3D70">
            <w:pPr>
              <w:rPr>
                <w:sz w:val="18"/>
                <w:szCs w:val="18"/>
              </w:rPr>
            </w:pPr>
            <w:r w:rsidRPr="000F5DB8">
              <w:rPr>
                <w:sz w:val="18"/>
                <w:szCs w:val="18"/>
              </w:rPr>
              <w:t xml:space="preserve">See comments in </w:t>
            </w:r>
            <w:r w:rsidRPr="000F5DB8">
              <w:rPr>
                <w:sz w:val="18"/>
                <w:szCs w:val="18"/>
              </w:rPr>
              <w:fldChar w:fldCharType="begin"/>
            </w:r>
            <w:r w:rsidRPr="000F5DB8">
              <w:rPr>
                <w:sz w:val="18"/>
                <w:szCs w:val="18"/>
              </w:rPr>
              <w:instrText xml:space="preserve"> REF _Ref296246669 \h </w:instrText>
            </w:r>
            <w:r w:rsidRPr="000F5DB8">
              <w:rPr>
                <w:sz w:val="18"/>
                <w:szCs w:val="18"/>
              </w:rPr>
            </w:r>
            <w:r w:rsidRPr="000F5DB8">
              <w:rPr>
                <w:sz w:val="18"/>
                <w:szCs w:val="18"/>
              </w:rPr>
              <w:fldChar w:fldCharType="separate"/>
            </w:r>
            <w:r w:rsidRPr="000F5DB8">
              <w:rPr>
                <w:sz w:val="18"/>
                <w:szCs w:val="18"/>
              </w:rPr>
              <w:t xml:space="preserve">Table </w:t>
            </w:r>
            <w:r w:rsidRPr="000F5DB8">
              <w:rPr>
                <w:noProof/>
                <w:sz w:val="18"/>
                <w:szCs w:val="18"/>
              </w:rPr>
              <w:t>2</w:t>
            </w:r>
            <w:r w:rsidRPr="000F5DB8">
              <w:rPr>
                <w:sz w:val="18"/>
                <w:szCs w:val="18"/>
              </w:rPr>
              <w:fldChar w:fldCharType="end"/>
            </w:r>
            <w:r w:rsidRPr="000F5DB8">
              <w:rPr>
                <w:sz w:val="18"/>
                <w:szCs w:val="18"/>
              </w:rPr>
              <w:t>.</w:t>
            </w:r>
          </w:p>
        </w:tc>
      </w:tr>
      <w:tr w:rsidR="003D23C7" w:rsidRPr="000F5DB8" w14:paraId="701815C1" w14:textId="77777777" w:rsidTr="004D6910">
        <w:tc>
          <w:tcPr>
            <w:tcW w:w="1744" w:type="dxa"/>
          </w:tcPr>
          <w:p w14:paraId="3F11B39A" w14:textId="77777777" w:rsidR="003D23C7" w:rsidRPr="000F5DB8" w:rsidRDefault="003D23C7" w:rsidP="004D6910">
            <w:pPr>
              <w:rPr>
                <w:sz w:val="18"/>
                <w:szCs w:val="18"/>
              </w:rPr>
            </w:pPr>
            <w:r w:rsidRPr="000F5DB8">
              <w:rPr>
                <w:sz w:val="18"/>
                <w:szCs w:val="18"/>
              </w:rPr>
              <w:t>Outcome 1</w:t>
            </w:r>
          </w:p>
          <w:p w14:paraId="6C5EF820" w14:textId="435C5579" w:rsidR="003D23C7" w:rsidRPr="000F5DB8" w:rsidRDefault="003D23C7" w:rsidP="004D6910">
            <w:pPr>
              <w:rPr>
                <w:sz w:val="18"/>
                <w:szCs w:val="18"/>
              </w:rPr>
            </w:pPr>
            <w:r w:rsidRPr="000F5DB8">
              <w:rPr>
                <w:sz w:val="18"/>
                <w:szCs w:val="18"/>
              </w:rPr>
              <w:t xml:space="preserve">Threatened species representation is improved by increasing coverage and management effectiveness of PAs in Central </w:t>
            </w:r>
            <w:proofErr w:type="spellStart"/>
            <w:r w:rsidRPr="000F5DB8">
              <w:rPr>
                <w:sz w:val="18"/>
                <w:szCs w:val="18"/>
              </w:rPr>
              <w:t>Tian</w:t>
            </w:r>
            <w:proofErr w:type="spellEnd"/>
            <w:r w:rsidRPr="000F5DB8">
              <w:rPr>
                <w:sz w:val="18"/>
                <w:szCs w:val="18"/>
              </w:rPr>
              <w:t xml:space="preserve"> Shan </w:t>
            </w:r>
          </w:p>
        </w:tc>
        <w:tc>
          <w:tcPr>
            <w:tcW w:w="1744" w:type="dxa"/>
          </w:tcPr>
          <w:p w14:paraId="1261CDA7" w14:textId="77777777" w:rsidR="003D23C7" w:rsidRPr="000F5DB8" w:rsidRDefault="003D23C7" w:rsidP="004D6910">
            <w:pPr>
              <w:rPr>
                <w:sz w:val="18"/>
                <w:szCs w:val="18"/>
              </w:rPr>
            </w:pPr>
            <w:r w:rsidRPr="000F5DB8">
              <w:rPr>
                <w:sz w:val="18"/>
                <w:szCs w:val="18"/>
              </w:rPr>
              <w:t xml:space="preserve">Enhanced management effectiveness of target PAs (as measured by METT) </w:t>
            </w:r>
          </w:p>
        </w:tc>
        <w:tc>
          <w:tcPr>
            <w:tcW w:w="1736" w:type="dxa"/>
          </w:tcPr>
          <w:p w14:paraId="4D1B340B" w14:textId="77777777" w:rsidR="003D23C7" w:rsidRPr="000F5DB8" w:rsidRDefault="003D23C7" w:rsidP="004D6910">
            <w:pPr>
              <w:rPr>
                <w:sz w:val="18"/>
                <w:szCs w:val="18"/>
              </w:rPr>
            </w:pPr>
            <w:proofErr w:type="spellStart"/>
            <w:r w:rsidRPr="000F5DB8">
              <w:rPr>
                <w:sz w:val="18"/>
                <w:szCs w:val="18"/>
              </w:rPr>
              <w:t>Sarychat</w:t>
            </w:r>
            <w:proofErr w:type="spellEnd"/>
            <w:r w:rsidRPr="000F5DB8">
              <w:rPr>
                <w:sz w:val="18"/>
                <w:szCs w:val="18"/>
              </w:rPr>
              <w:t xml:space="preserve"> </w:t>
            </w:r>
            <w:proofErr w:type="spellStart"/>
            <w:r w:rsidRPr="000F5DB8">
              <w:rPr>
                <w:sz w:val="18"/>
                <w:szCs w:val="18"/>
              </w:rPr>
              <w:t>Ertash</w:t>
            </w:r>
            <w:proofErr w:type="spellEnd"/>
            <w:r w:rsidRPr="000F5DB8">
              <w:rPr>
                <w:sz w:val="18"/>
                <w:szCs w:val="18"/>
              </w:rPr>
              <w:t xml:space="preserve">: 54% </w:t>
            </w:r>
          </w:p>
          <w:p w14:paraId="27A86290" w14:textId="77777777" w:rsidR="003D23C7" w:rsidRPr="000F5DB8" w:rsidRDefault="003D23C7" w:rsidP="004D6910">
            <w:pPr>
              <w:rPr>
                <w:sz w:val="18"/>
                <w:szCs w:val="18"/>
              </w:rPr>
            </w:pPr>
            <w:r w:rsidRPr="000F5DB8">
              <w:rPr>
                <w:sz w:val="18"/>
                <w:szCs w:val="18"/>
              </w:rPr>
              <w:t xml:space="preserve">Khan </w:t>
            </w:r>
            <w:proofErr w:type="spellStart"/>
            <w:r w:rsidRPr="000F5DB8">
              <w:rPr>
                <w:sz w:val="18"/>
                <w:szCs w:val="18"/>
              </w:rPr>
              <w:t>Tengri</w:t>
            </w:r>
            <w:proofErr w:type="spellEnd"/>
            <w:r w:rsidRPr="000F5DB8">
              <w:rPr>
                <w:sz w:val="18"/>
                <w:szCs w:val="18"/>
              </w:rPr>
              <w:t xml:space="preserve">: 3% </w:t>
            </w:r>
          </w:p>
        </w:tc>
        <w:tc>
          <w:tcPr>
            <w:tcW w:w="1735" w:type="dxa"/>
          </w:tcPr>
          <w:p w14:paraId="01D9FC9E" w14:textId="77777777" w:rsidR="003D23C7" w:rsidRPr="000F5DB8" w:rsidRDefault="003D23C7" w:rsidP="004D6910">
            <w:pPr>
              <w:rPr>
                <w:sz w:val="18"/>
                <w:szCs w:val="18"/>
              </w:rPr>
            </w:pPr>
            <w:proofErr w:type="spellStart"/>
            <w:r w:rsidRPr="000F5DB8">
              <w:rPr>
                <w:sz w:val="18"/>
                <w:szCs w:val="18"/>
              </w:rPr>
              <w:t>Sarychat</w:t>
            </w:r>
            <w:proofErr w:type="spellEnd"/>
            <w:r w:rsidRPr="000F5DB8">
              <w:rPr>
                <w:sz w:val="18"/>
                <w:szCs w:val="18"/>
              </w:rPr>
              <w:t xml:space="preserve"> </w:t>
            </w:r>
            <w:proofErr w:type="spellStart"/>
            <w:r w:rsidRPr="000F5DB8">
              <w:rPr>
                <w:sz w:val="18"/>
                <w:szCs w:val="18"/>
              </w:rPr>
              <w:t>Ertash</w:t>
            </w:r>
            <w:proofErr w:type="spellEnd"/>
            <w:r w:rsidRPr="000F5DB8">
              <w:rPr>
                <w:sz w:val="18"/>
                <w:szCs w:val="18"/>
              </w:rPr>
              <w:t xml:space="preserve">: 75% </w:t>
            </w:r>
          </w:p>
          <w:p w14:paraId="22BCE5C2" w14:textId="77777777" w:rsidR="003D23C7" w:rsidRPr="000F5DB8" w:rsidRDefault="003D23C7" w:rsidP="004D6910">
            <w:pPr>
              <w:rPr>
                <w:sz w:val="18"/>
                <w:szCs w:val="18"/>
              </w:rPr>
            </w:pPr>
            <w:r w:rsidRPr="000F5DB8">
              <w:rPr>
                <w:sz w:val="18"/>
                <w:szCs w:val="18"/>
              </w:rPr>
              <w:t xml:space="preserve">Khan </w:t>
            </w:r>
            <w:proofErr w:type="spellStart"/>
            <w:r w:rsidRPr="000F5DB8">
              <w:rPr>
                <w:sz w:val="18"/>
                <w:szCs w:val="18"/>
              </w:rPr>
              <w:t>Tengri</w:t>
            </w:r>
            <w:proofErr w:type="spellEnd"/>
            <w:r w:rsidRPr="000F5DB8">
              <w:rPr>
                <w:sz w:val="18"/>
                <w:szCs w:val="18"/>
              </w:rPr>
              <w:t>: 28%</w:t>
            </w:r>
          </w:p>
        </w:tc>
        <w:tc>
          <w:tcPr>
            <w:tcW w:w="2016" w:type="dxa"/>
          </w:tcPr>
          <w:p w14:paraId="23AD9103" w14:textId="1FF78DBE" w:rsidR="003D23C7" w:rsidRPr="000F5DB8" w:rsidRDefault="00D827ED" w:rsidP="004D6910">
            <w:pPr>
              <w:rPr>
                <w:sz w:val="18"/>
                <w:szCs w:val="18"/>
              </w:rPr>
            </w:pPr>
            <w:r w:rsidRPr="000F5DB8">
              <w:rPr>
                <w:sz w:val="18"/>
                <w:szCs w:val="18"/>
              </w:rPr>
              <w:t>No further assessments beyond the initial assessment</w:t>
            </w:r>
          </w:p>
        </w:tc>
        <w:tc>
          <w:tcPr>
            <w:tcW w:w="1753" w:type="dxa"/>
          </w:tcPr>
          <w:p w14:paraId="54A0E1F3" w14:textId="75056159" w:rsidR="003D23C7" w:rsidRPr="000F5DB8" w:rsidRDefault="00D827ED" w:rsidP="004D6910">
            <w:pPr>
              <w:rPr>
                <w:sz w:val="18"/>
                <w:szCs w:val="18"/>
              </w:rPr>
            </w:pPr>
            <w:r w:rsidRPr="000F5DB8">
              <w:rPr>
                <w:sz w:val="18"/>
                <w:szCs w:val="18"/>
              </w:rPr>
              <w:t>No further assessments beyond the initial assessment</w:t>
            </w:r>
          </w:p>
        </w:tc>
        <w:tc>
          <w:tcPr>
            <w:tcW w:w="1755" w:type="dxa"/>
          </w:tcPr>
          <w:p w14:paraId="39ACF889" w14:textId="4FEAD0FB" w:rsidR="003D23C7" w:rsidRPr="000F5DB8" w:rsidRDefault="00534AAF" w:rsidP="004D6910">
            <w:pPr>
              <w:rPr>
                <w:sz w:val="18"/>
                <w:szCs w:val="18"/>
              </w:rPr>
            </w:pPr>
            <w:r w:rsidRPr="000F5DB8">
              <w:rPr>
                <w:sz w:val="18"/>
                <w:szCs w:val="18"/>
              </w:rPr>
              <w:t>METT scorecard</w:t>
            </w:r>
          </w:p>
        </w:tc>
        <w:tc>
          <w:tcPr>
            <w:tcW w:w="1673" w:type="dxa"/>
          </w:tcPr>
          <w:p w14:paraId="3BC783CD" w14:textId="7564E935" w:rsidR="003D23C7" w:rsidRPr="000F5DB8" w:rsidRDefault="00534AAF" w:rsidP="004D6910">
            <w:pPr>
              <w:rPr>
                <w:sz w:val="18"/>
                <w:szCs w:val="18"/>
              </w:rPr>
            </w:pPr>
            <w:r w:rsidRPr="000F5DB8">
              <w:rPr>
                <w:sz w:val="18"/>
                <w:szCs w:val="18"/>
              </w:rPr>
              <w:t xml:space="preserve">The project needs to analyse the METT scorecards and identify precisely where the gains will be made for both </w:t>
            </w:r>
            <w:proofErr w:type="spellStart"/>
            <w:r w:rsidRPr="000F5DB8">
              <w:rPr>
                <w:sz w:val="18"/>
                <w:szCs w:val="18"/>
              </w:rPr>
              <w:t>Sarychat</w:t>
            </w:r>
            <w:proofErr w:type="spellEnd"/>
            <w:r w:rsidRPr="000F5DB8">
              <w:rPr>
                <w:sz w:val="18"/>
                <w:szCs w:val="18"/>
              </w:rPr>
              <w:t xml:space="preserve"> </w:t>
            </w:r>
            <w:proofErr w:type="spellStart"/>
            <w:r w:rsidRPr="000F5DB8">
              <w:rPr>
                <w:sz w:val="18"/>
                <w:szCs w:val="18"/>
              </w:rPr>
              <w:t>Ertash</w:t>
            </w:r>
            <w:proofErr w:type="spellEnd"/>
            <w:r w:rsidRPr="000F5DB8">
              <w:rPr>
                <w:sz w:val="18"/>
                <w:szCs w:val="18"/>
              </w:rPr>
              <w:t xml:space="preserve"> </w:t>
            </w:r>
            <w:proofErr w:type="spellStart"/>
            <w:r w:rsidRPr="000F5DB8">
              <w:rPr>
                <w:sz w:val="18"/>
                <w:szCs w:val="18"/>
              </w:rPr>
              <w:t>zapovednik</w:t>
            </w:r>
            <w:proofErr w:type="spellEnd"/>
            <w:r w:rsidRPr="000F5DB8">
              <w:rPr>
                <w:sz w:val="18"/>
                <w:szCs w:val="18"/>
              </w:rPr>
              <w:t xml:space="preserve"> and for KTNP</w:t>
            </w:r>
            <w:r w:rsidR="005C27B1" w:rsidRPr="000F5DB8">
              <w:rPr>
                <w:sz w:val="18"/>
                <w:szCs w:val="18"/>
              </w:rPr>
              <w:t xml:space="preserve"> and work towards those.</w:t>
            </w:r>
          </w:p>
        </w:tc>
      </w:tr>
      <w:tr w:rsidR="003D23C7" w:rsidRPr="000F5DB8" w14:paraId="5C6B4F29" w14:textId="77777777" w:rsidTr="004D6910">
        <w:tc>
          <w:tcPr>
            <w:tcW w:w="1744" w:type="dxa"/>
          </w:tcPr>
          <w:p w14:paraId="6707757D" w14:textId="77777777" w:rsidR="003D23C7" w:rsidRPr="000F5DB8" w:rsidRDefault="003D23C7" w:rsidP="004D6910">
            <w:pPr>
              <w:rPr>
                <w:sz w:val="18"/>
                <w:szCs w:val="18"/>
              </w:rPr>
            </w:pPr>
          </w:p>
        </w:tc>
        <w:tc>
          <w:tcPr>
            <w:tcW w:w="1744" w:type="dxa"/>
          </w:tcPr>
          <w:p w14:paraId="2433174D" w14:textId="77777777" w:rsidR="003D23C7" w:rsidRPr="000F5DB8" w:rsidRDefault="003D23C7" w:rsidP="004D6910">
            <w:pPr>
              <w:rPr>
                <w:sz w:val="18"/>
                <w:szCs w:val="18"/>
              </w:rPr>
            </w:pPr>
            <w:r w:rsidRPr="000F5DB8">
              <w:rPr>
                <w:sz w:val="18"/>
                <w:szCs w:val="18"/>
              </w:rPr>
              <w:t xml:space="preserve">Reduction in poaching and illegal logging at target PAs (annual) per unit of patrolling effort, compared with year of initial patrolling </w:t>
            </w:r>
          </w:p>
          <w:p w14:paraId="5711A51C" w14:textId="77777777" w:rsidR="003D23C7" w:rsidRPr="000F5DB8" w:rsidRDefault="003D23C7" w:rsidP="004D6910">
            <w:pPr>
              <w:rPr>
                <w:sz w:val="18"/>
                <w:szCs w:val="18"/>
              </w:rPr>
            </w:pPr>
          </w:p>
        </w:tc>
        <w:tc>
          <w:tcPr>
            <w:tcW w:w="1736" w:type="dxa"/>
          </w:tcPr>
          <w:p w14:paraId="5AF80F97" w14:textId="77777777" w:rsidR="003D23C7" w:rsidRPr="000F5DB8" w:rsidRDefault="003D23C7" w:rsidP="004D6910">
            <w:pPr>
              <w:rPr>
                <w:sz w:val="18"/>
                <w:szCs w:val="18"/>
              </w:rPr>
            </w:pPr>
            <w:r w:rsidRPr="000F5DB8">
              <w:rPr>
                <w:sz w:val="18"/>
                <w:szCs w:val="18"/>
              </w:rPr>
              <w:t xml:space="preserve">Illegal logging violations: 50 </w:t>
            </w:r>
          </w:p>
          <w:p w14:paraId="797B0DB0" w14:textId="77777777" w:rsidR="003D23C7" w:rsidRPr="000F5DB8" w:rsidRDefault="003D23C7" w:rsidP="004D6910">
            <w:pPr>
              <w:rPr>
                <w:sz w:val="18"/>
                <w:szCs w:val="18"/>
              </w:rPr>
            </w:pPr>
            <w:r w:rsidRPr="000F5DB8">
              <w:rPr>
                <w:sz w:val="18"/>
                <w:szCs w:val="18"/>
              </w:rPr>
              <w:t xml:space="preserve">Poaching violations: 70 </w:t>
            </w:r>
          </w:p>
          <w:p w14:paraId="00C9001E" w14:textId="77777777" w:rsidR="003D23C7" w:rsidRPr="000F5DB8" w:rsidRDefault="003D23C7" w:rsidP="004D6910">
            <w:pPr>
              <w:rPr>
                <w:sz w:val="18"/>
                <w:szCs w:val="18"/>
              </w:rPr>
            </w:pPr>
            <w:r w:rsidRPr="000F5DB8">
              <w:rPr>
                <w:sz w:val="18"/>
                <w:szCs w:val="18"/>
              </w:rPr>
              <w:t xml:space="preserve">Total </w:t>
            </w:r>
          </w:p>
          <w:p w14:paraId="3A163705" w14:textId="77777777" w:rsidR="003D23C7" w:rsidRPr="000F5DB8" w:rsidRDefault="003D23C7" w:rsidP="004D6910">
            <w:pPr>
              <w:rPr>
                <w:sz w:val="18"/>
                <w:szCs w:val="18"/>
              </w:rPr>
            </w:pPr>
            <w:proofErr w:type="gramStart"/>
            <w:r w:rsidRPr="000F5DB8">
              <w:rPr>
                <w:sz w:val="18"/>
                <w:szCs w:val="18"/>
              </w:rPr>
              <w:t>violations</w:t>
            </w:r>
            <w:proofErr w:type="gramEnd"/>
            <w:r w:rsidRPr="000F5DB8">
              <w:rPr>
                <w:sz w:val="18"/>
                <w:szCs w:val="18"/>
              </w:rPr>
              <w:t xml:space="preserve">: 120 </w:t>
            </w:r>
          </w:p>
        </w:tc>
        <w:tc>
          <w:tcPr>
            <w:tcW w:w="1735" w:type="dxa"/>
          </w:tcPr>
          <w:p w14:paraId="01499689" w14:textId="77777777" w:rsidR="003D23C7" w:rsidRPr="000F5DB8" w:rsidRDefault="003D23C7" w:rsidP="004D6910">
            <w:pPr>
              <w:rPr>
                <w:sz w:val="18"/>
                <w:szCs w:val="18"/>
              </w:rPr>
            </w:pPr>
            <w:r w:rsidRPr="000F5DB8">
              <w:rPr>
                <w:sz w:val="18"/>
                <w:szCs w:val="18"/>
              </w:rPr>
              <w:t>Reduction by 30%</w:t>
            </w:r>
          </w:p>
          <w:p w14:paraId="7F20AAEE" w14:textId="77777777" w:rsidR="003D23C7" w:rsidRPr="000F5DB8" w:rsidRDefault="003D23C7" w:rsidP="004D6910">
            <w:pPr>
              <w:rPr>
                <w:sz w:val="18"/>
                <w:szCs w:val="18"/>
              </w:rPr>
            </w:pPr>
            <w:r w:rsidRPr="000F5DB8">
              <w:rPr>
                <w:sz w:val="18"/>
                <w:szCs w:val="18"/>
              </w:rPr>
              <w:t>Illegal logging violations: 33</w:t>
            </w:r>
          </w:p>
          <w:p w14:paraId="234A7043" w14:textId="77777777" w:rsidR="003D23C7" w:rsidRPr="000F5DB8" w:rsidRDefault="003D23C7" w:rsidP="004D6910">
            <w:pPr>
              <w:rPr>
                <w:sz w:val="18"/>
                <w:szCs w:val="18"/>
              </w:rPr>
            </w:pPr>
            <w:r w:rsidRPr="000F5DB8">
              <w:rPr>
                <w:sz w:val="18"/>
                <w:szCs w:val="18"/>
              </w:rPr>
              <w:t>Poaching violations: 47</w:t>
            </w:r>
          </w:p>
          <w:p w14:paraId="79C18CD5" w14:textId="77777777" w:rsidR="003D23C7" w:rsidRPr="000F5DB8" w:rsidRDefault="003D23C7" w:rsidP="004D6910">
            <w:pPr>
              <w:rPr>
                <w:sz w:val="18"/>
                <w:szCs w:val="18"/>
              </w:rPr>
            </w:pPr>
            <w:r w:rsidRPr="000F5DB8">
              <w:rPr>
                <w:sz w:val="18"/>
                <w:szCs w:val="18"/>
              </w:rPr>
              <w:t xml:space="preserve">Total </w:t>
            </w:r>
          </w:p>
          <w:p w14:paraId="1144C70F" w14:textId="77777777" w:rsidR="003D23C7" w:rsidRPr="000F5DB8" w:rsidRDefault="003D23C7" w:rsidP="004D6910">
            <w:pPr>
              <w:rPr>
                <w:sz w:val="18"/>
                <w:szCs w:val="18"/>
              </w:rPr>
            </w:pPr>
            <w:proofErr w:type="gramStart"/>
            <w:r w:rsidRPr="000F5DB8">
              <w:rPr>
                <w:sz w:val="18"/>
                <w:szCs w:val="18"/>
              </w:rPr>
              <w:t>violations</w:t>
            </w:r>
            <w:proofErr w:type="gramEnd"/>
            <w:r w:rsidRPr="000F5DB8">
              <w:rPr>
                <w:sz w:val="18"/>
                <w:szCs w:val="18"/>
              </w:rPr>
              <w:t>: 80</w:t>
            </w:r>
          </w:p>
        </w:tc>
        <w:tc>
          <w:tcPr>
            <w:tcW w:w="2016" w:type="dxa"/>
          </w:tcPr>
          <w:p w14:paraId="5E173178" w14:textId="4270DD8A" w:rsidR="003D23C7" w:rsidRPr="000F5DB8" w:rsidRDefault="003D23C7" w:rsidP="004D6910">
            <w:pPr>
              <w:rPr>
                <w:sz w:val="18"/>
                <w:szCs w:val="18"/>
              </w:rPr>
            </w:pPr>
            <w:r w:rsidRPr="000F5DB8">
              <w:rPr>
                <w:sz w:val="18"/>
                <w:szCs w:val="18"/>
              </w:rPr>
              <w:t xml:space="preserve"> </w:t>
            </w:r>
            <w:r w:rsidR="005C27B1" w:rsidRPr="000F5DB8">
              <w:rPr>
                <w:sz w:val="18"/>
                <w:szCs w:val="18"/>
              </w:rPr>
              <w:t>No data</w:t>
            </w:r>
          </w:p>
        </w:tc>
        <w:tc>
          <w:tcPr>
            <w:tcW w:w="1753" w:type="dxa"/>
          </w:tcPr>
          <w:p w14:paraId="3AD1BE9B" w14:textId="69293E2D" w:rsidR="003D23C7" w:rsidRPr="000F5DB8" w:rsidRDefault="005C27B1" w:rsidP="00C70C10">
            <w:pPr>
              <w:rPr>
                <w:sz w:val="18"/>
                <w:szCs w:val="18"/>
              </w:rPr>
            </w:pPr>
            <w:r w:rsidRPr="000F5DB8">
              <w:rPr>
                <w:sz w:val="18"/>
                <w:szCs w:val="18"/>
              </w:rPr>
              <w:t xml:space="preserve">Data collected </w:t>
            </w:r>
            <w:r w:rsidR="00C70C10" w:rsidRPr="000F5DB8">
              <w:rPr>
                <w:sz w:val="18"/>
                <w:szCs w:val="18"/>
              </w:rPr>
              <w:t>but further analysis needs to be carried out per unit effort.</w:t>
            </w:r>
          </w:p>
        </w:tc>
        <w:tc>
          <w:tcPr>
            <w:tcW w:w="1755" w:type="dxa"/>
          </w:tcPr>
          <w:p w14:paraId="2770E710" w14:textId="12D75BD4" w:rsidR="003D23C7" w:rsidRPr="000F5DB8" w:rsidRDefault="003D23C7" w:rsidP="004D6910">
            <w:pPr>
              <w:rPr>
                <w:sz w:val="18"/>
                <w:szCs w:val="18"/>
              </w:rPr>
            </w:pPr>
            <w:r w:rsidRPr="000F5DB8">
              <w:rPr>
                <w:sz w:val="18"/>
                <w:szCs w:val="18"/>
              </w:rPr>
              <w:t>Data on illegal poaching and logging of the Issyk-Kul Biosphere Territory for 2014, 2015</w:t>
            </w:r>
          </w:p>
        </w:tc>
        <w:tc>
          <w:tcPr>
            <w:tcW w:w="1673" w:type="dxa"/>
          </w:tcPr>
          <w:p w14:paraId="528F625A" w14:textId="123EEC83" w:rsidR="003D23C7" w:rsidRPr="000F5DB8" w:rsidRDefault="005C27B1" w:rsidP="004D6910">
            <w:pPr>
              <w:rPr>
                <w:sz w:val="18"/>
                <w:szCs w:val="18"/>
              </w:rPr>
            </w:pPr>
            <w:r w:rsidRPr="000F5DB8">
              <w:rPr>
                <w:sz w:val="18"/>
                <w:szCs w:val="18"/>
              </w:rPr>
              <w:t xml:space="preserve">See comment in </w:t>
            </w:r>
            <w:r w:rsidR="000A3D70" w:rsidRPr="000F5DB8">
              <w:rPr>
                <w:sz w:val="18"/>
                <w:szCs w:val="18"/>
              </w:rPr>
              <w:fldChar w:fldCharType="begin"/>
            </w:r>
            <w:r w:rsidR="000A3D70" w:rsidRPr="000F5DB8">
              <w:rPr>
                <w:sz w:val="18"/>
                <w:szCs w:val="18"/>
              </w:rPr>
              <w:instrText xml:space="preserve"> REF _Ref296246669 \h </w:instrText>
            </w:r>
            <w:r w:rsidR="000A3D70" w:rsidRPr="000F5DB8">
              <w:rPr>
                <w:sz w:val="18"/>
                <w:szCs w:val="18"/>
              </w:rPr>
            </w:r>
            <w:r w:rsidR="000A3D70" w:rsidRPr="000F5DB8">
              <w:rPr>
                <w:sz w:val="18"/>
                <w:szCs w:val="18"/>
              </w:rPr>
              <w:fldChar w:fldCharType="separate"/>
            </w:r>
            <w:r w:rsidR="000A3D70" w:rsidRPr="000F5DB8">
              <w:rPr>
                <w:sz w:val="18"/>
                <w:szCs w:val="18"/>
              </w:rPr>
              <w:t xml:space="preserve">Table </w:t>
            </w:r>
            <w:r w:rsidR="000A3D70" w:rsidRPr="000F5DB8">
              <w:rPr>
                <w:noProof/>
                <w:sz w:val="18"/>
                <w:szCs w:val="18"/>
              </w:rPr>
              <w:t>2</w:t>
            </w:r>
            <w:r w:rsidR="000A3D70" w:rsidRPr="000F5DB8">
              <w:rPr>
                <w:sz w:val="18"/>
                <w:szCs w:val="18"/>
              </w:rPr>
              <w:fldChar w:fldCharType="end"/>
            </w:r>
          </w:p>
          <w:p w14:paraId="315D1E97" w14:textId="214E5913" w:rsidR="005C27B1" w:rsidRPr="000F5DB8" w:rsidRDefault="005C27B1" w:rsidP="004D6910">
            <w:pPr>
              <w:rPr>
                <w:sz w:val="18"/>
                <w:szCs w:val="18"/>
              </w:rPr>
            </w:pPr>
            <w:r w:rsidRPr="000F5DB8">
              <w:rPr>
                <w:sz w:val="18"/>
                <w:szCs w:val="18"/>
              </w:rPr>
              <w:t>The data needs to be analysed</w:t>
            </w:r>
            <w:r w:rsidR="00C70C10" w:rsidRPr="000F5DB8">
              <w:rPr>
                <w:sz w:val="18"/>
                <w:szCs w:val="18"/>
              </w:rPr>
              <w:t xml:space="preserve"> per unit effort.</w:t>
            </w:r>
          </w:p>
        </w:tc>
      </w:tr>
      <w:tr w:rsidR="003D23C7" w:rsidRPr="000F5DB8" w14:paraId="6196218B" w14:textId="77777777" w:rsidTr="004D6910">
        <w:tc>
          <w:tcPr>
            <w:tcW w:w="1744" w:type="dxa"/>
          </w:tcPr>
          <w:p w14:paraId="1BC8BC9A" w14:textId="61BCEC09" w:rsidR="003D23C7" w:rsidRPr="000F5DB8" w:rsidRDefault="003D23C7" w:rsidP="004D6910">
            <w:pPr>
              <w:rPr>
                <w:sz w:val="18"/>
                <w:szCs w:val="18"/>
              </w:rPr>
            </w:pPr>
            <w:r w:rsidRPr="000F5DB8">
              <w:rPr>
                <w:sz w:val="18"/>
                <w:szCs w:val="18"/>
              </w:rPr>
              <w:t>Outcome 2</w:t>
            </w:r>
          </w:p>
          <w:p w14:paraId="7EF81837" w14:textId="77777777" w:rsidR="003D23C7" w:rsidRPr="000F5DB8" w:rsidRDefault="003D23C7" w:rsidP="004D6910">
            <w:pPr>
              <w:rPr>
                <w:sz w:val="18"/>
                <w:szCs w:val="18"/>
              </w:rPr>
            </w:pPr>
            <w:r w:rsidRPr="000F5DB8">
              <w:rPr>
                <w:sz w:val="18"/>
                <w:szCs w:val="18"/>
              </w:rPr>
              <w:t xml:space="preserve">Habitat connectivity, sustainability and effectiveness of PAs in Central </w:t>
            </w:r>
            <w:proofErr w:type="spellStart"/>
            <w:r w:rsidRPr="000F5DB8">
              <w:rPr>
                <w:sz w:val="18"/>
                <w:szCs w:val="18"/>
              </w:rPr>
              <w:t>Tian</w:t>
            </w:r>
            <w:proofErr w:type="spellEnd"/>
            <w:r w:rsidRPr="000F5DB8">
              <w:rPr>
                <w:sz w:val="18"/>
                <w:szCs w:val="18"/>
              </w:rPr>
              <w:t xml:space="preserve"> Shan are enhanced by regulating land use in buffer zones, wildlife corridors and other intervening landscapes </w:t>
            </w:r>
          </w:p>
          <w:p w14:paraId="0EC5DFA2" w14:textId="77777777" w:rsidR="003D23C7" w:rsidRPr="000F5DB8" w:rsidRDefault="003D23C7" w:rsidP="004D6910">
            <w:pPr>
              <w:rPr>
                <w:sz w:val="18"/>
                <w:szCs w:val="18"/>
              </w:rPr>
            </w:pPr>
          </w:p>
        </w:tc>
        <w:tc>
          <w:tcPr>
            <w:tcW w:w="1744" w:type="dxa"/>
          </w:tcPr>
          <w:p w14:paraId="582101D2" w14:textId="77777777" w:rsidR="003D23C7" w:rsidRPr="000F5DB8" w:rsidRDefault="003D23C7" w:rsidP="004D6910">
            <w:pPr>
              <w:rPr>
                <w:sz w:val="18"/>
                <w:szCs w:val="18"/>
              </w:rPr>
            </w:pPr>
            <w:r w:rsidRPr="000F5DB8">
              <w:rPr>
                <w:sz w:val="18"/>
                <w:szCs w:val="18"/>
              </w:rPr>
              <w:t xml:space="preserve">Law on SPNAs provides clear guidance on establishment, management, and responsible party for PA buffer zones and wildlife corridors </w:t>
            </w:r>
          </w:p>
        </w:tc>
        <w:tc>
          <w:tcPr>
            <w:tcW w:w="1736" w:type="dxa"/>
          </w:tcPr>
          <w:p w14:paraId="054FC96F" w14:textId="77777777" w:rsidR="003D23C7" w:rsidRPr="000F5DB8" w:rsidRDefault="003D23C7" w:rsidP="004D6910">
            <w:pPr>
              <w:rPr>
                <w:sz w:val="18"/>
                <w:szCs w:val="18"/>
              </w:rPr>
            </w:pPr>
            <w:r w:rsidRPr="000F5DB8">
              <w:rPr>
                <w:sz w:val="18"/>
                <w:szCs w:val="18"/>
              </w:rPr>
              <w:t>Current law is unclear</w:t>
            </w:r>
          </w:p>
        </w:tc>
        <w:tc>
          <w:tcPr>
            <w:tcW w:w="1735" w:type="dxa"/>
          </w:tcPr>
          <w:p w14:paraId="60EF4944" w14:textId="77777777" w:rsidR="003D23C7" w:rsidRPr="000F5DB8" w:rsidRDefault="003D23C7" w:rsidP="004D6910">
            <w:pPr>
              <w:rPr>
                <w:sz w:val="18"/>
                <w:szCs w:val="18"/>
              </w:rPr>
            </w:pPr>
            <w:r w:rsidRPr="000F5DB8">
              <w:rPr>
                <w:sz w:val="18"/>
                <w:szCs w:val="18"/>
              </w:rPr>
              <w:t>Legislation is improved through amendments by EOP</w:t>
            </w:r>
          </w:p>
        </w:tc>
        <w:tc>
          <w:tcPr>
            <w:tcW w:w="2016" w:type="dxa"/>
          </w:tcPr>
          <w:p w14:paraId="28FFDA29" w14:textId="2AE82467" w:rsidR="003D23C7" w:rsidRPr="000F5DB8" w:rsidRDefault="00D417D6" w:rsidP="004D6910">
            <w:pPr>
              <w:rPr>
                <w:sz w:val="18"/>
                <w:szCs w:val="18"/>
              </w:rPr>
            </w:pPr>
            <w:r w:rsidRPr="000F5DB8">
              <w:rPr>
                <w:sz w:val="18"/>
                <w:szCs w:val="18"/>
              </w:rPr>
              <w:t>Analysis of legislation.</w:t>
            </w:r>
          </w:p>
        </w:tc>
        <w:tc>
          <w:tcPr>
            <w:tcW w:w="1753" w:type="dxa"/>
          </w:tcPr>
          <w:p w14:paraId="3B832FD3" w14:textId="77777777" w:rsidR="007841D0" w:rsidRPr="000F5DB8" w:rsidRDefault="007841D0" w:rsidP="007841D0">
            <w:pPr>
              <w:rPr>
                <w:sz w:val="18"/>
                <w:szCs w:val="18"/>
              </w:rPr>
            </w:pPr>
            <w:r w:rsidRPr="000F5DB8">
              <w:rPr>
                <w:sz w:val="18"/>
                <w:szCs w:val="18"/>
              </w:rPr>
              <w:t>Two pieces of legislation approved by the government.</w:t>
            </w:r>
          </w:p>
          <w:p w14:paraId="49C3D34A" w14:textId="4CE8A36C" w:rsidR="00D417D6" w:rsidRPr="000F5DB8" w:rsidRDefault="00D417D6" w:rsidP="007D0ED5">
            <w:pPr>
              <w:rPr>
                <w:sz w:val="18"/>
                <w:szCs w:val="18"/>
              </w:rPr>
            </w:pPr>
            <w:r w:rsidRPr="000F5DB8">
              <w:rPr>
                <w:sz w:val="18"/>
                <w:szCs w:val="18"/>
              </w:rPr>
              <w:t xml:space="preserve">Other pieces of legislation (e.g., </w:t>
            </w:r>
            <w:r w:rsidR="007D0ED5" w:rsidRPr="000F5DB8">
              <w:rPr>
                <w:sz w:val="18"/>
                <w:szCs w:val="18"/>
              </w:rPr>
              <w:t xml:space="preserve">the Law on Protected Areas including sections on </w:t>
            </w:r>
            <w:r w:rsidR="00C70C10" w:rsidRPr="000F5DB8">
              <w:rPr>
                <w:sz w:val="18"/>
                <w:szCs w:val="18"/>
              </w:rPr>
              <w:t>ecological corridors</w:t>
            </w:r>
            <w:r w:rsidR="007635EA" w:rsidRPr="000F5DB8">
              <w:rPr>
                <w:sz w:val="18"/>
                <w:szCs w:val="18"/>
              </w:rPr>
              <w:t xml:space="preserve"> and the “surrounding areas” to national parks</w:t>
            </w:r>
            <w:r w:rsidR="007D0ED5" w:rsidRPr="000F5DB8">
              <w:rPr>
                <w:sz w:val="18"/>
                <w:szCs w:val="18"/>
              </w:rPr>
              <w:t>) are under consideration by the Kyrgyz Parliament</w:t>
            </w:r>
          </w:p>
        </w:tc>
        <w:tc>
          <w:tcPr>
            <w:tcW w:w="1755" w:type="dxa"/>
          </w:tcPr>
          <w:p w14:paraId="6DD3E56A" w14:textId="51ACC6B7" w:rsidR="003D23C7" w:rsidRPr="000F5DB8" w:rsidRDefault="003D23C7" w:rsidP="004D6910">
            <w:pPr>
              <w:rPr>
                <w:sz w:val="18"/>
                <w:szCs w:val="18"/>
              </w:rPr>
            </w:pPr>
            <w:r w:rsidRPr="000F5DB8">
              <w:rPr>
                <w:sz w:val="18"/>
                <w:szCs w:val="18"/>
              </w:rPr>
              <w:t>Regulation on PAs establishment (The Kyrgyz Republic Gov</w:t>
            </w:r>
            <w:r w:rsidR="007841D0" w:rsidRPr="000F5DB8">
              <w:rPr>
                <w:sz w:val="18"/>
                <w:szCs w:val="18"/>
              </w:rPr>
              <w:t>ernment Decree 30.07.2015 #541)</w:t>
            </w:r>
          </w:p>
          <w:p w14:paraId="1D950F31" w14:textId="68119173" w:rsidR="003D23C7" w:rsidRPr="000F5DB8" w:rsidRDefault="003D23C7" w:rsidP="004D6910">
            <w:pPr>
              <w:rPr>
                <w:sz w:val="18"/>
                <w:szCs w:val="18"/>
              </w:rPr>
            </w:pPr>
            <w:r w:rsidRPr="000F5DB8">
              <w:rPr>
                <w:sz w:val="18"/>
                <w:szCs w:val="18"/>
              </w:rPr>
              <w:t>Regulations on land use in the state Nature Park (The Kyrgyz Republic Government Decree 5.10.2015 # 677)</w:t>
            </w:r>
          </w:p>
        </w:tc>
        <w:tc>
          <w:tcPr>
            <w:tcW w:w="1673" w:type="dxa"/>
          </w:tcPr>
          <w:p w14:paraId="6A20ACCD" w14:textId="77777777" w:rsidR="003D23C7" w:rsidRPr="000F5DB8" w:rsidRDefault="00D417D6" w:rsidP="004D6910">
            <w:pPr>
              <w:rPr>
                <w:sz w:val="18"/>
                <w:szCs w:val="18"/>
              </w:rPr>
            </w:pPr>
            <w:r w:rsidRPr="000F5DB8">
              <w:rPr>
                <w:sz w:val="18"/>
                <w:szCs w:val="18"/>
              </w:rPr>
              <w:t>Satisfactory progress with the approval of two pieces of legislation.</w:t>
            </w:r>
          </w:p>
          <w:p w14:paraId="6C8DB8A4" w14:textId="77777777" w:rsidR="00D417D6" w:rsidRPr="000F5DB8" w:rsidRDefault="0034595B" w:rsidP="004D6910">
            <w:pPr>
              <w:rPr>
                <w:sz w:val="18"/>
                <w:szCs w:val="18"/>
              </w:rPr>
            </w:pPr>
            <w:r w:rsidRPr="000F5DB8">
              <w:rPr>
                <w:sz w:val="18"/>
                <w:szCs w:val="18"/>
              </w:rPr>
              <w:t>The project (and partners including SAEPF and UNDP-CO) should continue to press for the approval of the Law on PAs).</w:t>
            </w:r>
          </w:p>
          <w:p w14:paraId="7A747AC0" w14:textId="6BF538F3" w:rsidR="00442F5B" w:rsidRPr="000F5DB8" w:rsidRDefault="00442F5B" w:rsidP="00027594">
            <w:pPr>
              <w:rPr>
                <w:sz w:val="18"/>
                <w:szCs w:val="18"/>
              </w:rPr>
            </w:pPr>
            <w:r w:rsidRPr="000F5DB8">
              <w:rPr>
                <w:sz w:val="18"/>
                <w:szCs w:val="18"/>
              </w:rPr>
              <w:t xml:space="preserve">See Annex </w:t>
            </w:r>
            <w:r w:rsidR="00027594" w:rsidRPr="000F5DB8">
              <w:rPr>
                <w:sz w:val="18"/>
                <w:szCs w:val="18"/>
              </w:rPr>
              <w:t>V</w:t>
            </w:r>
            <w:r w:rsidRPr="000F5DB8">
              <w:rPr>
                <w:sz w:val="18"/>
                <w:szCs w:val="18"/>
              </w:rPr>
              <w:t>.</w:t>
            </w:r>
          </w:p>
        </w:tc>
      </w:tr>
      <w:tr w:rsidR="003D23C7" w:rsidRPr="000F5DB8" w14:paraId="26155A45" w14:textId="77777777" w:rsidTr="004D6910">
        <w:tc>
          <w:tcPr>
            <w:tcW w:w="1744" w:type="dxa"/>
          </w:tcPr>
          <w:p w14:paraId="5791ACD5" w14:textId="0292229F" w:rsidR="003D23C7" w:rsidRPr="000F5DB8" w:rsidRDefault="003D23C7" w:rsidP="004D6910">
            <w:pPr>
              <w:rPr>
                <w:sz w:val="18"/>
                <w:szCs w:val="18"/>
              </w:rPr>
            </w:pPr>
          </w:p>
        </w:tc>
        <w:tc>
          <w:tcPr>
            <w:tcW w:w="1744" w:type="dxa"/>
          </w:tcPr>
          <w:p w14:paraId="0AA05155" w14:textId="77777777" w:rsidR="003D23C7" w:rsidRPr="000F5DB8" w:rsidRDefault="003D23C7" w:rsidP="004D6910">
            <w:pPr>
              <w:rPr>
                <w:sz w:val="18"/>
                <w:szCs w:val="18"/>
              </w:rPr>
            </w:pPr>
            <w:r w:rsidRPr="000F5DB8">
              <w:rPr>
                <w:sz w:val="18"/>
                <w:szCs w:val="18"/>
              </w:rPr>
              <w:t xml:space="preserve">Area over which territorial land use planning is fully aligned with requirements for regulated resource use stipulated in the management plans of PA buffer zones and corridors </w:t>
            </w:r>
          </w:p>
        </w:tc>
        <w:tc>
          <w:tcPr>
            <w:tcW w:w="1736" w:type="dxa"/>
          </w:tcPr>
          <w:p w14:paraId="435CD736" w14:textId="77777777" w:rsidR="003D23C7" w:rsidRPr="000F5DB8" w:rsidRDefault="003D23C7" w:rsidP="004D6910">
            <w:pPr>
              <w:rPr>
                <w:sz w:val="18"/>
                <w:szCs w:val="18"/>
              </w:rPr>
            </w:pPr>
            <w:r w:rsidRPr="000F5DB8">
              <w:rPr>
                <w:sz w:val="18"/>
                <w:szCs w:val="18"/>
              </w:rPr>
              <w:t>0 ha</w:t>
            </w:r>
          </w:p>
        </w:tc>
        <w:tc>
          <w:tcPr>
            <w:tcW w:w="1735" w:type="dxa"/>
          </w:tcPr>
          <w:p w14:paraId="5BB90855" w14:textId="77777777" w:rsidR="003D23C7" w:rsidRPr="000F5DB8" w:rsidRDefault="003D23C7" w:rsidP="004D6910">
            <w:pPr>
              <w:rPr>
                <w:sz w:val="18"/>
                <w:szCs w:val="18"/>
              </w:rPr>
            </w:pPr>
            <w:r w:rsidRPr="000F5DB8">
              <w:rPr>
                <w:sz w:val="18"/>
                <w:szCs w:val="18"/>
              </w:rPr>
              <w:t>200,000ha</w:t>
            </w:r>
          </w:p>
        </w:tc>
        <w:tc>
          <w:tcPr>
            <w:tcW w:w="2016" w:type="dxa"/>
          </w:tcPr>
          <w:p w14:paraId="5B7BF5C0" w14:textId="59014C21" w:rsidR="003D23C7" w:rsidRPr="000F5DB8" w:rsidRDefault="003D23C7" w:rsidP="004D6910">
            <w:pPr>
              <w:rPr>
                <w:sz w:val="18"/>
                <w:szCs w:val="18"/>
              </w:rPr>
            </w:pPr>
          </w:p>
        </w:tc>
        <w:tc>
          <w:tcPr>
            <w:tcW w:w="1753" w:type="dxa"/>
          </w:tcPr>
          <w:p w14:paraId="4B600977" w14:textId="765FCAEC" w:rsidR="003D23C7" w:rsidRPr="000F5DB8" w:rsidRDefault="003D23C7" w:rsidP="004D6910">
            <w:pPr>
              <w:rPr>
                <w:sz w:val="18"/>
                <w:szCs w:val="18"/>
              </w:rPr>
            </w:pPr>
          </w:p>
        </w:tc>
        <w:tc>
          <w:tcPr>
            <w:tcW w:w="1755" w:type="dxa"/>
          </w:tcPr>
          <w:p w14:paraId="77BDE563" w14:textId="21F9C9C4" w:rsidR="003D23C7" w:rsidRPr="000F5DB8" w:rsidRDefault="00513F2A" w:rsidP="00513F2A">
            <w:pPr>
              <w:rPr>
                <w:sz w:val="18"/>
                <w:szCs w:val="18"/>
              </w:rPr>
            </w:pPr>
            <w:r w:rsidRPr="000F5DB8">
              <w:rPr>
                <w:sz w:val="18"/>
                <w:szCs w:val="18"/>
              </w:rPr>
              <w:t>Order of the Plenipotentiary Representative of the Government of the Kyrgyz Republic in Issyk-Kul oblast, 09 February 2015 No. 21</w:t>
            </w:r>
          </w:p>
        </w:tc>
        <w:tc>
          <w:tcPr>
            <w:tcW w:w="1673" w:type="dxa"/>
          </w:tcPr>
          <w:p w14:paraId="307C4F6B" w14:textId="77777777" w:rsidR="000A3D70" w:rsidRPr="000F5DB8" w:rsidRDefault="000A3D70" w:rsidP="000A3D70">
            <w:pPr>
              <w:rPr>
                <w:sz w:val="18"/>
                <w:szCs w:val="18"/>
              </w:rPr>
            </w:pPr>
            <w:r w:rsidRPr="000F5DB8">
              <w:rPr>
                <w:sz w:val="18"/>
                <w:szCs w:val="18"/>
              </w:rPr>
              <w:t xml:space="preserve">See comments in </w:t>
            </w:r>
            <w:r w:rsidRPr="000F5DB8">
              <w:rPr>
                <w:sz w:val="18"/>
                <w:szCs w:val="18"/>
              </w:rPr>
              <w:fldChar w:fldCharType="begin"/>
            </w:r>
            <w:r w:rsidRPr="000F5DB8">
              <w:rPr>
                <w:sz w:val="18"/>
                <w:szCs w:val="18"/>
              </w:rPr>
              <w:instrText xml:space="preserve"> REF _Ref296246669 \h </w:instrText>
            </w:r>
            <w:r w:rsidRPr="000F5DB8">
              <w:rPr>
                <w:sz w:val="18"/>
                <w:szCs w:val="18"/>
              </w:rPr>
            </w:r>
            <w:r w:rsidRPr="000F5DB8">
              <w:rPr>
                <w:sz w:val="18"/>
                <w:szCs w:val="18"/>
              </w:rPr>
              <w:fldChar w:fldCharType="separate"/>
            </w:r>
            <w:r w:rsidRPr="000F5DB8">
              <w:rPr>
                <w:sz w:val="18"/>
                <w:szCs w:val="18"/>
              </w:rPr>
              <w:t xml:space="preserve">Table </w:t>
            </w:r>
            <w:r w:rsidRPr="000F5DB8">
              <w:rPr>
                <w:noProof/>
                <w:sz w:val="18"/>
                <w:szCs w:val="18"/>
              </w:rPr>
              <w:t>2</w:t>
            </w:r>
            <w:r w:rsidRPr="000F5DB8">
              <w:rPr>
                <w:sz w:val="18"/>
                <w:szCs w:val="18"/>
              </w:rPr>
              <w:fldChar w:fldCharType="end"/>
            </w:r>
            <w:r w:rsidRPr="000F5DB8">
              <w:rPr>
                <w:sz w:val="18"/>
                <w:szCs w:val="18"/>
              </w:rPr>
              <w:t>.</w:t>
            </w:r>
          </w:p>
          <w:p w14:paraId="4B160046" w14:textId="4791692A" w:rsidR="009C6963" w:rsidRPr="000F5DB8" w:rsidRDefault="009C6963" w:rsidP="004D6910">
            <w:pPr>
              <w:rPr>
                <w:sz w:val="18"/>
                <w:szCs w:val="18"/>
              </w:rPr>
            </w:pPr>
          </w:p>
        </w:tc>
      </w:tr>
      <w:tr w:rsidR="003D23C7" w:rsidRPr="000F5DB8" w14:paraId="35F92388" w14:textId="77777777" w:rsidTr="004D6910">
        <w:tc>
          <w:tcPr>
            <w:tcW w:w="1744" w:type="dxa"/>
          </w:tcPr>
          <w:p w14:paraId="1C34BE91" w14:textId="2A93F471" w:rsidR="003D23C7" w:rsidRPr="000F5DB8" w:rsidRDefault="003D23C7" w:rsidP="004D6910">
            <w:pPr>
              <w:rPr>
                <w:sz w:val="18"/>
                <w:szCs w:val="18"/>
              </w:rPr>
            </w:pPr>
          </w:p>
        </w:tc>
        <w:tc>
          <w:tcPr>
            <w:tcW w:w="1744" w:type="dxa"/>
          </w:tcPr>
          <w:p w14:paraId="2E7F8EAD" w14:textId="77777777" w:rsidR="003D23C7" w:rsidRPr="000F5DB8" w:rsidRDefault="003D23C7" w:rsidP="004D6910">
            <w:pPr>
              <w:rPr>
                <w:sz w:val="18"/>
                <w:szCs w:val="18"/>
              </w:rPr>
            </w:pPr>
            <w:r w:rsidRPr="000F5DB8">
              <w:rPr>
                <w:sz w:val="18"/>
                <w:szCs w:val="18"/>
              </w:rPr>
              <w:t xml:space="preserve">Better management of hunting in buffers and corridors as reflected in </w:t>
            </w:r>
            <w:proofErr w:type="spellStart"/>
            <w:r w:rsidRPr="000F5DB8">
              <w:rPr>
                <w:sz w:val="18"/>
                <w:szCs w:val="18"/>
              </w:rPr>
              <w:t>percent</w:t>
            </w:r>
            <w:proofErr w:type="spellEnd"/>
            <w:r w:rsidRPr="000F5DB8">
              <w:rPr>
                <w:sz w:val="18"/>
                <w:szCs w:val="18"/>
              </w:rPr>
              <w:t xml:space="preserve"> of trophy hunting that is controlled and monitored </w:t>
            </w:r>
          </w:p>
          <w:p w14:paraId="6E91600E" w14:textId="77777777" w:rsidR="003D23C7" w:rsidRPr="000F5DB8" w:rsidRDefault="003D23C7" w:rsidP="004D6910">
            <w:pPr>
              <w:rPr>
                <w:sz w:val="18"/>
                <w:szCs w:val="18"/>
              </w:rPr>
            </w:pPr>
          </w:p>
        </w:tc>
        <w:tc>
          <w:tcPr>
            <w:tcW w:w="1736" w:type="dxa"/>
          </w:tcPr>
          <w:p w14:paraId="5A1EF7CA" w14:textId="77777777" w:rsidR="003D23C7" w:rsidRPr="000F5DB8" w:rsidRDefault="003D23C7" w:rsidP="004D6910">
            <w:pPr>
              <w:rPr>
                <w:sz w:val="18"/>
                <w:szCs w:val="18"/>
              </w:rPr>
            </w:pPr>
            <w:r w:rsidRPr="000F5DB8">
              <w:rPr>
                <w:sz w:val="18"/>
                <w:szCs w:val="18"/>
              </w:rPr>
              <w:t xml:space="preserve">Only 30% of trophy hunting is legal because hunters are uncontrolled and unmonitored </w:t>
            </w:r>
          </w:p>
          <w:p w14:paraId="7114E037" w14:textId="77777777" w:rsidR="003D23C7" w:rsidRPr="000F5DB8" w:rsidRDefault="003D23C7" w:rsidP="004D6910">
            <w:pPr>
              <w:rPr>
                <w:sz w:val="18"/>
                <w:szCs w:val="18"/>
              </w:rPr>
            </w:pPr>
          </w:p>
        </w:tc>
        <w:tc>
          <w:tcPr>
            <w:tcW w:w="1735" w:type="dxa"/>
          </w:tcPr>
          <w:p w14:paraId="48EA8408" w14:textId="77777777" w:rsidR="003D23C7" w:rsidRPr="000F5DB8" w:rsidRDefault="003D23C7" w:rsidP="004D6910">
            <w:pPr>
              <w:rPr>
                <w:sz w:val="18"/>
                <w:szCs w:val="18"/>
              </w:rPr>
            </w:pPr>
            <w:r w:rsidRPr="000F5DB8">
              <w:rPr>
                <w:sz w:val="18"/>
                <w:szCs w:val="18"/>
              </w:rPr>
              <w:t>90% of trophy hunting is legally licensed</w:t>
            </w:r>
          </w:p>
        </w:tc>
        <w:tc>
          <w:tcPr>
            <w:tcW w:w="2016" w:type="dxa"/>
          </w:tcPr>
          <w:p w14:paraId="66EBD6AD" w14:textId="54450500" w:rsidR="003D23C7" w:rsidRPr="000F5DB8" w:rsidRDefault="003D23C7" w:rsidP="004D6910">
            <w:pPr>
              <w:rPr>
                <w:sz w:val="18"/>
                <w:szCs w:val="18"/>
              </w:rPr>
            </w:pPr>
            <w:r w:rsidRPr="000F5DB8">
              <w:rPr>
                <w:sz w:val="18"/>
                <w:szCs w:val="18"/>
              </w:rPr>
              <w:t xml:space="preserve"> </w:t>
            </w:r>
          </w:p>
        </w:tc>
        <w:tc>
          <w:tcPr>
            <w:tcW w:w="1753" w:type="dxa"/>
          </w:tcPr>
          <w:p w14:paraId="0097878A" w14:textId="77777777" w:rsidR="003D23C7" w:rsidRPr="000F5DB8" w:rsidRDefault="003D23C7" w:rsidP="004D6910">
            <w:pPr>
              <w:rPr>
                <w:sz w:val="18"/>
                <w:szCs w:val="18"/>
              </w:rPr>
            </w:pPr>
          </w:p>
        </w:tc>
        <w:tc>
          <w:tcPr>
            <w:tcW w:w="1755" w:type="dxa"/>
          </w:tcPr>
          <w:p w14:paraId="53304635" w14:textId="77777777" w:rsidR="003D23C7" w:rsidRPr="000F5DB8" w:rsidRDefault="003D23C7" w:rsidP="004F3057">
            <w:pPr>
              <w:rPr>
                <w:sz w:val="18"/>
                <w:szCs w:val="18"/>
              </w:rPr>
            </w:pPr>
          </w:p>
        </w:tc>
        <w:tc>
          <w:tcPr>
            <w:tcW w:w="1673" w:type="dxa"/>
          </w:tcPr>
          <w:p w14:paraId="7E0236B1" w14:textId="054D8DBE" w:rsidR="003D23C7" w:rsidRPr="000F5DB8" w:rsidRDefault="004F3057" w:rsidP="000A3D70">
            <w:pPr>
              <w:rPr>
                <w:sz w:val="18"/>
                <w:szCs w:val="18"/>
              </w:rPr>
            </w:pPr>
            <w:r w:rsidRPr="000F5DB8">
              <w:rPr>
                <w:sz w:val="18"/>
                <w:szCs w:val="18"/>
              </w:rPr>
              <w:t xml:space="preserve">The PIU made comments in the PIR (2015) regarding the publication of guidelines and handbooks.  These alone cannot result in better management of hunting.  This indicator wholly underestimates the work required to achieve better management of trophy hunting.  See Table </w:t>
            </w:r>
            <w:r w:rsidR="000A3D70" w:rsidRPr="000F5DB8">
              <w:rPr>
                <w:sz w:val="18"/>
                <w:szCs w:val="18"/>
              </w:rPr>
              <w:t>2</w:t>
            </w:r>
            <w:r w:rsidRPr="000F5DB8">
              <w:rPr>
                <w:sz w:val="18"/>
                <w:szCs w:val="18"/>
              </w:rPr>
              <w:t xml:space="preserve"> for comments and recommendations.</w:t>
            </w:r>
          </w:p>
        </w:tc>
      </w:tr>
      <w:tr w:rsidR="003D23C7" w:rsidRPr="000F5DB8" w14:paraId="19743483" w14:textId="77777777" w:rsidTr="004D6910">
        <w:tc>
          <w:tcPr>
            <w:tcW w:w="1744" w:type="dxa"/>
          </w:tcPr>
          <w:p w14:paraId="31D4DC5E" w14:textId="77777777" w:rsidR="003D23C7" w:rsidRPr="000F5DB8" w:rsidRDefault="003D23C7" w:rsidP="004D6910">
            <w:pPr>
              <w:rPr>
                <w:sz w:val="18"/>
                <w:szCs w:val="18"/>
              </w:rPr>
            </w:pPr>
          </w:p>
        </w:tc>
        <w:tc>
          <w:tcPr>
            <w:tcW w:w="1744" w:type="dxa"/>
          </w:tcPr>
          <w:p w14:paraId="4E16D252" w14:textId="77777777" w:rsidR="003D23C7" w:rsidRPr="000F5DB8" w:rsidRDefault="003D23C7" w:rsidP="004D6910">
            <w:pPr>
              <w:rPr>
                <w:sz w:val="18"/>
                <w:szCs w:val="18"/>
              </w:rPr>
            </w:pPr>
            <w:r w:rsidRPr="000F5DB8">
              <w:rPr>
                <w:sz w:val="18"/>
                <w:szCs w:val="18"/>
              </w:rPr>
              <w:t xml:space="preserve">Prosecution of illegal hunting in buffers and corridors </w:t>
            </w:r>
          </w:p>
          <w:p w14:paraId="5C8F7B43" w14:textId="77777777" w:rsidR="003D23C7" w:rsidRPr="000F5DB8" w:rsidRDefault="003D23C7" w:rsidP="004D6910">
            <w:pPr>
              <w:rPr>
                <w:sz w:val="18"/>
                <w:szCs w:val="18"/>
              </w:rPr>
            </w:pPr>
          </w:p>
        </w:tc>
        <w:tc>
          <w:tcPr>
            <w:tcW w:w="1736" w:type="dxa"/>
          </w:tcPr>
          <w:p w14:paraId="0778B3A0" w14:textId="77777777" w:rsidR="003D23C7" w:rsidRPr="000F5DB8" w:rsidRDefault="003D23C7" w:rsidP="004D6910">
            <w:pPr>
              <w:rPr>
                <w:sz w:val="18"/>
                <w:szCs w:val="18"/>
              </w:rPr>
            </w:pPr>
            <w:r w:rsidRPr="000F5DB8">
              <w:rPr>
                <w:sz w:val="18"/>
                <w:szCs w:val="18"/>
              </w:rPr>
              <w:t xml:space="preserve">Only 10% of incidents of illegal hunting successfully prosecuted </w:t>
            </w:r>
          </w:p>
        </w:tc>
        <w:tc>
          <w:tcPr>
            <w:tcW w:w="1735" w:type="dxa"/>
          </w:tcPr>
          <w:p w14:paraId="3C8FC563" w14:textId="77777777" w:rsidR="003D23C7" w:rsidRPr="000F5DB8" w:rsidRDefault="003D23C7" w:rsidP="004D6910">
            <w:pPr>
              <w:rPr>
                <w:sz w:val="18"/>
                <w:szCs w:val="18"/>
              </w:rPr>
            </w:pPr>
            <w:r w:rsidRPr="000F5DB8">
              <w:rPr>
                <w:sz w:val="18"/>
                <w:szCs w:val="18"/>
              </w:rPr>
              <w:t>At least 50% of incidents of illegal hunting successfully prosecuted from YR4</w:t>
            </w:r>
          </w:p>
        </w:tc>
        <w:tc>
          <w:tcPr>
            <w:tcW w:w="2016" w:type="dxa"/>
          </w:tcPr>
          <w:p w14:paraId="72942CA5" w14:textId="0542855A" w:rsidR="003D23C7" w:rsidRPr="000F5DB8" w:rsidRDefault="0036420C" w:rsidP="004D6910">
            <w:pPr>
              <w:rPr>
                <w:sz w:val="18"/>
                <w:szCs w:val="18"/>
              </w:rPr>
            </w:pPr>
            <w:r w:rsidRPr="000F5DB8">
              <w:rPr>
                <w:sz w:val="18"/>
                <w:szCs w:val="18"/>
              </w:rPr>
              <w:t>No data</w:t>
            </w:r>
          </w:p>
        </w:tc>
        <w:tc>
          <w:tcPr>
            <w:tcW w:w="1753" w:type="dxa"/>
          </w:tcPr>
          <w:p w14:paraId="3981B34C" w14:textId="64027615" w:rsidR="003D23C7" w:rsidRPr="000F5DB8" w:rsidRDefault="0036420C" w:rsidP="004D6910">
            <w:pPr>
              <w:rPr>
                <w:sz w:val="18"/>
                <w:szCs w:val="18"/>
              </w:rPr>
            </w:pPr>
            <w:r w:rsidRPr="000F5DB8">
              <w:rPr>
                <w:sz w:val="18"/>
                <w:szCs w:val="18"/>
              </w:rPr>
              <w:t>No data</w:t>
            </w:r>
          </w:p>
        </w:tc>
        <w:tc>
          <w:tcPr>
            <w:tcW w:w="1755" w:type="dxa"/>
          </w:tcPr>
          <w:p w14:paraId="3FC8401A" w14:textId="4D78F0CA" w:rsidR="003D23C7" w:rsidRPr="000F5DB8" w:rsidRDefault="0036420C" w:rsidP="004D6910">
            <w:pPr>
              <w:rPr>
                <w:sz w:val="18"/>
                <w:szCs w:val="18"/>
              </w:rPr>
            </w:pPr>
            <w:r w:rsidRPr="000F5DB8">
              <w:rPr>
                <w:sz w:val="18"/>
                <w:szCs w:val="18"/>
              </w:rPr>
              <w:t>Court records</w:t>
            </w:r>
          </w:p>
        </w:tc>
        <w:tc>
          <w:tcPr>
            <w:tcW w:w="1673" w:type="dxa"/>
          </w:tcPr>
          <w:p w14:paraId="005008F4" w14:textId="35D8974F" w:rsidR="003D23C7" w:rsidRPr="000F5DB8" w:rsidRDefault="0036420C" w:rsidP="000A3D70">
            <w:pPr>
              <w:rPr>
                <w:sz w:val="18"/>
                <w:szCs w:val="18"/>
              </w:rPr>
            </w:pPr>
            <w:r w:rsidRPr="000F5DB8">
              <w:rPr>
                <w:sz w:val="18"/>
                <w:szCs w:val="18"/>
              </w:rPr>
              <w:t xml:space="preserve">See Table </w:t>
            </w:r>
            <w:r w:rsidR="000A3D70" w:rsidRPr="000F5DB8">
              <w:rPr>
                <w:sz w:val="18"/>
                <w:szCs w:val="18"/>
              </w:rPr>
              <w:t>2</w:t>
            </w:r>
            <w:r w:rsidRPr="000F5DB8">
              <w:rPr>
                <w:sz w:val="18"/>
                <w:szCs w:val="18"/>
              </w:rPr>
              <w:t xml:space="preserve"> for discussion on this indicator.</w:t>
            </w:r>
          </w:p>
        </w:tc>
      </w:tr>
      <w:tr w:rsidR="003D23C7" w:rsidRPr="000F5DB8" w14:paraId="15F57298" w14:textId="77777777" w:rsidTr="004D6910">
        <w:tc>
          <w:tcPr>
            <w:tcW w:w="1744" w:type="dxa"/>
          </w:tcPr>
          <w:p w14:paraId="1A0F3E17" w14:textId="77777777" w:rsidR="003D23C7" w:rsidRPr="000F5DB8" w:rsidRDefault="003D23C7" w:rsidP="004D6910">
            <w:pPr>
              <w:rPr>
                <w:sz w:val="18"/>
                <w:szCs w:val="18"/>
              </w:rPr>
            </w:pPr>
          </w:p>
        </w:tc>
        <w:tc>
          <w:tcPr>
            <w:tcW w:w="1744" w:type="dxa"/>
          </w:tcPr>
          <w:p w14:paraId="502DCE19" w14:textId="3F9E2B84" w:rsidR="003D23C7" w:rsidRPr="000F5DB8" w:rsidRDefault="003D23C7" w:rsidP="004D6910">
            <w:pPr>
              <w:rPr>
                <w:sz w:val="18"/>
                <w:szCs w:val="18"/>
              </w:rPr>
            </w:pPr>
            <w:r w:rsidRPr="000F5DB8">
              <w:rPr>
                <w:sz w:val="18"/>
                <w:szCs w:val="18"/>
              </w:rPr>
              <w:t xml:space="preserve">Increase in share of incomes of local communities from biodiversity-compatible alternative livelihood activities </w:t>
            </w:r>
          </w:p>
        </w:tc>
        <w:tc>
          <w:tcPr>
            <w:tcW w:w="1736" w:type="dxa"/>
          </w:tcPr>
          <w:p w14:paraId="08486F13" w14:textId="77777777" w:rsidR="003D23C7" w:rsidRPr="000F5DB8" w:rsidRDefault="003D23C7" w:rsidP="004D6910">
            <w:pPr>
              <w:rPr>
                <w:sz w:val="18"/>
                <w:szCs w:val="18"/>
              </w:rPr>
            </w:pPr>
            <w:r w:rsidRPr="000F5DB8">
              <w:rPr>
                <w:sz w:val="18"/>
                <w:szCs w:val="18"/>
              </w:rPr>
              <w:t xml:space="preserve">More than 60% of income comes from hunting </w:t>
            </w:r>
          </w:p>
          <w:p w14:paraId="5DD9E525" w14:textId="77777777" w:rsidR="003D23C7" w:rsidRPr="000F5DB8" w:rsidRDefault="003D23C7" w:rsidP="004D6910">
            <w:pPr>
              <w:rPr>
                <w:sz w:val="18"/>
                <w:szCs w:val="18"/>
              </w:rPr>
            </w:pPr>
          </w:p>
        </w:tc>
        <w:tc>
          <w:tcPr>
            <w:tcW w:w="1735" w:type="dxa"/>
          </w:tcPr>
          <w:p w14:paraId="0B38B3F5" w14:textId="77777777" w:rsidR="003D23C7" w:rsidRPr="000F5DB8" w:rsidRDefault="003D23C7" w:rsidP="004D6910">
            <w:pPr>
              <w:rPr>
                <w:sz w:val="18"/>
                <w:szCs w:val="18"/>
              </w:rPr>
            </w:pPr>
            <w:r w:rsidRPr="000F5DB8">
              <w:rPr>
                <w:sz w:val="18"/>
                <w:szCs w:val="18"/>
              </w:rPr>
              <w:t>By EOP, at least 60% of income comes from sustainable livelihoods promoted by the project</w:t>
            </w:r>
          </w:p>
        </w:tc>
        <w:tc>
          <w:tcPr>
            <w:tcW w:w="2016" w:type="dxa"/>
          </w:tcPr>
          <w:p w14:paraId="08D9801D" w14:textId="2719B2E5" w:rsidR="003D23C7" w:rsidRPr="000F5DB8" w:rsidRDefault="001576F7" w:rsidP="004D6910">
            <w:pPr>
              <w:rPr>
                <w:sz w:val="18"/>
                <w:szCs w:val="18"/>
              </w:rPr>
            </w:pPr>
            <w:r w:rsidRPr="000F5DB8">
              <w:rPr>
                <w:sz w:val="18"/>
                <w:szCs w:val="18"/>
              </w:rPr>
              <w:t>Socio-economic surveys carried out (but see Section 4.2.1 above for further discussion on this)</w:t>
            </w:r>
          </w:p>
        </w:tc>
        <w:tc>
          <w:tcPr>
            <w:tcW w:w="1753" w:type="dxa"/>
          </w:tcPr>
          <w:p w14:paraId="1B147B4E" w14:textId="1FF0B351" w:rsidR="003D23C7" w:rsidRPr="000F5DB8" w:rsidRDefault="001576F7" w:rsidP="004D6910">
            <w:pPr>
              <w:rPr>
                <w:sz w:val="18"/>
                <w:szCs w:val="18"/>
              </w:rPr>
            </w:pPr>
            <w:r w:rsidRPr="000F5DB8">
              <w:rPr>
                <w:sz w:val="18"/>
                <w:szCs w:val="18"/>
              </w:rPr>
              <w:t>No livelihoods activities carried out</w:t>
            </w:r>
          </w:p>
        </w:tc>
        <w:tc>
          <w:tcPr>
            <w:tcW w:w="1755" w:type="dxa"/>
          </w:tcPr>
          <w:p w14:paraId="7BCB1D99" w14:textId="701BDFC6" w:rsidR="003D23C7" w:rsidRPr="000F5DB8" w:rsidRDefault="003D23C7" w:rsidP="004D6910">
            <w:pPr>
              <w:rPr>
                <w:sz w:val="18"/>
                <w:szCs w:val="18"/>
              </w:rPr>
            </w:pPr>
          </w:p>
        </w:tc>
        <w:tc>
          <w:tcPr>
            <w:tcW w:w="1673" w:type="dxa"/>
          </w:tcPr>
          <w:p w14:paraId="3A3B749D" w14:textId="71E8DFA7" w:rsidR="003D23C7" w:rsidRPr="000F5DB8" w:rsidRDefault="001576F7" w:rsidP="000A3D70">
            <w:pPr>
              <w:rPr>
                <w:sz w:val="18"/>
                <w:szCs w:val="18"/>
              </w:rPr>
            </w:pPr>
            <w:r w:rsidRPr="000F5DB8">
              <w:rPr>
                <w:sz w:val="18"/>
                <w:szCs w:val="18"/>
              </w:rPr>
              <w:t xml:space="preserve">See Table </w:t>
            </w:r>
            <w:r w:rsidR="000A3D70" w:rsidRPr="000F5DB8">
              <w:rPr>
                <w:sz w:val="18"/>
                <w:szCs w:val="18"/>
              </w:rPr>
              <w:t>2</w:t>
            </w:r>
            <w:r w:rsidRPr="000F5DB8">
              <w:rPr>
                <w:sz w:val="18"/>
                <w:szCs w:val="18"/>
              </w:rPr>
              <w:t xml:space="preserve"> and Section 4.2.1 for discussion.</w:t>
            </w:r>
          </w:p>
        </w:tc>
      </w:tr>
      <w:tr w:rsidR="003D23C7" w:rsidRPr="000F5DB8" w14:paraId="282BFD79" w14:textId="77777777" w:rsidTr="004D6910">
        <w:tc>
          <w:tcPr>
            <w:tcW w:w="1744" w:type="dxa"/>
          </w:tcPr>
          <w:p w14:paraId="0439F69B" w14:textId="77777777" w:rsidR="003D23C7" w:rsidRPr="000F5DB8" w:rsidRDefault="003D23C7" w:rsidP="004D6910">
            <w:pPr>
              <w:rPr>
                <w:sz w:val="18"/>
                <w:szCs w:val="18"/>
              </w:rPr>
            </w:pPr>
          </w:p>
        </w:tc>
        <w:tc>
          <w:tcPr>
            <w:tcW w:w="1744" w:type="dxa"/>
          </w:tcPr>
          <w:p w14:paraId="3EB6536D" w14:textId="77777777" w:rsidR="003D23C7" w:rsidRPr="000F5DB8" w:rsidRDefault="003D23C7" w:rsidP="004D6910">
            <w:pPr>
              <w:rPr>
                <w:sz w:val="18"/>
                <w:szCs w:val="18"/>
              </w:rPr>
            </w:pPr>
            <w:r w:rsidRPr="000F5DB8">
              <w:rPr>
                <w:sz w:val="18"/>
                <w:szCs w:val="18"/>
              </w:rPr>
              <w:t xml:space="preserve">Reduced hunting effort directly attributable to changes in livelihoods among hunters </w:t>
            </w:r>
          </w:p>
          <w:p w14:paraId="73AB627F" w14:textId="77777777" w:rsidR="003D23C7" w:rsidRPr="000F5DB8" w:rsidRDefault="003D23C7" w:rsidP="004D6910">
            <w:pPr>
              <w:rPr>
                <w:sz w:val="18"/>
                <w:szCs w:val="18"/>
              </w:rPr>
            </w:pPr>
          </w:p>
        </w:tc>
        <w:tc>
          <w:tcPr>
            <w:tcW w:w="1736" w:type="dxa"/>
          </w:tcPr>
          <w:p w14:paraId="10EEA38B" w14:textId="77777777" w:rsidR="003D23C7" w:rsidRPr="000F5DB8" w:rsidRDefault="003D23C7" w:rsidP="004D6910">
            <w:pPr>
              <w:rPr>
                <w:sz w:val="18"/>
                <w:szCs w:val="18"/>
              </w:rPr>
            </w:pPr>
            <w:r w:rsidRPr="000F5DB8">
              <w:rPr>
                <w:sz w:val="18"/>
                <w:szCs w:val="18"/>
              </w:rPr>
              <w:t xml:space="preserve">500 persons hunting in the area </w:t>
            </w:r>
          </w:p>
          <w:p w14:paraId="2E04B349" w14:textId="77777777" w:rsidR="003D23C7" w:rsidRPr="000F5DB8" w:rsidRDefault="003D23C7" w:rsidP="004D6910">
            <w:pPr>
              <w:rPr>
                <w:sz w:val="18"/>
                <w:szCs w:val="18"/>
              </w:rPr>
            </w:pPr>
          </w:p>
        </w:tc>
        <w:tc>
          <w:tcPr>
            <w:tcW w:w="1735" w:type="dxa"/>
          </w:tcPr>
          <w:p w14:paraId="055EBC4F" w14:textId="77777777" w:rsidR="003D23C7" w:rsidRPr="000F5DB8" w:rsidRDefault="003D23C7" w:rsidP="004D6910">
            <w:pPr>
              <w:rPr>
                <w:sz w:val="18"/>
                <w:szCs w:val="18"/>
              </w:rPr>
            </w:pPr>
            <w:r w:rsidRPr="000F5DB8">
              <w:rPr>
                <w:sz w:val="18"/>
                <w:szCs w:val="18"/>
              </w:rPr>
              <w:t>150 (reduction by 1/3) persons hunting by EOP</w:t>
            </w:r>
          </w:p>
        </w:tc>
        <w:tc>
          <w:tcPr>
            <w:tcW w:w="2016" w:type="dxa"/>
          </w:tcPr>
          <w:p w14:paraId="1E6ACC70" w14:textId="45C2A996" w:rsidR="003D23C7" w:rsidRPr="000F5DB8" w:rsidRDefault="001576F7" w:rsidP="004D6910">
            <w:pPr>
              <w:rPr>
                <w:sz w:val="18"/>
                <w:szCs w:val="18"/>
              </w:rPr>
            </w:pPr>
            <w:r w:rsidRPr="000F5DB8">
              <w:rPr>
                <w:sz w:val="18"/>
                <w:szCs w:val="18"/>
              </w:rPr>
              <w:t>No data</w:t>
            </w:r>
          </w:p>
        </w:tc>
        <w:tc>
          <w:tcPr>
            <w:tcW w:w="1753" w:type="dxa"/>
          </w:tcPr>
          <w:p w14:paraId="02319ED6" w14:textId="77777777" w:rsidR="003D23C7" w:rsidRPr="000F5DB8" w:rsidRDefault="003D23C7" w:rsidP="004D6910">
            <w:pPr>
              <w:rPr>
                <w:sz w:val="18"/>
                <w:szCs w:val="18"/>
              </w:rPr>
            </w:pPr>
          </w:p>
        </w:tc>
        <w:tc>
          <w:tcPr>
            <w:tcW w:w="1755" w:type="dxa"/>
          </w:tcPr>
          <w:p w14:paraId="44A7296B" w14:textId="77777777" w:rsidR="003D23C7" w:rsidRPr="000F5DB8" w:rsidRDefault="003D23C7" w:rsidP="004D6910">
            <w:pPr>
              <w:rPr>
                <w:sz w:val="18"/>
                <w:szCs w:val="18"/>
              </w:rPr>
            </w:pPr>
          </w:p>
        </w:tc>
        <w:tc>
          <w:tcPr>
            <w:tcW w:w="1673" w:type="dxa"/>
          </w:tcPr>
          <w:p w14:paraId="5BECD81F" w14:textId="562F31DE" w:rsidR="003D23C7" w:rsidRPr="000F5DB8" w:rsidRDefault="00A82342" w:rsidP="000A3D70">
            <w:pPr>
              <w:rPr>
                <w:sz w:val="18"/>
                <w:szCs w:val="18"/>
              </w:rPr>
            </w:pPr>
            <w:r w:rsidRPr="000F5DB8">
              <w:rPr>
                <w:sz w:val="18"/>
                <w:szCs w:val="18"/>
              </w:rPr>
              <w:t xml:space="preserve">See comments in Table </w:t>
            </w:r>
            <w:r w:rsidR="000A3D70" w:rsidRPr="000F5DB8">
              <w:rPr>
                <w:sz w:val="18"/>
                <w:szCs w:val="18"/>
              </w:rPr>
              <w:t>2</w:t>
            </w:r>
            <w:r w:rsidRPr="000F5DB8">
              <w:rPr>
                <w:sz w:val="18"/>
                <w:szCs w:val="18"/>
              </w:rPr>
              <w:t>.</w:t>
            </w:r>
          </w:p>
        </w:tc>
      </w:tr>
    </w:tbl>
    <w:p w14:paraId="05F0A4CA" w14:textId="77777777" w:rsidR="00524CEA" w:rsidRDefault="00524CEA" w:rsidP="002F588D"/>
    <w:p w14:paraId="1856D54D" w14:textId="77777777" w:rsidR="0083004E" w:rsidRPr="00516656" w:rsidRDefault="0083004E" w:rsidP="002F588D"/>
    <w:p w14:paraId="1F053758" w14:textId="77777777" w:rsidR="00483AA0" w:rsidRPr="00516656" w:rsidRDefault="00483AA0" w:rsidP="002F588D">
      <w:pPr>
        <w:sectPr w:rsidR="00483AA0" w:rsidRPr="00516656" w:rsidSect="004C2807">
          <w:pgSz w:w="16840" w:h="11901" w:orient="landscape"/>
          <w:pgMar w:top="1418" w:right="1134" w:bottom="1474" w:left="1134" w:header="709" w:footer="709" w:gutter="0"/>
          <w:cols w:space="708"/>
          <w:titlePg/>
          <w:docGrid w:linePitch="360"/>
        </w:sectPr>
      </w:pPr>
    </w:p>
    <w:p w14:paraId="2628E03F" w14:textId="77777777" w:rsidR="00483AA0" w:rsidRPr="00516656" w:rsidRDefault="00483AA0" w:rsidP="002F588D"/>
    <w:p w14:paraId="64235CBC" w14:textId="6607A9AF" w:rsidR="00D938B2" w:rsidRPr="00516656" w:rsidRDefault="00D938B2" w:rsidP="00660D28">
      <w:pPr>
        <w:pStyle w:val="Heading3"/>
      </w:pPr>
      <w:bookmarkStart w:id="28" w:name="_Toc311452878"/>
      <w:r w:rsidRPr="00516656">
        <w:t>Remaining barriers to achieving project objectives</w:t>
      </w:r>
      <w:bookmarkEnd w:id="28"/>
    </w:p>
    <w:p w14:paraId="5B0BA244" w14:textId="1B2DD5FD" w:rsidR="000C23E9" w:rsidRDefault="00EE04D4" w:rsidP="000C23E9">
      <w:pPr>
        <w:numPr>
          <w:ilvl w:val="0"/>
          <w:numId w:val="2"/>
        </w:numPr>
        <w:ind w:left="0" w:firstLine="0"/>
        <w:jc w:val="both"/>
      </w:pPr>
      <w:r>
        <w:t>A number of issues have already been discussed in Section</w:t>
      </w:r>
      <w:r w:rsidR="003138DF">
        <w:t>s</w:t>
      </w:r>
      <w:r>
        <w:t xml:space="preserve"> </w:t>
      </w:r>
      <w:r w:rsidR="003138DF">
        <w:t xml:space="preserve">4.1.2 and </w:t>
      </w:r>
      <w:r>
        <w:t>4.2.1</w:t>
      </w:r>
      <w:r w:rsidR="003138DF">
        <w:t xml:space="preserve"> (including the project’s results framework, analysed therein)</w:t>
      </w:r>
      <w:r w:rsidR="000C23E9">
        <w:t>, including</w:t>
      </w:r>
      <w:r w:rsidR="003138DF">
        <w:t>:</w:t>
      </w:r>
    </w:p>
    <w:p w14:paraId="245C4467" w14:textId="68E5BA8B" w:rsidR="000C23E9" w:rsidRDefault="00C54FE1" w:rsidP="000C23E9">
      <w:pPr>
        <w:numPr>
          <w:ilvl w:val="1"/>
          <w:numId w:val="2"/>
        </w:numPr>
        <w:jc w:val="both"/>
      </w:pPr>
      <w:r>
        <w:t xml:space="preserve">The one </w:t>
      </w:r>
      <w:proofErr w:type="spellStart"/>
      <w:r w:rsidRPr="00C54FE1">
        <w:rPr>
          <w:i/>
        </w:rPr>
        <w:t>aiyl</w:t>
      </w:r>
      <w:proofErr w:type="spellEnd"/>
      <w:r w:rsidRPr="00C54FE1">
        <w:rPr>
          <w:i/>
        </w:rPr>
        <w:t xml:space="preserve"> </w:t>
      </w:r>
      <w:proofErr w:type="spellStart"/>
      <w:r w:rsidRPr="00C54FE1">
        <w:rPr>
          <w:i/>
        </w:rPr>
        <w:t>okmotu</w:t>
      </w:r>
      <w:proofErr w:type="spellEnd"/>
      <w:r>
        <w:t xml:space="preserve"> which remains an obstacle to the establishment of the park</w:t>
      </w:r>
    </w:p>
    <w:p w14:paraId="2D6A7A62" w14:textId="201599F7" w:rsidR="00C54FE1" w:rsidRDefault="003138DF" w:rsidP="000C23E9">
      <w:pPr>
        <w:numPr>
          <w:ilvl w:val="1"/>
          <w:numId w:val="2"/>
        </w:numPr>
        <w:jc w:val="both"/>
      </w:pPr>
      <w:r>
        <w:t>The unattainable results with the trophy hunting industry</w:t>
      </w:r>
    </w:p>
    <w:p w14:paraId="786043CA" w14:textId="000B67AD" w:rsidR="003138DF" w:rsidRDefault="003138DF" w:rsidP="000C23E9">
      <w:pPr>
        <w:numPr>
          <w:ilvl w:val="1"/>
          <w:numId w:val="2"/>
        </w:numPr>
        <w:jc w:val="both"/>
      </w:pPr>
      <w:r>
        <w:t>The ambition to have significant impacts on</w:t>
      </w:r>
      <w:r w:rsidR="00872F2C">
        <w:t xml:space="preserve"> the livelihoods of local communities such that their dependence on natural resources is diminished.</w:t>
      </w:r>
    </w:p>
    <w:p w14:paraId="1E4E4A72" w14:textId="3300B70A" w:rsidR="00872F2C" w:rsidRDefault="00872F2C" w:rsidP="00D51DBC">
      <w:pPr>
        <w:numPr>
          <w:ilvl w:val="0"/>
          <w:numId w:val="2"/>
        </w:numPr>
        <w:ind w:left="0" w:firstLine="0"/>
        <w:jc w:val="both"/>
      </w:pPr>
      <w:r>
        <w:t>These issues present challenges (but not necessarily barriers) to the project achieving its objectives.  However, when coupled with the project’s limiting factors of time (19 months remain of the project’s original timeframe) and resources, the scale of the challenges become significantly greater.</w:t>
      </w:r>
    </w:p>
    <w:p w14:paraId="2FADCC7E" w14:textId="67AE37CC" w:rsidR="00C43879" w:rsidRDefault="00C43879" w:rsidP="00D51DBC">
      <w:pPr>
        <w:numPr>
          <w:ilvl w:val="0"/>
          <w:numId w:val="2"/>
        </w:numPr>
        <w:ind w:left="0" w:firstLine="0"/>
        <w:jc w:val="both"/>
      </w:pPr>
      <w:r>
        <w:t xml:space="preserve">In addition to these challenges, </w:t>
      </w:r>
      <w:r w:rsidR="00CD5465">
        <w:t xml:space="preserve">there are a number of barriers – that the project is not addressing – which hamper the project’s attempts to achieve its objectives and which undermine the protected area system (and, indeed, other parts of the environment sector in Kyrgyzstan).  These include: </w:t>
      </w:r>
      <w:proofErr w:type="spellStart"/>
      <w:r w:rsidR="00CD5465">
        <w:t>i</w:t>
      </w:r>
      <w:proofErr w:type="spellEnd"/>
      <w:r w:rsidR="00CD5465">
        <w:t xml:space="preserve">) corruption – which undermines </w:t>
      </w:r>
      <w:r w:rsidR="0027776C">
        <w:t>governance systems</w:t>
      </w:r>
      <w:r w:rsidR="0027776C">
        <w:rPr>
          <w:rStyle w:val="FootnoteReference"/>
        </w:rPr>
        <w:footnoteReference w:id="21"/>
      </w:r>
      <w:r w:rsidR="0027776C">
        <w:t xml:space="preserve">, ii) </w:t>
      </w:r>
      <w:r w:rsidR="00A826B2">
        <w:t xml:space="preserve">the profound distrust of the government (specifically the republican government organs such as the SAEPF), </w:t>
      </w:r>
      <w:r w:rsidR="00132E65">
        <w:t>iii) a high turnover in staff in the government structures – including the SAEPF, iv) the (</w:t>
      </w:r>
      <w:proofErr w:type="spellStart"/>
      <w:proofErr w:type="gramStart"/>
      <w:r w:rsidR="00132E65">
        <w:t>mis</w:t>
      </w:r>
      <w:proofErr w:type="spellEnd"/>
      <w:r w:rsidR="00132E65">
        <w:t>)</w:t>
      </w:r>
      <w:proofErr w:type="spellStart"/>
      <w:r w:rsidR="00132E65">
        <w:t>interetation</w:t>
      </w:r>
      <w:proofErr w:type="spellEnd"/>
      <w:proofErr w:type="gramEnd"/>
      <w:r w:rsidR="00132E65">
        <w:t xml:space="preserve"> of democracy – with the belief that agreements should be secured through consensus or referenda, v) </w:t>
      </w:r>
      <w:r w:rsidR="00B96716">
        <w:t>(linked to the previous point) political wrangling undermines “more difficult” issues within commun</w:t>
      </w:r>
      <w:r w:rsidR="007129A6">
        <w:t>ities who are easily influenced and vi) the marginalisation of the environment sector (which, in itself, is not uncommon around the globe).</w:t>
      </w:r>
    </w:p>
    <w:p w14:paraId="00015CD3" w14:textId="5516C2FA" w:rsidR="00C113CB" w:rsidRDefault="00737AA0" w:rsidP="00C113CB">
      <w:pPr>
        <w:numPr>
          <w:ilvl w:val="0"/>
          <w:numId w:val="2"/>
        </w:numPr>
        <w:ind w:left="0" w:firstLine="0"/>
        <w:jc w:val="both"/>
      </w:pPr>
      <w:r>
        <w:t>There is one final issue to consider under this section.  It is unclear as to the a</w:t>
      </w:r>
      <w:r w:rsidR="00C113CB">
        <w:t xml:space="preserve">dditive value of </w:t>
      </w:r>
      <w:r>
        <w:t xml:space="preserve">the </w:t>
      </w:r>
      <w:proofErr w:type="spellStart"/>
      <w:r w:rsidR="00C113CB">
        <w:t>Issyl</w:t>
      </w:r>
      <w:proofErr w:type="spellEnd"/>
      <w:r w:rsidR="00C113CB">
        <w:t xml:space="preserve"> </w:t>
      </w:r>
      <w:proofErr w:type="spellStart"/>
      <w:r w:rsidR="00C113CB">
        <w:t>Kul</w:t>
      </w:r>
      <w:proofErr w:type="spellEnd"/>
      <w:r w:rsidR="00C113CB">
        <w:t xml:space="preserve"> Biosphere Territory</w:t>
      </w:r>
      <w:r>
        <w:t xml:space="preserve"> – as </w:t>
      </w:r>
      <w:r w:rsidR="00C113CB">
        <w:t xml:space="preserve">an institution and as an </w:t>
      </w:r>
      <w:r>
        <w:t xml:space="preserve">additional layer of bureaucracy – in the establishment and future management of the Khan </w:t>
      </w:r>
      <w:proofErr w:type="spellStart"/>
      <w:r>
        <w:t>Tengri</w:t>
      </w:r>
      <w:proofErr w:type="spellEnd"/>
      <w:r>
        <w:t xml:space="preserve"> National Park.  If anything, this additional layer of bureaucracy will reduce the efficiency of the national park once it has been established.</w:t>
      </w:r>
    </w:p>
    <w:p w14:paraId="1B0770D2" w14:textId="108EA946" w:rsidR="00660D28" w:rsidRDefault="00483AA0" w:rsidP="00660D28">
      <w:pPr>
        <w:pStyle w:val="Heading2"/>
      </w:pPr>
      <w:bookmarkStart w:id="29" w:name="_Toc311452879"/>
      <w:r w:rsidRPr="00516656">
        <w:t>Pro</w:t>
      </w:r>
      <w:r w:rsidR="00660D28" w:rsidRPr="00516656">
        <w:t xml:space="preserve">ject Implementation </w:t>
      </w:r>
      <w:r w:rsidRPr="00516656">
        <w:t>and Adaptive Management</w:t>
      </w:r>
      <w:bookmarkEnd w:id="29"/>
    </w:p>
    <w:p w14:paraId="46517A19" w14:textId="77777777" w:rsidR="00F431BB" w:rsidRDefault="007C41D5" w:rsidP="007C41D5">
      <w:pPr>
        <w:numPr>
          <w:ilvl w:val="0"/>
          <w:numId w:val="2"/>
        </w:numPr>
        <w:ind w:left="0" w:firstLine="0"/>
        <w:jc w:val="both"/>
      </w:pPr>
      <w:r>
        <w:t xml:space="preserve">The PIU is </w:t>
      </w:r>
      <w:r w:rsidR="00876884">
        <w:t xml:space="preserve">sticking closely to the </w:t>
      </w:r>
      <w:proofErr w:type="spellStart"/>
      <w:r w:rsidR="00876884">
        <w:t>Prodoc</w:t>
      </w:r>
      <w:proofErr w:type="spellEnd"/>
      <w:r w:rsidR="00876884">
        <w:t xml:space="preserve"> as a guiding document for the implementation of the project.</w:t>
      </w:r>
      <w:r w:rsidR="00336F7E">
        <w:t xml:space="preserve">  Indeed, it is arguable that </w:t>
      </w:r>
      <w:r w:rsidR="00A74EF5">
        <w:t xml:space="preserve">the PIU is sticking a little </w:t>
      </w:r>
      <w:r w:rsidR="00A74EF5">
        <w:rPr>
          <w:i/>
        </w:rPr>
        <w:t>too</w:t>
      </w:r>
      <w:r w:rsidR="00A74EF5">
        <w:t xml:space="preserve"> closely to the </w:t>
      </w:r>
      <w:proofErr w:type="spellStart"/>
      <w:r w:rsidR="00A74EF5">
        <w:t>Prodoc</w:t>
      </w:r>
      <w:proofErr w:type="spellEnd"/>
      <w:r w:rsidR="00A74EF5">
        <w:t xml:space="preserve"> and that there has been little room for </w:t>
      </w:r>
      <w:r w:rsidR="005C6E6C">
        <w:t xml:space="preserve">adaptive management of the project.  </w:t>
      </w:r>
    </w:p>
    <w:p w14:paraId="49033AB8" w14:textId="58CB1618" w:rsidR="00F431BB" w:rsidRDefault="00F431BB" w:rsidP="00F431BB">
      <w:pPr>
        <w:numPr>
          <w:ilvl w:val="0"/>
          <w:numId w:val="2"/>
        </w:numPr>
        <w:ind w:left="0" w:firstLine="0"/>
        <w:jc w:val="both"/>
      </w:pPr>
      <w:r>
        <w:t>That is not to say that the project is completely rigid and without adaptive management.  Where necessary, the proje</w:t>
      </w:r>
      <w:r w:rsidR="00023FDF">
        <w:t>ct has demonstrated flexibility: this is best demonstrated by the fact that meetings with local communities were held in the evenings, “once the milking of the cows was complete”!</w:t>
      </w:r>
    </w:p>
    <w:p w14:paraId="36997C68" w14:textId="3EC5E587" w:rsidR="007C41D5" w:rsidRDefault="005C6E6C" w:rsidP="007C41D5">
      <w:pPr>
        <w:numPr>
          <w:ilvl w:val="0"/>
          <w:numId w:val="2"/>
        </w:numPr>
        <w:ind w:left="0" w:firstLine="0"/>
        <w:jc w:val="both"/>
      </w:pPr>
      <w:r>
        <w:t>In the above sections, some of the issues with implementation have been discussed</w:t>
      </w:r>
      <w:r w:rsidR="008353B7">
        <w:t xml:space="preserve"> – there have been mistakes, miscommunications and misunderstandings – all of which lead to mistrust and alienation.  The issues</w:t>
      </w:r>
      <w:r>
        <w:t xml:space="preserve"> can be summarised as follows:</w:t>
      </w:r>
    </w:p>
    <w:p w14:paraId="3A6E64CE" w14:textId="0BAC170A" w:rsidR="008353B7" w:rsidRDefault="00CE329E" w:rsidP="008353B7">
      <w:pPr>
        <w:numPr>
          <w:ilvl w:val="1"/>
          <w:numId w:val="2"/>
        </w:numPr>
        <w:jc w:val="both"/>
      </w:pPr>
      <w:r>
        <w:t xml:space="preserve">The project lost a valuable three-four months while negotiating with the </w:t>
      </w:r>
      <w:proofErr w:type="spellStart"/>
      <w:r>
        <w:t>Otradnoe</w:t>
      </w:r>
      <w:proofErr w:type="spellEnd"/>
      <w:r>
        <w:t xml:space="preserve"> </w:t>
      </w:r>
      <w:proofErr w:type="spellStart"/>
      <w:r w:rsidRPr="00CE329E">
        <w:rPr>
          <w:i/>
        </w:rPr>
        <w:t>aiyl</w:t>
      </w:r>
      <w:proofErr w:type="spellEnd"/>
      <w:r w:rsidRPr="00CE329E">
        <w:rPr>
          <w:i/>
        </w:rPr>
        <w:t xml:space="preserve"> </w:t>
      </w:r>
      <w:proofErr w:type="spellStart"/>
      <w:r w:rsidRPr="00CE329E">
        <w:rPr>
          <w:i/>
        </w:rPr>
        <w:t>okmotu</w:t>
      </w:r>
      <w:proofErr w:type="spellEnd"/>
      <w:r>
        <w:t>.</w:t>
      </w:r>
    </w:p>
    <w:p w14:paraId="6E3746C5" w14:textId="1D9F63B8" w:rsidR="00CE329E" w:rsidRDefault="00CE329E" w:rsidP="008353B7">
      <w:pPr>
        <w:numPr>
          <w:ilvl w:val="1"/>
          <w:numId w:val="2"/>
        </w:numPr>
        <w:jc w:val="both"/>
      </w:pPr>
      <w:r>
        <w:t xml:space="preserve">The project (with the SAEPF) choose to </w:t>
      </w:r>
      <w:r w:rsidR="00EC5BDF">
        <w:t xml:space="preserve">try to </w:t>
      </w:r>
      <w:r w:rsidR="00EC5BDF">
        <w:rPr>
          <w:i/>
        </w:rPr>
        <w:t>overwhelm</w:t>
      </w:r>
      <w:r w:rsidR="00EC5BDF">
        <w:t xml:space="preserve"> the community into acquiescence – thus, large groups of powerful people were </w:t>
      </w:r>
      <w:r w:rsidR="00C70889">
        <w:t>repeatedly brought before the</w:t>
      </w:r>
      <w:r w:rsidR="00EC5BDF">
        <w:t xml:space="preserve"> </w:t>
      </w:r>
      <w:r w:rsidR="00C70889">
        <w:t xml:space="preserve">community in an attempt to secure their agreement for the establishment of the park.  Even when this approach did not appear to be working, the project continued to use this method rather than try a different method (e.g., </w:t>
      </w:r>
      <w:r w:rsidR="004771FC">
        <w:t>try a softer, one-on-one approach with an unthreatening person).  This way confidence and trust may have been built.</w:t>
      </w:r>
    </w:p>
    <w:p w14:paraId="06C138C1" w14:textId="3CB79DD3" w:rsidR="004771FC" w:rsidRDefault="004E3E3C" w:rsidP="008353B7">
      <w:pPr>
        <w:numPr>
          <w:ilvl w:val="1"/>
          <w:numId w:val="2"/>
        </w:numPr>
        <w:jc w:val="both"/>
      </w:pPr>
      <w:r>
        <w:t>The use of UNDP DSA rates for meetings in rural areas, in those situations when the project could not provide accommodation or meals for participants</w:t>
      </w:r>
    </w:p>
    <w:p w14:paraId="3E93D1D6" w14:textId="5034BCBC" w:rsidR="00A7362C" w:rsidRDefault="00A7362C" w:rsidP="008353B7">
      <w:pPr>
        <w:numPr>
          <w:ilvl w:val="1"/>
          <w:numId w:val="2"/>
        </w:numPr>
        <w:jc w:val="both"/>
      </w:pPr>
      <w:r>
        <w:t xml:space="preserve">There have been errors in </w:t>
      </w:r>
      <w:r w:rsidR="00083810">
        <w:t xml:space="preserve">the calculations of the pastures used by </w:t>
      </w:r>
      <w:r w:rsidR="005A16F8">
        <w:t>two</w:t>
      </w:r>
      <w:r w:rsidR="00083810">
        <w:t xml:space="preserve"> of the </w:t>
      </w:r>
      <w:proofErr w:type="spellStart"/>
      <w:r w:rsidR="00083810" w:rsidRPr="00083810">
        <w:rPr>
          <w:i/>
        </w:rPr>
        <w:t>aiyl</w:t>
      </w:r>
      <w:proofErr w:type="spellEnd"/>
      <w:r w:rsidR="00083810" w:rsidRPr="00083810">
        <w:rPr>
          <w:i/>
        </w:rPr>
        <w:t xml:space="preserve"> </w:t>
      </w:r>
      <w:proofErr w:type="spellStart"/>
      <w:r w:rsidR="00083810" w:rsidRPr="00083810">
        <w:rPr>
          <w:i/>
        </w:rPr>
        <w:t>okmotu</w:t>
      </w:r>
      <w:proofErr w:type="spellEnd"/>
      <w:r w:rsidR="005A16F8">
        <w:rPr>
          <w:rStyle w:val="FootnoteReference"/>
          <w:i/>
        </w:rPr>
        <w:footnoteReference w:id="22"/>
      </w:r>
      <w:r w:rsidR="00083810">
        <w:t xml:space="preserve"> that will be included in the park.  Again, this leads to mistrust.</w:t>
      </w:r>
    </w:p>
    <w:p w14:paraId="07D62510" w14:textId="330FFAC1" w:rsidR="00083810" w:rsidRDefault="00083810" w:rsidP="008353B7">
      <w:pPr>
        <w:numPr>
          <w:ilvl w:val="1"/>
          <w:numId w:val="2"/>
        </w:numPr>
        <w:jc w:val="both"/>
      </w:pPr>
      <w:r>
        <w:t>The study tours should have been carried out early on in the project’s life</w:t>
      </w:r>
      <w:r w:rsidR="006D2ED4">
        <w:t xml:space="preserve"> such that they could have fulfilled their role as a tool to promote learning and expose key people to new (and hopefully convincing) ideas.</w:t>
      </w:r>
    </w:p>
    <w:p w14:paraId="4BB327F0" w14:textId="0721EF20" w:rsidR="006D2ED4" w:rsidRDefault="00157A78" w:rsidP="008353B7">
      <w:pPr>
        <w:numPr>
          <w:ilvl w:val="1"/>
          <w:numId w:val="2"/>
        </w:numPr>
        <w:jc w:val="both"/>
      </w:pPr>
      <w:r>
        <w:t xml:space="preserve">Perhaps most alarmingly, the project has built expectations among the various communities.  </w:t>
      </w:r>
      <w:r w:rsidR="004724D0">
        <w:t>Thus, people are expecting significant inputs for their livelihoods.</w:t>
      </w:r>
    </w:p>
    <w:p w14:paraId="78A4B7E9" w14:textId="1F052E4A" w:rsidR="005C6E6C" w:rsidRDefault="004724D0" w:rsidP="007C41D5">
      <w:pPr>
        <w:numPr>
          <w:ilvl w:val="0"/>
          <w:numId w:val="2"/>
        </w:numPr>
        <w:ind w:left="0" w:firstLine="0"/>
        <w:jc w:val="both"/>
      </w:pPr>
      <w:r>
        <w:t xml:space="preserve">The PIU is not wholly to blame for these issues and a significant proportion of the responsibility lies with the SAEPF.  Indeed, the PIU has acted as a bridge between the government and communities on a number of occasions.  Nonetheless, the PIU is relatively close to the government (and specifically the SAEPF) and when large delegations appear to confront </w:t>
      </w:r>
      <w:proofErr w:type="gramStart"/>
      <w:r>
        <w:t>communities,</w:t>
      </w:r>
      <w:proofErr w:type="gramEnd"/>
      <w:r>
        <w:t xml:space="preserve"> it can appear as synonymous with the government.  In part, too, the relative inexperience of the Project Coordinator </w:t>
      </w:r>
      <w:r w:rsidR="00F431BB">
        <w:t>has played a part in creating these misunderstandings (but further discussion and a counterpoint, see the section below).</w:t>
      </w:r>
    </w:p>
    <w:tbl>
      <w:tblPr>
        <w:tblStyle w:val="TableGrid"/>
        <w:tblW w:w="0" w:type="auto"/>
        <w:tblLayout w:type="fixed"/>
        <w:tblLook w:val="04A0" w:firstRow="1" w:lastRow="0" w:firstColumn="1" w:lastColumn="0" w:noHBand="0" w:noVBand="1"/>
      </w:tblPr>
      <w:tblGrid>
        <w:gridCol w:w="1668"/>
        <w:gridCol w:w="1417"/>
        <w:gridCol w:w="5437"/>
      </w:tblGrid>
      <w:tr w:rsidR="008F300C" w:rsidRPr="00FF6383" w14:paraId="64A27249" w14:textId="77777777" w:rsidTr="008F300C">
        <w:trPr>
          <w:tblHeader/>
        </w:trPr>
        <w:tc>
          <w:tcPr>
            <w:tcW w:w="1668" w:type="dxa"/>
            <w:shd w:val="clear" w:color="auto" w:fill="D9D9D9" w:themeFill="background1" w:themeFillShade="D9"/>
          </w:tcPr>
          <w:p w14:paraId="06B859D0" w14:textId="3A14C8CC" w:rsidR="008F300C" w:rsidRPr="00FF6383" w:rsidRDefault="008F300C" w:rsidP="006D37D3">
            <w:pPr>
              <w:rPr>
                <w:b/>
                <w:sz w:val="18"/>
                <w:szCs w:val="18"/>
              </w:rPr>
            </w:pPr>
            <w:r w:rsidRPr="00FF6383">
              <w:rPr>
                <w:b/>
                <w:sz w:val="18"/>
                <w:szCs w:val="18"/>
              </w:rPr>
              <w:t>Measure</w:t>
            </w:r>
          </w:p>
        </w:tc>
        <w:tc>
          <w:tcPr>
            <w:tcW w:w="1417" w:type="dxa"/>
            <w:shd w:val="clear" w:color="auto" w:fill="D9D9D9" w:themeFill="background1" w:themeFillShade="D9"/>
          </w:tcPr>
          <w:p w14:paraId="695A3456" w14:textId="77777777" w:rsidR="008F300C" w:rsidRPr="00FF6383" w:rsidRDefault="008F300C" w:rsidP="006D37D3">
            <w:pPr>
              <w:jc w:val="center"/>
              <w:rPr>
                <w:b/>
                <w:sz w:val="18"/>
                <w:szCs w:val="18"/>
              </w:rPr>
            </w:pPr>
            <w:r w:rsidRPr="00FF6383">
              <w:rPr>
                <w:b/>
                <w:sz w:val="18"/>
                <w:szCs w:val="18"/>
              </w:rPr>
              <w:t>MTR Rating</w:t>
            </w:r>
          </w:p>
        </w:tc>
        <w:tc>
          <w:tcPr>
            <w:tcW w:w="5437" w:type="dxa"/>
            <w:shd w:val="clear" w:color="auto" w:fill="D9D9D9" w:themeFill="background1" w:themeFillShade="D9"/>
          </w:tcPr>
          <w:p w14:paraId="4496B4CA" w14:textId="77777777" w:rsidR="008F300C" w:rsidRPr="00FF6383" w:rsidRDefault="008F300C" w:rsidP="006D37D3">
            <w:pPr>
              <w:rPr>
                <w:b/>
                <w:sz w:val="18"/>
                <w:szCs w:val="18"/>
              </w:rPr>
            </w:pPr>
            <w:r w:rsidRPr="00FF6383">
              <w:rPr>
                <w:b/>
                <w:sz w:val="18"/>
                <w:szCs w:val="18"/>
              </w:rPr>
              <w:t>Achievement Description</w:t>
            </w:r>
          </w:p>
        </w:tc>
      </w:tr>
      <w:tr w:rsidR="008F300C" w:rsidRPr="00FF6383" w14:paraId="619FF313" w14:textId="77777777" w:rsidTr="008F300C">
        <w:tc>
          <w:tcPr>
            <w:tcW w:w="1668" w:type="dxa"/>
            <w:shd w:val="clear" w:color="auto" w:fill="D9D9D9" w:themeFill="background1" w:themeFillShade="D9"/>
          </w:tcPr>
          <w:p w14:paraId="30B469E9" w14:textId="57448AAC" w:rsidR="008F300C" w:rsidRPr="00FF6383" w:rsidRDefault="008F300C" w:rsidP="006D37D3">
            <w:pPr>
              <w:rPr>
                <w:b/>
                <w:sz w:val="18"/>
                <w:szCs w:val="18"/>
              </w:rPr>
            </w:pPr>
            <w:r w:rsidRPr="00FF6383">
              <w:rPr>
                <w:b/>
                <w:sz w:val="18"/>
                <w:szCs w:val="18"/>
              </w:rPr>
              <w:t>Project Implementation and Adaptive Management</w:t>
            </w:r>
          </w:p>
        </w:tc>
        <w:tc>
          <w:tcPr>
            <w:tcW w:w="1417" w:type="dxa"/>
          </w:tcPr>
          <w:p w14:paraId="144FDABA" w14:textId="77777777" w:rsidR="008F300C" w:rsidRPr="00FF6383" w:rsidRDefault="008F300C" w:rsidP="006D37D3">
            <w:pPr>
              <w:jc w:val="center"/>
              <w:rPr>
                <w:b/>
                <w:sz w:val="18"/>
                <w:szCs w:val="18"/>
              </w:rPr>
            </w:pPr>
            <w:r>
              <w:rPr>
                <w:b/>
                <w:sz w:val="18"/>
                <w:szCs w:val="18"/>
              </w:rPr>
              <w:t>MS</w:t>
            </w:r>
          </w:p>
        </w:tc>
        <w:tc>
          <w:tcPr>
            <w:tcW w:w="5437" w:type="dxa"/>
          </w:tcPr>
          <w:p w14:paraId="5686C532" w14:textId="77777777" w:rsidR="008F300C" w:rsidRDefault="008F300C" w:rsidP="006D37D3">
            <w:pPr>
              <w:rPr>
                <w:sz w:val="18"/>
                <w:szCs w:val="18"/>
              </w:rPr>
            </w:pPr>
            <w:r>
              <w:rPr>
                <w:sz w:val="18"/>
                <w:szCs w:val="18"/>
              </w:rPr>
              <w:t>As indicated in the section on Outcome 1, the project has made steady but slow progress towards achieving this Outcome.  The government (specifically the SAEPF) has influenced the process (partly because the relatively inexperienced PC had relied on their support for some of the processes).  A series of mistakes and miscommunications led to misunderstanding, alienation and mistrust of the government by the communities.</w:t>
            </w:r>
          </w:p>
          <w:p w14:paraId="0B47EEC7" w14:textId="77777777" w:rsidR="008F300C" w:rsidRPr="00FF6383" w:rsidRDefault="008F300C" w:rsidP="006D37D3">
            <w:pPr>
              <w:rPr>
                <w:sz w:val="18"/>
                <w:szCs w:val="18"/>
              </w:rPr>
            </w:pPr>
            <w:r>
              <w:rPr>
                <w:sz w:val="18"/>
                <w:szCs w:val="18"/>
              </w:rPr>
              <w:t>The project is being implemented (a little too) strictly according to the project document with little adaptive management – except when it is pragmatic.  There is room for improvement in implementation – with an emphasis on effectiveness of achieving outcomes – but the project should be in line to make this happen in the remainder of its life as the PC continues to gain confidence and if the PC is supported through the recruitment of a good CTA (who should lead the implementation of the livelihoods programme).</w:t>
            </w:r>
          </w:p>
        </w:tc>
      </w:tr>
    </w:tbl>
    <w:p w14:paraId="5BB30D66" w14:textId="77777777" w:rsidR="00887486" w:rsidRDefault="00887486" w:rsidP="00887486">
      <w:pPr>
        <w:jc w:val="both"/>
      </w:pPr>
    </w:p>
    <w:p w14:paraId="7E9DD36E" w14:textId="77777777" w:rsidR="00B7729F" w:rsidRPr="00516656" w:rsidRDefault="00B7729F" w:rsidP="00660D28">
      <w:pPr>
        <w:pStyle w:val="Heading3"/>
      </w:pPr>
      <w:bookmarkStart w:id="30" w:name="_Toc311452880"/>
      <w:r w:rsidRPr="00516656">
        <w:t>Management arrangements</w:t>
      </w:r>
      <w:bookmarkEnd w:id="30"/>
    </w:p>
    <w:p w14:paraId="2C3913EA" w14:textId="643D420E" w:rsidR="00C113CB" w:rsidRPr="00027594" w:rsidRDefault="005218F5" w:rsidP="0039653C">
      <w:pPr>
        <w:numPr>
          <w:ilvl w:val="0"/>
          <w:numId w:val="2"/>
        </w:numPr>
        <w:ind w:left="0" w:firstLine="0"/>
        <w:jc w:val="both"/>
      </w:pPr>
      <w:r>
        <w:t xml:space="preserve">As described above (see Section 3.4), the project is being implemented using DIM modalities.  A Project Board has been </w:t>
      </w:r>
      <w:r w:rsidRPr="00027594">
        <w:t>established</w:t>
      </w:r>
      <w:r w:rsidR="00035212" w:rsidRPr="00027594">
        <w:t xml:space="preserve"> (see Annex </w:t>
      </w:r>
      <w:r w:rsidR="00027594" w:rsidRPr="00027594">
        <w:t>VI</w:t>
      </w:r>
      <w:r w:rsidR="00035212" w:rsidRPr="00027594">
        <w:t xml:space="preserve"> for composition)</w:t>
      </w:r>
      <w:r w:rsidRPr="00027594">
        <w:t>, the Project Assurance responsibilities have been transferred to the Programme and Policy Analyst within the UNDP-CO and a PIU has been established.</w:t>
      </w:r>
    </w:p>
    <w:p w14:paraId="02FDE5C0" w14:textId="7CB81898" w:rsidR="005218F5" w:rsidRDefault="005218F5" w:rsidP="0039653C">
      <w:pPr>
        <w:numPr>
          <w:ilvl w:val="0"/>
          <w:numId w:val="2"/>
        </w:numPr>
        <w:ind w:left="0" w:firstLine="0"/>
        <w:jc w:val="both"/>
      </w:pPr>
      <w:r w:rsidRPr="00027594">
        <w:t xml:space="preserve">However, the de facto situation is that </w:t>
      </w:r>
      <w:r w:rsidR="000B3405" w:rsidRPr="00027594">
        <w:t xml:space="preserve">the project is being implemented in a slightly unconventional way.  The government has two structures, one internal within the SAEPF </w:t>
      </w:r>
      <w:r w:rsidR="00035212" w:rsidRPr="00027594">
        <w:t xml:space="preserve">(see Annex </w:t>
      </w:r>
      <w:r w:rsidR="00027594" w:rsidRPr="00027594">
        <w:t>VI</w:t>
      </w:r>
      <w:r w:rsidR="00035212" w:rsidRPr="00027594">
        <w:t xml:space="preserve"> for composition) </w:t>
      </w:r>
      <w:r w:rsidR="000B3405" w:rsidRPr="00027594">
        <w:t xml:space="preserve">and the other an interagency </w:t>
      </w:r>
      <w:r w:rsidR="0013658F" w:rsidRPr="00027594">
        <w:t>committee</w:t>
      </w:r>
      <w:r w:rsidR="00035212" w:rsidRPr="00027594">
        <w:t xml:space="preserve"> (see Annex </w:t>
      </w:r>
      <w:r w:rsidR="00027594" w:rsidRPr="00027594">
        <w:t>VI</w:t>
      </w:r>
      <w:r w:rsidR="00035212" w:rsidRPr="00027594">
        <w:t xml:space="preserve"> for composition</w:t>
      </w:r>
      <w:r w:rsidR="007C6E30" w:rsidRPr="00027594">
        <w:rPr>
          <w:rStyle w:val="FootnoteReference"/>
        </w:rPr>
        <w:footnoteReference w:id="23"/>
      </w:r>
      <w:r w:rsidR="00035212" w:rsidRPr="00027594">
        <w:t>)</w:t>
      </w:r>
      <w:r w:rsidR="0013658F" w:rsidRPr="00027594">
        <w:t>, both of which have some supervisory function over the project.  Both</w:t>
      </w:r>
      <w:r w:rsidR="0013658F">
        <w:t xml:space="preserve"> of these committees scrutinise the </w:t>
      </w:r>
      <w:r w:rsidR="00072736">
        <w:t xml:space="preserve">reports, </w:t>
      </w:r>
      <w:proofErr w:type="spellStart"/>
      <w:r w:rsidR="00072736">
        <w:t>workplans</w:t>
      </w:r>
      <w:proofErr w:type="spellEnd"/>
      <w:r w:rsidR="00072736">
        <w:t xml:space="preserve"> and budgets for the project.  This gives them some semblance of ownership of the project even though they have no formal authority to endorse or sign off on any of these.  Indeed, only the PB has the authority to sign off on </w:t>
      </w:r>
      <w:proofErr w:type="spellStart"/>
      <w:r w:rsidR="00072736">
        <w:t>workplans</w:t>
      </w:r>
      <w:proofErr w:type="spellEnd"/>
      <w:r w:rsidR="00072736">
        <w:t xml:space="preserve"> and budgets</w:t>
      </w:r>
      <w:r w:rsidR="008E7CF7">
        <w:t>.</w:t>
      </w:r>
      <w:r w:rsidR="00B042C3">
        <w:t xml:space="preserve">  The PB has only met once (12 </w:t>
      </w:r>
      <w:r w:rsidR="00942482">
        <w:t xml:space="preserve">November 2014) – but is due to meet again in the coming weeks (to respond to the MTR and approve – or otherwise – the </w:t>
      </w:r>
      <w:proofErr w:type="spellStart"/>
      <w:r w:rsidR="00942482">
        <w:t>workplan</w:t>
      </w:r>
      <w:proofErr w:type="spellEnd"/>
      <w:r w:rsidR="00942482">
        <w:t xml:space="preserve"> and budget for 2016).</w:t>
      </w:r>
      <w:r w:rsidR="00136A23">
        <w:t xml:space="preserve"> </w:t>
      </w:r>
    </w:p>
    <w:p w14:paraId="2890A63F" w14:textId="654F836A" w:rsidR="004150F8" w:rsidRDefault="005218F5" w:rsidP="004150F8">
      <w:pPr>
        <w:numPr>
          <w:ilvl w:val="0"/>
          <w:numId w:val="2"/>
        </w:numPr>
        <w:ind w:left="0" w:firstLine="0"/>
        <w:jc w:val="both"/>
      </w:pPr>
      <w:r>
        <w:t xml:space="preserve">The PIU is comprised of a Project Coordinator (PC) and a Project Assistant.  </w:t>
      </w:r>
      <w:r w:rsidR="004150F8">
        <w:t>Ther</w:t>
      </w:r>
      <w:r w:rsidR="00164FC0">
        <w:t xml:space="preserve">e has been some turnover in the Project Assistants (see Table </w:t>
      </w:r>
      <w:r w:rsidR="000A3D70">
        <w:t>4</w:t>
      </w:r>
      <w:r w:rsidR="00164FC0">
        <w:t>) although this was, apparently only for personal reasons.</w:t>
      </w:r>
    </w:p>
    <w:p w14:paraId="3DDC10D7" w14:textId="69DD806B" w:rsidR="00CA2615" w:rsidRDefault="00CA2615" w:rsidP="004150F8">
      <w:pPr>
        <w:numPr>
          <w:ilvl w:val="0"/>
          <w:numId w:val="2"/>
        </w:numPr>
        <w:ind w:left="0" w:firstLine="0"/>
        <w:jc w:val="both"/>
      </w:pPr>
      <w:r>
        <w:t>The project document mentions a fourth position (beyond the PC, Project Assistant and driver): this is for a Chief Technical Advisor (CTA) for the project.</w:t>
      </w:r>
      <w:r w:rsidR="008C0F2E">
        <w:t xml:space="preserve">  Apparently, the Terms of Reference (TOR) for this position were developed but there was a great deal of procrastination and prevarication for four to five months and the issue was quietly dropped.  As will be discussed below, there is an urgent need for such a person now for a number of reasons, not least being to support the PC.</w:t>
      </w:r>
    </w:p>
    <w:p w14:paraId="346A1444" w14:textId="6CA09466" w:rsidR="00164FC0" w:rsidRDefault="009619FD" w:rsidP="009619FD">
      <w:pPr>
        <w:pStyle w:val="Caption"/>
      </w:pPr>
      <w:proofErr w:type="gramStart"/>
      <w:r>
        <w:t xml:space="preserve">Table </w:t>
      </w:r>
      <w:proofErr w:type="gramEnd"/>
      <w:r>
        <w:fldChar w:fldCharType="begin"/>
      </w:r>
      <w:r>
        <w:instrText xml:space="preserve"> SEQ Table \* ARABIC </w:instrText>
      </w:r>
      <w:r>
        <w:fldChar w:fldCharType="separate"/>
      </w:r>
      <w:r w:rsidR="001E10DE">
        <w:rPr>
          <w:noProof/>
        </w:rPr>
        <w:t>4</w:t>
      </w:r>
      <w:r>
        <w:fldChar w:fldCharType="end"/>
      </w:r>
      <w:proofErr w:type="gramStart"/>
      <w:r>
        <w:t>.</w:t>
      </w:r>
      <w:proofErr w:type="gramEnd"/>
      <w:r>
        <w:t xml:space="preserve"> </w:t>
      </w:r>
      <w:r w:rsidRPr="009619FD">
        <w:rPr>
          <w:b w:val="0"/>
        </w:rPr>
        <w:t>The composition of the PIU</w:t>
      </w:r>
    </w:p>
    <w:tbl>
      <w:tblPr>
        <w:tblStyle w:val="TableGrid"/>
        <w:tblW w:w="0" w:type="auto"/>
        <w:tblLook w:val="04A0" w:firstRow="1" w:lastRow="0" w:firstColumn="1" w:lastColumn="0" w:noHBand="0" w:noVBand="1"/>
      </w:tblPr>
      <w:tblGrid>
        <w:gridCol w:w="2235"/>
        <w:gridCol w:w="3685"/>
        <w:gridCol w:w="2602"/>
      </w:tblGrid>
      <w:tr w:rsidR="00F70C09" w:rsidRPr="00164FC0" w14:paraId="377E7AC2" w14:textId="77777777" w:rsidTr="00B042C3">
        <w:tc>
          <w:tcPr>
            <w:tcW w:w="2235" w:type="dxa"/>
            <w:shd w:val="clear" w:color="auto" w:fill="D9D9D9" w:themeFill="background1" w:themeFillShade="D9"/>
          </w:tcPr>
          <w:p w14:paraId="05872788" w14:textId="77777777" w:rsidR="00F70C09" w:rsidRPr="00164FC0" w:rsidRDefault="00F70C09" w:rsidP="00164FC0">
            <w:pPr>
              <w:rPr>
                <w:b/>
                <w:sz w:val="20"/>
                <w:szCs w:val="20"/>
              </w:rPr>
            </w:pPr>
            <w:r w:rsidRPr="00164FC0">
              <w:rPr>
                <w:b/>
                <w:sz w:val="20"/>
                <w:szCs w:val="20"/>
              </w:rPr>
              <w:t>Name</w:t>
            </w:r>
          </w:p>
        </w:tc>
        <w:tc>
          <w:tcPr>
            <w:tcW w:w="3685" w:type="dxa"/>
            <w:shd w:val="clear" w:color="auto" w:fill="D9D9D9" w:themeFill="background1" w:themeFillShade="D9"/>
          </w:tcPr>
          <w:p w14:paraId="2D042E0D" w14:textId="77777777" w:rsidR="00F70C09" w:rsidRPr="00164FC0" w:rsidRDefault="00F70C09" w:rsidP="00164FC0">
            <w:pPr>
              <w:rPr>
                <w:b/>
                <w:sz w:val="20"/>
                <w:szCs w:val="20"/>
              </w:rPr>
            </w:pPr>
            <w:r w:rsidRPr="00164FC0">
              <w:rPr>
                <w:b/>
                <w:sz w:val="20"/>
                <w:szCs w:val="20"/>
              </w:rPr>
              <w:t>Position</w:t>
            </w:r>
          </w:p>
        </w:tc>
        <w:tc>
          <w:tcPr>
            <w:tcW w:w="2602" w:type="dxa"/>
            <w:shd w:val="clear" w:color="auto" w:fill="D9D9D9" w:themeFill="background1" w:themeFillShade="D9"/>
          </w:tcPr>
          <w:p w14:paraId="5F7C1D57" w14:textId="26A42A04" w:rsidR="00F70C09" w:rsidRPr="00164FC0" w:rsidRDefault="00F70C09" w:rsidP="00F70C09">
            <w:pPr>
              <w:rPr>
                <w:b/>
                <w:sz w:val="20"/>
                <w:szCs w:val="20"/>
              </w:rPr>
            </w:pPr>
            <w:r>
              <w:rPr>
                <w:b/>
                <w:sz w:val="20"/>
                <w:szCs w:val="20"/>
              </w:rPr>
              <w:t>Employment dates</w:t>
            </w:r>
          </w:p>
        </w:tc>
      </w:tr>
      <w:tr w:rsidR="00F70C09" w:rsidRPr="00164FC0" w14:paraId="25982AF0" w14:textId="77777777" w:rsidTr="00B042C3">
        <w:tc>
          <w:tcPr>
            <w:tcW w:w="2235" w:type="dxa"/>
          </w:tcPr>
          <w:p w14:paraId="44D75636" w14:textId="018526B2" w:rsidR="00F70C09" w:rsidRPr="00164FC0" w:rsidRDefault="00880CF6" w:rsidP="00164FC0">
            <w:pPr>
              <w:rPr>
                <w:sz w:val="20"/>
                <w:szCs w:val="20"/>
              </w:rPr>
            </w:pPr>
            <w:r>
              <w:rPr>
                <w:sz w:val="20"/>
                <w:szCs w:val="20"/>
              </w:rPr>
              <w:t xml:space="preserve">Kumar </w:t>
            </w:r>
            <w:proofErr w:type="spellStart"/>
            <w:r w:rsidR="00E21058">
              <w:rPr>
                <w:sz w:val="20"/>
                <w:szCs w:val="20"/>
              </w:rPr>
              <w:t>Kylychev</w:t>
            </w:r>
            <w:proofErr w:type="spellEnd"/>
          </w:p>
        </w:tc>
        <w:tc>
          <w:tcPr>
            <w:tcW w:w="3685" w:type="dxa"/>
          </w:tcPr>
          <w:p w14:paraId="141329D7" w14:textId="28615674" w:rsidR="00F70C09" w:rsidRPr="00164FC0" w:rsidRDefault="00E21058" w:rsidP="00164FC0">
            <w:pPr>
              <w:rPr>
                <w:sz w:val="20"/>
                <w:szCs w:val="20"/>
              </w:rPr>
            </w:pPr>
            <w:r>
              <w:rPr>
                <w:sz w:val="20"/>
                <w:szCs w:val="20"/>
              </w:rPr>
              <w:t>UNDP-CO, Sustainable Development Dimension Chief &amp; Project Manager</w:t>
            </w:r>
          </w:p>
        </w:tc>
        <w:tc>
          <w:tcPr>
            <w:tcW w:w="2602" w:type="dxa"/>
            <w:shd w:val="clear" w:color="auto" w:fill="auto"/>
          </w:tcPr>
          <w:p w14:paraId="3E38D6E0" w14:textId="440211C7" w:rsidR="00F70C09" w:rsidRDefault="00E21058" w:rsidP="00F70C09">
            <w:pPr>
              <w:rPr>
                <w:sz w:val="20"/>
                <w:szCs w:val="20"/>
              </w:rPr>
            </w:pPr>
            <w:r>
              <w:rPr>
                <w:sz w:val="20"/>
                <w:szCs w:val="20"/>
              </w:rPr>
              <w:t>Through project’s life</w:t>
            </w:r>
          </w:p>
        </w:tc>
      </w:tr>
      <w:tr w:rsidR="00F70C09" w:rsidRPr="00470791" w14:paraId="40D1FDAD" w14:textId="77777777" w:rsidTr="00B042C3">
        <w:tc>
          <w:tcPr>
            <w:tcW w:w="2235" w:type="dxa"/>
          </w:tcPr>
          <w:p w14:paraId="0A382A63" w14:textId="77777777" w:rsidR="00F70C09" w:rsidRPr="00470791" w:rsidRDefault="00F70C09" w:rsidP="00164FC0">
            <w:pPr>
              <w:rPr>
                <w:sz w:val="20"/>
                <w:szCs w:val="20"/>
              </w:rPr>
            </w:pPr>
            <w:proofErr w:type="spellStart"/>
            <w:r w:rsidRPr="00470791">
              <w:rPr>
                <w:sz w:val="20"/>
                <w:szCs w:val="20"/>
              </w:rPr>
              <w:t>Nazgul</w:t>
            </w:r>
            <w:proofErr w:type="spellEnd"/>
            <w:r w:rsidRPr="00470791">
              <w:rPr>
                <w:sz w:val="20"/>
                <w:szCs w:val="20"/>
              </w:rPr>
              <w:t xml:space="preserve"> </w:t>
            </w:r>
            <w:proofErr w:type="spellStart"/>
            <w:r w:rsidRPr="00470791">
              <w:rPr>
                <w:sz w:val="20"/>
                <w:szCs w:val="20"/>
              </w:rPr>
              <w:t>Turdumatova</w:t>
            </w:r>
            <w:proofErr w:type="spellEnd"/>
            <w:r w:rsidRPr="00470791">
              <w:rPr>
                <w:sz w:val="20"/>
                <w:szCs w:val="20"/>
              </w:rPr>
              <w:t xml:space="preserve"> </w:t>
            </w:r>
          </w:p>
        </w:tc>
        <w:tc>
          <w:tcPr>
            <w:tcW w:w="3685" w:type="dxa"/>
          </w:tcPr>
          <w:p w14:paraId="27BEDD80" w14:textId="77777777" w:rsidR="00F70C09" w:rsidRPr="00470791" w:rsidRDefault="00F70C09" w:rsidP="00164FC0">
            <w:pPr>
              <w:rPr>
                <w:sz w:val="20"/>
                <w:szCs w:val="20"/>
              </w:rPr>
            </w:pPr>
            <w:r w:rsidRPr="00470791">
              <w:rPr>
                <w:sz w:val="20"/>
                <w:szCs w:val="20"/>
              </w:rPr>
              <w:t xml:space="preserve">Project Coordinator </w:t>
            </w:r>
          </w:p>
        </w:tc>
        <w:tc>
          <w:tcPr>
            <w:tcW w:w="2602" w:type="dxa"/>
            <w:shd w:val="clear" w:color="auto" w:fill="auto"/>
          </w:tcPr>
          <w:p w14:paraId="356D653F" w14:textId="5FD335B3" w:rsidR="00F70C09" w:rsidRPr="00470791" w:rsidRDefault="00F70C09" w:rsidP="00F70C09">
            <w:pPr>
              <w:rPr>
                <w:sz w:val="20"/>
                <w:szCs w:val="20"/>
              </w:rPr>
            </w:pPr>
            <w:r w:rsidRPr="00470791">
              <w:rPr>
                <w:sz w:val="20"/>
                <w:szCs w:val="20"/>
              </w:rPr>
              <w:t xml:space="preserve">16 October 2015 - </w:t>
            </w:r>
            <w:proofErr w:type="spellStart"/>
            <w:r w:rsidRPr="00470791">
              <w:rPr>
                <w:sz w:val="20"/>
                <w:szCs w:val="20"/>
              </w:rPr>
              <w:t>Ongoing</w:t>
            </w:r>
            <w:proofErr w:type="spellEnd"/>
          </w:p>
        </w:tc>
      </w:tr>
      <w:tr w:rsidR="00470791" w:rsidRPr="00470791" w14:paraId="15FBEECF" w14:textId="77777777" w:rsidTr="00B042C3">
        <w:tc>
          <w:tcPr>
            <w:tcW w:w="2235" w:type="dxa"/>
          </w:tcPr>
          <w:p w14:paraId="07A11077" w14:textId="115A983B" w:rsidR="00470791" w:rsidRPr="00470791" w:rsidRDefault="00470791" w:rsidP="00164FC0">
            <w:pPr>
              <w:rPr>
                <w:sz w:val="20"/>
                <w:szCs w:val="20"/>
              </w:rPr>
            </w:pPr>
            <w:proofErr w:type="spellStart"/>
            <w:r w:rsidRPr="00470791">
              <w:rPr>
                <w:rFonts w:cs="Helvetica"/>
                <w:sz w:val="20"/>
                <w:szCs w:val="20"/>
                <w:lang w:val="en-US"/>
              </w:rPr>
              <w:t>Alieva</w:t>
            </w:r>
            <w:proofErr w:type="spellEnd"/>
            <w:r w:rsidRPr="00470791">
              <w:rPr>
                <w:rFonts w:cs="Helvetica"/>
                <w:sz w:val="20"/>
                <w:szCs w:val="20"/>
                <w:lang w:val="en-US"/>
              </w:rPr>
              <w:t xml:space="preserve"> </w:t>
            </w:r>
            <w:proofErr w:type="spellStart"/>
            <w:r w:rsidRPr="00470791">
              <w:rPr>
                <w:rFonts w:cs="Helvetica"/>
                <w:sz w:val="20"/>
                <w:szCs w:val="20"/>
                <w:lang w:val="en-US"/>
              </w:rPr>
              <w:t>Almira</w:t>
            </w:r>
            <w:proofErr w:type="spellEnd"/>
          </w:p>
        </w:tc>
        <w:tc>
          <w:tcPr>
            <w:tcW w:w="3685" w:type="dxa"/>
          </w:tcPr>
          <w:p w14:paraId="490147B2" w14:textId="6745639A" w:rsidR="00470791" w:rsidRPr="00470791" w:rsidRDefault="00470791" w:rsidP="00164FC0">
            <w:pPr>
              <w:rPr>
                <w:sz w:val="20"/>
                <w:szCs w:val="20"/>
              </w:rPr>
            </w:pPr>
            <w:r w:rsidRPr="00164FC0">
              <w:rPr>
                <w:sz w:val="20"/>
                <w:szCs w:val="20"/>
              </w:rPr>
              <w:t>Project Assistant</w:t>
            </w:r>
          </w:p>
        </w:tc>
        <w:tc>
          <w:tcPr>
            <w:tcW w:w="2602" w:type="dxa"/>
            <w:shd w:val="clear" w:color="auto" w:fill="auto"/>
          </w:tcPr>
          <w:p w14:paraId="0CF6215C" w14:textId="745A7DE3" w:rsidR="00470791" w:rsidRPr="00470791" w:rsidRDefault="00470791" w:rsidP="00470791">
            <w:pPr>
              <w:widowControl w:val="0"/>
              <w:autoSpaceDE w:val="0"/>
              <w:autoSpaceDN w:val="0"/>
              <w:adjustRightInd w:val="0"/>
              <w:spacing w:after="0"/>
              <w:rPr>
                <w:rFonts w:cs="Helvetica"/>
                <w:sz w:val="20"/>
                <w:szCs w:val="20"/>
                <w:lang w:val="en-US"/>
              </w:rPr>
            </w:pPr>
            <w:r>
              <w:rPr>
                <w:rFonts w:cs="Helvetica"/>
                <w:sz w:val="20"/>
                <w:szCs w:val="20"/>
                <w:lang w:val="en-US"/>
              </w:rPr>
              <w:t>23 Aug 2013 - 16 D</w:t>
            </w:r>
            <w:r w:rsidRPr="00470791">
              <w:rPr>
                <w:rFonts w:cs="Helvetica"/>
                <w:sz w:val="20"/>
                <w:szCs w:val="20"/>
                <w:lang w:val="en-US"/>
              </w:rPr>
              <w:t>ec 2013</w:t>
            </w:r>
          </w:p>
          <w:p w14:paraId="512866C8" w14:textId="77777777" w:rsidR="00470791" w:rsidRPr="00470791" w:rsidRDefault="00470791" w:rsidP="00F70C09">
            <w:pPr>
              <w:rPr>
                <w:sz w:val="20"/>
                <w:szCs w:val="20"/>
              </w:rPr>
            </w:pPr>
          </w:p>
        </w:tc>
      </w:tr>
      <w:tr w:rsidR="00470791" w:rsidRPr="00470791" w14:paraId="4A3383AA" w14:textId="77777777" w:rsidTr="00B042C3">
        <w:tc>
          <w:tcPr>
            <w:tcW w:w="2235" w:type="dxa"/>
          </w:tcPr>
          <w:p w14:paraId="3572D1D6" w14:textId="16F9CEA8" w:rsidR="00470791" w:rsidRPr="00470791" w:rsidRDefault="00470791" w:rsidP="00164FC0">
            <w:pPr>
              <w:rPr>
                <w:sz w:val="20"/>
                <w:szCs w:val="20"/>
              </w:rPr>
            </w:pPr>
            <w:proofErr w:type="spellStart"/>
            <w:r w:rsidRPr="00470791">
              <w:rPr>
                <w:rFonts w:cs="Helvetica"/>
                <w:sz w:val="20"/>
                <w:szCs w:val="20"/>
                <w:lang w:val="en-US"/>
              </w:rPr>
              <w:t>Asanbaeva</w:t>
            </w:r>
            <w:proofErr w:type="spellEnd"/>
            <w:r w:rsidRPr="00470791">
              <w:rPr>
                <w:rFonts w:cs="Helvetica"/>
                <w:sz w:val="20"/>
                <w:szCs w:val="20"/>
                <w:lang w:val="en-US"/>
              </w:rPr>
              <w:t xml:space="preserve"> </w:t>
            </w:r>
            <w:proofErr w:type="spellStart"/>
            <w:r w:rsidRPr="00470791">
              <w:rPr>
                <w:rFonts w:cs="Helvetica"/>
                <w:sz w:val="20"/>
                <w:szCs w:val="20"/>
                <w:lang w:val="en-US"/>
              </w:rPr>
              <w:t>Zhyldyz</w:t>
            </w:r>
            <w:proofErr w:type="spellEnd"/>
          </w:p>
        </w:tc>
        <w:tc>
          <w:tcPr>
            <w:tcW w:w="3685" w:type="dxa"/>
          </w:tcPr>
          <w:p w14:paraId="10E8C21B" w14:textId="6C0AF92A" w:rsidR="00470791" w:rsidRPr="00470791" w:rsidRDefault="00470791" w:rsidP="00164FC0">
            <w:pPr>
              <w:rPr>
                <w:sz w:val="20"/>
                <w:szCs w:val="20"/>
              </w:rPr>
            </w:pPr>
            <w:r w:rsidRPr="00164FC0">
              <w:rPr>
                <w:sz w:val="20"/>
                <w:szCs w:val="20"/>
              </w:rPr>
              <w:t>Project Assistant</w:t>
            </w:r>
          </w:p>
        </w:tc>
        <w:tc>
          <w:tcPr>
            <w:tcW w:w="2602" w:type="dxa"/>
            <w:shd w:val="clear" w:color="auto" w:fill="auto"/>
          </w:tcPr>
          <w:p w14:paraId="7BB12DE0" w14:textId="0C46BC86" w:rsidR="00470791" w:rsidRPr="00470791" w:rsidRDefault="00470791" w:rsidP="00470791">
            <w:pPr>
              <w:jc w:val="both"/>
              <w:rPr>
                <w:sz w:val="20"/>
                <w:szCs w:val="20"/>
              </w:rPr>
            </w:pPr>
            <w:r>
              <w:rPr>
                <w:rFonts w:cs="Helvetica"/>
                <w:sz w:val="20"/>
                <w:szCs w:val="20"/>
                <w:lang w:val="en-US"/>
              </w:rPr>
              <w:t>24 Apr 14 - 28 J</w:t>
            </w:r>
            <w:r w:rsidRPr="00470791">
              <w:rPr>
                <w:rFonts w:cs="Helvetica"/>
                <w:sz w:val="20"/>
                <w:szCs w:val="20"/>
                <w:lang w:val="en-US"/>
              </w:rPr>
              <w:t>an 2015</w:t>
            </w:r>
          </w:p>
          <w:p w14:paraId="4C6B4499" w14:textId="77777777" w:rsidR="00470791" w:rsidRPr="00470791" w:rsidRDefault="00470791" w:rsidP="00F70C09">
            <w:pPr>
              <w:rPr>
                <w:sz w:val="20"/>
                <w:szCs w:val="20"/>
              </w:rPr>
            </w:pPr>
          </w:p>
        </w:tc>
      </w:tr>
      <w:tr w:rsidR="00F70C09" w:rsidRPr="00164FC0" w14:paraId="416D63C5" w14:textId="77777777" w:rsidTr="00B042C3">
        <w:tc>
          <w:tcPr>
            <w:tcW w:w="2235" w:type="dxa"/>
          </w:tcPr>
          <w:p w14:paraId="52FD9CE1" w14:textId="77777777" w:rsidR="00F70C09" w:rsidRPr="00164FC0" w:rsidRDefault="00F70C09" w:rsidP="00164FC0">
            <w:pPr>
              <w:rPr>
                <w:sz w:val="20"/>
                <w:szCs w:val="20"/>
              </w:rPr>
            </w:pPr>
            <w:proofErr w:type="spellStart"/>
            <w:r w:rsidRPr="00164FC0">
              <w:rPr>
                <w:sz w:val="20"/>
                <w:szCs w:val="20"/>
              </w:rPr>
              <w:t>Zhamal</w:t>
            </w:r>
            <w:proofErr w:type="spellEnd"/>
            <w:r w:rsidRPr="00164FC0">
              <w:rPr>
                <w:sz w:val="20"/>
                <w:szCs w:val="20"/>
              </w:rPr>
              <w:t xml:space="preserve"> </w:t>
            </w:r>
            <w:proofErr w:type="spellStart"/>
            <w:r w:rsidRPr="00164FC0">
              <w:rPr>
                <w:sz w:val="20"/>
                <w:szCs w:val="20"/>
              </w:rPr>
              <w:t>Akmatova</w:t>
            </w:r>
            <w:proofErr w:type="spellEnd"/>
            <w:r w:rsidRPr="00164FC0">
              <w:rPr>
                <w:sz w:val="20"/>
                <w:szCs w:val="20"/>
              </w:rPr>
              <w:t xml:space="preserve"> </w:t>
            </w:r>
          </w:p>
        </w:tc>
        <w:tc>
          <w:tcPr>
            <w:tcW w:w="3685" w:type="dxa"/>
          </w:tcPr>
          <w:p w14:paraId="66784511" w14:textId="77777777" w:rsidR="00F70C09" w:rsidRPr="00164FC0" w:rsidRDefault="00F70C09" w:rsidP="00164FC0">
            <w:pPr>
              <w:rPr>
                <w:sz w:val="20"/>
                <w:szCs w:val="20"/>
              </w:rPr>
            </w:pPr>
            <w:r w:rsidRPr="00164FC0">
              <w:rPr>
                <w:sz w:val="20"/>
                <w:szCs w:val="20"/>
              </w:rPr>
              <w:t xml:space="preserve">Project Assistant </w:t>
            </w:r>
          </w:p>
        </w:tc>
        <w:tc>
          <w:tcPr>
            <w:tcW w:w="2602" w:type="dxa"/>
            <w:shd w:val="clear" w:color="auto" w:fill="auto"/>
          </w:tcPr>
          <w:p w14:paraId="78A08724" w14:textId="4802EAA5" w:rsidR="00F70C09" w:rsidRPr="00164FC0" w:rsidRDefault="00F70C09" w:rsidP="00F70C09">
            <w:pPr>
              <w:rPr>
                <w:sz w:val="20"/>
                <w:szCs w:val="20"/>
              </w:rPr>
            </w:pPr>
            <w:r>
              <w:rPr>
                <w:sz w:val="20"/>
                <w:szCs w:val="20"/>
              </w:rPr>
              <w:t xml:space="preserve">13 May </w:t>
            </w:r>
            <w:r w:rsidRPr="00164FC0">
              <w:rPr>
                <w:sz w:val="20"/>
                <w:szCs w:val="20"/>
              </w:rPr>
              <w:t>2015</w:t>
            </w:r>
            <w:r>
              <w:rPr>
                <w:sz w:val="20"/>
                <w:szCs w:val="20"/>
              </w:rPr>
              <w:t xml:space="preserve"> </w:t>
            </w:r>
            <w:r w:rsidR="00470791">
              <w:rPr>
                <w:sz w:val="20"/>
                <w:szCs w:val="20"/>
              </w:rPr>
              <w:t>–</w:t>
            </w:r>
            <w:r>
              <w:rPr>
                <w:sz w:val="20"/>
                <w:szCs w:val="20"/>
              </w:rPr>
              <w:t xml:space="preserve"> </w:t>
            </w:r>
            <w:proofErr w:type="spellStart"/>
            <w:r>
              <w:rPr>
                <w:sz w:val="20"/>
                <w:szCs w:val="20"/>
              </w:rPr>
              <w:t>Ongoing</w:t>
            </w:r>
            <w:proofErr w:type="spellEnd"/>
          </w:p>
        </w:tc>
      </w:tr>
      <w:tr w:rsidR="00F70C09" w:rsidRPr="00164FC0" w14:paraId="2C5C2249" w14:textId="77777777" w:rsidTr="00B042C3">
        <w:tc>
          <w:tcPr>
            <w:tcW w:w="2235" w:type="dxa"/>
          </w:tcPr>
          <w:p w14:paraId="1C99416E" w14:textId="77777777" w:rsidR="00F70C09" w:rsidRPr="00164FC0" w:rsidRDefault="00F70C09" w:rsidP="00164FC0">
            <w:pPr>
              <w:rPr>
                <w:sz w:val="20"/>
                <w:szCs w:val="20"/>
              </w:rPr>
            </w:pPr>
            <w:proofErr w:type="spellStart"/>
            <w:r w:rsidRPr="00164FC0">
              <w:rPr>
                <w:sz w:val="20"/>
                <w:szCs w:val="20"/>
              </w:rPr>
              <w:t>Sansyzbai</w:t>
            </w:r>
            <w:proofErr w:type="spellEnd"/>
            <w:r w:rsidRPr="00164FC0">
              <w:rPr>
                <w:sz w:val="20"/>
                <w:szCs w:val="20"/>
              </w:rPr>
              <w:t xml:space="preserve"> </w:t>
            </w:r>
            <w:proofErr w:type="spellStart"/>
            <w:r w:rsidRPr="00164FC0">
              <w:rPr>
                <w:sz w:val="20"/>
                <w:szCs w:val="20"/>
              </w:rPr>
              <w:t>Aliev</w:t>
            </w:r>
            <w:proofErr w:type="spellEnd"/>
          </w:p>
        </w:tc>
        <w:tc>
          <w:tcPr>
            <w:tcW w:w="3685" w:type="dxa"/>
          </w:tcPr>
          <w:p w14:paraId="3E6FC9AA" w14:textId="77777777" w:rsidR="00F70C09" w:rsidRPr="00164FC0" w:rsidRDefault="00F70C09" w:rsidP="00164FC0">
            <w:pPr>
              <w:rPr>
                <w:sz w:val="20"/>
                <w:szCs w:val="20"/>
              </w:rPr>
            </w:pPr>
            <w:r w:rsidRPr="00164FC0">
              <w:rPr>
                <w:sz w:val="20"/>
                <w:szCs w:val="20"/>
              </w:rPr>
              <w:t xml:space="preserve">Project Driver </w:t>
            </w:r>
          </w:p>
        </w:tc>
        <w:tc>
          <w:tcPr>
            <w:tcW w:w="2602" w:type="dxa"/>
            <w:shd w:val="clear" w:color="auto" w:fill="auto"/>
          </w:tcPr>
          <w:p w14:paraId="2CED72DC" w14:textId="1722B520" w:rsidR="00F70C09" w:rsidRPr="00164FC0" w:rsidRDefault="00F70C09" w:rsidP="00F70C09">
            <w:pPr>
              <w:rPr>
                <w:sz w:val="20"/>
                <w:szCs w:val="20"/>
              </w:rPr>
            </w:pPr>
            <w:r>
              <w:rPr>
                <w:sz w:val="20"/>
                <w:szCs w:val="20"/>
              </w:rPr>
              <w:t xml:space="preserve">10 </w:t>
            </w:r>
            <w:r w:rsidRPr="00164FC0">
              <w:rPr>
                <w:sz w:val="20"/>
                <w:szCs w:val="20"/>
              </w:rPr>
              <w:t>April</w:t>
            </w:r>
            <w:r>
              <w:rPr>
                <w:sz w:val="20"/>
                <w:szCs w:val="20"/>
              </w:rPr>
              <w:t xml:space="preserve"> </w:t>
            </w:r>
            <w:r w:rsidRPr="00164FC0">
              <w:rPr>
                <w:sz w:val="20"/>
                <w:szCs w:val="20"/>
              </w:rPr>
              <w:t xml:space="preserve">2014 </w:t>
            </w:r>
            <w:r>
              <w:rPr>
                <w:sz w:val="20"/>
                <w:szCs w:val="20"/>
              </w:rPr>
              <w:t xml:space="preserve">- </w:t>
            </w:r>
            <w:proofErr w:type="spellStart"/>
            <w:r>
              <w:rPr>
                <w:sz w:val="20"/>
                <w:szCs w:val="20"/>
              </w:rPr>
              <w:t>Ongoing</w:t>
            </w:r>
            <w:proofErr w:type="spellEnd"/>
          </w:p>
        </w:tc>
      </w:tr>
    </w:tbl>
    <w:p w14:paraId="2FDF845D" w14:textId="77777777" w:rsidR="00470791" w:rsidRDefault="00470791" w:rsidP="00470791">
      <w:pPr>
        <w:jc w:val="both"/>
      </w:pPr>
    </w:p>
    <w:p w14:paraId="0E81BDBF" w14:textId="6FF515AE" w:rsidR="00C113CB" w:rsidRDefault="00942482" w:rsidP="0039653C">
      <w:pPr>
        <w:numPr>
          <w:ilvl w:val="0"/>
          <w:numId w:val="2"/>
        </w:numPr>
        <w:ind w:left="0" w:firstLine="0"/>
        <w:jc w:val="both"/>
      </w:pPr>
      <w:r>
        <w:t xml:space="preserve">Within this section on management arrangements, the degree of </w:t>
      </w:r>
      <w:r>
        <w:rPr>
          <w:i/>
        </w:rPr>
        <w:t>ownership</w:t>
      </w:r>
      <w:r>
        <w:t xml:space="preserve"> by the Kyrgyz Republic should be briefly considered.  As a DIM project, the project is being implemented by the UNDP-CO – thus, this represents a valid question.</w:t>
      </w:r>
    </w:p>
    <w:p w14:paraId="67422793" w14:textId="62989E36" w:rsidR="00942482" w:rsidRDefault="0047401C" w:rsidP="0039653C">
      <w:pPr>
        <w:numPr>
          <w:ilvl w:val="0"/>
          <w:numId w:val="2"/>
        </w:numPr>
        <w:ind w:left="0" w:firstLine="0"/>
        <w:jc w:val="both"/>
      </w:pPr>
      <w:r>
        <w:t>There are several indicators pointing to a strong sense of ownership by the Government of Kyrgyzstan:</w:t>
      </w:r>
    </w:p>
    <w:p w14:paraId="5DFB476A" w14:textId="24837D6C" w:rsidR="00C113CB" w:rsidRDefault="0047401C" w:rsidP="0047401C">
      <w:pPr>
        <w:numPr>
          <w:ilvl w:val="1"/>
          <w:numId w:val="2"/>
        </w:numPr>
        <w:jc w:val="both"/>
      </w:pPr>
      <w:r>
        <w:t xml:space="preserve">The establishment of the Khan </w:t>
      </w:r>
      <w:proofErr w:type="spellStart"/>
      <w:r>
        <w:t>Tengri</w:t>
      </w:r>
      <w:proofErr w:type="spellEnd"/>
      <w:r>
        <w:t xml:space="preserve"> National Park appears in a number of different strategies and programmes (e.g., the </w:t>
      </w:r>
      <w:r w:rsidR="00C113CB">
        <w:t>National Programme for Sustainable Development</w:t>
      </w:r>
      <w:r>
        <w:t>); these commit the government to its establishment (or, in other words) the establishment is considered as “</w:t>
      </w:r>
      <w:r w:rsidR="00C113CB">
        <w:t>obligatory</w:t>
      </w:r>
      <w:r>
        <w:t>”).</w:t>
      </w:r>
    </w:p>
    <w:p w14:paraId="45AD4D83" w14:textId="60BFDD48" w:rsidR="0047401C" w:rsidRPr="002A4FB3" w:rsidRDefault="0047401C" w:rsidP="0047401C">
      <w:pPr>
        <w:numPr>
          <w:ilvl w:val="1"/>
          <w:numId w:val="2"/>
        </w:numPr>
        <w:jc w:val="both"/>
      </w:pPr>
      <w:r w:rsidRPr="002A4FB3">
        <w:t xml:space="preserve">Despite the slightly unconventional </w:t>
      </w:r>
      <w:r w:rsidR="00136A23" w:rsidRPr="002A4FB3">
        <w:t>implementation arrangements, it appears to function satisfactorily and the government appears to feel satisfied with their level of ownership through the two governme</w:t>
      </w:r>
      <w:r w:rsidR="0062195B" w:rsidRPr="002A4FB3">
        <w:t>nt structures through which project documents are scrutinised.</w:t>
      </w:r>
    </w:p>
    <w:p w14:paraId="348922F9" w14:textId="1B931135" w:rsidR="00C113CB" w:rsidRDefault="0062195B" w:rsidP="00C113CB">
      <w:pPr>
        <w:numPr>
          <w:ilvl w:val="1"/>
          <w:numId w:val="2"/>
        </w:numPr>
        <w:jc w:val="both"/>
      </w:pPr>
      <w:r>
        <w:t xml:space="preserve">The government – and SAEPF – has worked closely with the project in an attempt to try to persuade the remaining </w:t>
      </w:r>
      <w:proofErr w:type="spellStart"/>
      <w:r w:rsidRPr="0062195B">
        <w:rPr>
          <w:i/>
        </w:rPr>
        <w:t>aiyl</w:t>
      </w:r>
      <w:proofErr w:type="spellEnd"/>
      <w:r w:rsidRPr="0062195B">
        <w:rPr>
          <w:i/>
        </w:rPr>
        <w:t xml:space="preserve"> </w:t>
      </w:r>
      <w:proofErr w:type="spellStart"/>
      <w:r w:rsidRPr="0062195B">
        <w:rPr>
          <w:i/>
        </w:rPr>
        <w:t>okmotu</w:t>
      </w:r>
      <w:proofErr w:type="spellEnd"/>
      <w:r>
        <w:t xml:space="preserve"> to give its go-ahead to the establishment of the park.  This has included high-level representation at the meetings with deputies and members of the </w:t>
      </w:r>
      <w:proofErr w:type="spellStart"/>
      <w:r w:rsidRPr="002A4FB3">
        <w:rPr>
          <w:i/>
        </w:rPr>
        <w:t>aiyl</w:t>
      </w:r>
      <w:proofErr w:type="spellEnd"/>
      <w:r w:rsidRPr="002A4FB3">
        <w:rPr>
          <w:i/>
        </w:rPr>
        <w:t xml:space="preserve"> </w:t>
      </w:r>
      <w:proofErr w:type="spellStart"/>
      <w:r w:rsidRPr="002A4FB3">
        <w:rPr>
          <w:i/>
        </w:rPr>
        <w:t>okmotu</w:t>
      </w:r>
      <w:proofErr w:type="spellEnd"/>
      <w:r>
        <w:t xml:space="preserve"> – including three visits by the Director of the SAEPF</w:t>
      </w:r>
      <w:r>
        <w:rPr>
          <w:rStyle w:val="FootnoteReference"/>
        </w:rPr>
        <w:footnoteReference w:id="24"/>
      </w:r>
      <w:r>
        <w:t>.</w:t>
      </w:r>
    </w:p>
    <w:p w14:paraId="7407E1D6" w14:textId="5820C2BA" w:rsidR="0062195B" w:rsidRDefault="0062195B" w:rsidP="0062195B">
      <w:pPr>
        <w:numPr>
          <w:ilvl w:val="0"/>
          <w:numId w:val="2"/>
        </w:numPr>
        <w:ind w:left="0" w:firstLine="0"/>
        <w:jc w:val="both"/>
      </w:pPr>
      <w:r>
        <w:t>In contrast to these point</w:t>
      </w:r>
      <w:r w:rsidR="00691C56">
        <w:t>s</w:t>
      </w:r>
      <w:r>
        <w:t xml:space="preserve"> </w:t>
      </w:r>
      <w:r w:rsidR="00691C56">
        <w:t>that</w:t>
      </w:r>
      <w:r>
        <w:t xml:space="preserve"> would otherwise be convincing that the government is committed to the project and to the establishment of the park, there is at least one example that </w:t>
      </w:r>
      <w:r w:rsidRPr="00691C56">
        <w:rPr>
          <w:i/>
        </w:rPr>
        <w:t>undermines</w:t>
      </w:r>
      <w:r>
        <w:t xml:space="preserve"> confidence in this area.</w:t>
      </w:r>
      <w:r w:rsidR="00691C56">
        <w:t xml:space="preserve">  In 2014, the SAEPF developed new hunting concessions in the vicinity of the proposed park and, as stated above, this was done irrespective of the ecological value of the areas and, on a number of occasions, the boundaries of the park were shifted to accommodate the hunting concession areas.  This appears to be a typical case of lack of coordination and cooperation within one organisation</w:t>
      </w:r>
      <w:r w:rsidR="00C74E38">
        <w:rPr>
          <w:rStyle w:val="FootnoteReference"/>
        </w:rPr>
        <w:footnoteReference w:id="25"/>
      </w:r>
      <w:r w:rsidR="00691C56">
        <w:t>.</w:t>
      </w:r>
    </w:p>
    <w:p w14:paraId="077FE12A" w14:textId="46747C06" w:rsidR="00660D28" w:rsidRPr="00516656" w:rsidRDefault="00B7729F" w:rsidP="00B7729F">
      <w:pPr>
        <w:pStyle w:val="Heading3"/>
      </w:pPr>
      <w:bookmarkStart w:id="31" w:name="_Toc311452881"/>
      <w:r w:rsidRPr="00516656">
        <w:t>Work planning</w:t>
      </w:r>
      <w:bookmarkEnd w:id="31"/>
    </w:p>
    <w:p w14:paraId="1AEDB0F0" w14:textId="7E9C20D2" w:rsidR="007358D2" w:rsidRPr="00516656" w:rsidRDefault="00C75B6D" w:rsidP="007358D2">
      <w:pPr>
        <w:numPr>
          <w:ilvl w:val="0"/>
          <w:numId w:val="2"/>
        </w:numPr>
        <w:ind w:left="0" w:firstLine="0"/>
        <w:jc w:val="both"/>
      </w:pPr>
      <w:r>
        <w:t>Because of the slightly unusual management arrangements of the project, the work planning has been described in the section above.  In brief, annual work plans and budgets are scrutinised (and “approved”) by two structures within the Government of Kyrgyzstan although formal sign-off and approval falls to the Project Board.</w:t>
      </w:r>
    </w:p>
    <w:p w14:paraId="4C74FF6C" w14:textId="4B7A8453" w:rsidR="00B7729F" w:rsidRPr="00516656" w:rsidRDefault="00B7729F" w:rsidP="00660D28">
      <w:pPr>
        <w:pStyle w:val="Heading3"/>
      </w:pPr>
      <w:bookmarkStart w:id="32" w:name="_Toc311452882"/>
      <w:r w:rsidRPr="00516656">
        <w:t>Project Finance</w:t>
      </w:r>
      <w:r w:rsidR="00D938B2" w:rsidRPr="00516656">
        <w:t xml:space="preserve"> and Co-finance</w:t>
      </w:r>
      <w:bookmarkEnd w:id="32"/>
    </w:p>
    <w:p w14:paraId="370A1D81" w14:textId="56FCD268" w:rsidR="00FC3227" w:rsidRPr="00516656" w:rsidRDefault="00F668EF" w:rsidP="00EE5276">
      <w:pPr>
        <w:numPr>
          <w:ilvl w:val="0"/>
          <w:numId w:val="2"/>
        </w:numPr>
        <w:ind w:left="0" w:firstLine="0"/>
        <w:jc w:val="both"/>
      </w:pPr>
      <w:r w:rsidRPr="00516656">
        <w:t>The project’s work</w:t>
      </w:r>
      <w:r w:rsidR="00EE5276">
        <w:t xml:space="preserve"> </w:t>
      </w:r>
      <w:r w:rsidRPr="00516656">
        <w:t xml:space="preserve">planning has been described above.  </w:t>
      </w:r>
      <w:r w:rsidR="00EE5276">
        <w:t>The responsibility for f</w:t>
      </w:r>
      <w:r w:rsidR="00FC3227" w:rsidRPr="00516656">
        <w:t xml:space="preserve">inancial oversight of the project </w:t>
      </w:r>
      <w:r w:rsidR="00EE5276">
        <w:t xml:space="preserve">falls on the </w:t>
      </w:r>
      <w:r w:rsidR="00FC3227" w:rsidRPr="00516656">
        <w:t xml:space="preserve">PB; there is further financial control within </w:t>
      </w:r>
      <w:r w:rsidR="00EE5276">
        <w:t xml:space="preserve">the </w:t>
      </w:r>
      <w:r w:rsidR="00FC3227" w:rsidRPr="00516656">
        <w:t>UNDP</w:t>
      </w:r>
      <w:r w:rsidR="00EE5276">
        <w:t>-CO</w:t>
      </w:r>
      <w:r w:rsidR="00FC3227" w:rsidRPr="00516656">
        <w:t>.</w:t>
      </w:r>
    </w:p>
    <w:p w14:paraId="177C2EC0" w14:textId="0BBA2DF8" w:rsidR="00B7729F" w:rsidRDefault="00B7729F" w:rsidP="002F588D">
      <w:pPr>
        <w:pStyle w:val="Caption"/>
      </w:pPr>
      <w:proofErr w:type="gramStart"/>
      <w:r w:rsidRPr="00516656">
        <w:t xml:space="preserve">Table </w:t>
      </w:r>
      <w:proofErr w:type="gramEnd"/>
      <w:r w:rsidRPr="00516656">
        <w:fldChar w:fldCharType="begin"/>
      </w:r>
      <w:r w:rsidRPr="00516656">
        <w:instrText xml:space="preserve"> SEQ Table \* ARABIC </w:instrText>
      </w:r>
      <w:r w:rsidRPr="00516656">
        <w:fldChar w:fldCharType="separate"/>
      </w:r>
      <w:r w:rsidR="001E10DE">
        <w:rPr>
          <w:noProof/>
        </w:rPr>
        <w:t>5</w:t>
      </w:r>
      <w:r w:rsidRPr="00516656">
        <w:fldChar w:fldCharType="end"/>
      </w:r>
      <w:proofErr w:type="gramStart"/>
      <w:r w:rsidRPr="00516656">
        <w:t>.</w:t>
      </w:r>
      <w:proofErr w:type="gramEnd"/>
      <w:r w:rsidRPr="00516656">
        <w:t xml:space="preserve">  The planned value and actual expenditure, to date, of </w:t>
      </w:r>
      <w:r w:rsidR="00F945B6" w:rsidRPr="00516656">
        <w:t>co-finance</w:t>
      </w:r>
      <w:r w:rsidR="00F668EF" w:rsidRPr="00516656">
        <w:t xml:space="preserve"> (all figures in USD)</w:t>
      </w:r>
    </w:p>
    <w:tbl>
      <w:tblPr>
        <w:tblStyle w:val="TableGrid"/>
        <w:tblW w:w="0" w:type="auto"/>
        <w:tblLayout w:type="fixed"/>
        <w:tblLook w:val="04A0" w:firstRow="1" w:lastRow="0" w:firstColumn="1" w:lastColumn="0" w:noHBand="0" w:noVBand="1"/>
      </w:tblPr>
      <w:tblGrid>
        <w:gridCol w:w="1384"/>
        <w:gridCol w:w="1985"/>
        <w:gridCol w:w="1275"/>
        <w:gridCol w:w="1418"/>
        <w:gridCol w:w="1417"/>
        <w:gridCol w:w="1043"/>
      </w:tblGrid>
      <w:tr w:rsidR="00F94F43" w:rsidRPr="00F94F43" w14:paraId="00C98904" w14:textId="77777777" w:rsidTr="00FA6116">
        <w:tc>
          <w:tcPr>
            <w:tcW w:w="1384" w:type="dxa"/>
            <w:shd w:val="clear" w:color="auto" w:fill="D9D9D9" w:themeFill="background1" w:themeFillShade="D9"/>
          </w:tcPr>
          <w:p w14:paraId="25F681DC" w14:textId="7E65C558" w:rsidR="00F94F43" w:rsidRPr="00F94F43" w:rsidRDefault="00F94F43" w:rsidP="000F4F7A">
            <w:pPr>
              <w:rPr>
                <w:b/>
                <w:sz w:val="20"/>
                <w:szCs w:val="20"/>
              </w:rPr>
            </w:pPr>
            <w:r w:rsidRPr="00F94F43">
              <w:rPr>
                <w:b/>
                <w:sz w:val="20"/>
                <w:szCs w:val="20"/>
              </w:rPr>
              <w:t>Sources of Co</w:t>
            </w:r>
            <w:r>
              <w:rPr>
                <w:b/>
                <w:sz w:val="20"/>
                <w:szCs w:val="20"/>
              </w:rPr>
              <w:t>-</w:t>
            </w:r>
            <w:r w:rsidRPr="00F94F43">
              <w:rPr>
                <w:b/>
                <w:sz w:val="20"/>
                <w:szCs w:val="20"/>
              </w:rPr>
              <w:t>finance</w:t>
            </w:r>
          </w:p>
        </w:tc>
        <w:tc>
          <w:tcPr>
            <w:tcW w:w="1985" w:type="dxa"/>
            <w:shd w:val="clear" w:color="auto" w:fill="D9D9D9" w:themeFill="background1" w:themeFillShade="D9"/>
          </w:tcPr>
          <w:p w14:paraId="7CE09AAD" w14:textId="77777777" w:rsidR="00F94F43" w:rsidRPr="00F94F43" w:rsidRDefault="00F94F43" w:rsidP="000F4F7A">
            <w:pPr>
              <w:rPr>
                <w:b/>
                <w:sz w:val="20"/>
                <w:szCs w:val="20"/>
              </w:rPr>
            </w:pPr>
            <w:r w:rsidRPr="00F94F43">
              <w:rPr>
                <w:b/>
                <w:sz w:val="20"/>
                <w:szCs w:val="20"/>
              </w:rPr>
              <w:t>Name of Co-financer</w:t>
            </w:r>
          </w:p>
        </w:tc>
        <w:tc>
          <w:tcPr>
            <w:tcW w:w="1275" w:type="dxa"/>
            <w:shd w:val="clear" w:color="auto" w:fill="D9D9D9" w:themeFill="background1" w:themeFillShade="D9"/>
          </w:tcPr>
          <w:p w14:paraId="4F9AE32C" w14:textId="77777777" w:rsidR="00F94F43" w:rsidRPr="00F94F43" w:rsidRDefault="00F94F43" w:rsidP="000F4F7A">
            <w:pPr>
              <w:rPr>
                <w:b/>
                <w:sz w:val="20"/>
                <w:szCs w:val="20"/>
              </w:rPr>
            </w:pPr>
            <w:r w:rsidRPr="00F94F43">
              <w:rPr>
                <w:b/>
                <w:sz w:val="20"/>
                <w:szCs w:val="20"/>
              </w:rPr>
              <w:t>Type of Co-financing</w:t>
            </w:r>
          </w:p>
        </w:tc>
        <w:tc>
          <w:tcPr>
            <w:tcW w:w="1418" w:type="dxa"/>
            <w:shd w:val="clear" w:color="auto" w:fill="D9D9D9" w:themeFill="background1" w:themeFillShade="D9"/>
          </w:tcPr>
          <w:p w14:paraId="0409E06F" w14:textId="53E6777B" w:rsidR="00F94F43" w:rsidRPr="00F94F43" w:rsidRDefault="00F94F43" w:rsidP="00F94F43">
            <w:pPr>
              <w:rPr>
                <w:b/>
                <w:sz w:val="20"/>
                <w:szCs w:val="20"/>
              </w:rPr>
            </w:pPr>
            <w:r w:rsidRPr="00F94F43">
              <w:rPr>
                <w:b/>
                <w:sz w:val="20"/>
                <w:szCs w:val="20"/>
              </w:rPr>
              <w:t xml:space="preserve">Amount </w:t>
            </w:r>
            <w:r>
              <w:rPr>
                <w:b/>
                <w:sz w:val="20"/>
                <w:szCs w:val="20"/>
              </w:rPr>
              <w:t>Pledged</w:t>
            </w:r>
          </w:p>
        </w:tc>
        <w:tc>
          <w:tcPr>
            <w:tcW w:w="1417" w:type="dxa"/>
            <w:shd w:val="clear" w:color="auto" w:fill="D9D9D9" w:themeFill="background1" w:themeFillShade="D9"/>
          </w:tcPr>
          <w:p w14:paraId="09F3C6D0" w14:textId="6A528DF6" w:rsidR="00F94F43" w:rsidRPr="00F94F43" w:rsidRDefault="00F94F43" w:rsidP="00F94F43">
            <w:pPr>
              <w:rPr>
                <w:b/>
                <w:sz w:val="20"/>
                <w:szCs w:val="20"/>
              </w:rPr>
            </w:pPr>
            <w:r w:rsidRPr="00F94F43">
              <w:rPr>
                <w:b/>
                <w:sz w:val="20"/>
                <w:szCs w:val="20"/>
              </w:rPr>
              <w:t xml:space="preserve">Actual </w:t>
            </w:r>
            <w:r>
              <w:rPr>
                <w:b/>
                <w:sz w:val="20"/>
                <w:szCs w:val="20"/>
              </w:rPr>
              <w:t>(at MTR)</w:t>
            </w:r>
          </w:p>
        </w:tc>
        <w:tc>
          <w:tcPr>
            <w:tcW w:w="1043" w:type="dxa"/>
            <w:shd w:val="clear" w:color="auto" w:fill="D9D9D9" w:themeFill="background1" w:themeFillShade="D9"/>
          </w:tcPr>
          <w:p w14:paraId="681ECDC9" w14:textId="7C1CF812" w:rsidR="00F94F43" w:rsidRPr="00F94F43" w:rsidRDefault="00F94F43" w:rsidP="000F4F7A">
            <w:pPr>
              <w:rPr>
                <w:b/>
                <w:sz w:val="20"/>
                <w:szCs w:val="20"/>
              </w:rPr>
            </w:pPr>
            <w:r w:rsidRPr="00F94F43">
              <w:rPr>
                <w:b/>
                <w:sz w:val="20"/>
                <w:szCs w:val="20"/>
              </w:rPr>
              <w:t xml:space="preserve">% </w:t>
            </w:r>
            <w:proofErr w:type="gramStart"/>
            <w:r w:rsidRPr="00F94F43">
              <w:rPr>
                <w:b/>
                <w:sz w:val="20"/>
                <w:szCs w:val="20"/>
              </w:rPr>
              <w:t>of</w:t>
            </w:r>
            <w:proofErr w:type="gramEnd"/>
            <w:r w:rsidRPr="00F94F43">
              <w:rPr>
                <w:b/>
                <w:sz w:val="20"/>
                <w:szCs w:val="20"/>
              </w:rPr>
              <w:t xml:space="preserve"> Expected Amount</w:t>
            </w:r>
          </w:p>
        </w:tc>
      </w:tr>
      <w:tr w:rsidR="00F94F43" w:rsidRPr="00F94F43" w14:paraId="4EA5D926" w14:textId="77777777" w:rsidTr="00F94F43">
        <w:tc>
          <w:tcPr>
            <w:tcW w:w="1384" w:type="dxa"/>
          </w:tcPr>
          <w:p w14:paraId="4E9A0EA2" w14:textId="3C6D7699" w:rsidR="00F94F43" w:rsidRPr="00F94F43" w:rsidRDefault="00EC3930" w:rsidP="000F4F7A">
            <w:pPr>
              <w:rPr>
                <w:sz w:val="20"/>
                <w:szCs w:val="20"/>
              </w:rPr>
            </w:pPr>
            <w:r>
              <w:rPr>
                <w:sz w:val="20"/>
                <w:szCs w:val="20"/>
              </w:rPr>
              <w:t>GEF Partner Agency</w:t>
            </w:r>
          </w:p>
        </w:tc>
        <w:tc>
          <w:tcPr>
            <w:tcW w:w="1985" w:type="dxa"/>
          </w:tcPr>
          <w:p w14:paraId="07302ED4" w14:textId="77777777" w:rsidR="00F94F43" w:rsidRPr="00F94F43" w:rsidRDefault="00F94F43" w:rsidP="000F4F7A">
            <w:pPr>
              <w:rPr>
                <w:sz w:val="20"/>
                <w:szCs w:val="20"/>
              </w:rPr>
            </w:pPr>
            <w:r w:rsidRPr="00F94F43">
              <w:rPr>
                <w:sz w:val="20"/>
                <w:szCs w:val="20"/>
              </w:rPr>
              <w:t xml:space="preserve">UNDP </w:t>
            </w:r>
          </w:p>
        </w:tc>
        <w:tc>
          <w:tcPr>
            <w:tcW w:w="1275" w:type="dxa"/>
          </w:tcPr>
          <w:p w14:paraId="5E812F04" w14:textId="77777777" w:rsidR="00F94F43" w:rsidRPr="00F94F43" w:rsidRDefault="00F94F43" w:rsidP="000F4F7A">
            <w:pPr>
              <w:rPr>
                <w:sz w:val="20"/>
                <w:szCs w:val="20"/>
              </w:rPr>
            </w:pPr>
            <w:r w:rsidRPr="00F94F43">
              <w:rPr>
                <w:sz w:val="20"/>
                <w:szCs w:val="20"/>
              </w:rPr>
              <w:t>In kind</w:t>
            </w:r>
          </w:p>
        </w:tc>
        <w:tc>
          <w:tcPr>
            <w:tcW w:w="1418" w:type="dxa"/>
          </w:tcPr>
          <w:p w14:paraId="1CF5888B" w14:textId="428BEC40" w:rsidR="00F94F43" w:rsidRPr="00F94F43" w:rsidRDefault="00A12F08" w:rsidP="00AB6C6D">
            <w:pPr>
              <w:jc w:val="right"/>
              <w:rPr>
                <w:sz w:val="20"/>
                <w:szCs w:val="20"/>
              </w:rPr>
            </w:pPr>
            <w:r>
              <w:rPr>
                <w:sz w:val="20"/>
                <w:szCs w:val="20"/>
              </w:rPr>
              <w:t>1,600,</w:t>
            </w:r>
            <w:r w:rsidR="00F94F43" w:rsidRPr="00F94F43">
              <w:rPr>
                <w:sz w:val="20"/>
                <w:szCs w:val="20"/>
              </w:rPr>
              <w:t>000</w:t>
            </w:r>
          </w:p>
        </w:tc>
        <w:tc>
          <w:tcPr>
            <w:tcW w:w="1417" w:type="dxa"/>
          </w:tcPr>
          <w:p w14:paraId="1283F90B" w14:textId="77777777" w:rsidR="00F94F43" w:rsidRPr="00F94F43" w:rsidRDefault="00F94F43" w:rsidP="00AB6C6D">
            <w:pPr>
              <w:jc w:val="right"/>
              <w:rPr>
                <w:sz w:val="20"/>
                <w:szCs w:val="20"/>
              </w:rPr>
            </w:pPr>
            <w:r w:rsidRPr="00F94F43">
              <w:rPr>
                <w:sz w:val="20"/>
                <w:szCs w:val="20"/>
              </w:rPr>
              <w:t>600,000</w:t>
            </w:r>
          </w:p>
        </w:tc>
        <w:tc>
          <w:tcPr>
            <w:tcW w:w="1043" w:type="dxa"/>
          </w:tcPr>
          <w:p w14:paraId="6BF5C57A" w14:textId="77777777" w:rsidR="00F94F43" w:rsidRPr="00F94F43" w:rsidRDefault="00F94F43" w:rsidP="00AB6C6D">
            <w:pPr>
              <w:jc w:val="right"/>
              <w:rPr>
                <w:sz w:val="20"/>
                <w:szCs w:val="20"/>
              </w:rPr>
            </w:pPr>
            <w:r w:rsidRPr="00F94F43">
              <w:rPr>
                <w:sz w:val="20"/>
                <w:szCs w:val="20"/>
              </w:rPr>
              <w:t>37.5</w:t>
            </w:r>
          </w:p>
        </w:tc>
      </w:tr>
      <w:tr w:rsidR="00F94F43" w:rsidRPr="00F94F43" w14:paraId="33895F0A" w14:textId="77777777" w:rsidTr="00F94F43">
        <w:tc>
          <w:tcPr>
            <w:tcW w:w="1384" w:type="dxa"/>
          </w:tcPr>
          <w:p w14:paraId="4B885C26" w14:textId="77777777" w:rsidR="00F94F43" w:rsidRPr="00F94F43" w:rsidRDefault="00F94F43" w:rsidP="000F4F7A">
            <w:pPr>
              <w:rPr>
                <w:sz w:val="20"/>
                <w:szCs w:val="20"/>
              </w:rPr>
            </w:pPr>
            <w:r w:rsidRPr="00F94F43">
              <w:rPr>
                <w:sz w:val="20"/>
                <w:szCs w:val="20"/>
              </w:rPr>
              <w:t>National Government</w:t>
            </w:r>
          </w:p>
        </w:tc>
        <w:tc>
          <w:tcPr>
            <w:tcW w:w="1985" w:type="dxa"/>
          </w:tcPr>
          <w:p w14:paraId="4943F35F" w14:textId="77777777" w:rsidR="00F94F43" w:rsidRPr="00F94F43" w:rsidRDefault="00F94F43" w:rsidP="000F4F7A">
            <w:pPr>
              <w:rPr>
                <w:sz w:val="20"/>
                <w:szCs w:val="20"/>
              </w:rPr>
            </w:pPr>
            <w:r w:rsidRPr="00F94F43">
              <w:rPr>
                <w:sz w:val="20"/>
                <w:szCs w:val="20"/>
              </w:rPr>
              <w:t>SAEPF</w:t>
            </w:r>
          </w:p>
        </w:tc>
        <w:tc>
          <w:tcPr>
            <w:tcW w:w="1275" w:type="dxa"/>
          </w:tcPr>
          <w:p w14:paraId="4EDC6DFC" w14:textId="77777777" w:rsidR="00F94F43" w:rsidRPr="00F94F43" w:rsidRDefault="00F94F43" w:rsidP="000F4F7A">
            <w:pPr>
              <w:rPr>
                <w:sz w:val="20"/>
                <w:szCs w:val="20"/>
              </w:rPr>
            </w:pPr>
            <w:r w:rsidRPr="00F94F43">
              <w:rPr>
                <w:sz w:val="20"/>
                <w:szCs w:val="20"/>
              </w:rPr>
              <w:t>In kind</w:t>
            </w:r>
          </w:p>
        </w:tc>
        <w:tc>
          <w:tcPr>
            <w:tcW w:w="1418" w:type="dxa"/>
          </w:tcPr>
          <w:p w14:paraId="79743AA7" w14:textId="77777777" w:rsidR="00F94F43" w:rsidRPr="00F94F43" w:rsidRDefault="00F94F43" w:rsidP="00AB6C6D">
            <w:pPr>
              <w:jc w:val="right"/>
              <w:rPr>
                <w:sz w:val="20"/>
                <w:szCs w:val="20"/>
              </w:rPr>
            </w:pPr>
            <w:r w:rsidRPr="00F94F43">
              <w:rPr>
                <w:sz w:val="20"/>
                <w:szCs w:val="20"/>
              </w:rPr>
              <w:t>800,000</w:t>
            </w:r>
          </w:p>
        </w:tc>
        <w:tc>
          <w:tcPr>
            <w:tcW w:w="1417" w:type="dxa"/>
          </w:tcPr>
          <w:p w14:paraId="7AFB1E43" w14:textId="587AA294" w:rsidR="00F94F43" w:rsidRPr="00F94F43" w:rsidRDefault="00A12F08" w:rsidP="00AB6C6D">
            <w:pPr>
              <w:jc w:val="right"/>
              <w:rPr>
                <w:sz w:val="20"/>
                <w:szCs w:val="20"/>
              </w:rPr>
            </w:pPr>
            <w:r>
              <w:rPr>
                <w:sz w:val="20"/>
                <w:szCs w:val="20"/>
              </w:rPr>
              <w:t>300,</w:t>
            </w:r>
            <w:r w:rsidR="00F94F43" w:rsidRPr="00F94F43">
              <w:rPr>
                <w:sz w:val="20"/>
                <w:szCs w:val="20"/>
              </w:rPr>
              <w:t>000</w:t>
            </w:r>
          </w:p>
        </w:tc>
        <w:tc>
          <w:tcPr>
            <w:tcW w:w="1043" w:type="dxa"/>
          </w:tcPr>
          <w:p w14:paraId="0EC4EB73" w14:textId="6937EFF7" w:rsidR="00F94F43" w:rsidRPr="00F94F43" w:rsidRDefault="00A12F08" w:rsidP="00AB6C6D">
            <w:pPr>
              <w:jc w:val="right"/>
              <w:rPr>
                <w:sz w:val="20"/>
                <w:szCs w:val="20"/>
              </w:rPr>
            </w:pPr>
            <w:r>
              <w:rPr>
                <w:sz w:val="20"/>
                <w:szCs w:val="20"/>
              </w:rPr>
              <w:t>37.5</w:t>
            </w:r>
          </w:p>
        </w:tc>
      </w:tr>
      <w:tr w:rsidR="00F94F43" w:rsidRPr="00F94F43" w14:paraId="2A90F697" w14:textId="77777777" w:rsidTr="00F94F43">
        <w:tc>
          <w:tcPr>
            <w:tcW w:w="1384" w:type="dxa"/>
          </w:tcPr>
          <w:p w14:paraId="380FC851" w14:textId="77777777" w:rsidR="00F94F43" w:rsidRPr="00F94F43" w:rsidRDefault="00F94F43" w:rsidP="000F4F7A">
            <w:pPr>
              <w:rPr>
                <w:sz w:val="20"/>
                <w:szCs w:val="20"/>
              </w:rPr>
            </w:pPr>
            <w:r w:rsidRPr="00F94F43">
              <w:rPr>
                <w:sz w:val="20"/>
                <w:szCs w:val="20"/>
              </w:rPr>
              <w:t>National Government</w:t>
            </w:r>
          </w:p>
        </w:tc>
        <w:tc>
          <w:tcPr>
            <w:tcW w:w="1985" w:type="dxa"/>
          </w:tcPr>
          <w:p w14:paraId="5084A26B" w14:textId="77777777" w:rsidR="00F94F43" w:rsidRPr="00F94F43" w:rsidRDefault="00F94F43" w:rsidP="000F4F7A">
            <w:pPr>
              <w:rPr>
                <w:sz w:val="20"/>
                <w:szCs w:val="20"/>
              </w:rPr>
            </w:pPr>
            <w:r w:rsidRPr="00F94F43">
              <w:rPr>
                <w:sz w:val="20"/>
                <w:szCs w:val="20"/>
              </w:rPr>
              <w:t>SAEPF</w:t>
            </w:r>
          </w:p>
        </w:tc>
        <w:tc>
          <w:tcPr>
            <w:tcW w:w="1275" w:type="dxa"/>
          </w:tcPr>
          <w:p w14:paraId="0B57B84B" w14:textId="77777777" w:rsidR="00F94F43" w:rsidRPr="00F94F43" w:rsidRDefault="00F94F43" w:rsidP="000F4F7A">
            <w:pPr>
              <w:rPr>
                <w:sz w:val="20"/>
                <w:szCs w:val="20"/>
              </w:rPr>
            </w:pPr>
            <w:r w:rsidRPr="00F94F43">
              <w:rPr>
                <w:sz w:val="20"/>
                <w:szCs w:val="20"/>
              </w:rPr>
              <w:t>Cash</w:t>
            </w:r>
          </w:p>
        </w:tc>
        <w:tc>
          <w:tcPr>
            <w:tcW w:w="1418" w:type="dxa"/>
          </w:tcPr>
          <w:p w14:paraId="3F45CB6B" w14:textId="77777777" w:rsidR="00F94F43" w:rsidRPr="00F94F43" w:rsidRDefault="00F94F43" w:rsidP="00AB6C6D">
            <w:pPr>
              <w:jc w:val="right"/>
              <w:rPr>
                <w:sz w:val="20"/>
                <w:szCs w:val="20"/>
              </w:rPr>
            </w:pPr>
            <w:r w:rsidRPr="00F94F43">
              <w:rPr>
                <w:sz w:val="20"/>
                <w:szCs w:val="20"/>
              </w:rPr>
              <w:t>800,000</w:t>
            </w:r>
          </w:p>
        </w:tc>
        <w:tc>
          <w:tcPr>
            <w:tcW w:w="1417" w:type="dxa"/>
          </w:tcPr>
          <w:p w14:paraId="7399AE38" w14:textId="77777777" w:rsidR="00F94F43" w:rsidRPr="00F94F43" w:rsidRDefault="00F94F43" w:rsidP="00AB6C6D">
            <w:pPr>
              <w:jc w:val="right"/>
              <w:rPr>
                <w:sz w:val="20"/>
                <w:szCs w:val="20"/>
              </w:rPr>
            </w:pPr>
            <w:r w:rsidRPr="00F94F43">
              <w:rPr>
                <w:sz w:val="20"/>
                <w:szCs w:val="20"/>
              </w:rPr>
              <w:t>0</w:t>
            </w:r>
          </w:p>
        </w:tc>
        <w:tc>
          <w:tcPr>
            <w:tcW w:w="1043" w:type="dxa"/>
          </w:tcPr>
          <w:p w14:paraId="69BD9F30" w14:textId="77777777" w:rsidR="00F94F43" w:rsidRPr="00F94F43" w:rsidRDefault="00F94F43" w:rsidP="00AB6C6D">
            <w:pPr>
              <w:jc w:val="right"/>
              <w:rPr>
                <w:sz w:val="20"/>
                <w:szCs w:val="20"/>
              </w:rPr>
            </w:pPr>
            <w:r w:rsidRPr="00F94F43">
              <w:rPr>
                <w:sz w:val="20"/>
                <w:szCs w:val="20"/>
              </w:rPr>
              <w:t>0</w:t>
            </w:r>
          </w:p>
        </w:tc>
      </w:tr>
      <w:tr w:rsidR="00F94F43" w:rsidRPr="00F94F43" w14:paraId="6415362D" w14:textId="77777777" w:rsidTr="00F94F43">
        <w:tc>
          <w:tcPr>
            <w:tcW w:w="1384" w:type="dxa"/>
          </w:tcPr>
          <w:p w14:paraId="1650C5E4" w14:textId="77777777" w:rsidR="00F94F43" w:rsidRPr="00F94F43" w:rsidRDefault="00F94F43" w:rsidP="000F4F7A">
            <w:pPr>
              <w:rPr>
                <w:sz w:val="20"/>
                <w:szCs w:val="20"/>
              </w:rPr>
            </w:pPr>
            <w:r w:rsidRPr="00F94F43">
              <w:rPr>
                <w:sz w:val="20"/>
                <w:szCs w:val="20"/>
              </w:rPr>
              <w:t>National Government</w:t>
            </w:r>
          </w:p>
        </w:tc>
        <w:tc>
          <w:tcPr>
            <w:tcW w:w="1985" w:type="dxa"/>
          </w:tcPr>
          <w:p w14:paraId="33C476CC" w14:textId="77777777" w:rsidR="00F94F43" w:rsidRPr="00F94F43" w:rsidRDefault="00F94F43" w:rsidP="000F4F7A">
            <w:pPr>
              <w:rPr>
                <w:sz w:val="20"/>
                <w:szCs w:val="20"/>
              </w:rPr>
            </w:pPr>
            <w:r w:rsidRPr="00F94F43">
              <w:rPr>
                <w:sz w:val="20"/>
                <w:szCs w:val="20"/>
              </w:rPr>
              <w:t>General Directorate of the Issyk-Kul Biosphere Reserve</w:t>
            </w:r>
          </w:p>
        </w:tc>
        <w:tc>
          <w:tcPr>
            <w:tcW w:w="1275" w:type="dxa"/>
          </w:tcPr>
          <w:p w14:paraId="130E4814" w14:textId="77777777" w:rsidR="00F94F43" w:rsidRPr="00F94F43" w:rsidRDefault="00F94F43" w:rsidP="000F4F7A">
            <w:pPr>
              <w:rPr>
                <w:sz w:val="20"/>
                <w:szCs w:val="20"/>
              </w:rPr>
            </w:pPr>
            <w:r w:rsidRPr="00F94F43">
              <w:rPr>
                <w:sz w:val="20"/>
                <w:szCs w:val="20"/>
              </w:rPr>
              <w:t>In kind</w:t>
            </w:r>
          </w:p>
        </w:tc>
        <w:tc>
          <w:tcPr>
            <w:tcW w:w="1418" w:type="dxa"/>
          </w:tcPr>
          <w:p w14:paraId="25EFE42F" w14:textId="77777777" w:rsidR="00F94F43" w:rsidRPr="00F94F43" w:rsidRDefault="00F94F43" w:rsidP="00AB6C6D">
            <w:pPr>
              <w:jc w:val="right"/>
              <w:rPr>
                <w:sz w:val="20"/>
                <w:szCs w:val="20"/>
              </w:rPr>
            </w:pPr>
            <w:r w:rsidRPr="00F94F43">
              <w:rPr>
                <w:sz w:val="20"/>
                <w:szCs w:val="20"/>
              </w:rPr>
              <w:t>350,000</w:t>
            </w:r>
          </w:p>
          <w:p w14:paraId="7F11AC66" w14:textId="77777777" w:rsidR="00F94F43" w:rsidRPr="00F94F43" w:rsidRDefault="00F94F43" w:rsidP="00AB6C6D">
            <w:pPr>
              <w:jc w:val="right"/>
              <w:rPr>
                <w:sz w:val="20"/>
                <w:szCs w:val="20"/>
              </w:rPr>
            </w:pPr>
          </w:p>
        </w:tc>
        <w:tc>
          <w:tcPr>
            <w:tcW w:w="1417" w:type="dxa"/>
          </w:tcPr>
          <w:p w14:paraId="640FB046" w14:textId="10C98DD8" w:rsidR="00F94F43" w:rsidRPr="00F94F43" w:rsidRDefault="00A12F08" w:rsidP="00AB6C6D">
            <w:pPr>
              <w:jc w:val="right"/>
              <w:rPr>
                <w:sz w:val="20"/>
                <w:szCs w:val="20"/>
              </w:rPr>
            </w:pPr>
            <w:r>
              <w:rPr>
                <w:sz w:val="20"/>
                <w:szCs w:val="20"/>
              </w:rPr>
              <w:t>175,</w:t>
            </w:r>
            <w:r w:rsidR="00F94F43" w:rsidRPr="00F94F43">
              <w:rPr>
                <w:sz w:val="20"/>
                <w:szCs w:val="20"/>
              </w:rPr>
              <w:t>000</w:t>
            </w:r>
          </w:p>
        </w:tc>
        <w:tc>
          <w:tcPr>
            <w:tcW w:w="1043" w:type="dxa"/>
          </w:tcPr>
          <w:p w14:paraId="48EA6AEF" w14:textId="77777777" w:rsidR="00F94F43" w:rsidRPr="00F94F43" w:rsidRDefault="00F94F43" w:rsidP="00AB6C6D">
            <w:pPr>
              <w:jc w:val="right"/>
              <w:rPr>
                <w:sz w:val="20"/>
                <w:szCs w:val="20"/>
              </w:rPr>
            </w:pPr>
            <w:r w:rsidRPr="00F94F43">
              <w:rPr>
                <w:sz w:val="20"/>
                <w:szCs w:val="20"/>
              </w:rPr>
              <w:t>50</w:t>
            </w:r>
          </w:p>
        </w:tc>
      </w:tr>
      <w:tr w:rsidR="00F94F43" w:rsidRPr="00F94F43" w14:paraId="5E81CC8E" w14:textId="77777777" w:rsidTr="00F94F43">
        <w:tc>
          <w:tcPr>
            <w:tcW w:w="1384" w:type="dxa"/>
          </w:tcPr>
          <w:p w14:paraId="1CCC5702" w14:textId="77777777" w:rsidR="00F94F43" w:rsidRPr="00F94F43" w:rsidRDefault="00F94F43" w:rsidP="000F4F7A">
            <w:pPr>
              <w:rPr>
                <w:sz w:val="20"/>
                <w:szCs w:val="20"/>
              </w:rPr>
            </w:pPr>
            <w:r w:rsidRPr="00F94F43">
              <w:rPr>
                <w:sz w:val="20"/>
                <w:szCs w:val="20"/>
              </w:rPr>
              <w:t>National Government</w:t>
            </w:r>
          </w:p>
        </w:tc>
        <w:tc>
          <w:tcPr>
            <w:tcW w:w="1985" w:type="dxa"/>
          </w:tcPr>
          <w:p w14:paraId="6632A876" w14:textId="77777777" w:rsidR="00F94F43" w:rsidRPr="00F94F43" w:rsidRDefault="00F94F43" w:rsidP="000F4F7A">
            <w:pPr>
              <w:rPr>
                <w:sz w:val="20"/>
                <w:szCs w:val="20"/>
              </w:rPr>
            </w:pPr>
            <w:r w:rsidRPr="00F94F43">
              <w:rPr>
                <w:sz w:val="20"/>
                <w:szCs w:val="20"/>
              </w:rPr>
              <w:t>Republican Nature Protection and Forestry Development Fund</w:t>
            </w:r>
          </w:p>
        </w:tc>
        <w:tc>
          <w:tcPr>
            <w:tcW w:w="1275" w:type="dxa"/>
          </w:tcPr>
          <w:p w14:paraId="4075B4AC" w14:textId="77777777" w:rsidR="00F94F43" w:rsidRPr="00F94F43" w:rsidRDefault="00F94F43" w:rsidP="000F4F7A">
            <w:pPr>
              <w:rPr>
                <w:sz w:val="20"/>
                <w:szCs w:val="20"/>
              </w:rPr>
            </w:pPr>
            <w:r w:rsidRPr="00F94F43">
              <w:rPr>
                <w:sz w:val="20"/>
                <w:szCs w:val="20"/>
              </w:rPr>
              <w:t>In kind</w:t>
            </w:r>
          </w:p>
        </w:tc>
        <w:tc>
          <w:tcPr>
            <w:tcW w:w="1418" w:type="dxa"/>
          </w:tcPr>
          <w:p w14:paraId="7EA10359" w14:textId="0A7A2118" w:rsidR="00F94F43" w:rsidRPr="00F94F43" w:rsidRDefault="00A12F08" w:rsidP="00AB6C6D">
            <w:pPr>
              <w:jc w:val="right"/>
              <w:rPr>
                <w:sz w:val="20"/>
                <w:szCs w:val="20"/>
              </w:rPr>
            </w:pPr>
            <w:r>
              <w:rPr>
                <w:sz w:val="20"/>
                <w:szCs w:val="20"/>
              </w:rPr>
              <w:t>916,</w:t>
            </w:r>
            <w:r w:rsidR="00F94F43" w:rsidRPr="00F94F43">
              <w:rPr>
                <w:sz w:val="20"/>
                <w:szCs w:val="20"/>
              </w:rPr>
              <w:t>666</w:t>
            </w:r>
          </w:p>
          <w:p w14:paraId="020A5782" w14:textId="77777777" w:rsidR="00F94F43" w:rsidRPr="00F94F43" w:rsidRDefault="00F94F43" w:rsidP="00AB6C6D">
            <w:pPr>
              <w:jc w:val="right"/>
              <w:rPr>
                <w:sz w:val="20"/>
                <w:szCs w:val="20"/>
              </w:rPr>
            </w:pPr>
          </w:p>
        </w:tc>
        <w:tc>
          <w:tcPr>
            <w:tcW w:w="1417" w:type="dxa"/>
          </w:tcPr>
          <w:p w14:paraId="61CBD889" w14:textId="7FFFD712" w:rsidR="00F94F43" w:rsidRPr="00F94F43" w:rsidRDefault="00A12F08" w:rsidP="00AB6C6D">
            <w:pPr>
              <w:jc w:val="right"/>
              <w:rPr>
                <w:sz w:val="20"/>
                <w:szCs w:val="20"/>
              </w:rPr>
            </w:pPr>
            <w:r>
              <w:rPr>
                <w:sz w:val="20"/>
                <w:szCs w:val="20"/>
              </w:rPr>
              <w:t>450,</w:t>
            </w:r>
            <w:r w:rsidR="00F94F43" w:rsidRPr="00F94F43">
              <w:rPr>
                <w:sz w:val="20"/>
                <w:szCs w:val="20"/>
              </w:rPr>
              <w:t>000</w:t>
            </w:r>
          </w:p>
        </w:tc>
        <w:tc>
          <w:tcPr>
            <w:tcW w:w="1043" w:type="dxa"/>
          </w:tcPr>
          <w:p w14:paraId="643EF675" w14:textId="1D37B988" w:rsidR="00F94F43" w:rsidRPr="00F94F43" w:rsidRDefault="00A12F08" w:rsidP="00AB6C6D">
            <w:pPr>
              <w:jc w:val="right"/>
              <w:rPr>
                <w:sz w:val="20"/>
                <w:szCs w:val="20"/>
              </w:rPr>
            </w:pPr>
            <w:r>
              <w:rPr>
                <w:sz w:val="20"/>
                <w:szCs w:val="20"/>
              </w:rPr>
              <w:t>49</w:t>
            </w:r>
          </w:p>
        </w:tc>
      </w:tr>
      <w:tr w:rsidR="00F94F43" w:rsidRPr="00F94F43" w14:paraId="33EB3717" w14:textId="77777777" w:rsidTr="00F94F43">
        <w:tc>
          <w:tcPr>
            <w:tcW w:w="1384" w:type="dxa"/>
          </w:tcPr>
          <w:p w14:paraId="34914C90" w14:textId="77777777" w:rsidR="00F94F43" w:rsidRPr="00F94F43" w:rsidRDefault="00F94F43" w:rsidP="000F4F7A">
            <w:pPr>
              <w:rPr>
                <w:sz w:val="20"/>
                <w:szCs w:val="20"/>
              </w:rPr>
            </w:pPr>
            <w:r w:rsidRPr="00F94F43">
              <w:rPr>
                <w:sz w:val="20"/>
                <w:szCs w:val="20"/>
              </w:rPr>
              <w:t>National Government</w:t>
            </w:r>
          </w:p>
        </w:tc>
        <w:tc>
          <w:tcPr>
            <w:tcW w:w="1985" w:type="dxa"/>
          </w:tcPr>
          <w:p w14:paraId="4532F625" w14:textId="62BB8FF2" w:rsidR="00F94F43" w:rsidRPr="00F94F43" w:rsidRDefault="00F94F43" w:rsidP="007A30BA">
            <w:pPr>
              <w:rPr>
                <w:sz w:val="20"/>
                <w:szCs w:val="20"/>
              </w:rPr>
            </w:pPr>
            <w:r w:rsidRPr="00F94F43">
              <w:rPr>
                <w:sz w:val="20"/>
                <w:szCs w:val="20"/>
              </w:rPr>
              <w:t xml:space="preserve">National </w:t>
            </w:r>
            <w:proofErr w:type="spellStart"/>
            <w:r w:rsidRPr="00F94F43">
              <w:rPr>
                <w:sz w:val="20"/>
                <w:szCs w:val="20"/>
              </w:rPr>
              <w:t>center</w:t>
            </w:r>
            <w:proofErr w:type="spellEnd"/>
            <w:r w:rsidRPr="00F94F43">
              <w:rPr>
                <w:sz w:val="20"/>
                <w:szCs w:val="20"/>
              </w:rPr>
              <w:t xml:space="preserve"> for Mountain Regions Development</w:t>
            </w:r>
          </w:p>
        </w:tc>
        <w:tc>
          <w:tcPr>
            <w:tcW w:w="1275" w:type="dxa"/>
          </w:tcPr>
          <w:p w14:paraId="4F19CE5F" w14:textId="77777777" w:rsidR="00F94F43" w:rsidRPr="00F94F43" w:rsidRDefault="00F94F43" w:rsidP="000F4F7A">
            <w:pPr>
              <w:rPr>
                <w:sz w:val="20"/>
                <w:szCs w:val="20"/>
              </w:rPr>
            </w:pPr>
            <w:r w:rsidRPr="00F94F43">
              <w:rPr>
                <w:sz w:val="20"/>
                <w:szCs w:val="20"/>
              </w:rPr>
              <w:t xml:space="preserve">In kind </w:t>
            </w:r>
          </w:p>
        </w:tc>
        <w:tc>
          <w:tcPr>
            <w:tcW w:w="1418" w:type="dxa"/>
          </w:tcPr>
          <w:p w14:paraId="2C0EDFB0" w14:textId="77777777" w:rsidR="00F94F43" w:rsidRPr="00F94F43" w:rsidRDefault="00F94F43" w:rsidP="00AB6C6D">
            <w:pPr>
              <w:jc w:val="right"/>
              <w:rPr>
                <w:sz w:val="20"/>
                <w:szCs w:val="20"/>
              </w:rPr>
            </w:pPr>
            <w:r w:rsidRPr="00F94F43">
              <w:rPr>
                <w:sz w:val="20"/>
                <w:szCs w:val="20"/>
              </w:rPr>
              <w:t>0</w:t>
            </w:r>
          </w:p>
        </w:tc>
        <w:tc>
          <w:tcPr>
            <w:tcW w:w="1417" w:type="dxa"/>
          </w:tcPr>
          <w:p w14:paraId="51A84039" w14:textId="630A1FBF" w:rsidR="00F94F43" w:rsidRPr="00F94F43" w:rsidRDefault="00A12F08" w:rsidP="00AB6C6D">
            <w:pPr>
              <w:jc w:val="right"/>
              <w:rPr>
                <w:sz w:val="20"/>
                <w:szCs w:val="20"/>
              </w:rPr>
            </w:pPr>
            <w:r>
              <w:rPr>
                <w:sz w:val="20"/>
                <w:szCs w:val="20"/>
              </w:rPr>
              <w:t>50,</w:t>
            </w:r>
            <w:r w:rsidR="00F94F43" w:rsidRPr="00F94F43">
              <w:rPr>
                <w:sz w:val="20"/>
                <w:szCs w:val="20"/>
              </w:rPr>
              <w:t>000</w:t>
            </w:r>
          </w:p>
        </w:tc>
        <w:tc>
          <w:tcPr>
            <w:tcW w:w="1043" w:type="dxa"/>
          </w:tcPr>
          <w:p w14:paraId="3EB4AA04" w14:textId="77777777" w:rsidR="00F94F43" w:rsidRPr="00F94F43" w:rsidRDefault="00F94F43" w:rsidP="00AB6C6D">
            <w:pPr>
              <w:jc w:val="right"/>
              <w:rPr>
                <w:sz w:val="20"/>
                <w:szCs w:val="20"/>
              </w:rPr>
            </w:pPr>
            <w:r w:rsidRPr="00F94F43">
              <w:rPr>
                <w:sz w:val="20"/>
                <w:szCs w:val="20"/>
              </w:rPr>
              <w:t>-</w:t>
            </w:r>
          </w:p>
        </w:tc>
      </w:tr>
      <w:tr w:rsidR="00F94F43" w:rsidRPr="00F94F43" w14:paraId="63A5E7B6" w14:textId="77777777" w:rsidTr="00F94F43">
        <w:tc>
          <w:tcPr>
            <w:tcW w:w="1384" w:type="dxa"/>
          </w:tcPr>
          <w:p w14:paraId="61AD4CD0" w14:textId="77777777" w:rsidR="00F94F43" w:rsidRPr="00F94F43" w:rsidRDefault="00F94F43" w:rsidP="000F4F7A">
            <w:pPr>
              <w:rPr>
                <w:sz w:val="20"/>
                <w:szCs w:val="20"/>
              </w:rPr>
            </w:pPr>
            <w:r w:rsidRPr="00F94F43">
              <w:rPr>
                <w:sz w:val="20"/>
                <w:szCs w:val="20"/>
              </w:rPr>
              <w:t>Local government</w:t>
            </w:r>
          </w:p>
        </w:tc>
        <w:tc>
          <w:tcPr>
            <w:tcW w:w="1985" w:type="dxa"/>
          </w:tcPr>
          <w:p w14:paraId="5068B123" w14:textId="77777777" w:rsidR="00F94F43" w:rsidRPr="00F94F43" w:rsidRDefault="00F94F43" w:rsidP="000F4F7A">
            <w:pPr>
              <w:rPr>
                <w:sz w:val="20"/>
                <w:szCs w:val="20"/>
              </w:rPr>
            </w:pPr>
            <w:r w:rsidRPr="00F94F43">
              <w:rPr>
                <w:sz w:val="20"/>
                <w:szCs w:val="20"/>
              </w:rPr>
              <w:t xml:space="preserve">Issyk-Kul oblast administration </w:t>
            </w:r>
          </w:p>
        </w:tc>
        <w:tc>
          <w:tcPr>
            <w:tcW w:w="1275" w:type="dxa"/>
          </w:tcPr>
          <w:p w14:paraId="5B6062EE" w14:textId="77777777" w:rsidR="00F94F43" w:rsidRPr="00F94F43" w:rsidRDefault="00F94F43" w:rsidP="000F4F7A">
            <w:pPr>
              <w:rPr>
                <w:sz w:val="20"/>
                <w:szCs w:val="20"/>
              </w:rPr>
            </w:pPr>
            <w:r w:rsidRPr="00F94F43">
              <w:rPr>
                <w:sz w:val="20"/>
                <w:szCs w:val="20"/>
              </w:rPr>
              <w:t>In kind</w:t>
            </w:r>
          </w:p>
        </w:tc>
        <w:tc>
          <w:tcPr>
            <w:tcW w:w="1418" w:type="dxa"/>
          </w:tcPr>
          <w:p w14:paraId="1BC02EC9" w14:textId="77777777" w:rsidR="00F94F43" w:rsidRPr="00F94F43" w:rsidRDefault="00F94F43" w:rsidP="00AB6C6D">
            <w:pPr>
              <w:jc w:val="right"/>
              <w:rPr>
                <w:sz w:val="20"/>
                <w:szCs w:val="20"/>
              </w:rPr>
            </w:pPr>
            <w:r w:rsidRPr="00F94F43">
              <w:rPr>
                <w:sz w:val="20"/>
                <w:szCs w:val="20"/>
              </w:rPr>
              <w:t>0</w:t>
            </w:r>
          </w:p>
        </w:tc>
        <w:tc>
          <w:tcPr>
            <w:tcW w:w="1417" w:type="dxa"/>
          </w:tcPr>
          <w:p w14:paraId="36CFA532" w14:textId="75A4D493" w:rsidR="00F94F43" w:rsidRPr="00F94F43" w:rsidRDefault="00A12F08" w:rsidP="00AB6C6D">
            <w:pPr>
              <w:jc w:val="right"/>
              <w:rPr>
                <w:sz w:val="20"/>
                <w:szCs w:val="20"/>
              </w:rPr>
            </w:pPr>
            <w:r>
              <w:rPr>
                <w:sz w:val="20"/>
                <w:szCs w:val="20"/>
              </w:rPr>
              <w:t>30,</w:t>
            </w:r>
            <w:r w:rsidR="00F94F43" w:rsidRPr="00F94F43">
              <w:rPr>
                <w:sz w:val="20"/>
                <w:szCs w:val="20"/>
              </w:rPr>
              <w:t>000</w:t>
            </w:r>
          </w:p>
        </w:tc>
        <w:tc>
          <w:tcPr>
            <w:tcW w:w="1043" w:type="dxa"/>
          </w:tcPr>
          <w:p w14:paraId="57013047" w14:textId="77777777" w:rsidR="00F94F43" w:rsidRPr="00F94F43" w:rsidRDefault="00F94F43" w:rsidP="00AB6C6D">
            <w:pPr>
              <w:jc w:val="right"/>
              <w:rPr>
                <w:sz w:val="20"/>
                <w:szCs w:val="20"/>
              </w:rPr>
            </w:pPr>
            <w:r w:rsidRPr="00F94F43">
              <w:rPr>
                <w:sz w:val="20"/>
                <w:szCs w:val="20"/>
              </w:rPr>
              <w:t>-</w:t>
            </w:r>
          </w:p>
        </w:tc>
      </w:tr>
      <w:tr w:rsidR="00F94F43" w:rsidRPr="00F94F43" w14:paraId="1FBDF7F2" w14:textId="77777777" w:rsidTr="00F94F43">
        <w:tc>
          <w:tcPr>
            <w:tcW w:w="1384" w:type="dxa"/>
          </w:tcPr>
          <w:p w14:paraId="6EB71BBD" w14:textId="77777777" w:rsidR="00F94F43" w:rsidRPr="00F94F43" w:rsidRDefault="00F94F43" w:rsidP="000F4F7A">
            <w:pPr>
              <w:rPr>
                <w:sz w:val="20"/>
                <w:szCs w:val="20"/>
              </w:rPr>
            </w:pPr>
            <w:r w:rsidRPr="00F94F43">
              <w:rPr>
                <w:sz w:val="20"/>
                <w:szCs w:val="20"/>
              </w:rPr>
              <w:t>Local government</w:t>
            </w:r>
          </w:p>
        </w:tc>
        <w:tc>
          <w:tcPr>
            <w:tcW w:w="1985" w:type="dxa"/>
          </w:tcPr>
          <w:p w14:paraId="01B00DB6" w14:textId="77777777" w:rsidR="00F94F43" w:rsidRPr="00F94F43" w:rsidRDefault="00F94F43" w:rsidP="000F4F7A">
            <w:pPr>
              <w:rPr>
                <w:sz w:val="20"/>
                <w:szCs w:val="20"/>
              </w:rPr>
            </w:pPr>
            <w:proofErr w:type="spellStart"/>
            <w:r w:rsidRPr="00F94F43">
              <w:rPr>
                <w:sz w:val="20"/>
                <w:szCs w:val="20"/>
              </w:rPr>
              <w:t>Ak-Suu</w:t>
            </w:r>
            <w:proofErr w:type="spellEnd"/>
            <w:r w:rsidRPr="00F94F43">
              <w:rPr>
                <w:sz w:val="20"/>
                <w:szCs w:val="20"/>
              </w:rPr>
              <w:t xml:space="preserve"> rayon administration </w:t>
            </w:r>
          </w:p>
        </w:tc>
        <w:tc>
          <w:tcPr>
            <w:tcW w:w="1275" w:type="dxa"/>
          </w:tcPr>
          <w:p w14:paraId="5A0AAFE5" w14:textId="77777777" w:rsidR="00F94F43" w:rsidRPr="00F94F43" w:rsidRDefault="00F94F43" w:rsidP="000F4F7A">
            <w:pPr>
              <w:rPr>
                <w:sz w:val="20"/>
                <w:szCs w:val="20"/>
              </w:rPr>
            </w:pPr>
            <w:r w:rsidRPr="00F94F43">
              <w:rPr>
                <w:sz w:val="20"/>
                <w:szCs w:val="20"/>
              </w:rPr>
              <w:t>In kind</w:t>
            </w:r>
          </w:p>
        </w:tc>
        <w:tc>
          <w:tcPr>
            <w:tcW w:w="1418" w:type="dxa"/>
          </w:tcPr>
          <w:p w14:paraId="670AC78C" w14:textId="77777777" w:rsidR="00F94F43" w:rsidRPr="00F94F43" w:rsidRDefault="00F94F43" w:rsidP="00AB6C6D">
            <w:pPr>
              <w:jc w:val="right"/>
              <w:rPr>
                <w:sz w:val="20"/>
                <w:szCs w:val="20"/>
              </w:rPr>
            </w:pPr>
            <w:r w:rsidRPr="00F94F43">
              <w:rPr>
                <w:sz w:val="20"/>
                <w:szCs w:val="20"/>
              </w:rPr>
              <w:t>0</w:t>
            </w:r>
          </w:p>
        </w:tc>
        <w:tc>
          <w:tcPr>
            <w:tcW w:w="1417" w:type="dxa"/>
          </w:tcPr>
          <w:p w14:paraId="23963129" w14:textId="45E210C5" w:rsidR="00F94F43" w:rsidRPr="00F94F43" w:rsidRDefault="00A12F08" w:rsidP="00AB6C6D">
            <w:pPr>
              <w:jc w:val="right"/>
              <w:rPr>
                <w:sz w:val="20"/>
                <w:szCs w:val="20"/>
              </w:rPr>
            </w:pPr>
            <w:r>
              <w:rPr>
                <w:sz w:val="20"/>
                <w:szCs w:val="20"/>
              </w:rPr>
              <w:t>80,</w:t>
            </w:r>
            <w:r w:rsidR="00F94F43" w:rsidRPr="00F94F43">
              <w:rPr>
                <w:sz w:val="20"/>
                <w:szCs w:val="20"/>
              </w:rPr>
              <w:t>000</w:t>
            </w:r>
          </w:p>
        </w:tc>
        <w:tc>
          <w:tcPr>
            <w:tcW w:w="1043" w:type="dxa"/>
          </w:tcPr>
          <w:p w14:paraId="53E8A991" w14:textId="77777777" w:rsidR="00F94F43" w:rsidRPr="00F94F43" w:rsidRDefault="00F94F43" w:rsidP="00AB6C6D">
            <w:pPr>
              <w:jc w:val="right"/>
              <w:rPr>
                <w:sz w:val="20"/>
                <w:szCs w:val="20"/>
              </w:rPr>
            </w:pPr>
            <w:r w:rsidRPr="00F94F43">
              <w:rPr>
                <w:sz w:val="20"/>
                <w:szCs w:val="20"/>
              </w:rPr>
              <w:t>-</w:t>
            </w:r>
          </w:p>
        </w:tc>
      </w:tr>
      <w:tr w:rsidR="00F94F43" w:rsidRPr="00F94F43" w14:paraId="2EC905C8" w14:textId="77777777" w:rsidTr="00F94F43">
        <w:tc>
          <w:tcPr>
            <w:tcW w:w="1384" w:type="dxa"/>
          </w:tcPr>
          <w:p w14:paraId="55DDB157" w14:textId="049588C1" w:rsidR="00F94F43" w:rsidRPr="00F94F43" w:rsidRDefault="00F94F43" w:rsidP="00F94F43">
            <w:pPr>
              <w:rPr>
                <w:sz w:val="20"/>
                <w:szCs w:val="20"/>
              </w:rPr>
            </w:pPr>
            <w:r w:rsidRPr="00F94F43">
              <w:rPr>
                <w:sz w:val="20"/>
                <w:szCs w:val="20"/>
              </w:rPr>
              <w:t>C</w:t>
            </w:r>
            <w:r>
              <w:rPr>
                <w:sz w:val="20"/>
                <w:szCs w:val="20"/>
              </w:rPr>
              <w:t>SO</w:t>
            </w:r>
          </w:p>
        </w:tc>
        <w:tc>
          <w:tcPr>
            <w:tcW w:w="1985" w:type="dxa"/>
          </w:tcPr>
          <w:p w14:paraId="34E939D0" w14:textId="77777777" w:rsidR="00F94F43" w:rsidRPr="00F94F43" w:rsidRDefault="00F94F43" w:rsidP="000F4F7A">
            <w:pPr>
              <w:rPr>
                <w:sz w:val="20"/>
                <w:szCs w:val="20"/>
              </w:rPr>
            </w:pPr>
            <w:r w:rsidRPr="00F94F43">
              <w:rPr>
                <w:sz w:val="20"/>
                <w:szCs w:val="20"/>
              </w:rPr>
              <w:t>WWF</w:t>
            </w:r>
          </w:p>
        </w:tc>
        <w:tc>
          <w:tcPr>
            <w:tcW w:w="1275" w:type="dxa"/>
          </w:tcPr>
          <w:p w14:paraId="725BA6EB" w14:textId="77777777" w:rsidR="00F94F43" w:rsidRPr="00F94F43" w:rsidRDefault="00F94F43" w:rsidP="000F4F7A">
            <w:pPr>
              <w:rPr>
                <w:sz w:val="20"/>
                <w:szCs w:val="20"/>
              </w:rPr>
            </w:pPr>
            <w:r w:rsidRPr="00F94F43">
              <w:rPr>
                <w:sz w:val="20"/>
                <w:szCs w:val="20"/>
              </w:rPr>
              <w:t>Training</w:t>
            </w:r>
          </w:p>
        </w:tc>
        <w:tc>
          <w:tcPr>
            <w:tcW w:w="1418" w:type="dxa"/>
          </w:tcPr>
          <w:p w14:paraId="411F74B7" w14:textId="610CB7DD" w:rsidR="00F94F43" w:rsidRPr="00F94F43" w:rsidRDefault="00A12F08" w:rsidP="00AB6C6D">
            <w:pPr>
              <w:jc w:val="right"/>
              <w:rPr>
                <w:sz w:val="20"/>
                <w:szCs w:val="20"/>
              </w:rPr>
            </w:pPr>
            <w:r>
              <w:rPr>
                <w:sz w:val="20"/>
                <w:szCs w:val="20"/>
              </w:rPr>
              <w:t>250,</w:t>
            </w:r>
            <w:r w:rsidR="00F94F43" w:rsidRPr="00F94F43">
              <w:rPr>
                <w:sz w:val="20"/>
                <w:szCs w:val="20"/>
              </w:rPr>
              <w:t>000</w:t>
            </w:r>
          </w:p>
        </w:tc>
        <w:tc>
          <w:tcPr>
            <w:tcW w:w="1417" w:type="dxa"/>
          </w:tcPr>
          <w:p w14:paraId="6ECD6752" w14:textId="77777777" w:rsidR="00F94F43" w:rsidRPr="00F94F43" w:rsidRDefault="00F94F43" w:rsidP="00AB6C6D">
            <w:pPr>
              <w:jc w:val="right"/>
              <w:rPr>
                <w:sz w:val="20"/>
                <w:szCs w:val="20"/>
              </w:rPr>
            </w:pPr>
            <w:r w:rsidRPr="00F94F43">
              <w:rPr>
                <w:sz w:val="20"/>
                <w:szCs w:val="20"/>
              </w:rPr>
              <w:t>10,000</w:t>
            </w:r>
          </w:p>
        </w:tc>
        <w:tc>
          <w:tcPr>
            <w:tcW w:w="1043" w:type="dxa"/>
          </w:tcPr>
          <w:p w14:paraId="5901A2A2" w14:textId="63B3EAA0" w:rsidR="00F94F43" w:rsidRPr="00F94F43" w:rsidRDefault="00AB6C6D" w:rsidP="00AB6C6D">
            <w:pPr>
              <w:jc w:val="right"/>
              <w:rPr>
                <w:sz w:val="20"/>
                <w:szCs w:val="20"/>
              </w:rPr>
            </w:pPr>
            <w:r>
              <w:rPr>
                <w:sz w:val="20"/>
                <w:szCs w:val="20"/>
              </w:rPr>
              <w:t>0.4</w:t>
            </w:r>
          </w:p>
        </w:tc>
      </w:tr>
      <w:tr w:rsidR="00F94F43" w:rsidRPr="00F94F43" w14:paraId="52FA2CEA" w14:textId="77777777" w:rsidTr="00F94F43">
        <w:tc>
          <w:tcPr>
            <w:tcW w:w="1384" w:type="dxa"/>
          </w:tcPr>
          <w:p w14:paraId="70EF96D4" w14:textId="0447E42A" w:rsidR="00F94F43" w:rsidRPr="00F94F43" w:rsidRDefault="00CD5639" w:rsidP="000F4F7A">
            <w:pPr>
              <w:rPr>
                <w:sz w:val="20"/>
                <w:szCs w:val="20"/>
              </w:rPr>
            </w:pPr>
            <w:r>
              <w:rPr>
                <w:sz w:val="20"/>
                <w:szCs w:val="20"/>
              </w:rPr>
              <w:t>Donor</w:t>
            </w:r>
          </w:p>
        </w:tc>
        <w:tc>
          <w:tcPr>
            <w:tcW w:w="1985" w:type="dxa"/>
          </w:tcPr>
          <w:p w14:paraId="327A46AA" w14:textId="77777777" w:rsidR="00F94F43" w:rsidRPr="00F94F43" w:rsidRDefault="00F94F43" w:rsidP="000F4F7A">
            <w:pPr>
              <w:rPr>
                <w:sz w:val="20"/>
                <w:szCs w:val="20"/>
              </w:rPr>
            </w:pPr>
            <w:r w:rsidRPr="00F94F43">
              <w:rPr>
                <w:sz w:val="20"/>
                <w:szCs w:val="20"/>
              </w:rPr>
              <w:t>USAID</w:t>
            </w:r>
          </w:p>
        </w:tc>
        <w:tc>
          <w:tcPr>
            <w:tcW w:w="1275" w:type="dxa"/>
          </w:tcPr>
          <w:p w14:paraId="17F5C725" w14:textId="77777777" w:rsidR="00F94F43" w:rsidRPr="00F94F43" w:rsidRDefault="00F94F43" w:rsidP="000F4F7A">
            <w:pPr>
              <w:rPr>
                <w:sz w:val="20"/>
                <w:szCs w:val="20"/>
              </w:rPr>
            </w:pPr>
            <w:r w:rsidRPr="00F94F43">
              <w:rPr>
                <w:sz w:val="20"/>
                <w:szCs w:val="20"/>
              </w:rPr>
              <w:t>Training</w:t>
            </w:r>
          </w:p>
        </w:tc>
        <w:tc>
          <w:tcPr>
            <w:tcW w:w="1418" w:type="dxa"/>
          </w:tcPr>
          <w:p w14:paraId="4AE592AF" w14:textId="71FDE6FE" w:rsidR="00F94F43" w:rsidRPr="00F94F43" w:rsidRDefault="00A12F08" w:rsidP="00AB6C6D">
            <w:pPr>
              <w:jc w:val="right"/>
              <w:rPr>
                <w:sz w:val="20"/>
                <w:szCs w:val="20"/>
              </w:rPr>
            </w:pPr>
            <w:r>
              <w:rPr>
                <w:sz w:val="20"/>
                <w:szCs w:val="20"/>
              </w:rPr>
              <w:t>250,</w:t>
            </w:r>
            <w:r w:rsidR="00F94F43" w:rsidRPr="00F94F43">
              <w:rPr>
                <w:sz w:val="20"/>
                <w:szCs w:val="20"/>
              </w:rPr>
              <w:t>000</w:t>
            </w:r>
          </w:p>
        </w:tc>
        <w:tc>
          <w:tcPr>
            <w:tcW w:w="1417" w:type="dxa"/>
          </w:tcPr>
          <w:p w14:paraId="64391EE9" w14:textId="083CE4CE" w:rsidR="00F94F43" w:rsidRPr="00F94F43" w:rsidRDefault="00AB6C6D" w:rsidP="00AB6C6D">
            <w:pPr>
              <w:jc w:val="right"/>
              <w:rPr>
                <w:sz w:val="20"/>
                <w:szCs w:val="20"/>
              </w:rPr>
            </w:pPr>
            <w:r>
              <w:rPr>
                <w:sz w:val="20"/>
                <w:szCs w:val="20"/>
              </w:rPr>
              <w:t>*</w:t>
            </w:r>
          </w:p>
        </w:tc>
        <w:tc>
          <w:tcPr>
            <w:tcW w:w="1043" w:type="dxa"/>
          </w:tcPr>
          <w:p w14:paraId="7E63BA97" w14:textId="23225CCC" w:rsidR="00F94F43" w:rsidRPr="00F94F43" w:rsidRDefault="00AB6C6D" w:rsidP="00AB6C6D">
            <w:pPr>
              <w:jc w:val="right"/>
              <w:rPr>
                <w:sz w:val="20"/>
                <w:szCs w:val="20"/>
              </w:rPr>
            </w:pPr>
            <w:r>
              <w:rPr>
                <w:sz w:val="20"/>
                <w:szCs w:val="20"/>
              </w:rPr>
              <w:t>-</w:t>
            </w:r>
          </w:p>
        </w:tc>
      </w:tr>
      <w:tr w:rsidR="00F94F43" w:rsidRPr="00F94F43" w14:paraId="3CC75B19" w14:textId="77777777" w:rsidTr="00F94F43">
        <w:tc>
          <w:tcPr>
            <w:tcW w:w="1384" w:type="dxa"/>
          </w:tcPr>
          <w:p w14:paraId="6299E2CD" w14:textId="1347F0A0" w:rsidR="00F94F43" w:rsidRPr="00F94F43" w:rsidRDefault="00F94F43" w:rsidP="000F4F7A">
            <w:pPr>
              <w:rPr>
                <w:sz w:val="20"/>
                <w:szCs w:val="20"/>
              </w:rPr>
            </w:pPr>
            <w:r w:rsidRPr="00F94F43">
              <w:rPr>
                <w:sz w:val="20"/>
                <w:szCs w:val="20"/>
              </w:rPr>
              <w:t>C</w:t>
            </w:r>
            <w:r>
              <w:rPr>
                <w:sz w:val="20"/>
                <w:szCs w:val="20"/>
              </w:rPr>
              <w:t>SO</w:t>
            </w:r>
          </w:p>
        </w:tc>
        <w:tc>
          <w:tcPr>
            <w:tcW w:w="1985" w:type="dxa"/>
          </w:tcPr>
          <w:p w14:paraId="449EAB7D" w14:textId="2441AFDD" w:rsidR="00F94F43" w:rsidRPr="00F94F43" w:rsidRDefault="00F94F43" w:rsidP="00F94F43">
            <w:pPr>
              <w:rPr>
                <w:sz w:val="20"/>
                <w:szCs w:val="20"/>
              </w:rPr>
            </w:pPr>
            <w:r w:rsidRPr="00F94F43">
              <w:rPr>
                <w:sz w:val="20"/>
                <w:szCs w:val="20"/>
              </w:rPr>
              <w:t>Fauna &amp; Flora International (FFI)</w:t>
            </w:r>
          </w:p>
        </w:tc>
        <w:tc>
          <w:tcPr>
            <w:tcW w:w="1275" w:type="dxa"/>
          </w:tcPr>
          <w:p w14:paraId="1625AC29" w14:textId="77777777" w:rsidR="00F94F43" w:rsidRPr="00F94F43" w:rsidRDefault="00F94F43" w:rsidP="000F4F7A">
            <w:pPr>
              <w:rPr>
                <w:sz w:val="20"/>
                <w:szCs w:val="20"/>
              </w:rPr>
            </w:pPr>
            <w:r w:rsidRPr="00F94F43">
              <w:rPr>
                <w:sz w:val="20"/>
                <w:szCs w:val="20"/>
              </w:rPr>
              <w:t>In kind and cash</w:t>
            </w:r>
          </w:p>
        </w:tc>
        <w:tc>
          <w:tcPr>
            <w:tcW w:w="1418" w:type="dxa"/>
          </w:tcPr>
          <w:p w14:paraId="3E4A5AE4" w14:textId="77777777" w:rsidR="00F94F43" w:rsidRPr="00F94F43" w:rsidRDefault="00F94F43" w:rsidP="00AB6C6D">
            <w:pPr>
              <w:jc w:val="right"/>
              <w:rPr>
                <w:sz w:val="20"/>
                <w:szCs w:val="20"/>
              </w:rPr>
            </w:pPr>
            <w:r w:rsidRPr="00F94F43">
              <w:rPr>
                <w:sz w:val="20"/>
                <w:szCs w:val="20"/>
              </w:rPr>
              <w:t>*</w:t>
            </w:r>
          </w:p>
        </w:tc>
        <w:tc>
          <w:tcPr>
            <w:tcW w:w="1417" w:type="dxa"/>
          </w:tcPr>
          <w:p w14:paraId="458DA6EF" w14:textId="77777777" w:rsidR="00F94F43" w:rsidRPr="00F94F43" w:rsidRDefault="00F94F43" w:rsidP="00AB6C6D">
            <w:pPr>
              <w:jc w:val="right"/>
              <w:rPr>
                <w:sz w:val="20"/>
                <w:szCs w:val="20"/>
              </w:rPr>
            </w:pPr>
            <w:r w:rsidRPr="00F94F43">
              <w:rPr>
                <w:sz w:val="20"/>
                <w:szCs w:val="20"/>
              </w:rPr>
              <w:t>*</w:t>
            </w:r>
          </w:p>
        </w:tc>
        <w:tc>
          <w:tcPr>
            <w:tcW w:w="1043" w:type="dxa"/>
          </w:tcPr>
          <w:p w14:paraId="6649EAF3" w14:textId="784ECD28" w:rsidR="00F94F43" w:rsidRPr="00F94F43" w:rsidRDefault="00AB6C6D" w:rsidP="00AB6C6D">
            <w:pPr>
              <w:jc w:val="right"/>
              <w:rPr>
                <w:sz w:val="20"/>
                <w:szCs w:val="20"/>
              </w:rPr>
            </w:pPr>
            <w:r>
              <w:rPr>
                <w:sz w:val="20"/>
                <w:szCs w:val="20"/>
              </w:rPr>
              <w:t>-</w:t>
            </w:r>
          </w:p>
        </w:tc>
      </w:tr>
      <w:tr w:rsidR="00F94F43" w:rsidRPr="00F94F43" w14:paraId="4E83CAA2" w14:textId="77777777" w:rsidTr="00F94F43">
        <w:tc>
          <w:tcPr>
            <w:tcW w:w="1384" w:type="dxa"/>
          </w:tcPr>
          <w:p w14:paraId="46FE9A5C" w14:textId="38D30E7D" w:rsidR="00F94F43" w:rsidRPr="00F94F43" w:rsidRDefault="00F94F43" w:rsidP="000F4F7A">
            <w:pPr>
              <w:rPr>
                <w:sz w:val="20"/>
                <w:szCs w:val="20"/>
              </w:rPr>
            </w:pPr>
            <w:r w:rsidRPr="00F94F43">
              <w:rPr>
                <w:sz w:val="20"/>
                <w:szCs w:val="20"/>
              </w:rPr>
              <w:t>C</w:t>
            </w:r>
            <w:r>
              <w:rPr>
                <w:sz w:val="20"/>
                <w:szCs w:val="20"/>
              </w:rPr>
              <w:t>SO</w:t>
            </w:r>
          </w:p>
        </w:tc>
        <w:tc>
          <w:tcPr>
            <w:tcW w:w="1985" w:type="dxa"/>
          </w:tcPr>
          <w:p w14:paraId="307491D1" w14:textId="517A804E" w:rsidR="00F94F43" w:rsidRPr="00F94F43" w:rsidRDefault="00F94F43" w:rsidP="00F94F43">
            <w:pPr>
              <w:rPr>
                <w:sz w:val="20"/>
                <w:szCs w:val="20"/>
              </w:rPr>
            </w:pPr>
            <w:r w:rsidRPr="00F94F43">
              <w:rPr>
                <w:sz w:val="20"/>
                <w:szCs w:val="20"/>
              </w:rPr>
              <w:t>The Snow Leopard Trust (SLT)</w:t>
            </w:r>
          </w:p>
        </w:tc>
        <w:tc>
          <w:tcPr>
            <w:tcW w:w="1275" w:type="dxa"/>
          </w:tcPr>
          <w:p w14:paraId="030AC2F7" w14:textId="77777777" w:rsidR="00F94F43" w:rsidRPr="00F94F43" w:rsidRDefault="00F94F43" w:rsidP="000F4F7A">
            <w:pPr>
              <w:rPr>
                <w:sz w:val="20"/>
                <w:szCs w:val="20"/>
              </w:rPr>
            </w:pPr>
            <w:r w:rsidRPr="00F94F43">
              <w:rPr>
                <w:sz w:val="20"/>
                <w:szCs w:val="20"/>
              </w:rPr>
              <w:t>In kind and cash</w:t>
            </w:r>
          </w:p>
        </w:tc>
        <w:tc>
          <w:tcPr>
            <w:tcW w:w="1418" w:type="dxa"/>
          </w:tcPr>
          <w:p w14:paraId="4EE62E82" w14:textId="73B3FF37" w:rsidR="00F94F43" w:rsidRPr="00F94F43" w:rsidRDefault="00A12F08" w:rsidP="00AB6C6D">
            <w:pPr>
              <w:jc w:val="right"/>
              <w:rPr>
                <w:sz w:val="20"/>
                <w:szCs w:val="20"/>
              </w:rPr>
            </w:pPr>
            <w:r>
              <w:rPr>
                <w:sz w:val="20"/>
                <w:szCs w:val="20"/>
              </w:rPr>
              <w:t>0</w:t>
            </w:r>
          </w:p>
        </w:tc>
        <w:tc>
          <w:tcPr>
            <w:tcW w:w="1417" w:type="dxa"/>
          </w:tcPr>
          <w:p w14:paraId="6F931495" w14:textId="59F57A87" w:rsidR="00F94F43" w:rsidRPr="00F94F43" w:rsidRDefault="00A12F08" w:rsidP="00AB6C6D">
            <w:pPr>
              <w:jc w:val="right"/>
              <w:rPr>
                <w:sz w:val="20"/>
                <w:szCs w:val="20"/>
              </w:rPr>
            </w:pPr>
            <w:r>
              <w:rPr>
                <w:sz w:val="20"/>
                <w:szCs w:val="20"/>
              </w:rPr>
              <w:t>25,</w:t>
            </w:r>
            <w:r w:rsidR="00F94F43" w:rsidRPr="00F94F43">
              <w:rPr>
                <w:sz w:val="20"/>
                <w:szCs w:val="20"/>
              </w:rPr>
              <w:t>000</w:t>
            </w:r>
          </w:p>
        </w:tc>
        <w:tc>
          <w:tcPr>
            <w:tcW w:w="1043" w:type="dxa"/>
          </w:tcPr>
          <w:p w14:paraId="7889836C" w14:textId="02216994" w:rsidR="00F94F43" w:rsidRPr="00F94F43" w:rsidRDefault="00AB6C6D" w:rsidP="00AB6C6D">
            <w:pPr>
              <w:jc w:val="right"/>
              <w:rPr>
                <w:sz w:val="20"/>
                <w:szCs w:val="20"/>
              </w:rPr>
            </w:pPr>
            <w:r>
              <w:rPr>
                <w:sz w:val="20"/>
                <w:szCs w:val="20"/>
              </w:rPr>
              <w:t>-</w:t>
            </w:r>
          </w:p>
        </w:tc>
      </w:tr>
      <w:tr w:rsidR="00F94F43" w:rsidRPr="00F94F43" w14:paraId="037E9872" w14:textId="77777777" w:rsidTr="00F94F43">
        <w:tc>
          <w:tcPr>
            <w:tcW w:w="1384" w:type="dxa"/>
          </w:tcPr>
          <w:p w14:paraId="31018131" w14:textId="060A2FD1" w:rsidR="00F94F43" w:rsidRPr="00F94F43" w:rsidRDefault="00F94F43" w:rsidP="000F4F7A">
            <w:pPr>
              <w:rPr>
                <w:sz w:val="20"/>
                <w:szCs w:val="20"/>
              </w:rPr>
            </w:pPr>
            <w:r w:rsidRPr="00F94F43">
              <w:rPr>
                <w:sz w:val="20"/>
                <w:szCs w:val="20"/>
              </w:rPr>
              <w:t>C</w:t>
            </w:r>
            <w:r>
              <w:rPr>
                <w:sz w:val="20"/>
                <w:szCs w:val="20"/>
              </w:rPr>
              <w:t>SO</w:t>
            </w:r>
          </w:p>
        </w:tc>
        <w:tc>
          <w:tcPr>
            <w:tcW w:w="1985" w:type="dxa"/>
          </w:tcPr>
          <w:p w14:paraId="21C61490" w14:textId="639916D6" w:rsidR="00F94F43" w:rsidRPr="00F94F43" w:rsidRDefault="00F94F43" w:rsidP="00F94F43">
            <w:pPr>
              <w:rPr>
                <w:sz w:val="20"/>
                <w:szCs w:val="20"/>
              </w:rPr>
            </w:pPr>
            <w:r w:rsidRPr="00F94F43">
              <w:rPr>
                <w:sz w:val="20"/>
                <w:szCs w:val="20"/>
              </w:rPr>
              <w:t>NABU</w:t>
            </w:r>
          </w:p>
        </w:tc>
        <w:tc>
          <w:tcPr>
            <w:tcW w:w="1275" w:type="dxa"/>
          </w:tcPr>
          <w:p w14:paraId="470F9108" w14:textId="77777777" w:rsidR="00F94F43" w:rsidRPr="00F94F43" w:rsidRDefault="00F94F43" w:rsidP="000F4F7A">
            <w:pPr>
              <w:rPr>
                <w:sz w:val="20"/>
                <w:szCs w:val="20"/>
              </w:rPr>
            </w:pPr>
            <w:r w:rsidRPr="00F94F43">
              <w:rPr>
                <w:sz w:val="20"/>
                <w:szCs w:val="20"/>
              </w:rPr>
              <w:t>In kind and cash</w:t>
            </w:r>
          </w:p>
        </w:tc>
        <w:tc>
          <w:tcPr>
            <w:tcW w:w="1418" w:type="dxa"/>
          </w:tcPr>
          <w:p w14:paraId="3B3BCD01" w14:textId="5B52C90E" w:rsidR="00F94F43" w:rsidRPr="00F94F43" w:rsidRDefault="00A12F08" w:rsidP="00AB6C6D">
            <w:pPr>
              <w:jc w:val="right"/>
              <w:rPr>
                <w:sz w:val="20"/>
                <w:szCs w:val="20"/>
              </w:rPr>
            </w:pPr>
            <w:r>
              <w:rPr>
                <w:sz w:val="20"/>
                <w:szCs w:val="20"/>
              </w:rPr>
              <w:t>0</w:t>
            </w:r>
          </w:p>
        </w:tc>
        <w:tc>
          <w:tcPr>
            <w:tcW w:w="1417" w:type="dxa"/>
          </w:tcPr>
          <w:p w14:paraId="003464D3" w14:textId="72A9BCDA" w:rsidR="00F94F43" w:rsidRPr="00F94F43" w:rsidRDefault="00A12F08" w:rsidP="00AB6C6D">
            <w:pPr>
              <w:jc w:val="right"/>
              <w:rPr>
                <w:sz w:val="20"/>
                <w:szCs w:val="20"/>
              </w:rPr>
            </w:pPr>
            <w:r>
              <w:rPr>
                <w:sz w:val="20"/>
                <w:szCs w:val="20"/>
              </w:rPr>
              <w:t>10,</w:t>
            </w:r>
            <w:r w:rsidR="00F94F43" w:rsidRPr="00F94F43">
              <w:rPr>
                <w:sz w:val="20"/>
                <w:szCs w:val="20"/>
              </w:rPr>
              <w:t>000</w:t>
            </w:r>
          </w:p>
        </w:tc>
        <w:tc>
          <w:tcPr>
            <w:tcW w:w="1043" w:type="dxa"/>
          </w:tcPr>
          <w:p w14:paraId="750CB4BC" w14:textId="56DBF18F" w:rsidR="00F94F43" w:rsidRPr="00F94F43" w:rsidRDefault="00AB6C6D" w:rsidP="00AB6C6D">
            <w:pPr>
              <w:jc w:val="right"/>
              <w:rPr>
                <w:sz w:val="20"/>
                <w:szCs w:val="20"/>
              </w:rPr>
            </w:pPr>
            <w:r>
              <w:rPr>
                <w:sz w:val="20"/>
                <w:szCs w:val="20"/>
              </w:rPr>
              <w:t>-</w:t>
            </w:r>
          </w:p>
        </w:tc>
      </w:tr>
      <w:tr w:rsidR="00F94F43" w:rsidRPr="00AB6C6D" w14:paraId="545E0F82" w14:textId="77777777" w:rsidTr="00F94F43">
        <w:tc>
          <w:tcPr>
            <w:tcW w:w="1384" w:type="dxa"/>
          </w:tcPr>
          <w:p w14:paraId="2AAB10ED" w14:textId="77777777" w:rsidR="00F94F43" w:rsidRPr="00AB6C6D" w:rsidRDefault="00F94F43" w:rsidP="000F4F7A">
            <w:pPr>
              <w:rPr>
                <w:b/>
                <w:sz w:val="20"/>
                <w:szCs w:val="20"/>
              </w:rPr>
            </w:pPr>
            <w:r w:rsidRPr="00AB6C6D">
              <w:rPr>
                <w:b/>
                <w:sz w:val="20"/>
                <w:szCs w:val="20"/>
              </w:rPr>
              <w:t xml:space="preserve">Total </w:t>
            </w:r>
          </w:p>
        </w:tc>
        <w:tc>
          <w:tcPr>
            <w:tcW w:w="1985" w:type="dxa"/>
          </w:tcPr>
          <w:p w14:paraId="7FB520D2" w14:textId="77777777" w:rsidR="00F94F43" w:rsidRPr="00AB6C6D" w:rsidRDefault="00F94F43" w:rsidP="000F4F7A">
            <w:pPr>
              <w:rPr>
                <w:b/>
                <w:sz w:val="20"/>
                <w:szCs w:val="20"/>
              </w:rPr>
            </w:pPr>
          </w:p>
        </w:tc>
        <w:tc>
          <w:tcPr>
            <w:tcW w:w="1275" w:type="dxa"/>
          </w:tcPr>
          <w:p w14:paraId="62B9187D" w14:textId="77777777" w:rsidR="00F94F43" w:rsidRPr="00AB6C6D" w:rsidRDefault="00F94F43" w:rsidP="000F4F7A">
            <w:pPr>
              <w:rPr>
                <w:b/>
                <w:sz w:val="20"/>
                <w:szCs w:val="20"/>
              </w:rPr>
            </w:pPr>
          </w:p>
        </w:tc>
        <w:tc>
          <w:tcPr>
            <w:tcW w:w="1418" w:type="dxa"/>
          </w:tcPr>
          <w:p w14:paraId="71ED6B84" w14:textId="2E970BFF" w:rsidR="00F94F43" w:rsidRPr="00AB6C6D" w:rsidRDefault="00A12F08" w:rsidP="00AB6C6D">
            <w:pPr>
              <w:jc w:val="right"/>
              <w:rPr>
                <w:b/>
                <w:sz w:val="20"/>
                <w:szCs w:val="20"/>
              </w:rPr>
            </w:pPr>
            <w:r w:rsidRPr="00AB6C6D">
              <w:rPr>
                <w:b/>
                <w:sz w:val="20"/>
                <w:szCs w:val="20"/>
              </w:rPr>
              <w:t>4,966,</w:t>
            </w:r>
            <w:r w:rsidR="00F94F43" w:rsidRPr="00AB6C6D">
              <w:rPr>
                <w:b/>
                <w:sz w:val="20"/>
                <w:szCs w:val="20"/>
              </w:rPr>
              <w:t>666</w:t>
            </w:r>
          </w:p>
        </w:tc>
        <w:tc>
          <w:tcPr>
            <w:tcW w:w="1417" w:type="dxa"/>
          </w:tcPr>
          <w:p w14:paraId="3C42ADAD" w14:textId="4C7F1279" w:rsidR="00F94F43" w:rsidRPr="00AB6C6D" w:rsidRDefault="00A12F08" w:rsidP="00AB6C6D">
            <w:pPr>
              <w:jc w:val="right"/>
              <w:rPr>
                <w:b/>
                <w:sz w:val="20"/>
                <w:szCs w:val="20"/>
              </w:rPr>
            </w:pPr>
            <w:r w:rsidRPr="00AB6C6D">
              <w:rPr>
                <w:b/>
                <w:sz w:val="20"/>
                <w:szCs w:val="20"/>
              </w:rPr>
              <w:t>1,730,</w:t>
            </w:r>
            <w:r w:rsidR="00F94F43" w:rsidRPr="00AB6C6D">
              <w:rPr>
                <w:b/>
                <w:sz w:val="20"/>
                <w:szCs w:val="20"/>
              </w:rPr>
              <w:t>000</w:t>
            </w:r>
          </w:p>
        </w:tc>
        <w:tc>
          <w:tcPr>
            <w:tcW w:w="1043" w:type="dxa"/>
          </w:tcPr>
          <w:p w14:paraId="650D901A" w14:textId="585583F3" w:rsidR="00F94F43" w:rsidRPr="00AB6C6D" w:rsidRDefault="00AB6C6D" w:rsidP="00AB6C6D">
            <w:pPr>
              <w:jc w:val="right"/>
              <w:rPr>
                <w:b/>
                <w:sz w:val="20"/>
                <w:szCs w:val="20"/>
              </w:rPr>
            </w:pPr>
            <w:r w:rsidRPr="00AB6C6D">
              <w:rPr>
                <w:b/>
                <w:sz w:val="20"/>
                <w:szCs w:val="20"/>
              </w:rPr>
              <w:t>35</w:t>
            </w:r>
          </w:p>
        </w:tc>
      </w:tr>
    </w:tbl>
    <w:p w14:paraId="109E17A5" w14:textId="0353FA8E" w:rsidR="00F94F43" w:rsidRPr="00A12F08" w:rsidRDefault="00A12F08" w:rsidP="00F94F43">
      <w:pPr>
        <w:rPr>
          <w:sz w:val="20"/>
          <w:szCs w:val="20"/>
        </w:rPr>
      </w:pPr>
      <w:r w:rsidRPr="00A12F08">
        <w:rPr>
          <w:sz w:val="20"/>
          <w:szCs w:val="20"/>
        </w:rPr>
        <w:t>* Amounts not quantified</w:t>
      </w:r>
    </w:p>
    <w:p w14:paraId="317D7FBB" w14:textId="39265A80" w:rsidR="00E42646" w:rsidRPr="00516656" w:rsidRDefault="009E6040" w:rsidP="003460D6">
      <w:pPr>
        <w:numPr>
          <w:ilvl w:val="0"/>
          <w:numId w:val="2"/>
        </w:numPr>
        <w:ind w:left="0" w:firstLine="0"/>
        <w:jc w:val="both"/>
      </w:pPr>
      <w:r>
        <w:t>The project is keeping relatively good records of expenditure of the co-finance and has been keeping records of all occasions when there is in-kind sup</w:t>
      </w:r>
      <w:r w:rsidR="00E42646">
        <w:t>port for the project and its ob</w:t>
      </w:r>
      <w:r>
        <w:t>jectives</w:t>
      </w:r>
      <w:r w:rsidR="002A4FB3">
        <w:t xml:space="preserve"> (see Table </w:t>
      </w:r>
      <w:r w:rsidR="000A3D70">
        <w:t>5</w:t>
      </w:r>
      <w:r w:rsidR="002A4FB3">
        <w:t>)</w:t>
      </w:r>
      <w:r>
        <w:t>.</w:t>
      </w:r>
      <w:r w:rsidR="000F4F7A">
        <w:t xml:space="preserve">  For example, government </w:t>
      </w:r>
      <w:r w:rsidR="00E42646">
        <w:t>in kind support has included:</w:t>
      </w:r>
    </w:p>
    <w:p w14:paraId="70B2EB40" w14:textId="3440E2B3" w:rsidR="000F4F7A" w:rsidRDefault="000F4F7A" w:rsidP="00F85256">
      <w:pPr>
        <w:numPr>
          <w:ilvl w:val="0"/>
          <w:numId w:val="27"/>
        </w:numPr>
        <w:jc w:val="both"/>
      </w:pPr>
      <w:r>
        <w:t xml:space="preserve">The time that the government staff have put into project activities including, for example, efforts to persuade the </w:t>
      </w:r>
      <w:proofErr w:type="spellStart"/>
      <w:r>
        <w:t>Otradnoe</w:t>
      </w:r>
      <w:proofErr w:type="spellEnd"/>
      <w:r>
        <w:t xml:space="preserve"> </w:t>
      </w:r>
      <w:proofErr w:type="spellStart"/>
      <w:r w:rsidRPr="000F4F7A">
        <w:rPr>
          <w:i/>
        </w:rPr>
        <w:t>aiyl</w:t>
      </w:r>
      <w:proofErr w:type="spellEnd"/>
      <w:r w:rsidRPr="000F4F7A">
        <w:rPr>
          <w:i/>
        </w:rPr>
        <w:t xml:space="preserve"> </w:t>
      </w:r>
      <w:proofErr w:type="spellStart"/>
      <w:r w:rsidRPr="000F4F7A">
        <w:rPr>
          <w:i/>
        </w:rPr>
        <w:t>okmotu</w:t>
      </w:r>
      <w:proofErr w:type="spellEnd"/>
      <w:r>
        <w:t xml:space="preserve"> to agree to the establishment of the park.</w:t>
      </w:r>
    </w:p>
    <w:p w14:paraId="770C21A2" w14:textId="3D8F01D1" w:rsidR="004568B0" w:rsidRDefault="004568B0" w:rsidP="00F85256">
      <w:pPr>
        <w:numPr>
          <w:ilvl w:val="0"/>
          <w:numId w:val="27"/>
        </w:numPr>
        <w:jc w:val="both"/>
      </w:pPr>
      <w:r>
        <w:t xml:space="preserve">The project uses office space within the </w:t>
      </w:r>
      <w:r w:rsidR="00684076">
        <w:t xml:space="preserve">offices of the </w:t>
      </w:r>
      <w:proofErr w:type="spellStart"/>
      <w:r w:rsidR="00684076">
        <w:t>Karakol</w:t>
      </w:r>
      <w:proofErr w:type="spellEnd"/>
      <w:r w:rsidR="00684076">
        <w:t xml:space="preserve"> Nature Park within the town of </w:t>
      </w:r>
      <w:proofErr w:type="spellStart"/>
      <w:r w:rsidR="00684076">
        <w:t>Karakol</w:t>
      </w:r>
      <w:proofErr w:type="spellEnd"/>
      <w:r w:rsidR="00684076">
        <w:t xml:space="preserve"> </w:t>
      </w:r>
      <w:r w:rsidR="00D46284">
        <w:t>(</w:t>
      </w:r>
      <w:r w:rsidR="00684076">
        <w:t xml:space="preserve">although, </w:t>
      </w:r>
      <w:r w:rsidR="00D46284">
        <w:t>in the quid pro quo, the project spent</w:t>
      </w:r>
      <w:r w:rsidR="00684076">
        <w:t xml:space="preserve"> considerable funds in rehabilitating two storage spaces for their offices</w:t>
      </w:r>
      <w:r w:rsidR="00D46284">
        <w:t>).</w:t>
      </w:r>
    </w:p>
    <w:p w14:paraId="7EC25377" w14:textId="2ED92114" w:rsidR="00684076" w:rsidRDefault="00684076" w:rsidP="00F85256">
      <w:pPr>
        <w:numPr>
          <w:ilvl w:val="0"/>
          <w:numId w:val="27"/>
        </w:numPr>
        <w:jc w:val="both"/>
      </w:pPr>
      <w:r>
        <w:t>The utilities (including parking, water and security – but with the exception of electricity, communication and internet connectivity) are covered by the government</w:t>
      </w:r>
    </w:p>
    <w:p w14:paraId="74CE9460" w14:textId="71CEA26E" w:rsidR="00684076" w:rsidRDefault="00FE2F44" w:rsidP="00F85256">
      <w:pPr>
        <w:numPr>
          <w:ilvl w:val="0"/>
          <w:numId w:val="27"/>
        </w:numPr>
        <w:jc w:val="both"/>
      </w:pPr>
      <w:r>
        <w:t>The project has used various pieces of equipment owned by the government</w:t>
      </w:r>
    </w:p>
    <w:p w14:paraId="1042E818" w14:textId="1F3A3B44" w:rsidR="00FE2F44" w:rsidRDefault="00FE2F44" w:rsidP="00F85256">
      <w:pPr>
        <w:numPr>
          <w:ilvl w:val="0"/>
          <w:numId w:val="27"/>
        </w:numPr>
        <w:jc w:val="both"/>
      </w:pPr>
      <w:r>
        <w:t>The government has provided meeting spaces for a number of the larger meetings</w:t>
      </w:r>
    </w:p>
    <w:p w14:paraId="036F5398" w14:textId="0F27966B" w:rsidR="00D96A26" w:rsidRPr="00E84C70" w:rsidRDefault="00C8403F" w:rsidP="00CF6FA8">
      <w:pPr>
        <w:numPr>
          <w:ilvl w:val="0"/>
          <w:numId w:val="2"/>
        </w:numPr>
        <w:ind w:left="0" w:firstLine="0"/>
        <w:jc w:val="both"/>
      </w:pPr>
      <w:r w:rsidRPr="00E84C70">
        <w:t xml:space="preserve">In terms of expenditure versus the planned budgets, the project </w:t>
      </w:r>
      <w:r w:rsidR="008D0143" w:rsidRPr="00E84C70">
        <w:t xml:space="preserve">is broadly underspent, both overall (only USD 337,379.90 of a total budget of USD 950.000 – or 35.5% has been </w:t>
      </w:r>
      <w:r w:rsidR="00CF6FA8" w:rsidRPr="00E84C70">
        <w:t xml:space="preserve">spent to date) and by component (see Table </w:t>
      </w:r>
      <w:r w:rsidR="000A3D70">
        <w:t>6</w:t>
      </w:r>
      <w:r w:rsidR="00CF6FA8" w:rsidRPr="00E84C70">
        <w:t xml:space="preserve"> and Figure </w:t>
      </w:r>
      <w:r w:rsidR="000A3D70">
        <w:t>1</w:t>
      </w:r>
      <w:r w:rsidR="00CF6FA8" w:rsidRPr="00E84C70">
        <w:t xml:space="preserve">).  In part, </w:t>
      </w:r>
      <w:proofErr w:type="gramStart"/>
      <w:r w:rsidR="00CF6FA8" w:rsidRPr="00E84C70">
        <w:t>the underspend</w:t>
      </w:r>
      <w:proofErr w:type="gramEnd"/>
      <w:r w:rsidR="00CF6FA8" w:rsidRPr="00E84C70">
        <w:t xml:space="preserve"> can be explained by the front-loading of the budget that was expected when the project was designed with the expectation that some of the larger expenditures would be made early on in the project’s life.  </w:t>
      </w:r>
    </w:p>
    <w:p w14:paraId="34A8FC9E" w14:textId="474EF42D" w:rsidR="00BB7609" w:rsidRDefault="00CF6FA8" w:rsidP="00CF6FA8">
      <w:pPr>
        <w:numPr>
          <w:ilvl w:val="0"/>
          <w:numId w:val="2"/>
        </w:numPr>
        <w:ind w:left="0" w:firstLine="0"/>
        <w:jc w:val="both"/>
      </w:pPr>
      <w:r w:rsidRPr="00E84C70">
        <w:t xml:space="preserve">As it is, </w:t>
      </w:r>
      <w:r w:rsidR="00E92E00" w:rsidRPr="00E84C70">
        <w:t xml:space="preserve">there are three significant costs that the project has still to make (partly related to the delay in establishing the Khan </w:t>
      </w:r>
      <w:proofErr w:type="spellStart"/>
      <w:r w:rsidR="00E92E00" w:rsidRPr="00E84C70">
        <w:t>Tengri</w:t>
      </w:r>
      <w:proofErr w:type="spellEnd"/>
      <w:r w:rsidR="00E92E00" w:rsidRPr="00E84C70">
        <w:t xml:space="preserve"> National Park): </w:t>
      </w:r>
      <w:proofErr w:type="spellStart"/>
      <w:r w:rsidR="00E92E00" w:rsidRPr="00E84C70">
        <w:t>i</w:t>
      </w:r>
      <w:proofErr w:type="spellEnd"/>
      <w:r w:rsidR="00E92E00" w:rsidRPr="00E84C70">
        <w:t xml:space="preserve">) the cost of the study tour(s), ii) the capital costs associated with the </w:t>
      </w:r>
      <w:r w:rsidR="00F2208D" w:rsidRPr="00E84C70">
        <w:t>establishment of the park – including the outposts for the inspectors, the refurbishment and furnishings for the park office, uniforms and other equipment</w:t>
      </w:r>
      <w:r w:rsidR="009F2FE0">
        <w:rPr>
          <w:rStyle w:val="FootnoteReference"/>
        </w:rPr>
        <w:footnoteReference w:id="26"/>
      </w:r>
      <w:r w:rsidR="00F2208D" w:rsidRPr="00E84C70">
        <w:t>, and iii) the costs associated with the alternative livelihoods programme that is part of the project’s plan.</w:t>
      </w:r>
      <w:r w:rsidR="00D96A26" w:rsidRPr="00E84C70">
        <w:t xml:space="preserve">  Indeed, </w:t>
      </w:r>
      <w:r w:rsidR="00A424E6" w:rsidRPr="00E84C70">
        <w:t>questions remain about whether the project has sufficient funding to do these tasks adequately – more particularly the alternative livelihoods work</w:t>
      </w:r>
      <w:r w:rsidR="005947C4">
        <w:t>: a total budget of only USD 150,000 has been set aside for the micro-finance schemes that the project has planned</w:t>
      </w:r>
      <w:r w:rsidR="00A424E6" w:rsidRPr="00E84C70">
        <w:t xml:space="preserve"> (and see Section 4.4.2 for a fuller discussion on this).</w:t>
      </w:r>
    </w:p>
    <w:p w14:paraId="710917A5" w14:textId="77777777" w:rsidR="00981940" w:rsidRDefault="00981940" w:rsidP="00981940">
      <w:pPr>
        <w:jc w:val="both"/>
      </w:pPr>
    </w:p>
    <w:p w14:paraId="04DD0B68" w14:textId="77777777" w:rsidR="00981940" w:rsidRPr="00E84C70" w:rsidRDefault="00981940" w:rsidP="00981940">
      <w:pPr>
        <w:jc w:val="both"/>
      </w:pPr>
    </w:p>
    <w:p w14:paraId="25A9530E" w14:textId="0D947378" w:rsidR="00CF6FA8" w:rsidRPr="000F766B" w:rsidRDefault="00091829" w:rsidP="00091829">
      <w:pPr>
        <w:pStyle w:val="Caption"/>
        <w:rPr>
          <w:b w:val="0"/>
        </w:rPr>
      </w:pPr>
      <w:proofErr w:type="gramStart"/>
      <w:r>
        <w:t xml:space="preserve">Table </w:t>
      </w:r>
      <w:proofErr w:type="gramEnd"/>
      <w:r>
        <w:fldChar w:fldCharType="begin"/>
      </w:r>
      <w:r>
        <w:instrText xml:space="preserve"> SEQ Table \* ARABIC </w:instrText>
      </w:r>
      <w:r>
        <w:fldChar w:fldCharType="separate"/>
      </w:r>
      <w:r w:rsidR="001E10DE">
        <w:rPr>
          <w:noProof/>
        </w:rPr>
        <w:t>6</w:t>
      </w:r>
      <w:r>
        <w:fldChar w:fldCharType="end"/>
      </w:r>
      <w:proofErr w:type="gramStart"/>
      <w:r>
        <w:t>.</w:t>
      </w:r>
      <w:proofErr w:type="gramEnd"/>
      <w:r>
        <w:rPr>
          <w:b w:val="0"/>
        </w:rPr>
        <w:t xml:space="preserve"> </w:t>
      </w:r>
      <w:r w:rsidR="000F766B" w:rsidRPr="000F766B">
        <w:rPr>
          <w:b w:val="0"/>
        </w:rPr>
        <w:t xml:space="preserve">The total budget </w:t>
      </w:r>
      <w:r w:rsidR="000F766B" w:rsidRPr="000F766B">
        <w:rPr>
          <w:b w:val="0"/>
          <w:noProof/>
        </w:rPr>
        <w:t>and actual expenditure</w:t>
      </w:r>
      <w:r w:rsidR="000F766B">
        <w:rPr>
          <w:b w:val="0"/>
          <w:noProof/>
        </w:rPr>
        <w:t xml:space="preserve"> by Outcome</w:t>
      </w:r>
    </w:p>
    <w:tbl>
      <w:tblPr>
        <w:tblStyle w:val="TableGrid"/>
        <w:tblW w:w="0" w:type="auto"/>
        <w:tblLayout w:type="fixed"/>
        <w:tblLook w:val="04A0" w:firstRow="1" w:lastRow="0" w:firstColumn="1" w:lastColumn="0" w:noHBand="0" w:noVBand="1"/>
      </w:tblPr>
      <w:tblGrid>
        <w:gridCol w:w="1101"/>
        <w:gridCol w:w="2126"/>
        <w:gridCol w:w="1701"/>
        <w:gridCol w:w="2126"/>
        <w:gridCol w:w="1468"/>
      </w:tblGrid>
      <w:tr w:rsidR="0005015E" w14:paraId="6412F82C" w14:textId="77777777" w:rsidTr="0005015E">
        <w:tc>
          <w:tcPr>
            <w:tcW w:w="1101" w:type="dxa"/>
            <w:shd w:val="clear" w:color="auto" w:fill="D9D9D9" w:themeFill="background1" w:themeFillShade="D9"/>
            <w:vAlign w:val="bottom"/>
          </w:tcPr>
          <w:p w14:paraId="55F23256" w14:textId="043A579A" w:rsidR="0005015E" w:rsidRDefault="0005015E" w:rsidP="0005015E">
            <w:pPr>
              <w:jc w:val="both"/>
            </w:pPr>
            <w:r w:rsidRPr="0005015E">
              <w:rPr>
                <w:b/>
                <w:sz w:val="20"/>
                <w:szCs w:val="20"/>
              </w:rPr>
              <w:t>Total</w:t>
            </w:r>
          </w:p>
        </w:tc>
        <w:tc>
          <w:tcPr>
            <w:tcW w:w="2126" w:type="dxa"/>
            <w:shd w:val="clear" w:color="auto" w:fill="D9D9D9" w:themeFill="background1" w:themeFillShade="D9"/>
            <w:vAlign w:val="center"/>
          </w:tcPr>
          <w:p w14:paraId="4781E92E" w14:textId="56739E75" w:rsidR="0005015E" w:rsidRDefault="0005015E" w:rsidP="0005015E">
            <w:pPr>
              <w:jc w:val="right"/>
            </w:pPr>
            <w:r w:rsidRPr="0005015E">
              <w:rPr>
                <w:b/>
                <w:sz w:val="20"/>
                <w:szCs w:val="20"/>
              </w:rPr>
              <w:t>Budgeted (</w:t>
            </w:r>
            <w:proofErr w:type="spellStart"/>
            <w:r w:rsidRPr="0005015E">
              <w:rPr>
                <w:b/>
                <w:sz w:val="20"/>
                <w:szCs w:val="20"/>
              </w:rPr>
              <w:t>Prodoc</w:t>
            </w:r>
            <w:proofErr w:type="spellEnd"/>
            <w:r w:rsidRPr="0005015E">
              <w:rPr>
                <w:b/>
                <w:sz w:val="20"/>
                <w:szCs w:val="20"/>
              </w:rPr>
              <w:t>)</w:t>
            </w:r>
          </w:p>
        </w:tc>
        <w:tc>
          <w:tcPr>
            <w:tcW w:w="1701" w:type="dxa"/>
            <w:shd w:val="clear" w:color="auto" w:fill="D9D9D9" w:themeFill="background1" w:themeFillShade="D9"/>
            <w:vAlign w:val="bottom"/>
          </w:tcPr>
          <w:p w14:paraId="5DDB5EAE" w14:textId="443D8FB1" w:rsidR="0005015E" w:rsidRDefault="0005015E" w:rsidP="0005015E">
            <w:pPr>
              <w:jc w:val="right"/>
            </w:pPr>
            <w:r w:rsidRPr="0005015E">
              <w:rPr>
                <w:b/>
                <w:sz w:val="20"/>
                <w:szCs w:val="20"/>
              </w:rPr>
              <w:t>Budgeted</w:t>
            </w:r>
          </w:p>
        </w:tc>
        <w:tc>
          <w:tcPr>
            <w:tcW w:w="2126" w:type="dxa"/>
            <w:shd w:val="clear" w:color="auto" w:fill="D9D9D9" w:themeFill="background1" w:themeFillShade="D9"/>
            <w:vAlign w:val="bottom"/>
          </w:tcPr>
          <w:p w14:paraId="43CC124D" w14:textId="08BE6115" w:rsidR="0005015E" w:rsidRDefault="0005015E" w:rsidP="0005015E">
            <w:pPr>
              <w:jc w:val="right"/>
            </w:pPr>
            <w:r w:rsidRPr="0005015E">
              <w:rPr>
                <w:b/>
                <w:sz w:val="20"/>
                <w:szCs w:val="20"/>
              </w:rPr>
              <w:t>Actual</w:t>
            </w:r>
          </w:p>
        </w:tc>
        <w:tc>
          <w:tcPr>
            <w:tcW w:w="1468" w:type="dxa"/>
            <w:shd w:val="clear" w:color="auto" w:fill="D9D9D9" w:themeFill="background1" w:themeFillShade="D9"/>
            <w:vAlign w:val="bottom"/>
          </w:tcPr>
          <w:p w14:paraId="06E6ECB1" w14:textId="0A9F112A" w:rsidR="0005015E" w:rsidRDefault="0005015E" w:rsidP="0005015E">
            <w:pPr>
              <w:jc w:val="right"/>
            </w:pPr>
            <w:r w:rsidRPr="0005015E">
              <w:rPr>
                <w:b/>
                <w:sz w:val="20"/>
                <w:szCs w:val="20"/>
              </w:rPr>
              <w:t>%</w:t>
            </w:r>
          </w:p>
        </w:tc>
      </w:tr>
      <w:tr w:rsidR="0005015E" w14:paraId="005C9D7F" w14:textId="77777777" w:rsidTr="0005015E">
        <w:tc>
          <w:tcPr>
            <w:tcW w:w="1101" w:type="dxa"/>
            <w:vAlign w:val="bottom"/>
          </w:tcPr>
          <w:p w14:paraId="46C7A0D4" w14:textId="4D3F57A2" w:rsidR="0005015E" w:rsidRDefault="0005015E" w:rsidP="0005015E">
            <w:pPr>
              <w:jc w:val="both"/>
            </w:pPr>
            <w:r w:rsidRPr="0005015E">
              <w:rPr>
                <w:sz w:val="20"/>
                <w:szCs w:val="20"/>
              </w:rPr>
              <w:t>1</w:t>
            </w:r>
          </w:p>
        </w:tc>
        <w:tc>
          <w:tcPr>
            <w:tcW w:w="2126" w:type="dxa"/>
            <w:vAlign w:val="bottom"/>
          </w:tcPr>
          <w:p w14:paraId="7371AD9E" w14:textId="2C92D049" w:rsidR="0005015E" w:rsidRDefault="0005015E" w:rsidP="0005015E">
            <w:pPr>
              <w:jc w:val="right"/>
            </w:pPr>
            <w:r w:rsidRPr="0005015E">
              <w:rPr>
                <w:sz w:val="20"/>
                <w:szCs w:val="20"/>
              </w:rPr>
              <w:t>315</w:t>
            </w:r>
            <w:r>
              <w:rPr>
                <w:sz w:val="20"/>
                <w:szCs w:val="20"/>
              </w:rPr>
              <w:t>,</w:t>
            </w:r>
            <w:r w:rsidRPr="0005015E">
              <w:rPr>
                <w:sz w:val="20"/>
                <w:szCs w:val="20"/>
              </w:rPr>
              <w:t>000</w:t>
            </w:r>
          </w:p>
        </w:tc>
        <w:tc>
          <w:tcPr>
            <w:tcW w:w="1701" w:type="dxa"/>
            <w:vAlign w:val="bottom"/>
          </w:tcPr>
          <w:p w14:paraId="6B1E86F9" w14:textId="13622405" w:rsidR="0005015E" w:rsidRDefault="0005015E" w:rsidP="0005015E">
            <w:pPr>
              <w:jc w:val="right"/>
            </w:pPr>
            <w:r w:rsidRPr="0005015E">
              <w:rPr>
                <w:sz w:val="20"/>
                <w:szCs w:val="20"/>
              </w:rPr>
              <w:t>326</w:t>
            </w:r>
            <w:r>
              <w:rPr>
                <w:sz w:val="20"/>
                <w:szCs w:val="20"/>
              </w:rPr>
              <w:t>,</w:t>
            </w:r>
            <w:r w:rsidRPr="0005015E">
              <w:rPr>
                <w:sz w:val="20"/>
                <w:szCs w:val="20"/>
              </w:rPr>
              <w:t>104</w:t>
            </w:r>
          </w:p>
        </w:tc>
        <w:tc>
          <w:tcPr>
            <w:tcW w:w="2126" w:type="dxa"/>
            <w:vAlign w:val="bottom"/>
          </w:tcPr>
          <w:p w14:paraId="0D2CF2F9" w14:textId="370C8A4A" w:rsidR="0005015E" w:rsidRDefault="0005015E" w:rsidP="0005015E">
            <w:pPr>
              <w:jc w:val="right"/>
            </w:pPr>
            <w:r w:rsidRPr="0005015E">
              <w:rPr>
                <w:sz w:val="20"/>
                <w:szCs w:val="20"/>
              </w:rPr>
              <w:t>192</w:t>
            </w:r>
            <w:r>
              <w:rPr>
                <w:sz w:val="20"/>
                <w:szCs w:val="20"/>
              </w:rPr>
              <w:t>,</w:t>
            </w:r>
            <w:r w:rsidRPr="0005015E">
              <w:rPr>
                <w:sz w:val="20"/>
                <w:szCs w:val="20"/>
              </w:rPr>
              <w:t>898.03</w:t>
            </w:r>
          </w:p>
        </w:tc>
        <w:tc>
          <w:tcPr>
            <w:tcW w:w="1468" w:type="dxa"/>
            <w:vAlign w:val="bottom"/>
          </w:tcPr>
          <w:p w14:paraId="1071FF52" w14:textId="772214BE" w:rsidR="0005015E" w:rsidRDefault="0005015E" w:rsidP="0005015E">
            <w:pPr>
              <w:jc w:val="right"/>
            </w:pPr>
            <w:r>
              <w:rPr>
                <w:sz w:val="20"/>
                <w:szCs w:val="20"/>
              </w:rPr>
              <w:t>59</w:t>
            </w:r>
          </w:p>
        </w:tc>
      </w:tr>
      <w:tr w:rsidR="0005015E" w14:paraId="07ECD100" w14:textId="77777777" w:rsidTr="0005015E">
        <w:tc>
          <w:tcPr>
            <w:tcW w:w="1101" w:type="dxa"/>
            <w:vAlign w:val="bottom"/>
          </w:tcPr>
          <w:p w14:paraId="7C12C728" w14:textId="1211AD88" w:rsidR="0005015E" w:rsidRDefault="0005015E" w:rsidP="0005015E">
            <w:pPr>
              <w:jc w:val="both"/>
            </w:pPr>
            <w:r w:rsidRPr="0005015E">
              <w:rPr>
                <w:sz w:val="20"/>
                <w:szCs w:val="20"/>
              </w:rPr>
              <w:t>2</w:t>
            </w:r>
          </w:p>
        </w:tc>
        <w:tc>
          <w:tcPr>
            <w:tcW w:w="2126" w:type="dxa"/>
            <w:vAlign w:val="bottom"/>
          </w:tcPr>
          <w:p w14:paraId="776F484F" w14:textId="174D5BEF" w:rsidR="0005015E" w:rsidRDefault="0005015E" w:rsidP="0005015E">
            <w:pPr>
              <w:jc w:val="right"/>
            </w:pPr>
            <w:r w:rsidRPr="0005015E">
              <w:rPr>
                <w:sz w:val="20"/>
                <w:szCs w:val="20"/>
              </w:rPr>
              <w:t>408</w:t>
            </w:r>
            <w:r>
              <w:rPr>
                <w:sz w:val="20"/>
                <w:szCs w:val="20"/>
              </w:rPr>
              <w:t>,</w:t>
            </w:r>
            <w:r w:rsidRPr="0005015E">
              <w:rPr>
                <w:sz w:val="20"/>
                <w:szCs w:val="20"/>
              </w:rPr>
              <w:t>050</w:t>
            </w:r>
          </w:p>
        </w:tc>
        <w:tc>
          <w:tcPr>
            <w:tcW w:w="1701" w:type="dxa"/>
            <w:vAlign w:val="bottom"/>
          </w:tcPr>
          <w:p w14:paraId="0335F3D1" w14:textId="7182B162" w:rsidR="0005015E" w:rsidRDefault="0005015E" w:rsidP="0005015E">
            <w:pPr>
              <w:jc w:val="right"/>
            </w:pPr>
            <w:r w:rsidRPr="0005015E">
              <w:rPr>
                <w:sz w:val="20"/>
                <w:szCs w:val="20"/>
              </w:rPr>
              <w:t>393</w:t>
            </w:r>
            <w:r>
              <w:rPr>
                <w:sz w:val="20"/>
                <w:szCs w:val="20"/>
              </w:rPr>
              <w:t>,</w:t>
            </w:r>
            <w:r w:rsidRPr="0005015E">
              <w:rPr>
                <w:sz w:val="20"/>
                <w:szCs w:val="20"/>
              </w:rPr>
              <w:t>974</w:t>
            </w:r>
          </w:p>
        </w:tc>
        <w:tc>
          <w:tcPr>
            <w:tcW w:w="2126" w:type="dxa"/>
            <w:vAlign w:val="bottom"/>
          </w:tcPr>
          <w:p w14:paraId="47D748CE" w14:textId="3DDC0040" w:rsidR="0005015E" w:rsidRDefault="0005015E" w:rsidP="0005015E">
            <w:pPr>
              <w:jc w:val="right"/>
            </w:pPr>
            <w:r w:rsidRPr="0005015E">
              <w:rPr>
                <w:sz w:val="20"/>
                <w:szCs w:val="20"/>
              </w:rPr>
              <w:t>93</w:t>
            </w:r>
            <w:r>
              <w:rPr>
                <w:sz w:val="20"/>
                <w:szCs w:val="20"/>
              </w:rPr>
              <w:t>,</w:t>
            </w:r>
            <w:r w:rsidRPr="0005015E">
              <w:rPr>
                <w:sz w:val="20"/>
                <w:szCs w:val="20"/>
              </w:rPr>
              <w:t>309.44</w:t>
            </w:r>
          </w:p>
        </w:tc>
        <w:tc>
          <w:tcPr>
            <w:tcW w:w="1468" w:type="dxa"/>
            <w:vAlign w:val="bottom"/>
          </w:tcPr>
          <w:p w14:paraId="2910E34D" w14:textId="3C0276A2" w:rsidR="0005015E" w:rsidRDefault="0005015E" w:rsidP="0005015E">
            <w:pPr>
              <w:jc w:val="right"/>
            </w:pPr>
            <w:r>
              <w:rPr>
                <w:sz w:val="20"/>
                <w:szCs w:val="20"/>
              </w:rPr>
              <w:t>24</w:t>
            </w:r>
          </w:p>
        </w:tc>
      </w:tr>
      <w:tr w:rsidR="0005015E" w14:paraId="562F1253" w14:textId="77777777" w:rsidTr="0005015E">
        <w:tc>
          <w:tcPr>
            <w:tcW w:w="1101" w:type="dxa"/>
            <w:vAlign w:val="bottom"/>
          </w:tcPr>
          <w:p w14:paraId="231AA02E" w14:textId="4B3AFF6A" w:rsidR="0005015E" w:rsidRDefault="0005015E" w:rsidP="0005015E">
            <w:pPr>
              <w:jc w:val="both"/>
            </w:pPr>
            <w:proofErr w:type="spellStart"/>
            <w:r w:rsidRPr="0005015E">
              <w:rPr>
                <w:sz w:val="20"/>
                <w:szCs w:val="20"/>
              </w:rPr>
              <w:t>ProjMgt</w:t>
            </w:r>
            <w:proofErr w:type="spellEnd"/>
          </w:p>
        </w:tc>
        <w:tc>
          <w:tcPr>
            <w:tcW w:w="2126" w:type="dxa"/>
            <w:vAlign w:val="bottom"/>
          </w:tcPr>
          <w:p w14:paraId="4F7FBA82" w14:textId="0DCCAA62" w:rsidR="0005015E" w:rsidRDefault="0005015E" w:rsidP="0005015E">
            <w:pPr>
              <w:jc w:val="right"/>
            </w:pPr>
            <w:r w:rsidRPr="0005015E">
              <w:rPr>
                <w:sz w:val="20"/>
                <w:szCs w:val="20"/>
              </w:rPr>
              <w:t>72</w:t>
            </w:r>
            <w:r>
              <w:rPr>
                <w:sz w:val="20"/>
                <w:szCs w:val="20"/>
              </w:rPr>
              <w:t>,</w:t>
            </w:r>
            <w:r w:rsidRPr="0005015E">
              <w:rPr>
                <w:sz w:val="20"/>
                <w:szCs w:val="20"/>
              </w:rPr>
              <w:t>520</w:t>
            </w:r>
          </w:p>
        </w:tc>
        <w:tc>
          <w:tcPr>
            <w:tcW w:w="1701" w:type="dxa"/>
            <w:vAlign w:val="bottom"/>
          </w:tcPr>
          <w:p w14:paraId="7222F719" w14:textId="458E0775" w:rsidR="0005015E" w:rsidRDefault="0005015E" w:rsidP="0005015E">
            <w:pPr>
              <w:jc w:val="right"/>
            </w:pPr>
            <w:r w:rsidRPr="0005015E">
              <w:rPr>
                <w:sz w:val="20"/>
                <w:szCs w:val="20"/>
              </w:rPr>
              <w:t>66</w:t>
            </w:r>
            <w:r>
              <w:rPr>
                <w:sz w:val="20"/>
                <w:szCs w:val="20"/>
              </w:rPr>
              <w:t>,</w:t>
            </w:r>
            <w:r w:rsidRPr="0005015E">
              <w:rPr>
                <w:sz w:val="20"/>
                <w:szCs w:val="20"/>
              </w:rPr>
              <w:t>043.06</w:t>
            </w:r>
          </w:p>
        </w:tc>
        <w:tc>
          <w:tcPr>
            <w:tcW w:w="2126" w:type="dxa"/>
            <w:vAlign w:val="bottom"/>
          </w:tcPr>
          <w:p w14:paraId="426E6D2C" w14:textId="74C0EED7" w:rsidR="0005015E" w:rsidRDefault="0005015E" w:rsidP="0005015E">
            <w:pPr>
              <w:jc w:val="right"/>
            </w:pPr>
            <w:r w:rsidRPr="0005015E">
              <w:rPr>
                <w:sz w:val="20"/>
                <w:szCs w:val="20"/>
              </w:rPr>
              <w:t>51</w:t>
            </w:r>
            <w:r>
              <w:rPr>
                <w:sz w:val="20"/>
                <w:szCs w:val="20"/>
              </w:rPr>
              <w:t>,</w:t>
            </w:r>
            <w:r w:rsidRPr="0005015E">
              <w:rPr>
                <w:sz w:val="20"/>
                <w:szCs w:val="20"/>
              </w:rPr>
              <w:t>172.43</w:t>
            </w:r>
          </w:p>
        </w:tc>
        <w:tc>
          <w:tcPr>
            <w:tcW w:w="1468" w:type="dxa"/>
            <w:vAlign w:val="bottom"/>
          </w:tcPr>
          <w:p w14:paraId="215F0AD3" w14:textId="2897980E" w:rsidR="0005015E" w:rsidRDefault="0005015E" w:rsidP="0005015E">
            <w:pPr>
              <w:jc w:val="right"/>
            </w:pPr>
            <w:r w:rsidRPr="0005015E">
              <w:rPr>
                <w:sz w:val="20"/>
                <w:szCs w:val="20"/>
              </w:rPr>
              <w:t>77</w:t>
            </w:r>
          </w:p>
        </w:tc>
      </w:tr>
      <w:tr w:rsidR="0005015E" w14:paraId="61E0F8FD" w14:textId="77777777" w:rsidTr="0005015E">
        <w:tc>
          <w:tcPr>
            <w:tcW w:w="1101" w:type="dxa"/>
            <w:vAlign w:val="bottom"/>
          </w:tcPr>
          <w:p w14:paraId="1A6EF6AF" w14:textId="4D68878C" w:rsidR="0005015E" w:rsidRPr="0005015E" w:rsidRDefault="0005015E" w:rsidP="0005015E">
            <w:pPr>
              <w:jc w:val="both"/>
              <w:rPr>
                <w:b/>
                <w:sz w:val="20"/>
                <w:szCs w:val="20"/>
              </w:rPr>
            </w:pPr>
            <w:r w:rsidRPr="0005015E">
              <w:rPr>
                <w:b/>
                <w:sz w:val="20"/>
                <w:szCs w:val="20"/>
              </w:rPr>
              <w:t>Total</w:t>
            </w:r>
          </w:p>
        </w:tc>
        <w:tc>
          <w:tcPr>
            <w:tcW w:w="2126" w:type="dxa"/>
            <w:vAlign w:val="bottom"/>
          </w:tcPr>
          <w:p w14:paraId="2DFA5085" w14:textId="78ECD035" w:rsidR="0005015E" w:rsidRPr="0005015E" w:rsidRDefault="0005015E" w:rsidP="0005015E">
            <w:pPr>
              <w:jc w:val="right"/>
              <w:rPr>
                <w:b/>
                <w:sz w:val="20"/>
                <w:szCs w:val="20"/>
              </w:rPr>
            </w:pPr>
            <w:r w:rsidRPr="0005015E">
              <w:rPr>
                <w:b/>
                <w:sz w:val="20"/>
                <w:szCs w:val="20"/>
              </w:rPr>
              <w:t>795,570</w:t>
            </w:r>
          </w:p>
        </w:tc>
        <w:tc>
          <w:tcPr>
            <w:tcW w:w="1701" w:type="dxa"/>
            <w:vAlign w:val="bottom"/>
          </w:tcPr>
          <w:p w14:paraId="76EFD9F3" w14:textId="1984625D" w:rsidR="0005015E" w:rsidRPr="0005015E" w:rsidRDefault="0005015E" w:rsidP="0005015E">
            <w:pPr>
              <w:jc w:val="right"/>
              <w:rPr>
                <w:b/>
                <w:sz w:val="20"/>
                <w:szCs w:val="20"/>
              </w:rPr>
            </w:pPr>
            <w:r w:rsidRPr="0005015E">
              <w:rPr>
                <w:b/>
                <w:sz w:val="20"/>
                <w:szCs w:val="20"/>
              </w:rPr>
              <w:t>786,121.06</w:t>
            </w:r>
          </w:p>
        </w:tc>
        <w:tc>
          <w:tcPr>
            <w:tcW w:w="2126" w:type="dxa"/>
            <w:vAlign w:val="bottom"/>
          </w:tcPr>
          <w:p w14:paraId="6A894519" w14:textId="06BE58B0" w:rsidR="0005015E" w:rsidRPr="0005015E" w:rsidRDefault="0005015E" w:rsidP="0005015E">
            <w:pPr>
              <w:jc w:val="right"/>
              <w:rPr>
                <w:b/>
                <w:sz w:val="20"/>
                <w:szCs w:val="20"/>
              </w:rPr>
            </w:pPr>
            <w:r w:rsidRPr="0005015E">
              <w:rPr>
                <w:b/>
                <w:sz w:val="20"/>
                <w:szCs w:val="20"/>
              </w:rPr>
              <w:t>337,379.90</w:t>
            </w:r>
          </w:p>
        </w:tc>
        <w:tc>
          <w:tcPr>
            <w:tcW w:w="1468" w:type="dxa"/>
            <w:vAlign w:val="bottom"/>
          </w:tcPr>
          <w:p w14:paraId="2F2CB9CF" w14:textId="4F5D15AE" w:rsidR="0005015E" w:rsidRPr="0005015E" w:rsidRDefault="0005015E" w:rsidP="0005015E">
            <w:pPr>
              <w:jc w:val="right"/>
              <w:rPr>
                <w:b/>
                <w:sz w:val="20"/>
                <w:szCs w:val="20"/>
              </w:rPr>
            </w:pPr>
            <w:r w:rsidRPr="0005015E">
              <w:rPr>
                <w:b/>
                <w:sz w:val="20"/>
                <w:szCs w:val="20"/>
              </w:rPr>
              <w:t>43</w:t>
            </w:r>
          </w:p>
        </w:tc>
      </w:tr>
    </w:tbl>
    <w:p w14:paraId="5CB5C049" w14:textId="77777777" w:rsidR="0005015E" w:rsidRDefault="0005015E" w:rsidP="0005015E">
      <w:pPr>
        <w:jc w:val="both"/>
      </w:pPr>
    </w:p>
    <w:p w14:paraId="07CE642A" w14:textId="77777777" w:rsidR="00C8403F" w:rsidRDefault="00C8403F" w:rsidP="000F4F7A">
      <w:pPr>
        <w:jc w:val="both"/>
        <w:rPr>
          <w:highlight w:val="yellow"/>
        </w:rPr>
      </w:pPr>
    </w:p>
    <w:p w14:paraId="5A85679B" w14:textId="77777777" w:rsidR="00C8403F" w:rsidRDefault="00C8403F" w:rsidP="000F4F7A">
      <w:pPr>
        <w:jc w:val="both"/>
        <w:rPr>
          <w:highlight w:val="yellow"/>
        </w:rPr>
        <w:sectPr w:rsidR="00C8403F" w:rsidSect="00D26013">
          <w:pgSz w:w="11900" w:h="16840"/>
          <w:pgMar w:top="1440" w:right="1797" w:bottom="1440" w:left="1797" w:header="709" w:footer="709" w:gutter="0"/>
          <w:cols w:space="708"/>
          <w:titlePg/>
          <w:docGrid w:linePitch="360"/>
        </w:sectPr>
      </w:pPr>
    </w:p>
    <w:p w14:paraId="18D012D3" w14:textId="31CA8100" w:rsidR="00C8403F" w:rsidRPr="006E1FBF" w:rsidRDefault="00184DFE" w:rsidP="000F4F7A">
      <w:pPr>
        <w:jc w:val="both"/>
        <w:rPr>
          <w:sz w:val="20"/>
          <w:szCs w:val="20"/>
        </w:rPr>
      </w:pPr>
      <w:proofErr w:type="gramStart"/>
      <w:r w:rsidRPr="00516656">
        <w:t xml:space="preserve">Table </w:t>
      </w:r>
      <w:proofErr w:type="gramEnd"/>
      <w:r w:rsidRPr="00516656">
        <w:fldChar w:fldCharType="begin"/>
      </w:r>
      <w:r w:rsidRPr="00516656">
        <w:instrText xml:space="preserve"> SEQ Table \* ARABIC </w:instrText>
      </w:r>
      <w:r w:rsidRPr="00516656">
        <w:fldChar w:fldCharType="separate"/>
      </w:r>
      <w:r w:rsidR="001E10DE">
        <w:rPr>
          <w:noProof/>
        </w:rPr>
        <w:t>7</w:t>
      </w:r>
      <w:r w:rsidRPr="00516656">
        <w:fldChar w:fldCharType="end"/>
      </w:r>
      <w:proofErr w:type="gramStart"/>
      <w:r w:rsidRPr="00516656">
        <w:t>.</w:t>
      </w:r>
      <w:proofErr w:type="gramEnd"/>
      <w:r w:rsidRPr="00516656">
        <w:t xml:space="preserve"> </w:t>
      </w:r>
      <w:proofErr w:type="gramStart"/>
      <w:r w:rsidRPr="00516656">
        <w:t xml:space="preserve">The total budget (as it appears in the annual, approved </w:t>
      </w:r>
      <w:proofErr w:type="spellStart"/>
      <w:r w:rsidRPr="00516656">
        <w:t>workplan</w:t>
      </w:r>
      <w:proofErr w:type="spellEnd"/>
      <w:r w:rsidRPr="00516656">
        <w:t xml:space="preserve">) </w:t>
      </w:r>
      <w:r w:rsidRPr="00516656">
        <w:rPr>
          <w:noProof/>
        </w:rPr>
        <w:t>and actual expenditure, by Outcome and funding source, for the project to date.</w:t>
      </w:r>
      <w:proofErr w:type="gramEnd"/>
    </w:p>
    <w:tbl>
      <w:tblPr>
        <w:tblStyle w:val="TableGrid"/>
        <w:tblW w:w="0" w:type="auto"/>
        <w:tblLook w:val="04A0" w:firstRow="1" w:lastRow="0" w:firstColumn="1" w:lastColumn="0" w:noHBand="0" w:noVBand="1"/>
      </w:tblPr>
      <w:tblGrid>
        <w:gridCol w:w="1110"/>
        <w:gridCol w:w="1168"/>
        <w:gridCol w:w="1168"/>
        <w:gridCol w:w="1142"/>
        <w:gridCol w:w="978"/>
        <w:gridCol w:w="1269"/>
        <w:gridCol w:w="1168"/>
        <w:gridCol w:w="1267"/>
        <w:gridCol w:w="937"/>
        <w:gridCol w:w="1093"/>
        <w:gridCol w:w="1093"/>
        <w:gridCol w:w="966"/>
        <w:gridCol w:w="817"/>
      </w:tblGrid>
      <w:tr w:rsidR="00D005B6" w:rsidRPr="006E1FBF" w14:paraId="0C18990C" w14:textId="77777777" w:rsidTr="00FD77BA">
        <w:tc>
          <w:tcPr>
            <w:tcW w:w="1110" w:type="dxa"/>
            <w:shd w:val="clear" w:color="auto" w:fill="D9D9D9" w:themeFill="background1" w:themeFillShade="D9"/>
          </w:tcPr>
          <w:p w14:paraId="26A7ADF1" w14:textId="77777777" w:rsidR="00D005B6" w:rsidRPr="006E1FBF" w:rsidRDefault="00D005B6" w:rsidP="000F4F7A">
            <w:pPr>
              <w:jc w:val="both"/>
              <w:rPr>
                <w:b/>
                <w:sz w:val="20"/>
                <w:szCs w:val="20"/>
              </w:rPr>
            </w:pPr>
          </w:p>
        </w:tc>
        <w:tc>
          <w:tcPr>
            <w:tcW w:w="4456" w:type="dxa"/>
            <w:gridSpan w:val="4"/>
            <w:shd w:val="clear" w:color="auto" w:fill="D9D9D9" w:themeFill="background1" w:themeFillShade="D9"/>
          </w:tcPr>
          <w:p w14:paraId="689AAFF3" w14:textId="3CC1B929" w:rsidR="00D005B6" w:rsidRPr="006E1FBF" w:rsidRDefault="00D005B6" w:rsidP="000F4F7A">
            <w:pPr>
              <w:jc w:val="both"/>
              <w:rPr>
                <w:b/>
                <w:sz w:val="20"/>
                <w:szCs w:val="20"/>
              </w:rPr>
            </w:pPr>
            <w:r w:rsidRPr="006E1FBF">
              <w:rPr>
                <w:b/>
                <w:sz w:val="20"/>
                <w:szCs w:val="20"/>
              </w:rPr>
              <w:t>2013</w:t>
            </w:r>
          </w:p>
        </w:tc>
        <w:tc>
          <w:tcPr>
            <w:tcW w:w="4641" w:type="dxa"/>
            <w:gridSpan w:val="4"/>
            <w:shd w:val="clear" w:color="auto" w:fill="D9D9D9" w:themeFill="background1" w:themeFillShade="D9"/>
          </w:tcPr>
          <w:p w14:paraId="660EE681" w14:textId="6A8316E5" w:rsidR="00D005B6" w:rsidRPr="006E1FBF" w:rsidRDefault="00D005B6" w:rsidP="000F4F7A">
            <w:pPr>
              <w:jc w:val="both"/>
              <w:rPr>
                <w:b/>
                <w:sz w:val="20"/>
                <w:szCs w:val="20"/>
              </w:rPr>
            </w:pPr>
            <w:r w:rsidRPr="006E1FBF">
              <w:rPr>
                <w:b/>
                <w:sz w:val="20"/>
                <w:szCs w:val="20"/>
              </w:rPr>
              <w:t>2014</w:t>
            </w:r>
          </w:p>
        </w:tc>
        <w:tc>
          <w:tcPr>
            <w:tcW w:w="3969" w:type="dxa"/>
            <w:gridSpan w:val="4"/>
            <w:shd w:val="clear" w:color="auto" w:fill="D9D9D9" w:themeFill="background1" w:themeFillShade="D9"/>
          </w:tcPr>
          <w:p w14:paraId="01FAC307" w14:textId="33DD1003" w:rsidR="00D005B6" w:rsidRPr="006E1FBF" w:rsidRDefault="00D005B6" w:rsidP="000F4F7A">
            <w:pPr>
              <w:jc w:val="both"/>
              <w:rPr>
                <w:b/>
                <w:sz w:val="20"/>
                <w:szCs w:val="20"/>
              </w:rPr>
            </w:pPr>
            <w:r w:rsidRPr="006E1FBF">
              <w:rPr>
                <w:b/>
                <w:sz w:val="20"/>
                <w:szCs w:val="20"/>
              </w:rPr>
              <w:t>2015</w:t>
            </w:r>
          </w:p>
        </w:tc>
      </w:tr>
      <w:tr w:rsidR="006E1FBF" w:rsidRPr="006E1FBF" w14:paraId="47414BD7" w14:textId="77777777" w:rsidTr="00D005B6">
        <w:tc>
          <w:tcPr>
            <w:tcW w:w="1110" w:type="dxa"/>
            <w:shd w:val="clear" w:color="auto" w:fill="D9D9D9" w:themeFill="background1" w:themeFillShade="D9"/>
            <w:vAlign w:val="center"/>
          </w:tcPr>
          <w:p w14:paraId="26B40900" w14:textId="4CC99D3C" w:rsidR="000E560D" w:rsidRPr="006E1FBF" w:rsidRDefault="000E560D" w:rsidP="000F4F7A">
            <w:pPr>
              <w:jc w:val="both"/>
              <w:rPr>
                <w:b/>
                <w:sz w:val="20"/>
                <w:szCs w:val="20"/>
              </w:rPr>
            </w:pPr>
            <w:r w:rsidRPr="000E560D">
              <w:rPr>
                <w:rFonts w:eastAsia="Times New Roman" w:cs="Times New Roman"/>
                <w:b/>
                <w:color w:val="000000"/>
                <w:sz w:val="20"/>
                <w:szCs w:val="20"/>
              </w:rPr>
              <w:t xml:space="preserve"> Outcome</w:t>
            </w:r>
          </w:p>
        </w:tc>
        <w:tc>
          <w:tcPr>
            <w:tcW w:w="1168" w:type="dxa"/>
            <w:shd w:val="clear" w:color="auto" w:fill="D9D9D9" w:themeFill="background1" w:themeFillShade="D9"/>
            <w:vAlign w:val="center"/>
          </w:tcPr>
          <w:p w14:paraId="63CA12D7" w14:textId="6DA1E521" w:rsidR="000E560D" w:rsidRPr="006E1FBF" w:rsidRDefault="000E560D" w:rsidP="000F4F7A">
            <w:pPr>
              <w:jc w:val="both"/>
              <w:rPr>
                <w:b/>
                <w:sz w:val="20"/>
                <w:szCs w:val="20"/>
              </w:rPr>
            </w:pPr>
            <w:r w:rsidRPr="000E560D">
              <w:rPr>
                <w:rFonts w:eastAsia="Times New Roman" w:cs="Times New Roman"/>
                <w:b/>
                <w:color w:val="000000"/>
                <w:sz w:val="20"/>
                <w:szCs w:val="20"/>
              </w:rPr>
              <w:t>Budgeted (</w:t>
            </w:r>
            <w:proofErr w:type="spellStart"/>
            <w:r w:rsidRPr="000E560D">
              <w:rPr>
                <w:rFonts w:eastAsia="Times New Roman" w:cs="Times New Roman"/>
                <w:b/>
                <w:color w:val="000000"/>
                <w:sz w:val="20"/>
                <w:szCs w:val="20"/>
              </w:rPr>
              <w:t>Prodoc</w:t>
            </w:r>
            <w:proofErr w:type="spellEnd"/>
            <w:r w:rsidRPr="000E560D">
              <w:rPr>
                <w:rFonts w:eastAsia="Times New Roman" w:cs="Times New Roman"/>
                <w:b/>
                <w:color w:val="000000"/>
                <w:sz w:val="20"/>
                <w:szCs w:val="20"/>
              </w:rPr>
              <w:t>)</w:t>
            </w:r>
          </w:p>
        </w:tc>
        <w:tc>
          <w:tcPr>
            <w:tcW w:w="1168" w:type="dxa"/>
            <w:shd w:val="clear" w:color="auto" w:fill="D9D9D9" w:themeFill="background1" w:themeFillShade="D9"/>
            <w:vAlign w:val="center"/>
          </w:tcPr>
          <w:p w14:paraId="5A41A87E" w14:textId="76E01720" w:rsidR="000E560D" w:rsidRPr="006E1FBF" w:rsidRDefault="000E560D" w:rsidP="000F4F7A">
            <w:pPr>
              <w:jc w:val="both"/>
              <w:rPr>
                <w:b/>
                <w:sz w:val="20"/>
                <w:szCs w:val="20"/>
              </w:rPr>
            </w:pPr>
            <w:r w:rsidRPr="000E560D">
              <w:rPr>
                <w:rFonts w:eastAsia="Times New Roman" w:cs="Times New Roman"/>
                <w:b/>
                <w:color w:val="000000"/>
                <w:sz w:val="20"/>
                <w:szCs w:val="20"/>
              </w:rPr>
              <w:t>Budgeted</w:t>
            </w:r>
          </w:p>
        </w:tc>
        <w:tc>
          <w:tcPr>
            <w:tcW w:w="1142" w:type="dxa"/>
            <w:shd w:val="clear" w:color="auto" w:fill="D9D9D9" w:themeFill="background1" w:themeFillShade="D9"/>
            <w:vAlign w:val="center"/>
          </w:tcPr>
          <w:p w14:paraId="23E9DEF7" w14:textId="0DE41573" w:rsidR="000E560D" w:rsidRPr="006E1FBF" w:rsidRDefault="000E560D" w:rsidP="000F4F7A">
            <w:pPr>
              <w:jc w:val="both"/>
              <w:rPr>
                <w:b/>
                <w:sz w:val="20"/>
                <w:szCs w:val="20"/>
              </w:rPr>
            </w:pPr>
            <w:r w:rsidRPr="000E560D">
              <w:rPr>
                <w:rFonts w:eastAsia="Times New Roman" w:cs="Times New Roman"/>
                <w:b/>
                <w:color w:val="000000"/>
                <w:sz w:val="20"/>
                <w:szCs w:val="20"/>
              </w:rPr>
              <w:t>Actual</w:t>
            </w:r>
          </w:p>
        </w:tc>
        <w:tc>
          <w:tcPr>
            <w:tcW w:w="978" w:type="dxa"/>
            <w:shd w:val="clear" w:color="auto" w:fill="D9D9D9" w:themeFill="background1" w:themeFillShade="D9"/>
            <w:vAlign w:val="center"/>
          </w:tcPr>
          <w:p w14:paraId="5E1B6080" w14:textId="021782C5" w:rsidR="000E560D" w:rsidRPr="006E1FBF" w:rsidRDefault="000E560D" w:rsidP="000F4F7A">
            <w:pPr>
              <w:jc w:val="both"/>
              <w:rPr>
                <w:b/>
                <w:sz w:val="20"/>
                <w:szCs w:val="20"/>
              </w:rPr>
            </w:pPr>
            <w:r w:rsidRPr="000E560D">
              <w:rPr>
                <w:rFonts w:eastAsia="Times New Roman" w:cs="Times New Roman"/>
                <w:b/>
                <w:color w:val="000000"/>
                <w:sz w:val="20"/>
                <w:szCs w:val="20"/>
              </w:rPr>
              <w:t xml:space="preserve">% </w:t>
            </w:r>
            <w:proofErr w:type="gramStart"/>
            <w:r w:rsidRPr="000E560D">
              <w:rPr>
                <w:rFonts w:eastAsia="Times New Roman" w:cs="Times New Roman"/>
                <w:b/>
                <w:color w:val="000000"/>
                <w:sz w:val="20"/>
                <w:szCs w:val="20"/>
              </w:rPr>
              <w:t>spent</w:t>
            </w:r>
            <w:proofErr w:type="gramEnd"/>
          </w:p>
        </w:tc>
        <w:tc>
          <w:tcPr>
            <w:tcW w:w="1269" w:type="dxa"/>
            <w:shd w:val="clear" w:color="auto" w:fill="D9D9D9" w:themeFill="background1" w:themeFillShade="D9"/>
            <w:vAlign w:val="center"/>
          </w:tcPr>
          <w:p w14:paraId="5B52063C" w14:textId="5B007690" w:rsidR="000E560D" w:rsidRPr="006E1FBF" w:rsidRDefault="000E560D" w:rsidP="000F4F7A">
            <w:pPr>
              <w:jc w:val="both"/>
              <w:rPr>
                <w:b/>
                <w:sz w:val="20"/>
                <w:szCs w:val="20"/>
              </w:rPr>
            </w:pPr>
            <w:r w:rsidRPr="000E560D">
              <w:rPr>
                <w:rFonts w:eastAsia="Times New Roman" w:cs="Times New Roman"/>
                <w:b/>
                <w:color w:val="000000"/>
                <w:sz w:val="20"/>
                <w:szCs w:val="20"/>
              </w:rPr>
              <w:t>Budgeted (</w:t>
            </w:r>
            <w:proofErr w:type="spellStart"/>
            <w:r w:rsidRPr="000E560D">
              <w:rPr>
                <w:rFonts w:eastAsia="Times New Roman" w:cs="Times New Roman"/>
                <w:b/>
                <w:color w:val="000000"/>
                <w:sz w:val="20"/>
                <w:szCs w:val="20"/>
              </w:rPr>
              <w:t>Prodoc</w:t>
            </w:r>
            <w:proofErr w:type="spellEnd"/>
            <w:r w:rsidRPr="000E560D">
              <w:rPr>
                <w:rFonts w:eastAsia="Times New Roman" w:cs="Times New Roman"/>
                <w:b/>
                <w:color w:val="000000"/>
                <w:sz w:val="20"/>
                <w:szCs w:val="20"/>
              </w:rPr>
              <w:t>)</w:t>
            </w:r>
          </w:p>
        </w:tc>
        <w:tc>
          <w:tcPr>
            <w:tcW w:w="1168" w:type="dxa"/>
            <w:shd w:val="clear" w:color="auto" w:fill="D9D9D9" w:themeFill="background1" w:themeFillShade="D9"/>
            <w:vAlign w:val="center"/>
          </w:tcPr>
          <w:p w14:paraId="74C60FAC" w14:textId="3BD15898" w:rsidR="000E560D" w:rsidRPr="006E1FBF" w:rsidRDefault="000E560D" w:rsidP="000F4F7A">
            <w:pPr>
              <w:jc w:val="both"/>
              <w:rPr>
                <w:b/>
                <w:sz w:val="20"/>
                <w:szCs w:val="20"/>
              </w:rPr>
            </w:pPr>
            <w:r w:rsidRPr="000E560D">
              <w:rPr>
                <w:rFonts w:eastAsia="Times New Roman" w:cs="Times New Roman"/>
                <w:b/>
                <w:color w:val="000000"/>
                <w:sz w:val="20"/>
                <w:szCs w:val="20"/>
              </w:rPr>
              <w:t>Budgeted</w:t>
            </w:r>
          </w:p>
        </w:tc>
        <w:tc>
          <w:tcPr>
            <w:tcW w:w="1267" w:type="dxa"/>
            <w:shd w:val="clear" w:color="auto" w:fill="D9D9D9" w:themeFill="background1" w:themeFillShade="D9"/>
            <w:vAlign w:val="center"/>
          </w:tcPr>
          <w:p w14:paraId="6D543E8E" w14:textId="6940875F" w:rsidR="000E560D" w:rsidRPr="006E1FBF" w:rsidRDefault="000E560D" w:rsidP="000F4F7A">
            <w:pPr>
              <w:jc w:val="both"/>
              <w:rPr>
                <w:b/>
                <w:sz w:val="20"/>
                <w:szCs w:val="20"/>
              </w:rPr>
            </w:pPr>
            <w:r w:rsidRPr="000E560D">
              <w:rPr>
                <w:rFonts w:eastAsia="Times New Roman" w:cs="Times New Roman"/>
                <w:b/>
                <w:color w:val="000000"/>
                <w:sz w:val="20"/>
                <w:szCs w:val="20"/>
              </w:rPr>
              <w:t>Actual</w:t>
            </w:r>
          </w:p>
        </w:tc>
        <w:tc>
          <w:tcPr>
            <w:tcW w:w="937" w:type="dxa"/>
            <w:shd w:val="clear" w:color="auto" w:fill="D9D9D9" w:themeFill="background1" w:themeFillShade="D9"/>
            <w:vAlign w:val="center"/>
          </w:tcPr>
          <w:p w14:paraId="53F0BE34" w14:textId="6B9644A4" w:rsidR="000E560D" w:rsidRPr="006E1FBF" w:rsidRDefault="000E560D" w:rsidP="000F4F7A">
            <w:pPr>
              <w:jc w:val="both"/>
              <w:rPr>
                <w:b/>
                <w:sz w:val="20"/>
                <w:szCs w:val="20"/>
              </w:rPr>
            </w:pPr>
            <w:r w:rsidRPr="000E560D">
              <w:rPr>
                <w:rFonts w:eastAsia="Times New Roman" w:cs="Times New Roman"/>
                <w:b/>
                <w:color w:val="000000"/>
                <w:sz w:val="20"/>
                <w:szCs w:val="20"/>
              </w:rPr>
              <w:t xml:space="preserve">% </w:t>
            </w:r>
            <w:proofErr w:type="gramStart"/>
            <w:r w:rsidRPr="000E560D">
              <w:rPr>
                <w:rFonts w:eastAsia="Times New Roman" w:cs="Times New Roman"/>
                <w:b/>
                <w:color w:val="000000"/>
                <w:sz w:val="20"/>
                <w:szCs w:val="20"/>
              </w:rPr>
              <w:t>spent</w:t>
            </w:r>
            <w:proofErr w:type="gramEnd"/>
          </w:p>
        </w:tc>
        <w:tc>
          <w:tcPr>
            <w:tcW w:w="1093" w:type="dxa"/>
            <w:shd w:val="clear" w:color="auto" w:fill="D9D9D9" w:themeFill="background1" w:themeFillShade="D9"/>
            <w:vAlign w:val="center"/>
          </w:tcPr>
          <w:p w14:paraId="55BDAB07" w14:textId="4F99E10E" w:rsidR="000E560D" w:rsidRPr="006E1FBF" w:rsidRDefault="000E560D" w:rsidP="000F4F7A">
            <w:pPr>
              <w:jc w:val="both"/>
              <w:rPr>
                <w:b/>
                <w:sz w:val="20"/>
                <w:szCs w:val="20"/>
              </w:rPr>
            </w:pPr>
            <w:r w:rsidRPr="000E560D">
              <w:rPr>
                <w:rFonts w:eastAsia="Times New Roman" w:cs="Times New Roman"/>
                <w:b/>
                <w:color w:val="000000"/>
                <w:sz w:val="20"/>
                <w:szCs w:val="20"/>
              </w:rPr>
              <w:t>Budgeted (</w:t>
            </w:r>
            <w:proofErr w:type="spellStart"/>
            <w:r w:rsidRPr="000E560D">
              <w:rPr>
                <w:rFonts w:eastAsia="Times New Roman" w:cs="Times New Roman"/>
                <w:b/>
                <w:color w:val="000000"/>
                <w:sz w:val="20"/>
                <w:szCs w:val="20"/>
              </w:rPr>
              <w:t>Prodoc</w:t>
            </w:r>
            <w:proofErr w:type="spellEnd"/>
            <w:r w:rsidRPr="000E560D">
              <w:rPr>
                <w:rFonts w:eastAsia="Times New Roman" w:cs="Times New Roman"/>
                <w:b/>
                <w:color w:val="000000"/>
                <w:sz w:val="20"/>
                <w:szCs w:val="20"/>
              </w:rPr>
              <w:t>)</w:t>
            </w:r>
          </w:p>
        </w:tc>
        <w:tc>
          <w:tcPr>
            <w:tcW w:w="1093" w:type="dxa"/>
            <w:shd w:val="clear" w:color="auto" w:fill="D9D9D9" w:themeFill="background1" w:themeFillShade="D9"/>
            <w:vAlign w:val="center"/>
          </w:tcPr>
          <w:p w14:paraId="68571916" w14:textId="5D5BA74F" w:rsidR="000E560D" w:rsidRPr="006E1FBF" w:rsidRDefault="000E560D" w:rsidP="000F4F7A">
            <w:pPr>
              <w:jc w:val="both"/>
              <w:rPr>
                <w:b/>
                <w:sz w:val="20"/>
                <w:szCs w:val="20"/>
              </w:rPr>
            </w:pPr>
            <w:r w:rsidRPr="000E560D">
              <w:rPr>
                <w:rFonts w:eastAsia="Times New Roman" w:cs="Times New Roman"/>
                <w:b/>
                <w:color w:val="000000"/>
                <w:sz w:val="20"/>
                <w:szCs w:val="20"/>
              </w:rPr>
              <w:t>Budgeted</w:t>
            </w:r>
          </w:p>
        </w:tc>
        <w:tc>
          <w:tcPr>
            <w:tcW w:w="966" w:type="dxa"/>
            <w:shd w:val="clear" w:color="auto" w:fill="D9D9D9" w:themeFill="background1" w:themeFillShade="D9"/>
            <w:vAlign w:val="center"/>
          </w:tcPr>
          <w:p w14:paraId="706A5042" w14:textId="202E57A5" w:rsidR="000E560D" w:rsidRPr="006E1FBF" w:rsidRDefault="000E560D" w:rsidP="000F4F7A">
            <w:pPr>
              <w:jc w:val="both"/>
              <w:rPr>
                <w:b/>
                <w:sz w:val="20"/>
                <w:szCs w:val="20"/>
              </w:rPr>
            </w:pPr>
            <w:r w:rsidRPr="000E560D">
              <w:rPr>
                <w:rFonts w:eastAsia="Times New Roman" w:cs="Times New Roman"/>
                <w:b/>
                <w:color w:val="000000"/>
                <w:sz w:val="20"/>
                <w:szCs w:val="20"/>
              </w:rPr>
              <w:t>Actual</w:t>
            </w:r>
          </w:p>
        </w:tc>
        <w:tc>
          <w:tcPr>
            <w:tcW w:w="817" w:type="dxa"/>
            <w:shd w:val="clear" w:color="auto" w:fill="D9D9D9" w:themeFill="background1" w:themeFillShade="D9"/>
            <w:vAlign w:val="center"/>
          </w:tcPr>
          <w:p w14:paraId="3995EA10" w14:textId="2CE51588" w:rsidR="000E560D" w:rsidRPr="006E1FBF" w:rsidRDefault="000E560D" w:rsidP="000F4F7A">
            <w:pPr>
              <w:jc w:val="both"/>
              <w:rPr>
                <w:b/>
                <w:sz w:val="20"/>
                <w:szCs w:val="20"/>
              </w:rPr>
            </w:pPr>
            <w:r w:rsidRPr="000E560D">
              <w:rPr>
                <w:rFonts w:eastAsia="Times New Roman" w:cs="Times New Roman"/>
                <w:b/>
                <w:color w:val="000000"/>
                <w:sz w:val="20"/>
                <w:szCs w:val="20"/>
              </w:rPr>
              <w:t xml:space="preserve">% </w:t>
            </w:r>
            <w:proofErr w:type="gramStart"/>
            <w:r w:rsidRPr="000E560D">
              <w:rPr>
                <w:rFonts w:eastAsia="Times New Roman" w:cs="Times New Roman"/>
                <w:b/>
                <w:color w:val="000000"/>
                <w:sz w:val="20"/>
                <w:szCs w:val="20"/>
              </w:rPr>
              <w:t>spent</w:t>
            </w:r>
            <w:proofErr w:type="gramEnd"/>
          </w:p>
        </w:tc>
      </w:tr>
      <w:tr w:rsidR="000E560D" w:rsidRPr="006E1FBF" w14:paraId="2704551C" w14:textId="77777777" w:rsidTr="00D005B6">
        <w:tc>
          <w:tcPr>
            <w:tcW w:w="1110" w:type="dxa"/>
            <w:vAlign w:val="center"/>
          </w:tcPr>
          <w:p w14:paraId="2F0763C1" w14:textId="7ED42E73" w:rsidR="000E560D" w:rsidRPr="006E1FBF" w:rsidRDefault="000E560D" w:rsidP="000F4F7A">
            <w:pPr>
              <w:jc w:val="both"/>
              <w:rPr>
                <w:sz w:val="20"/>
                <w:szCs w:val="20"/>
              </w:rPr>
            </w:pPr>
            <w:r w:rsidRPr="000E560D">
              <w:rPr>
                <w:rFonts w:eastAsia="Times New Roman" w:cs="Times New Roman"/>
                <w:color w:val="000000"/>
                <w:sz w:val="20"/>
                <w:szCs w:val="20"/>
              </w:rPr>
              <w:t>1</w:t>
            </w:r>
          </w:p>
        </w:tc>
        <w:tc>
          <w:tcPr>
            <w:tcW w:w="1168" w:type="dxa"/>
            <w:vAlign w:val="center"/>
          </w:tcPr>
          <w:p w14:paraId="498AA520" w14:textId="2D07011E" w:rsidR="000E560D" w:rsidRPr="006E1FBF" w:rsidRDefault="000E560D" w:rsidP="006E1FBF">
            <w:pPr>
              <w:jc w:val="right"/>
              <w:rPr>
                <w:sz w:val="20"/>
                <w:szCs w:val="20"/>
              </w:rPr>
            </w:pPr>
            <w:r w:rsidRPr="000E560D">
              <w:rPr>
                <w:rFonts w:eastAsia="Times New Roman" w:cs="Times New Roman"/>
                <w:color w:val="000000"/>
                <w:sz w:val="20"/>
                <w:szCs w:val="20"/>
              </w:rPr>
              <w:t>91700</w:t>
            </w:r>
          </w:p>
        </w:tc>
        <w:tc>
          <w:tcPr>
            <w:tcW w:w="1168" w:type="dxa"/>
            <w:vAlign w:val="center"/>
          </w:tcPr>
          <w:p w14:paraId="66ED9770" w14:textId="00C2A1D0" w:rsidR="000E560D" w:rsidRPr="006E1FBF" w:rsidRDefault="000E560D" w:rsidP="006E1FBF">
            <w:pPr>
              <w:jc w:val="right"/>
              <w:rPr>
                <w:sz w:val="20"/>
                <w:szCs w:val="20"/>
              </w:rPr>
            </w:pPr>
            <w:r w:rsidRPr="000E560D">
              <w:rPr>
                <w:rFonts w:eastAsia="Times New Roman" w:cs="Times New Roman"/>
                <w:color w:val="000000"/>
                <w:sz w:val="20"/>
                <w:szCs w:val="20"/>
              </w:rPr>
              <w:t>37210</w:t>
            </w:r>
          </w:p>
        </w:tc>
        <w:tc>
          <w:tcPr>
            <w:tcW w:w="1142" w:type="dxa"/>
            <w:vAlign w:val="center"/>
          </w:tcPr>
          <w:p w14:paraId="43D78339" w14:textId="45C647BC" w:rsidR="000E560D" w:rsidRPr="006E1FBF" w:rsidRDefault="000E560D" w:rsidP="006E1FBF">
            <w:pPr>
              <w:jc w:val="right"/>
              <w:rPr>
                <w:sz w:val="20"/>
                <w:szCs w:val="20"/>
              </w:rPr>
            </w:pPr>
            <w:r w:rsidRPr="000E560D">
              <w:rPr>
                <w:rFonts w:eastAsia="Times New Roman" w:cs="Times New Roman"/>
                <w:color w:val="000000"/>
                <w:sz w:val="20"/>
                <w:szCs w:val="20"/>
              </w:rPr>
              <w:t>37295.39</w:t>
            </w:r>
          </w:p>
        </w:tc>
        <w:tc>
          <w:tcPr>
            <w:tcW w:w="978" w:type="dxa"/>
            <w:vAlign w:val="center"/>
          </w:tcPr>
          <w:p w14:paraId="3DD1EBE3" w14:textId="4304F303" w:rsidR="000E560D" w:rsidRPr="006E1FBF" w:rsidRDefault="006E1FBF" w:rsidP="006E1FBF">
            <w:pPr>
              <w:jc w:val="right"/>
              <w:rPr>
                <w:sz w:val="20"/>
                <w:szCs w:val="20"/>
              </w:rPr>
            </w:pPr>
            <w:r>
              <w:rPr>
                <w:rFonts w:eastAsia="Times New Roman" w:cs="Times New Roman"/>
                <w:color w:val="000000"/>
                <w:sz w:val="20"/>
                <w:szCs w:val="20"/>
              </w:rPr>
              <w:t>100</w:t>
            </w:r>
          </w:p>
        </w:tc>
        <w:tc>
          <w:tcPr>
            <w:tcW w:w="1269" w:type="dxa"/>
            <w:vAlign w:val="center"/>
          </w:tcPr>
          <w:p w14:paraId="39533690" w14:textId="317225D2" w:rsidR="000E560D" w:rsidRPr="006E1FBF" w:rsidRDefault="000E560D" w:rsidP="006E1FBF">
            <w:pPr>
              <w:jc w:val="right"/>
              <w:rPr>
                <w:sz w:val="20"/>
                <w:szCs w:val="20"/>
              </w:rPr>
            </w:pPr>
            <w:r w:rsidRPr="000E560D">
              <w:rPr>
                <w:rFonts w:eastAsia="Times New Roman" w:cs="Times New Roman"/>
                <w:color w:val="000000"/>
                <w:sz w:val="20"/>
                <w:szCs w:val="20"/>
              </w:rPr>
              <w:t>129000.00</w:t>
            </w:r>
          </w:p>
        </w:tc>
        <w:tc>
          <w:tcPr>
            <w:tcW w:w="1168" w:type="dxa"/>
            <w:vAlign w:val="center"/>
          </w:tcPr>
          <w:p w14:paraId="4860F6A6" w14:textId="0321BD10" w:rsidR="000E560D" w:rsidRPr="006E1FBF" w:rsidRDefault="000E560D" w:rsidP="006E1FBF">
            <w:pPr>
              <w:jc w:val="right"/>
              <w:rPr>
                <w:sz w:val="20"/>
                <w:szCs w:val="20"/>
              </w:rPr>
            </w:pPr>
            <w:r w:rsidRPr="000E560D">
              <w:rPr>
                <w:rFonts w:eastAsia="Times New Roman" w:cs="Times New Roman"/>
                <w:color w:val="000000"/>
                <w:sz w:val="20"/>
                <w:szCs w:val="20"/>
              </w:rPr>
              <w:t>163500</w:t>
            </w:r>
          </w:p>
        </w:tc>
        <w:tc>
          <w:tcPr>
            <w:tcW w:w="1267" w:type="dxa"/>
            <w:vAlign w:val="center"/>
          </w:tcPr>
          <w:p w14:paraId="4AE30AF5" w14:textId="405EC523" w:rsidR="000E560D" w:rsidRPr="006E1FBF" w:rsidRDefault="000E560D" w:rsidP="006E1FBF">
            <w:pPr>
              <w:jc w:val="right"/>
              <w:rPr>
                <w:sz w:val="20"/>
                <w:szCs w:val="20"/>
              </w:rPr>
            </w:pPr>
            <w:r w:rsidRPr="000E560D">
              <w:rPr>
                <w:rFonts w:eastAsia="Times New Roman" w:cs="Times New Roman"/>
                <w:color w:val="000000"/>
                <w:sz w:val="20"/>
                <w:szCs w:val="20"/>
              </w:rPr>
              <w:t>125922.31</w:t>
            </w:r>
          </w:p>
        </w:tc>
        <w:tc>
          <w:tcPr>
            <w:tcW w:w="937" w:type="dxa"/>
            <w:vAlign w:val="center"/>
          </w:tcPr>
          <w:p w14:paraId="03282BE1" w14:textId="3B577329" w:rsidR="000E560D" w:rsidRPr="006E1FBF" w:rsidRDefault="006E1FBF" w:rsidP="006E1FBF">
            <w:pPr>
              <w:jc w:val="right"/>
              <w:rPr>
                <w:sz w:val="20"/>
                <w:szCs w:val="20"/>
              </w:rPr>
            </w:pPr>
            <w:r>
              <w:rPr>
                <w:rFonts w:eastAsia="Times New Roman" w:cs="Times New Roman"/>
                <w:color w:val="000000"/>
                <w:sz w:val="20"/>
                <w:szCs w:val="20"/>
              </w:rPr>
              <w:t>77</w:t>
            </w:r>
          </w:p>
        </w:tc>
        <w:tc>
          <w:tcPr>
            <w:tcW w:w="1093" w:type="dxa"/>
            <w:vAlign w:val="center"/>
          </w:tcPr>
          <w:p w14:paraId="3728062B" w14:textId="6B77CBE9" w:rsidR="000E560D" w:rsidRPr="006E1FBF" w:rsidRDefault="000E560D" w:rsidP="006E1FBF">
            <w:pPr>
              <w:jc w:val="right"/>
              <w:rPr>
                <w:sz w:val="20"/>
                <w:szCs w:val="20"/>
              </w:rPr>
            </w:pPr>
            <w:r w:rsidRPr="000E560D">
              <w:rPr>
                <w:rFonts w:eastAsia="Times New Roman" w:cs="Times New Roman"/>
                <w:color w:val="000000"/>
                <w:sz w:val="20"/>
                <w:szCs w:val="20"/>
              </w:rPr>
              <w:t>94300.00</w:t>
            </w:r>
          </w:p>
        </w:tc>
        <w:tc>
          <w:tcPr>
            <w:tcW w:w="1093" w:type="dxa"/>
            <w:vAlign w:val="center"/>
          </w:tcPr>
          <w:p w14:paraId="158178A4" w14:textId="6DD68AC0" w:rsidR="000E560D" w:rsidRPr="006E1FBF" w:rsidRDefault="000E560D" w:rsidP="006E1FBF">
            <w:pPr>
              <w:jc w:val="right"/>
              <w:rPr>
                <w:sz w:val="20"/>
                <w:szCs w:val="20"/>
              </w:rPr>
            </w:pPr>
            <w:r w:rsidRPr="000E560D">
              <w:rPr>
                <w:rFonts w:eastAsia="Times New Roman" w:cs="Times New Roman"/>
                <w:color w:val="000000"/>
                <w:sz w:val="20"/>
                <w:szCs w:val="20"/>
              </w:rPr>
              <w:t>125394</w:t>
            </w:r>
          </w:p>
        </w:tc>
        <w:tc>
          <w:tcPr>
            <w:tcW w:w="966" w:type="dxa"/>
            <w:vAlign w:val="center"/>
          </w:tcPr>
          <w:p w14:paraId="22FDEDF7" w14:textId="5A95D12C" w:rsidR="000E560D" w:rsidRPr="006E1FBF" w:rsidRDefault="000E560D" w:rsidP="006E1FBF">
            <w:pPr>
              <w:jc w:val="right"/>
              <w:rPr>
                <w:sz w:val="20"/>
                <w:szCs w:val="20"/>
              </w:rPr>
            </w:pPr>
            <w:r w:rsidRPr="000E560D">
              <w:rPr>
                <w:rFonts w:eastAsia="Times New Roman" w:cs="Times New Roman"/>
                <w:color w:val="000000"/>
                <w:sz w:val="20"/>
                <w:szCs w:val="20"/>
              </w:rPr>
              <w:t>29680.33</w:t>
            </w:r>
          </w:p>
        </w:tc>
        <w:tc>
          <w:tcPr>
            <w:tcW w:w="817" w:type="dxa"/>
            <w:vAlign w:val="center"/>
          </w:tcPr>
          <w:p w14:paraId="029EF407" w14:textId="5E3A260F" w:rsidR="000E560D" w:rsidRPr="006E1FBF" w:rsidRDefault="006E1FBF" w:rsidP="006E1FBF">
            <w:pPr>
              <w:jc w:val="right"/>
              <w:rPr>
                <w:sz w:val="20"/>
                <w:szCs w:val="20"/>
              </w:rPr>
            </w:pPr>
            <w:r>
              <w:rPr>
                <w:rFonts w:eastAsia="Times New Roman" w:cs="Times New Roman"/>
                <w:color w:val="000000"/>
                <w:sz w:val="20"/>
                <w:szCs w:val="20"/>
              </w:rPr>
              <w:t>24</w:t>
            </w:r>
          </w:p>
        </w:tc>
      </w:tr>
      <w:tr w:rsidR="000E560D" w:rsidRPr="006E1FBF" w14:paraId="6B37334E" w14:textId="77777777" w:rsidTr="00D005B6">
        <w:tc>
          <w:tcPr>
            <w:tcW w:w="1110" w:type="dxa"/>
            <w:vAlign w:val="center"/>
          </w:tcPr>
          <w:p w14:paraId="6C41DF39" w14:textId="1B5589D3" w:rsidR="000E560D" w:rsidRPr="006E1FBF" w:rsidRDefault="000E560D" w:rsidP="000F4F7A">
            <w:pPr>
              <w:jc w:val="both"/>
              <w:rPr>
                <w:sz w:val="20"/>
                <w:szCs w:val="20"/>
              </w:rPr>
            </w:pPr>
            <w:r w:rsidRPr="000E560D">
              <w:rPr>
                <w:rFonts w:eastAsia="Times New Roman" w:cs="Times New Roman"/>
                <w:color w:val="000000"/>
                <w:sz w:val="20"/>
                <w:szCs w:val="20"/>
              </w:rPr>
              <w:t>2</w:t>
            </w:r>
          </w:p>
        </w:tc>
        <w:tc>
          <w:tcPr>
            <w:tcW w:w="1168" w:type="dxa"/>
            <w:vAlign w:val="center"/>
          </w:tcPr>
          <w:p w14:paraId="361D8C90" w14:textId="3B95370C" w:rsidR="000E560D" w:rsidRPr="006E1FBF" w:rsidRDefault="000E560D" w:rsidP="006E1FBF">
            <w:pPr>
              <w:jc w:val="right"/>
              <w:rPr>
                <w:sz w:val="20"/>
                <w:szCs w:val="20"/>
              </w:rPr>
            </w:pPr>
            <w:r w:rsidRPr="000E560D">
              <w:rPr>
                <w:rFonts w:eastAsia="Times New Roman" w:cs="Times New Roman"/>
                <w:color w:val="000000"/>
                <w:sz w:val="20"/>
                <w:szCs w:val="20"/>
              </w:rPr>
              <w:t>124490</w:t>
            </w:r>
          </w:p>
        </w:tc>
        <w:tc>
          <w:tcPr>
            <w:tcW w:w="1168" w:type="dxa"/>
            <w:vAlign w:val="center"/>
          </w:tcPr>
          <w:p w14:paraId="26A637B9" w14:textId="666DA791" w:rsidR="000E560D" w:rsidRPr="006E1FBF" w:rsidRDefault="000E560D" w:rsidP="006E1FBF">
            <w:pPr>
              <w:jc w:val="right"/>
              <w:rPr>
                <w:sz w:val="20"/>
                <w:szCs w:val="20"/>
              </w:rPr>
            </w:pPr>
            <w:r w:rsidRPr="000E560D">
              <w:rPr>
                <w:rFonts w:eastAsia="Times New Roman" w:cs="Times New Roman"/>
                <w:color w:val="000000"/>
                <w:sz w:val="20"/>
                <w:szCs w:val="20"/>
              </w:rPr>
              <w:t>6621</w:t>
            </w:r>
          </w:p>
        </w:tc>
        <w:tc>
          <w:tcPr>
            <w:tcW w:w="1142" w:type="dxa"/>
            <w:vAlign w:val="center"/>
          </w:tcPr>
          <w:p w14:paraId="51B46BA7" w14:textId="17C24836" w:rsidR="000E560D" w:rsidRPr="006E1FBF" w:rsidRDefault="000E560D" w:rsidP="006E1FBF">
            <w:pPr>
              <w:jc w:val="right"/>
              <w:rPr>
                <w:sz w:val="20"/>
                <w:szCs w:val="20"/>
              </w:rPr>
            </w:pPr>
            <w:r w:rsidRPr="000E560D">
              <w:rPr>
                <w:rFonts w:eastAsia="Times New Roman" w:cs="Times New Roman"/>
                <w:color w:val="000000"/>
                <w:sz w:val="20"/>
                <w:szCs w:val="20"/>
              </w:rPr>
              <w:t>5953.52</w:t>
            </w:r>
          </w:p>
        </w:tc>
        <w:tc>
          <w:tcPr>
            <w:tcW w:w="978" w:type="dxa"/>
            <w:vAlign w:val="center"/>
          </w:tcPr>
          <w:p w14:paraId="1192CF65" w14:textId="0C2CB33E" w:rsidR="000E560D" w:rsidRPr="006E1FBF" w:rsidRDefault="006E1FBF" w:rsidP="006E1FBF">
            <w:pPr>
              <w:jc w:val="right"/>
              <w:rPr>
                <w:sz w:val="20"/>
                <w:szCs w:val="20"/>
              </w:rPr>
            </w:pPr>
            <w:r>
              <w:rPr>
                <w:rFonts w:eastAsia="Times New Roman" w:cs="Times New Roman"/>
                <w:color w:val="000000"/>
                <w:sz w:val="20"/>
                <w:szCs w:val="20"/>
              </w:rPr>
              <w:t>90</w:t>
            </w:r>
          </w:p>
        </w:tc>
        <w:tc>
          <w:tcPr>
            <w:tcW w:w="1269" w:type="dxa"/>
            <w:vAlign w:val="center"/>
          </w:tcPr>
          <w:p w14:paraId="482B147B" w14:textId="55A0DAD5" w:rsidR="000E560D" w:rsidRPr="006E1FBF" w:rsidRDefault="000E560D" w:rsidP="006E1FBF">
            <w:pPr>
              <w:jc w:val="right"/>
              <w:rPr>
                <w:sz w:val="20"/>
                <w:szCs w:val="20"/>
              </w:rPr>
            </w:pPr>
            <w:r w:rsidRPr="000E560D">
              <w:rPr>
                <w:rFonts w:eastAsia="Times New Roman" w:cs="Times New Roman"/>
                <w:color w:val="000000"/>
                <w:sz w:val="20"/>
                <w:szCs w:val="20"/>
              </w:rPr>
              <w:t>159190.00</w:t>
            </w:r>
          </w:p>
        </w:tc>
        <w:tc>
          <w:tcPr>
            <w:tcW w:w="1168" w:type="dxa"/>
            <w:vAlign w:val="center"/>
          </w:tcPr>
          <w:p w14:paraId="37BD94C4" w14:textId="16F7F0B4" w:rsidR="000E560D" w:rsidRPr="006E1FBF" w:rsidRDefault="000E560D" w:rsidP="006E1FBF">
            <w:pPr>
              <w:jc w:val="right"/>
              <w:rPr>
                <w:sz w:val="20"/>
                <w:szCs w:val="20"/>
              </w:rPr>
            </w:pPr>
            <w:r w:rsidRPr="000E560D">
              <w:rPr>
                <w:rFonts w:eastAsia="Times New Roman" w:cs="Times New Roman"/>
                <w:color w:val="000000"/>
                <w:sz w:val="20"/>
                <w:szCs w:val="20"/>
              </w:rPr>
              <w:t>139028</w:t>
            </w:r>
          </w:p>
        </w:tc>
        <w:tc>
          <w:tcPr>
            <w:tcW w:w="1267" w:type="dxa"/>
            <w:vAlign w:val="center"/>
          </w:tcPr>
          <w:p w14:paraId="7F00F41F" w14:textId="40D9DC44" w:rsidR="000E560D" w:rsidRPr="006E1FBF" w:rsidRDefault="000E560D" w:rsidP="006E1FBF">
            <w:pPr>
              <w:jc w:val="right"/>
              <w:rPr>
                <w:sz w:val="20"/>
                <w:szCs w:val="20"/>
              </w:rPr>
            </w:pPr>
            <w:r w:rsidRPr="000E560D">
              <w:rPr>
                <w:rFonts w:eastAsia="Times New Roman" w:cs="Times New Roman"/>
                <w:color w:val="000000"/>
                <w:sz w:val="20"/>
                <w:szCs w:val="20"/>
              </w:rPr>
              <w:t>61574.41</w:t>
            </w:r>
          </w:p>
        </w:tc>
        <w:tc>
          <w:tcPr>
            <w:tcW w:w="937" w:type="dxa"/>
            <w:vAlign w:val="center"/>
          </w:tcPr>
          <w:p w14:paraId="62A2500E" w14:textId="0DD3E89D" w:rsidR="000E560D" w:rsidRPr="006E1FBF" w:rsidRDefault="006E1FBF" w:rsidP="006E1FBF">
            <w:pPr>
              <w:jc w:val="right"/>
              <w:rPr>
                <w:sz w:val="20"/>
                <w:szCs w:val="20"/>
              </w:rPr>
            </w:pPr>
            <w:r>
              <w:rPr>
                <w:rFonts w:eastAsia="Times New Roman" w:cs="Times New Roman"/>
                <w:color w:val="000000"/>
                <w:sz w:val="20"/>
                <w:szCs w:val="20"/>
              </w:rPr>
              <w:t>44</w:t>
            </w:r>
          </w:p>
        </w:tc>
        <w:tc>
          <w:tcPr>
            <w:tcW w:w="1093" w:type="dxa"/>
            <w:vAlign w:val="center"/>
          </w:tcPr>
          <w:p w14:paraId="07E6209A" w14:textId="0137F091" w:rsidR="000E560D" w:rsidRPr="006E1FBF" w:rsidRDefault="000E560D" w:rsidP="006E1FBF">
            <w:pPr>
              <w:jc w:val="right"/>
              <w:rPr>
                <w:sz w:val="20"/>
                <w:szCs w:val="20"/>
              </w:rPr>
            </w:pPr>
            <w:r w:rsidRPr="000E560D">
              <w:rPr>
                <w:rFonts w:eastAsia="Times New Roman" w:cs="Times New Roman"/>
                <w:color w:val="000000"/>
                <w:sz w:val="20"/>
                <w:szCs w:val="20"/>
              </w:rPr>
              <w:t>124370.00</w:t>
            </w:r>
          </w:p>
        </w:tc>
        <w:tc>
          <w:tcPr>
            <w:tcW w:w="1093" w:type="dxa"/>
            <w:vAlign w:val="center"/>
          </w:tcPr>
          <w:p w14:paraId="227D5C8F" w14:textId="5A148F9D" w:rsidR="000E560D" w:rsidRPr="006E1FBF" w:rsidRDefault="000E560D" w:rsidP="006E1FBF">
            <w:pPr>
              <w:jc w:val="right"/>
              <w:rPr>
                <w:sz w:val="20"/>
                <w:szCs w:val="20"/>
              </w:rPr>
            </w:pPr>
            <w:r w:rsidRPr="000E560D">
              <w:rPr>
                <w:rFonts w:eastAsia="Times New Roman" w:cs="Times New Roman"/>
                <w:color w:val="000000"/>
                <w:sz w:val="20"/>
                <w:szCs w:val="20"/>
              </w:rPr>
              <w:t>248325</w:t>
            </w:r>
          </w:p>
        </w:tc>
        <w:tc>
          <w:tcPr>
            <w:tcW w:w="966" w:type="dxa"/>
            <w:vAlign w:val="center"/>
          </w:tcPr>
          <w:p w14:paraId="3E549EA9" w14:textId="61D668EE" w:rsidR="000E560D" w:rsidRPr="006E1FBF" w:rsidRDefault="000E560D" w:rsidP="006E1FBF">
            <w:pPr>
              <w:jc w:val="right"/>
              <w:rPr>
                <w:sz w:val="20"/>
                <w:szCs w:val="20"/>
              </w:rPr>
            </w:pPr>
            <w:r w:rsidRPr="000E560D">
              <w:rPr>
                <w:rFonts w:eastAsia="Times New Roman" w:cs="Times New Roman"/>
                <w:color w:val="000000"/>
                <w:sz w:val="20"/>
                <w:szCs w:val="20"/>
              </w:rPr>
              <w:t>25781.51</w:t>
            </w:r>
          </w:p>
        </w:tc>
        <w:tc>
          <w:tcPr>
            <w:tcW w:w="817" w:type="dxa"/>
            <w:vAlign w:val="center"/>
          </w:tcPr>
          <w:p w14:paraId="4F578286" w14:textId="054DF1F4" w:rsidR="000E560D" w:rsidRPr="006E1FBF" w:rsidRDefault="006E1FBF" w:rsidP="006E1FBF">
            <w:pPr>
              <w:jc w:val="right"/>
              <w:rPr>
                <w:sz w:val="20"/>
                <w:szCs w:val="20"/>
              </w:rPr>
            </w:pPr>
            <w:r>
              <w:rPr>
                <w:rFonts w:eastAsia="Times New Roman" w:cs="Times New Roman"/>
                <w:color w:val="000000"/>
                <w:sz w:val="20"/>
                <w:szCs w:val="20"/>
              </w:rPr>
              <w:t>10</w:t>
            </w:r>
          </w:p>
        </w:tc>
      </w:tr>
      <w:tr w:rsidR="000E560D" w:rsidRPr="006E1FBF" w14:paraId="64D17E26" w14:textId="77777777" w:rsidTr="00D005B6">
        <w:tc>
          <w:tcPr>
            <w:tcW w:w="1110" w:type="dxa"/>
            <w:vAlign w:val="center"/>
          </w:tcPr>
          <w:p w14:paraId="3FB8355E" w14:textId="46618E0E" w:rsidR="000E560D" w:rsidRPr="006E1FBF" w:rsidRDefault="000E560D" w:rsidP="000F4F7A">
            <w:pPr>
              <w:jc w:val="both"/>
              <w:rPr>
                <w:sz w:val="20"/>
                <w:szCs w:val="20"/>
              </w:rPr>
            </w:pPr>
            <w:proofErr w:type="spellStart"/>
            <w:r w:rsidRPr="000E560D">
              <w:rPr>
                <w:rFonts w:eastAsia="Times New Roman" w:cs="Times New Roman"/>
                <w:color w:val="000000"/>
                <w:sz w:val="20"/>
                <w:szCs w:val="20"/>
              </w:rPr>
              <w:t>ProjMgt</w:t>
            </w:r>
            <w:proofErr w:type="spellEnd"/>
          </w:p>
        </w:tc>
        <w:tc>
          <w:tcPr>
            <w:tcW w:w="1168" w:type="dxa"/>
            <w:vAlign w:val="center"/>
          </w:tcPr>
          <w:p w14:paraId="18E41EB5" w14:textId="27937A51" w:rsidR="000E560D" w:rsidRPr="006E1FBF" w:rsidRDefault="000E560D" w:rsidP="006E1FBF">
            <w:pPr>
              <w:jc w:val="right"/>
              <w:rPr>
                <w:sz w:val="20"/>
                <w:szCs w:val="20"/>
              </w:rPr>
            </w:pPr>
            <w:r w:rsidRPr="000E560D">
              <w:rPr>
                <w:rFonts w:eastAsia="Times New Roman" w:cs="Times New Roman"/>
                <w:color w:val="000000"/>
                <w:sz w:val="20"/>
                <w:szCs w:val="20"/>
              </w:rPr>
              <w:t>23560</w:t>
            </w:r>
          </w:p>
        </w:tc>
        <w:tc>
          <w:tcPr>
            <w:tcW w:w="1168" w:type="dxa"/>
            <w:vAlign w:val="center"/>
          </w:tcPr>
          <w:p w14:paraId="027ACB24" w14:textId="5FC84273" w:rsidR="000E560D" w:rsidRPr="006E1FBF" w:rsidRDefault="000E560D" w:rsidP="006E1FBF">
            <w:pPr>
              <w:jc w:val="right"/>
              <w:rPr>
                <w:sz w:val="20"/>
                <w:szCs w:val="20"/>
              </w:rPr>
            </w:pPr>
            <w:r w:rsidRPr="000E560D">
              <w:rPr>
                <w:rFonts w:eastAsia="Times New Roman" w:cs="Times New Roman"/>
                <w:color w:val="000000"/>
                <w:sz w:val="20"/>
                <w:szCs w:val="20"/>
              </w:rPr>
              <w:t>8889.41</w:t>
            </w:r>
          </w:p>
        </w:tc>
        <w:tc>
          <w:tcPr>
            <w:tcW w:w="1142" w:type="dxa"/>
            <w:vAlign w:val="center"/>
          </w:tcPr>
          <w:p w14:paraId="3BCFDF32" w14:textId="20AA2B7E" w:rsidR="000E560D" w:rsidRPr="006E1FBF" w:rsidRDefault="000E560D" w:rsidP="006E1FBF">
            <w:pPr>
              <w:jc w:val="right"/>
              <w:rPr>
                <w:sz w:val="20"/>
                <w:szCs w:val="20"/>
              </w:rPr>
            </w:pPr>
            <w:r w:rsidRPr="000E560D">
              <w:rPr>
                <w:rFonts w:eastAsia="Times New Roman" w:cs="Times New Roman"/>
                <w:color w:val="000000"/>
                <w:sz w:val="20"/>
                <w:szCs w:val="20"/>
              </w:rPr>
              <w:t>9475.92</w:t>
            </w:r>
          </w:p>
        </w:tc>
        <w:tc>
          <w:tcPr>
            <w:tcW w:w="978" w:type="dxa"/>
            <w:vAlign w:val="center"/>
          </w:tcPr>
          <w:p w14:paraId="30B26712" w14:textId="7CC80336" w:rsidR="000E560D" w:rsidRPr="006E1FBF" w:rsidRDefault="006E1FBF" w:rsidP="006E1FBF">
            <w:pPr>
              <w:jc w:val="right"/>
              <w:rPr>
                <w:sz w:val="20"/>
                <w:szCs w:val="20"/>
              </w:rPr>
            </w:pPr>
            <w:r>
              <w:rPr>
                <w:rFonts w:eastAsia="Times New Roman" w:cs="Times New Roman"/>
                <w:color w:val="000000"/>
                <w:sz w:val="20"/>
                <w:szCs w:val="20"/>
              </w:rPr>
              <w:t>107</w:t>
            </w:r>
          </w:p>
        </w:tc>
        <w:tc>
          <w:tcPr>
            <w:tcW w:w="1269" w:type="dxa"/>
            <w:vAlign w:val="center"/>
          </w:tcPr>
          <w:p w14:paraId="4728E937" w14:textId="04165542" w:rsidR="000E560D" w:rsidRPr="006E1FBF" w:rsidRDefault="000E560D" w:rsidP="006E1FBF">
            <w:pPr>
              <w:jc w:val="right"/>
              <w:rPr>
                <w:sz w:val="20"/>
                <w:szCs w:val="20"/>
              </w:rPr>
            </w:pPr>
            <w:r w:rsidRPr="000E560D">
              <w:rPr>
                <w:rFonts w:eastAsia="Times New Roman" w:cs="Times New Roman"/>
                <w:color w:val="000000"/>
                <w:sz w:val="20"/>
                <w:szCs w:val="20"/>
              </w:rPr>
              <w:t>22480.00</w:t>
            </w:r>
          </w:p>
        </w:tc>
        <w:tc>
          <w:tcPr>
            <w:tcW w:w="1168" w:type="dxa"/>
            <w:vAlign w:val="center"/>
          </w:tcPr>
          <w:p w14:paraId="0787CE5B" w14:textId="67D1851D" w:rsidR="000E560D" w:rsidRPr="006E1FBF" w:rsidRDefault="000E560D" w:rsidP="006E1FBF">
            <w:pPr>
              <w:jc w:val="right"/>
              <w:rPr>
                <w:sz w:val="20"/>
                <w:szCs w:val="20"/>
              </w:rPr>
            </w:pPr>
            <w:r w:rsidRPr="000E560D">
              <w:rPr>
                <w:rFonts w:eastAsia="Times New Roman" w:cs="Times New Roman"/>
                <w:color w:val="000000"/>
                <w:sz w:val="20"/>
                <w:szCs w:val="20"/>
              </w:rPr>
              <w:t>31456</w:t>
            </w:r>
          </w:p>
        </w:tc>
        <w:tc>
          <w:tcPr>
            <w:tcW w:w="1267" w:type="dxa"/>
            <w:vAlign w:val="center"/>
          </w:tcPr>
          <w:p w14:paraId="000437B4" w14:textId="6BEC95F4" w:rsidR="000E560D" w:rsidRPr="006E1FBF" w:rsidRDefault="000E560D" w:rsidP="006E1FBF">
            <w:pPr>
              <w:jc w:val="right"/>
              <w:rPr>
                <w:sz w:val="20"/>
                <w:szCs w:val="20"/>
              </w:rPr>
            </w:pPr>
            <w:r w:rsidRPr="000E560D">
              <w:rPr>
                <w:rFonts w:eastAsia="Times New Roman" w:cs="Times New Roman"/>
                <w:color w:val="000000"/>
                <w:sz w:val="20"/>
                <w:szCs w:val="20"/>
              </w:rPr>
              <w:t>31308.62</w:t>
            </w:r>
          </w:p>
        </w:tc>
        <w:tc>
          <w:tcPr>
            <w:tcW w:w="937" w:type="dxa"/>
            <w:vAlign w:val="center"/>
          </w:tcPr>
          <w:p w14:paraId="3CD9A22C" w14:textId="2929EE0B" w:rsidR="000E560D" w:rsidRPr="006E1FBF" w:rsidRDefault="006E1FBF" w:rsidP="006E1FBF">
            <w:pPr>
              <w:jc w:val="right"/>
              <w:rPr>
                <w:sz w:val="20"/>
                <w:szCs w:val="20"/>
              </w:rPr>
            </w:pPr>
            <w:r>
              <w:rPr>
                <w:rFonts w:eastAsia="Times New Roman" w:cs="Times New Roman"/>
                <w:color w:val="000000"/>
                <w:sz w:val="20"/>
                <w:szCs w:val="20"/>
              </w:rPr>
              <w:t>100</w:t>
            </w:r>
          </w:p>
        </w:tc>
        <w:tc>
          <w:tcPr>
            <w:tcW w:w="1093" w:type="dxa"/>
            <w:vAlign w:val="center"/>
          </w:tcPr>
          <w:p w14:paraId="042F4B28" w14:textId="642ACF3D" w:rsidR="000E560D" w:rsidRPr="006E1FBF" w:rsidRDefault="000E560D" w:rsidP="006E1FBF">
            <w:pPr>
              <w:jc w:val="right"/>
              <w:rPr>
                <w:sz w:val="20"/>
                <w:szCs w:val="20"/>
              </w:rPr>
            </w:pPr>
            <w:r w:rsidRPr="000E560D">
              <w:rPr>
                <w:rFonts w:eastAsia="Times New Roman" w:cs="Times New Roman"/>
                <w:color w:val="000000"/>
                <w:sz w:val="20"/>
                <w:szCs w:val="20"/>
              </w:rPr>
              <w:t>26480.00</w:t>
            </w:r>
          </w:p>
        </w:tc>
        <w:tc>
          <w:tcPr>
            <w:tcW w:w="1093" w:type="dxa"/>
            <w:vAlign w:val="center"/>
          </w:tcPr>
          <w:p w14:paraId="2562DE5A" w14:textId="595D314C" w:rsidR="000E560D" w:rsidRPr="006E1FBF" w:rsidRDefault="000E560D" w:rsidP="006E1FBF">
            <w:pPr>
              <w:jc w:val="right"/>
              <w:rPr>
                <w:sz w:val="20"/>
                <w:szCs w:val="20"/>
              </w:rPr>
            </w:pPr>
            <w:r w:rsidRPr="000E560D">
              <w:rPr>
                <w:rFonts w:eastAsia="Times New Roman" w:cs="Times New Roman"/>
                <w:color w:val="000000"/>
                <w:sz w:val="20"/>
                <w:szCs w:val="20"/>
              </w:rPr>
              <w:t>25697.65</w:t>
            </w:r>
          </w:p>
        </w:tc>
        <w:tc>
          <w:tcPr>
            <w:tcW w:w="966" w:type="dxa"/>
            <w:vAlign w:val="center"/>
          </w:tcPr>
          <w:p w14:paraId="5CF8EB99" w14:textId="67391E27" w:rsidR="000E560D" w:rsidRPr="006E1FBF" w:rsidRDefault="000E560D" w:rsidP="006E1FBF">
            <w:pPr>
              <w:jc w:val="right"/>
              <w:rPr>
                <w:sz w:val="20"/>
                <w:szCs w:val="20"/>
              </w:rPr>
            </w:pPr>
            <w:r w:rsidRPr="000E560D">
              <w:rPr>
                <w:rFonts w:eastAsia="Times New Roman" w:cs="Times New Roman"/>
                <w:color w:val="000000"/>
                <w:sz w:val="20"/>
                <w:szCs w:val="20"/>
              </w:rPr>
              <w:t>10387.89</w:t>
            </w:r>
          </w:p>
        </w:tc>
        <w:tc>
          <w:tcPr>
            <w:tcW w:w="817" w:type="dxa"/>
            <w:vAlign w:val="center"/>
          </w:tcPr>
          <w:p w14:paraId="547342AB" w14:textId="2EE198FD" w:rsidR="000E560D" w:rsidRPr="006E1FBF" w:rsidRDefault="006E1FBF" w:rsidP="006E1FBF">
            <w:pPr>
              <w:jc w:val="right"/>
              <w:rPr>
                <w:sz w:val="20"/>
                <w:szCs w:val="20"/>
              </w:rPr>
            </w:pPr>
            <w:r>
              <w:rPr>
                <w:rFonts w:eastAsia="Times New Roman" w:cs="Times New Roman"/>
                <w:color w:val="000000"/>
                <w:sz w:val="20"/>
                <w:szCs w:val="20"/>
              </w:rPr>
              <w:t>40</w:t>
            </w:r>
          </w:p>
        </w:tc>
      </w:tr>
      <w:tr w:rsidR="000E560D" w:rsidRPr="006E1FBF" w14:paraId="0DD7330D" w14:textId="77777777" w:rsidTr="00D005B6">
        <w:tc>
          <w:tcPr>
            <w:tcW w:w="1110" w:type="dxa"/>
            <w:vAlign w:val="center"/>
          </w:tcPr>
          <w:p w14:paraId="53E16473" w14:textId="685C2848" w:rsidR="000E560D" w:rsidRPr="006E1FBF" w:rsidRDefault="000E560D" w:rsidP="000F4F7A">
            <w:pPr>
              <w:jc w:val="both"/>
              <w:rPr>
                <w:b/>
                <w:sz w:val="20"/>
                <w:szCs w:val="20"/>
              </w:rPr>
            </w:pPr>
            <w:r w:rsidRPr="000E560D">
              <w:rPr>
                <w:rFonts w:eastAsia="Times New Roman" w:cs="Times New Roman"/>
                <w:b/>
                <w:color w:val="000000"/>
                <w:sz w:val="20"/>
                <w:szCs w:val="20"/>
              </w:rPr>
              <w:t>Total</w:t>
            </w:r>
          </w:p>
        </w:tc>
        <w:tc>
          <w:tcPr>
            <w:tcW w:w="1168" w:type="dxa"/>
            <w:vAlign w:val="bottom"/>
          </w:tcPr>
          <w:p w14:paraId="08D77828" w14:textId="32823E94" w:rsidR="000E560D" w:rsidRPr="006E1FBF" w:rsidRDefault="000E560D" w:rsidP="006E1FBF">
            <w:pPr>
              <w:jc w:val="right"/>
              <w:rPr>
                <w:b/>
                <w:sz w:val="20"/>
                <w:szCs w:val="20"/>
              </w:rPr>
            </w:pPr>
            <w:r w:rsidRPr="000E560D">
              <w:rPr>
                <w:rFonts w:eastAsia="Times New Roman" w:cs="Times New Roman"/>
                <w:b/>
                <w:color w:val="000000"/>
                <w:sz w:val="20"/>
                <w:szCs w:val="20"/>
              </w:rPr>
              <w:t>239750</w:t>
            </w:r>
          </w:p>
        </w:tc>
        <w:tc>
          <w:tcPr>
            <w:tcW w:w="1168" w:type="dxa"/>
            <w:vAlign w:val="bottom"/>
          </w:tcPr>
          <w:p w14:paraId="4D294AFB" w14:textId="49A7873C" w:rsidR="000E560D" w:rsidRPr="006E1FBF" w:rsidRDefault="000E560D" w:rsidP="006E1FBF">
            <w:pPr>
              <w:jc w:val="right"/>
              <w:rPr>
                <w:b/>
                <w:sz w:val="20"/>
                <w:szCs w:val="20"/>
              </w:rPr>
            </w:pPr>
            <w:r w:rsidRPr="000E560D">
              <w:rPr>
                <w:rFonts w:eastAsia="Times New Roman" w:cs="Times New Roman"/>
                <w:b/>
                <w:color w:val="000000"/>
                <w:sz w:val="20"/>
                <w:szCs w:val="20"/>
              </w:rPr>
              <w:t>52720.41</w:t>
            </w:r>
          </w:p>
        </w:tc>
        <w:tc>
          <w:tcPr>
            <w:tcW w:w="1142" w:type="dxa"/>
            <w:vAlign w:val="bottom"/>
          </w:tcPr>
          <w:p w14:paraId="442E5EB8" w14:textId="3AFBEFF9" w:rsidR="000E560D" w:rsidRPr="006E1FBF" w:rsidRDefault="000E560D" w:rsidP="006E1FBF">
            <w:pPr>
              <w:jc w:val="right"/>
              <w:rPr>
                <w:b/>
                <w:sz w:val="20"/>
                <w:szCs w:val="20"/>
              </w:rPr>
            </w:pPr>
            <w:r w:rsidRPr="000E560D">
              <w:rPr>
                <w:rFonts w:eastAsia="Times New Roman" w:cs="Times New Roman"/>
                <w:b/>
                <w:color w:val="000000"/>
                <w:sz w:val="20"/>
                <w:szCs w:val="20"/>
              </w:rPr>
              <w:t>52724.83</w:t>
            </w:r>
          </w:p>
        </w:tc>
        <w:tc>
          <w:tcPr>
            <w:tcW w:w="978" w:type="dxa"/>
            <w:vAlign w:val="center"/>
          </w:tcPr>
          <w:p w14:paraId="41F48306" w14:textId="6E3201DD" w:rsidR="000E560D" w:rsidRPr="006E1FBF" w:rsidRDefault="000E560D" w:rsidP="006E1FBF">
            <w:pPr>
              <w:jc w:val="right"/>
              <w:rPr>
                <w:b/>
                <w:sz w:val="20"/>
                <w:szCs w:val="20"/>
              </w:rPr>
            </w:pPr>
            <w:r w:rsidRPr="000E560D">
              <w:rPr>
                <w:rFonts w:eastAsia="Times New Roman" w:cs="Times New Roman"/>
                <w:b/>
                <w:color w:val="000000"/>
                <w:sz w:val="20"/>
                <w:szCs w:val="20"/>
              </w:rPr>
              <w:t>100.01</w:t>
            </w:r>
          </w:p>
        </w:tc>
        <w:tc>
          <w:tcPr>
            <w:tcW w:w="1269" w:type="dxa"/>
            <w:vAlign w:val="bottom"/>
          </w:tcPr>
          <w:p w14:paraId="5C535046" w14:textId="0F7E7665" w:rsidR="000E560D" w:rsidRPr="006E1FBF" w:rsidRDefault="000E560D" w:rsidP="006E1FBF">
            <w:pPr>
              <w:jc w:val="right"/>
              <w:rPr>
                <w:b/>
                <w:sz w:val="20"/>
                <w:szCs w:val="20"/>
              </w:rPr>
            </w:pPr>
            <w:r w:rsidRPr="000E560D">
              <w:rPr>
                <w:rFonts w:eastAsia="Times New Roman" w:cs="Times New Roman"/>
                <w:b/>
                <w:color w:val="000000"/>
                <w:sz w:val="20"/>
                <w:szCs w:val="20"/>
              </w:rPr>
              <w:t>310670</w:t>
            </w:r>
          </w:p>
        </w:tc>
        <w:tc>
          <w:tcPr>
            <w:tcW w:w="1168" w:type="dxa"/>
            <w:vAlign w:val="bottom"/>
          </w:tcPr>
          <w:p w14:paraId="033B7822" w14:textId="0190C4F5" w:rsidR="000E560D" w:rsidRPr="006E1FBF" w:rsidRDefault="000E560D" w:rsidP="006E1FBF">
            <w:pPr>
              <w:jc w:val="right"/>
              <w:rPr>
                <w:b/>
                <w:sz w:val="20"/>
                <w:szCs w:val="20"/>
              </w:rPr>
            </w:pPr>
            <w:r w:rsidRPr="000E560D">
              <w:rPr>
                <w:rFonts w:eastAsia="Times New Roman" w:cs="Times New Roman"/>
                <w:b/>
                <w:color w:val="000000"/>
                <w:sz w:val="20"/>
                <w:szCs w:val="20"/>
              </w:rPr>
              <w:t>333984</w:t>
            </w:r>
          </w:p>
        </w:tc>
        <w:tc>
          <w:tcPr>
            <w:tcW w:w="1267" w:type="dxa"/>
            <w:vAlign w:val="bottom"/>
          </w:tcPr>
          <w:p w14:paraId="1B7C56A4" w14:textId="29E08A53" w:rsidR="000E560D" w:rsidRPr="006E1FBF" w:rsidRDefault="000E560D" w:rsidP="006E1FBF">
            <w:pPr>
              <w:jc w:val="right"/>
              <w:rPr>
                <w:b/>
                <w:sz w:val="20"/>
                <w:szCs w:val="20"/>
              </w:rPr>
            </w:pPr>
            <w:r w:rsidRPr="000E560D">
              <w:rPr>
                <w:rFonts w:eastAsia="Times New Roman" w:cs="Times New Roman"/>
                <w:b/>
                <w:color w:val="000000"/>
                <w:sz w:val="20"/>
                <w:szCs w:val="20"/>
              </w:rPr>
              <w:t>218805.34</w:t>
            </w:r>
          </w:p>
        </w:tc>
        <w:tc>
          <w:tcPr>
            <w:tcW w:w="937" w:type="dxa"/>
            <w:vAlign w:val="center"/>
          </w:tcPr>
          <w:p w14:paraId="0C14A474" w14:textId="26276926" w:rsidR="000E560D" w:rsidRPr="006E1FBF" w:rsidRDefault="000E560D" w:rsidP="006E1FBF">
            <w:pPr>
              <w:jc w:val="right"/>
              <w:rPr>
                <w:b/>
                <w:sz w:val="20"/>
                <w:szCs w:val="20"/>
              </w:rPr>
            </w:pPr>
            <w:r w:rsidRPr="000E560D">
              <w:rPr>
                <w:rFonts w:eastAsia="Times New Roman" w:cs="Times New Roman"/>
                <w:b/>
                <w:color w:val="000000"/>
                <w:sz w:val="20"/>
                <w:szCs w:val="20"/>
              </w:rPr>
              <w:t>65.51</w:t>
            </w:r>
          </w:p>
        </w:tc>
        <w:tc>
          <w:tcPr>
            <w:tcW w:w="1093" w:type="dxa"/>
            <w:vAlign w:val="bottom"/>
          </w:tcPr>
          <w:p w14:paraId="0EF5BC94" w14:textId="53787169" w:rsidR="000E560D" w:rsidRPr="006E1FBF" w:rsidRDefault="000E560D" w:rsidP="006E1FBF">
            <w:pPr>
              <w:jc w:val="right"/>
              <w:rPr>
                <w:b/>
                <w:sz w:val="20"/>
                <w:szCs w:val="20"/>
              </w:rPr>
            </w:pPr>
            <w:r w:rsidRPr="000E560D">
              <w:rPr>
                <w:rFonts w:eastAsia="Times New Roman" w:cs="Times New Roman"/>
                <w:b/>
                <w:color w:val="000000"/>
                <w:sz w:val="20"/>
                <w:szCs w:val="20"/>
              </w:rPr>
              <w:t>245150</w:t>
            </w:r>
          </w:p>
        </w:tc>
        <w:tc>
          <w:tcPr>
            <w:tcW w:w="1093" w:type="dxa"/>
            <w:vAlign w:val="bottom"/>
          </w:tcPr>
          <w:p w14:paraId="0450235B" w14:textId="4EA3AD2C" w:rsidR="000E560D" w:rsidRPr="006E1FBF" w:rsidRDefault="000E560D" w:rsidP="006E1FBF">
            <w:pPr>
              <w:jc w:val="right"/>
              <w:rPr>
                <w:b/>
                <w:sz w:val="20"/>
                <w:szCs w:val="20"/>
              </w:rPr>
            </w:pPr>
            <w:r w:rsidRPr="000E560D">
              <w:rPr>
                <w:rFonts w:eastAsia="Times New Roman" w:cs="Times New Roman"/>
                <w:b/>
                <w:color w:val="000000"/>
                <w:sz w:val="20"/>
                <w:szCs w:val="20"/>
              </w:rPr>
              <w:t>399416.65</w:t>
            </w:r>
          </w:p>
        </w:tc>
        <w:tc>
          <w:tcPr>
            <w:tcW w:w="966" w:type="dxa"/>
            <w:vAlign w:val="bottom"/>
          </w:tcPr>
          <w:p w14:paraId="11690645" w14:textId="78375DA1" w:rsidR="000E560D" w:rsidRPr="006E1FBF" w:rsidRDefault="000E560D" w:rsidP="006E1FBF">
            <w:pPr>
              <w:jc w:val="right"/>
              <w:rPr>
                <w:b/>
                <w:sz w:val="20"/>
                <w:szCs w:val="20"/>
              </w:rPr>
            </w:pPr>
            <w:r w:rsidRPr="000E560D">
              <w:rPr>
                <w:rFonts w:eastAsia="Times New Roman" w:cs="Times New Roman"/>
                <w:b/>
                <w:color w:val="000000"/>
                <w:sz w:val="20"/>
                <w:szCs w:val="20"/>
              </w:rPr>
              <w:t>65849.73</w:t>
            </w:r>
          </w:p>
        </w:tc>
        <w:tc>
          <w:tcPr>
            <w:tcW w:w="817" w:type="dxa"/>
            <w:vAlign w:val="center"/>
          </w:tcPr>
          <w:p w14:paraId="05223EFD" w14:textId="1E462D62" w:rsidR="000E560D" w:rsidRPr="006E1FBF" w:rsidRDefault="006E1FBF" w:rsidP="006E1FBF">
            <w:pPr>
              <w:jc w:val="right"/>
              <w:rPr>
                <w:b/>
                <w:sz w:val="20"/>
                <w:szCs w:val="20"/>
              </w:rPr>
            </w:pPr>
            <w:r>
              <w:rPr>
                <w:rFonts w:eastAsia="Times New Roman" w:cs="Times New Roman"/>
                <w:b/>
                <w:color w:val="000000"/>
                <w:sz w:val="20"/>
                <w:szCs w:val="20"/>
              </w:rPr>
              <w:t>16.5</w:t>
            </w:r>
          </w:p>
        </w:tc>
      </w:tr>
    </w:tbl>
    <w:p w14:paraId="5F406ECD" w14:textId="77777777" w:rsidR="000E560D" w:rsidRPr="006E1FBF" w:rsidRDefault="000E560D" w:rsidP="000F4F7A">
      <w:pPr>
        <w:jc w:val="both"/>
        <w:rPr>
          <w:sz w:val="20"/>
          <w:szCs w:val="20"/>
        </w:rPr>
      </w:pPr>
    </w:p>
    <w:p w14:paraId="1CD82AE3" w14:textId="77777777" w:rsidR="00C8403F" w:rsidRPr="000E560D" w:rsidRDefault="00C8403F" w:rsidP="000F4F7A">
      <w:pPr>
        <w:jc w:val="both"/>
        <w:rPr>
          <w:sz w:val="20"/>
          <w:szCs w:val="20"/>
          <w:highlight w:val="yellow"/>
        </w:rPr>
      </w:pPr>
    </w:p>
    <w:p w14:paraId="34D9528D" w14:textId="77777777" w:rsidR="00C8403F" w:rsidRPr="000E560D" w:rsidRDefault="00C8403F" w:rsidP="000F4F7A">
      <w:pPr>
        <w:jc w:val="both"/>
        <w:rPr>
          <w:sz w:val="20"/>
          <w:szCs w:val="20"/>
          <w:highlight w:val="yellow"/>
        </w:rPr>
        <w:sectPr w:rsidR="00C8403F" w:rsidRPr="000E560D" w:rsidSect="00C8403F">
          <w:pgSz w:w="16840" w:h="11901" w:orient="landscape"/>
          <w:pgMar w:top="1797" w:right="1440" w:bottom="1797" w:left="1440" w:header="709" w:footer="709" w:gutter="0"/>
          <w:cols w:space="708"/>
          <w:titlePg/>
          <w:docGrid w:linePitch="360"/>
        </w:sectPr>
      </w:pPr>
    </w:p>
    <w:p w14:paraId="6B704E5C" w14:textId="77777777" w:rsidR="009910A2" w:rsidRDefault="009910A2" w:rsidP="009910A2">
      <w:pPr>
        <w:jc w:val="both"/>
      </w:pPr>
      <w:r>
        <w:rPr>
          <w:noProof/>
          <w:lang w:val="en-US"/>
        </w:rPr>
        <w:drawing>
          <wp:inline distT="0" distB="0" distL="0" distR="0" wp14:anchorId="64620FE8" wp14:editId="2109123F">
            <wp:extent cx="5274310" cy="4077823"/>
            <wp:effectExtent l="0" t="0" r="34290" b="374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7B1F06" w14:textId="138A0D77" w:rsidR="009910A2" w:rsidRPr="00516656" w:rsidRDefault="009910A2" w:rsidP="009910A2">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The total budgeted amounts and actual expenditure by outcome.</w:t>
      </w:r>
    </w:p>
    <w:p w14:paraId="33B0C5CB" w14:textId="5E0A9DDD" w:rsidR="00C805F9" w:rsidRPr="00516656" w:rsidRDefault="001549AB" w:rsidP="00C805F9">
      <w:pPr>
        <w:jc w:val="both"/>
      </w:pPr>
      <w:r>
        <w:rPr>
          <w:noProof/>
          <w:lang w:val="en-US"/>
        </w:rPr>
        <w:drawing>
          <wp:inline distT="0" distB="0" distL="0" distR="0" wp14:anchorId="5857143B" wp14:editId="0C5824C7">
            <wp:extent cx="5274310" cy="3622425"/>
            <wp:effectExtent l="0" t="0" r="34290" b="355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B889E5" w14:textId="66503767" w:rsidR="00C805F9" w:rsidRPr="00516656" w:rsidRDefault="00050B14" w:rsidP="00050B14">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The cumulative budgeting and actual expenditure by outcome for the project</w:t>
      </w:r>
    </w:p>
    <w:p w14:paraId="734A0FFA" w14:textId="4250B97D" w:rsidR="009910A2" w:rsidRDefault="009910A2" w:rsidP="00C805F9">
      <w:pPr>
        <w:numPr>
          <w:ilvl w:val="0"/>
          <w:numId w:val="2"/>
        </w:numPr>
        <w:ind w:left="0" w:firstLine="0"/>
        <w:jc w:val="both"/>
      </w:pPr>
      <w:r>
        <w:t xml:space="preserve">The point about </w:t>
      </w:r>
      <w:proofErr w:type="gramStart"/>
      <w:r w:rsidR="009443D9">
        <w:t>the underspend</w:t>
      </w:r>
      <w:proofErr w:type="gramEnd"/>
      <w:r w:rsidR="009443D9">
        <w:t xml:space="preserve"> and the project’s still-to-be-expended budget is best illustrated by the expenditure of Outcome 2 (see Figure </w:t>
      </w:r>
      <w:r w:rsidR="000A3D70">
        <w:t>2</w:t>
      </w:r>
      <w:r w:rsidR="009443D9">
        <w:t xml:space="preserve">).  Indeed, only 18.5% (USD 93,309.44) of the total budget of USD 505,000 </w:t>
      </w:r>
      <w:r w:rsidR="002A4FB3">
        <w:t xml:space="preserve">for Outcome 2 </w:t>
      </w:r>
      <w:r w:rsidR="009443D9">
        <w:t xml:space="preserve">has been spent to date – despite the fact that </w:t>
      </w:r>
      <w:r w:rsidR="00EA2AFA">
        <w:t>over half the project’s active life is over (from the first disbursement in November 2013 – October 2015 – thus, 24 months with only 20 months remaining).</w:t>
      </w:r>
    </w:p>
    <w:p w14:paraId="7D6927E2" w14:textId="7EA7D469" w:rsidR="009910A2" w:rsidRDefault="009910A2" w:rsidP="009910A2">
      <w:pPr>
        <w:numPr>
          <w:ilvl w:val="0"/>
          <w:numId w:val="2"/>
        </w:numPr>
        <w:ind w:left="0" w:firstLine="0"/>
        <w:jc w:val="both"/>
      </w:pPr>
      <w:r>
        <w:t xml:space="preserve">Aside from the </w:t>
      </w:r>
      <w:r w:rsidR="005A2CA0">
        <w:t xml:space="preserve">pressure to deliver (in terms of expenditure of the available budgets and the </w:t>
      </w:r>
      <w:r>
        <w:t>funding that will be available for the alternativ</w:t>
      </w:r>
      <w:r w:rsidR="002B30FA">
        <w:t xml:space="preserve">e livelihoods work, there are </w:t>
      </w:r>
      <w:r>
        <w:t xml:space="preserve">other </w:t>
      </w:r>
      <w:r w:rsidR="002B30FA">
        <w:t xml:space="preserve">minor </w:t>
      </w:r>
      <w:r>
        <w:t xml:space="preserve">concerns.  Of the total of USD 95,000 that </w:t>
      </w:r>
      <w:r w:rsidR="005A2CA0">
        <w:t>has been budgeted for Project Management</w:t>
      </w:r>
      <w:r w:rsidR="004677FC">
        <w:t xml:space="preserve">, </w:t>
      </w:r>
      <w:r w:rsidR="002B30FA">
        <w:t>a total of USD 51,172.43 (or 54%) has been expended to date.  In principle, this should be fine: the project’s active life to date has been 24 months and there are now 20 months remaining.  Thus, while it may be tight, there should be sufficient funds for the remaining life of the project.  [However, if a no-cost extension is to be considered</w:t>
      </w:r>
      <w:r w:rsidR="008D7204">
        <w:t xml:space="preserve"> (for discussion on this point, see various sections below), there will be no funding for project management and, therefore, any additional costs would have to be sought – probably from the UNDP-CO.]</w:t>
      </w:r>
    </w:p>
    <w:p w14:paraId="4F9681CA" w14:textId="371108FD" w:rsidR="00C805F9" w:rsidRPr="00516656" w:rsidRDefault="0061526E" w:rsidP="00F93DB6">
      <w:pPr>
        <w:numPr>
          <w:ilvl w:val="0"/>
          <w:numId w:val="2"/>
        </w:numPr>
        <w:ind w:left="0" w:firstLine="0"/>
        <w:jc w:val="both"/>
      </w:pPr>
      <w:r>
        <w:t>T</w:t>
      </w:r>
      <w:r w:rsidR="00F93DB6">
        <w:t xml:space="preserve">he project is </w:t>
      </w:r>
      <w:r>
        <w:t xml:space="preserve">also </w:t>
      </w:r>
      <w:r w:rsidR="00F93DB6">
        <w:t xml:space="preserve">taking steps to ensure </w:t>
      </w:r>
      <w:r w:rsidR="00381FF0" w:rsidRPr="00516656">
        <w:t>cost-effectiveness</w:t>
      </w:r>
      <w:r w:rsidR="00F93DB6">
        <w:t>, for example</w:t>
      </w:r>
      <w:r w:rsidR="00381FF0" w:rsidRPr="00516656">
        <w:t>:</w:t>
      </w:r>
    </w:p>
    <w:p w14:paraId="08B00FA1" w14:textId="3016991A" w:rsidR="00320B18" w:rsidRPr="00516656" w:rsidRDefault="00320B18" w:rsidP="00381FF0">
      <w:pPr>
        <w:numPr>
          <w:ilvl w:val="0"/>
          <w:numId w:val="29"/>
        </w:numPr>
        <w:jc w:val="both"/>
      </w:pPr>
      <w:r w:rsidRPr="00516656">
        <w:t>The project is using the usual UNDP procurement rules that are designed to optimise value-for-money.</w:t>
      </w:r>
    </w:p>
    <w:p w14:paraId="6F6147E5" w14:textId="42226560" w:rsidR="00335311" w:rsidRDefault="00335311" w:rsidP="00381FF0">
      <w:pPr>
        <w:numPr>
          <w:ilvl w:val="0"/>
          <w:numId w:val="29"/>
        </w:numPr>
        <w:jc w:val="both"/>
      </w:pPr>
      <w:r>
        <w:t xml:space="preserve">The project has been awarding contracts to individuals in some circumstances (when an institutional </w:t>
      </w:r>
      <w:r w:rsidR="00E375E9">
        <w:t xml:space="preserve">contract </w:t>
      </w:r>
      <w:r>
        <w:t>is not necessary or politically desirable)</w:t>
      </w:r>
      <w:r w:rsidR="00AE0BE0">
        <w:t>; because institutional overhead costs are not included in these contracts, they are much cheaper than institutional contracts.</w:t>
      </w:r>
    </w:p>
    <w:p w14:paraId="1DC5D1DF" w14:textId="3BAD7FC0" w:rsidR="000A440E" w:rsidRDefault="000A440E" w:rsidP="00381FF0">
      <w:pPr>
        <w:numPr>
          <w:ilvl w:val="0"/>
          <w:numId w:val="29"/>
        </w:numPr>
        <w:jc w:val="both"/>
      </w:pPr>
      <w:r>
        <w:t>The project has secured the support of government partners in the use of facilities – including, for example, conference facilities</w:t>
      </w:r>
      <w:r w:rsidR="00E375E9">
        <w:t>.</w:t>
      </w:r>
    </w:p>
    <w:p w14:paraId="2D6DFB74" w14:textId="601DE0A7" w:rsidR="0061526E" w:rsidRDefault="00E375E9" w:rsidP="0061526E">
      <w:pPr>
        <w:numPr>
          <w:ilvl w:val="0"/>
          <w:numId w:val="29"/>
        </w:numPr>
        <w:jc w:val="both"/>
      </w:pPr>
      <w:r>
        <w:t>The Project Management Unit (PMU) within the UNDP-CO is proving an effective mechanism for reducing costs with cost sharing among different projects.</w:t>
      </w:r>
    </w:p>
    <w:p w14:paraId="6F546A87" w14:textId="5D33B539" w:rsidR="0061526E" w:rsidRPr="00516656" w:rsidRDefault="0061526E" w:rsidP="0061526E">
      <w:pPr>
        <w:numPr>
          <w:ilvl w:val="0"/>
          <w:numId w:val="2"/>
        </w:numPr>
        <w:ind w:left="0" w:firstLine="0"/>
        <w:jc w:val="both"/>
      </w:pPr>
      <w:r>
        <w:t>Finally, the project has not been audited – despite the fact that USD 4,000 per year is allocated to carry out an audit.</w:t>
      </w:r>
    </w:p>
    <w:p w14:paraId="734FF82B" w14:textId="77777777" w:rsidR="00D938B2" w:rsidRPr="00516656" w:rsidRDefault="00D938B2" w:rsidP="00660D28">
      <w:pPr>
        <w:pStyle w:val="Heading3"/>
      </w:pPr>
      <w:bookmarkStart w:id="33" w:name="_Toc311452883"/>
      <w:r w:rsidRPr="00516656">
        <w:t>Project-level Monitoring &amp; Evaluation Systems</w:t>
      </w:r>
      <w:bookmarkEnd w:id="33"/>
    </w:p>
    <w:p w14:paraId="19D74037" w14:textId="755FF253" w:rsidR="00A77660" w:rsidRDefault="00D938B2" w:rsidP="0039653C">
      <w:pPr>
        <w:numPr>
          <w:ilvl w:val="0"/>
          <w:numId w:val="2"/>
        </w:numPr>
        <w:ind w:left="0" w:firstLine="0"/>
        <w:jc w:val="both"/>
      </w:pPr>
      <w:r w:rsidRPr="00516656">
        <w:t>The</w:t>
      </w:r>
      <w:r w:rsidR="00913666" w:rsidRPr="00516656">
        <w:t xml:space="preserve"> project’s M&amp;E framework is similar to the majority of all UNDP-GEF projects with </w:t>
      </w:r>
      <w:r w:rsidR="00327D36">
        <w:t>a relative generous budget of USD 74</w:t>
      </w:r>
      <w:r w:rsidR="00913666" w:rsidRPr="00516656">
        <w:t>,000 all</w:t>
      </w:r>
      <w:r w:rsidR="00441129">
        <w:t>ocated for project monitoring.</w:t>
      </w:r>
    </w:p>
    <w:p w14:paraId="1CC96622" w14:textId="2EBFEA99" w:rsidR="00441129" w:rsidRPr="00DE3E6B" w:rsidRDefault="00441129" w:rsidP="0039653C">
      <w:pPr>
        <w:numPr>
          <w:ilvl w:val="0"/>
          <w:numId w:val="2"/>
        </w:numPr>
        <w:ind w:left="0" w:firstLine="0"/>
        <w:jc w:val="both"/>
      </w:pPr>
      <w:r w:rsidRPr="00DE3E6B">
        <w:t xml:space="preserve">The </w:t>
      </w:r>
      <w:r w:rsidR="0063406A" w:rsidRPr="00DE3E6B">
        <w:t xml:space="preserve">two government structures (mentioned above in Section 4.3.1) are also involved in monitoring the project.  They receive reports from the project and scrutinise the </w:t>
      </w:r>
      <w:r w:rsidR="00DE3E6B" w:rsidRPr="00DE3E6B">
        <w:t xml:space="preserve">annual </w:t>
      </w:r>
      <w:proofErr w:type="spellStart"/>
      <w:r w:rsidR="00DE3E6B" w:rsidRPr="00DE3E6B">
        <w:t>workplans</w:t>
      </w:r>
      <w:proofErr w:type="spellEnd"/>
      <w:r w:rsidR="00DE3E6B" w:rsidRPr="00DE3E6B">
        <w:t xml:space="preserve"> and budgets – thereby contributing to project monitoring.</w:t>
      </w:r>
    </w:p>
    <w:p w14:paraId="3E0B4F1A" w14:textId="51F13F1D" w:rsidR="0059567D" w:rsidRDefault="0059567D" w:rsidP="00A77660">
      <w:pPr>
        <w:numPr>
          <w:ilvl w:val="0"/>
          <w:numId w:val="2"/>
        </w:numPr>
        <w:ind w:left="0" w:firstLine="0"/>
        <w:jc w:val="both"/>
      </w:pPr>
      <w:r>
        <w:t xml:space="preserve">As the project moves into some technically tricky areas (specifically </w:t>
      </w:r>
      <w:proofErr w:type="spellStart"/>
      <w:r w:rsidR="00B142EA">
        <w:t>i</w:t>
      </w:r>
      <w:proofErr w:type="spellEnd"/>
      <w:r w:rsidR="00B142EA">
        <w:t xml:space="preserve">) </w:t>
      </w:r>
      <w:r>
        <w:t>the design and implementation of alternative livelihood programmes, which are made all the more challenging because of the hostile attitude of the local communities at present</w:t>
      </w:r>
      <w:r w:rsidR="00B142EA">
        <w:t xml:space="preserve"> and ii) the establishment of </w:t>
      </w:r>
      <w:r w:rsidR="00064758">
        <w:t>the park including building management and planning systems</w:t>
      </w:r>
      <w:r>
        <w:t xml:space="preserve">), it is possible that the </w:t>
      </w:r>
      <w:r w:rsidR="00B142EA">
        <w:t>project could benefit from some international expertise</w:t>
      </w:r>
      <w:r w:rsidR="00064758">
        <w:t>.  Some of the additional budget to do this could come from surplus M&amp;E budgets; this could easily be justified if the international expert(s) made “monitoring” missions to track the progress of implementation of these aspects of the project.</w:t>
      </w:r>
    </w:p>
    <w:p w14:paraId="4FEDB690" w14:textId="54A40D64" w:rsidR="00660D28" w:rsidRPr="00516656" w:rsidRDefault="00B800A2" w:rsidP="00660D28">
      <w:pPr>
        <w:pStyle w:val="Heading3"/>
      </w:pPr>
      <w:bookmarkStart w:id="34" w:name="_Toc311452884"/>
      <w:r w:rsidRPr="00516656">
        <w:t>Stakeholder engagement</w:t>
      </w:r>
      <w:bookmarkEnd w:id="34"/>
    </w:p>
    <w:p w14:paraId="7AA79338" w14:textId="2F06378C" w:rsidR="00F72FD3" w:rsidRPr="00516656" w:rsidRDefault="00F72FD3" w:rsidP="0039653C">
      <w:pPr>
        <w:numPr>
          <w:ilvl w:val="0"/>
          <w:numId w:val="2"/>
        </w:numPr>
        <w:ind w:left="0" w:firstLine="0"/>
        <w:jc w:val="both"/>
      </w:pPr>
      <w:r w:rsidRPr="00516656">
        <w:t xml:space="preserve">Stakeholder analysis is carried out within the Project Document </w:t>
      </w:r>
      <w:r w:rsidR="001B7B44">
        <w:t xml:space="preserve">and Inception Report, </w:t>
      </w:r>
      <w:r w:rsidRPr="00516656">
        <w:t>and the main stakeholders are identified, with a broad description of their mandate, as well as their identified role and responsibilities within the project.</w:t>
      </w:r>
    </w:p>
    <w:p w14:paraId="1C8DD0C0" w14:textId="11C94FE3" w:rsidR="001B7B44" w:rsidRDefault="001B7B44" w:rsidP="0039653C">
      <w:pPr>
        <w:numPr>
          <w:ilvl w:val="0"/>
          <w:numId w:val="2"/>
        </w:numPr>
        <w:ind w:left="0" w:firstLine="0"/>
        <w:jc w:val="both"/>
      </w:pPr>
      <w:r>
        <w:t xml:space="preserve">The project is </w:t>
      </w:r>
      <w:r w:rsidR="009F643C">
        <w:t xml:space="preserve">mostly </w:t>
      </w:r>
      <w:r>
        <w:t xml:space="preserve">engaging with </w:t>
      </w:r>
      <w:r w:rsidR="00EB5866">
        <w:t xml:space="preserve">most of the </w:t>
      </w:r>
      <w:r>
        <w:t>stakeholders in a satisfactory way.  This was the case right from the outset, with over 100 representatives from 56 stakeholder groups attending the Inception Workshop</w:t>
      </w:r>
      <w:r>
        <w:rPr>
          <w:rStyle w:val="FootnoteReference"/>
        </w:rPr>
        <w:footnoteReference w:id="27"/>
      </w:r>
      <w:r w:rsidR="00E77A8F">
        <w:t>.</w:t>
      </w:r>
      <w:r w:rsidR="00E60480">
        <w:t xml:space="preserve">  Further project presentation workshops took place in the two </w:t>
      </w:r>
      <w:proofErr w:type="spellStart"/>
      <w:r w:rsidR="00E60480">
        <w:t>rayons</w:t>
      </w:r>
      <w:proofErr w:type="spellEnd"/>
      <w:r w:rsidR="00E60480">
        <w:t xml:space="preserve"> adjacent to the park (</w:t>
      </w:r>
      <w:proofErr w:type="spellStart"/>
      <w:r w:rsidR="00E60480">
        <w:t>Typ</w:t>
      </w:r>
      <w:proofErr w:type="spellEnd"/>
      <w:r w:rsidR="00E60480">
        <w:t xml:space="preserve"> and </w:t>
      </w:r>
      <w:proofErr w:type="spellStart"/>
      <w:r w:rsidR="00E60480">
        <w:t>Ak</w:t>
      </w:r>
      <w:proofErr w:type="spellEnd"/>
      <w:r w:rsidR="00E60480">
        <w:t xml:space="preserve"> </w:t>
      </w:r>
      <w:proofErr w:type="spellStart"/>
      <w:r w:rsidR="00E60480">
        <w:t>Suu</w:t>
      </w:r>
      <w:proofErr w:type="spellEnd"/>
      <w:r w:rsidR="00E60480">
        <w:t xml:space="preserve"> </w:t>
      </w:r>
      <w:proofErr w:type="spellStart"/>
      <w:r w:rsidR="00E60480">
        <w:t>rayons</w:t>
      </w:r>
      <w:proofErr w:type="spellEnd"/>
      <w:r w:rsidR="00E60480">
        <w:t xml:space="preserve">) </w:t>
      </w:r>
      <w:r w:rsidR="00EB5866">
        <w:t xml:space="preserve">with good representation </w:t>
      </w:r>
      <w:r w:rsidR="00E60480">
        <w:t>immediately following the Inception Workshop.</w:t>
      </w:r>
    </w:p>
    <w:p w14:paraId="460DC8D1" w14:textId="3392438B" w:rsidR="00E77A8F" w:rsidRDefault="00A84FC8" w:rsidP="0039653C">
      <w:pPr>
        <w:numPr>
          <w:ilvl w:val="0"/>
          <w:numId w:val="2"/>
        </w:numPr>
        <w:ind w:left="0" w:firstLine="0"/>
        <w:jc w:val="both"/>
      </w:pPr>
      <w:r>
        <w:t>The formal structures employed within the setup of the project are also satisfactorily inclusive</w:t>
      </w:r>
      <w:r w:rsidR="00353593">
        <w:t xml:space="preserve"> (</w:t>
      </w:r>
      <w:r>
        <w:t xml:space="preserve">see Annex </w:t>
      </w:r>
      <w:r w:rsidR="00027594">
        <w:t>VI</w:t>
      </w:r>
      <w:r w:rsidR="00353593">
        <w:t xml:space="preserve"> for representation</w:t>
      </w:r>
      <w:r>
        <w:t>).  In addition, of their own volition</w:t>
      </w:r>
      <w:r w:rsidR="00441129">
        <w:t xml:space="preserve"> and as described above</w:t>
      </w:r>
      <w:r>
        <w:t xml:space="preserve">, the government has established two other structures </w:t>
      </w:r>
      <w:r w:rsidR="00441129">
        <w:t>for scrutinising the project.  One of these is comprised of members of the SAEPF only, but the other is an interagency committee comprised of stakeholders from other government organisations (</w:t>
      </w:r>
      <w:r w:rsidR="00441129" w:rsidRPr="00353593">
        <w:t xml:space="preserve">see Annex </w:t>
      </w:r>
      <w:r w:rsidR="00027594">
        <w:t>VI</w:t>
      </w:r>
      <w:r w:rsidR="00441129">
        <w:t xml:space="preserve">).  As a result, stakeholder engagement </w:t>
      </w:r>
      <w:r w:rsidR="00594A37">
        <w:t>at the republican level is good and, as described above, ownership by the SAEPF is also good.</w:t>
      </w:r>
    </w:p>
    <w:p w14:paraId="5FBE281A" w14:textId="7B52B825" w:rsidR="00441129" w:rsidRDefault="00441129" w:rsidP="0039653C">
      <w:pPr>
        <w:numPr>
          <w:ilvl w:val="0"/>
          <w:numId w:val="2"/>
        </w:numPr>
        <w:ind w:left="0" w:firstLine="0"/>
        <w:jc w:val="both"/>
      </w:pPr>
      <w:r>
        <w:t xml:space="preserve">At a local level and primarily as a result of the </w:t>
      </w:r>
      <w:r w:rsidR="003B26EE">
        <w:t xml:space="preserve">(government stipulated) process to establish a protected area, engagement with the stakeholders has, in terms of </w:t>
      </w:r>
      <w:r w:rsidR="00594A37">
        <w:t xml:space="preserve">actually meeting people, been exhaustive.  However, in terms of </w:t>
      </w:r>
      <w:r w:rsidR="00594A37">
        <w:rPr>
          <w:i/>
        </w:rPr>
        <w:t>manner and methodology</w:t>
      </w:r>
      <w:r w:rsidR="00594A37">
        <w:t>, the stakeholder engagement has been heavy-han</w:t>
      </w:r>
      <w:r w:rsidR="00F432B7">
        <w:t>ded (as described in the introductory part of this section – see Section 4.3).</w:t>
      </w:r>
      <w:r w:rsidR="002A29FB">
        <w:t xml:space="preserve">  As suggested in that section, a softer approach could have been taken </w:t>
      </w:r>
      <w:r w:rsidR="00330E65">
        <w:t>– and may yet be taken (see Recommendations).</w:t>
      </w:r>
    </w:p>
    <w:p w14:paraId="205751D9" w14:textId="02CBC0CF" w:rsidR="00985A6F" w:rsidRDefault="006C3041" w:rsidP="002843E4">
      <w:pPr>
        <w:numPr>
          <w:ilvl w:val="0"/>
          <w:numId w:val="2"/>
        </w:numPr>
        <w:ind w:left="0" w:firstLine="0"/>
        <w:jc w:val="both"/>
      </w:pPr>
      <w:r>
        <w:t xml:space="preserve">The deadlock between the project (with the SAEPF) and the </w:t>
      </w:r>
      <w:proofErr w:type="spellStart"/>
      <w:r>
        <w:t>Otrednoe</w:t>
      </w:r>
      <w:proofErr w:type="spellEnd"/>
      <w:r>
        <w:t xml:space="preserve"> </w:t>
      </w:r>
      <w:proofErr w:type="spellStart"/>
      <w:r w:rsidRPr="00985A6F">
        <w:rPr>
          <w:i/>
        </w:rPr>
        <w:t>aiyl</w:t>
      </w:r>
      <w:proofErr w:type="spellEnd"/>
      <w:r w:rsidRPr="00985A6F">
        <w:rPr>
          <w:i/>
        </w:rPr>
        <w:t xml:space="preserve"> </w:t>
      </w:r>
      <w:proofErr w:type="spellStart"/>
      <w:r w:rsidRPr="00985A6F">
        <w:rPr>
          <w:i/>
        </w:rPr>
        <w:t>okmotu</w:t>
      </w:r>
      <w:proofErr w:type="spellEnd"/>
      <w:r>
        <w:t xml:space="preserve"> requires a little more analysis because it threatens to undermine the process of establishing the park.  Among the interviewees (that included the Head of the </w:t>
      </w:r>
      <w:proofErr w:type="spellStart"/>
      <w:r w:rsidRPr="006C3041">
        <w:rPr>
          <w:i/>
        </w:rPr>
        <w:t>aiyl</w:t>
      </w:r>
      <w:proofErr w:type="spellEnd"/>
      <w:r w:rsidRPr="006C3041">
        <w:rPr>
          <w:i/>
        </w:rPr>
        <w:t xml:space="preserve"> </w:t>
      </w:r>
      <w:proofErr w:type="spellStart"/>
      <w:r w:rsidRPr="006C3041">
        <w:rPr>
          <w:i/>
        </w:rPr>
        <w:t>okmotu</w:t>
      </w:r>
      <w:proofErr w:type="spellEnd"/>
      <w:r>
        <w:t>), there was much speculation about their intractable position.  These included: political alignment, holding out for potential gold (or other mineral) finds, other potential “interests” and the fear of losing access to pastures for grazing their livestock.</w:t>
      </w:r>
      <w:r w:rsidR="002843E4">
        <w:t xml:space="preserve">  </w:t>
      </w:r>
      <w:r>
        <w:t xml:space="preserve">Irrespective of the cause(s), the stalemate is underpinned by a profound mistrust of the government by the members of the </w:t>
      </w:r>
      <w:proofErr w:type="spellStart"/>
      <w:r w:rsidRPr="002843E4">
        <w:rPr>
          <w:i/>
        </w:rPr>
        <w:t>aiyl</w:t>
      </w:r>
      <w:proofErr w:type="spellEnd"/>
      <w:r w:rsidRPr="002843E4">
        <w:rPr>
          <w:i/>
        </w:rPr>
        <w:t xml:space="preserve"> </w:t>
      </w:r>
      <w:proofErr w:type="spellStart"/>
      <w:r w:rsidRPr="002843E4">
        <w:rPr>
          <w:i/>
        </w:rPr>
        <w:t>okmotu</w:t>
      </w:r>
      <w:proofErr w:type="spellEnd"/>
      <w:r>
        <w:t>.  Several recommendations are made later in the report (see Section 5.2.4) about potential ways to overcome this deadlock.</w:t>
      </w:r>
    </w:p>
    <w:p w14:paraId="60D0232F" w14:textId="5EAFBD9E" w:rsidR="00F432B7" w:rsidRDefault="002A29FB" w:rsidP="0039653C">
      <w:pPr>
        <w:numPr>
          <w:ilvl w:val="0"/>
          <w:numId w:val="2"/>
        </w:numPr>
        <w:ind w:left="0" w:firstLine="0"/>
        <w:jc w:val="both"/>
      </w:pPr>
      <w:r>
        <w:t xml:space="preserve">In addition to what has been already written, there is one other point to make (that leads to other points in Section 4.4 on Sustainability).  This is that no steps have been taken to </w:t>
      </w:r>
      <w:r w:rsidR="004201B5">
        <w:t xml:space="preserve">start the process of developing alternative livelihoods among the communities – even with those </w:t>
      </w:r>
      <w:r w:rsidR="006C3041">
        <w:t xml:space="preserve">communities </w:t>
      </w:r>
      <w:r w:rsidR="004201B5">
        <w:t xml:space="preserve">that have, for some time now, agreed to the establishment of the park.  As such, the project seems to be proceeding </w:t>
      </w:r>
      <w:r w:rsidR="00D72496">
        <w:t>from step to step, with no deep sense of urgency.  In addition, the steps appear to be</w:t>
      </w:r>
      <w:r w:rsidR="006C3041">
        <w:t xml:space="preserve"> somewhat dictated by the SAEPF</w:t>
      </w:r>
      <w:r w:rsidR="00D72496">
        <w:t xml:space="preserve"> </w:t>
      </w:r>
      <w:r w:rsidR="006C3041">
        <w:t>(</w:t>
      </w:r>
      <w:r w:rsidR="00D72496">
        <w:t>although it is refreshing to have such a sense of ownership</w:t>
      </w:r>
      <w:r w:rsidR="006C3041">
        <w:t>);</w:t>
      </w:r>
      <w:r w:rsidR="00D72496">
        <w:t xml:space="preserve"> the urgency that should possess a four-year project with the ambitions that this one does is not present.</w:t>
      </w:r>
    </w:p>
    <w:p w14:paraId="458C8186" w14:textId="7012E2BB" w:rsidR="00BA729D" w:rsidRPr="004A61E5" w:rsidRDefault="00516C3B" w:rsidP="0039653C">
      <w:pPr>
        <w:numPr>
          <w:ilvl w:val="0"/>
          <w:numId w:val="2"/>
        </w:numPr>
        <w:ind w:left="0" w:firstLine="0"/>
        <w:jc w:val="both"/>
        <w:rPr>
          <w:i/>
        </w:rPr>
      </w:pPr>
      <w:r>
        <w:t xml:space="preserve">As also mentioned above, the project (or, more precisely, one of the project partners) made errors when calculating </w:t>
      </w:r>
      <w:r w:rsidR="00C96BA5">
        <w:t xml:space="preserve">the area of each </w:t>
      </w:r>
      <w:proofErr w:type="spellStart"/>
      <w:r w:rsidR="00C96BA5" w:rsidRPr="00C96BA5">
        <w:rPr>
          <w:i/>
        </w:rPr>
        <w:t>aiyl</w:t>
      </w:r>
      <w:proofErr w:type="spellEnd"/>
      <w:r w:rsidR="00C96BA5" w:rsidRPr="00C96BA5">
        <w:rPr>
          <w:i/>
        </w:rPr>
        <w:t xml:space="preserve"> </w:t>
      </w:r>
      <w:proofErr w:type="spellStart"/>
      <w:r w:rsidR="00C96BA5" w:rsidRPr="00C96BA5">
        <w:rPr>
          <w:i/>
        </w:rPr>
        <w:t>okmotu</w:t>
      </w:r>
      <w:r w:rsidR="00C96BA5">
        <w:t>’s</w:t>
      </w:r>
      <w:proofErr w:type="spellEnd"/>
      <w:r w:rsidR="00C96BA5">
        <w:t xml:space="preserve"> pasture that was to be included in the park.  When this was revealed to at least one of the </w:t>
      </w:r>
      <w:proofErr w:type="spellStart"/>
      <w:r w:rsidR="00C96BA5" w:rsidRPr="00C96BA5">
        <w:rPr>
          <w:i/>
        </w:rPr>
        <w:t>aiyl</w:t>
      </w:r>
      <w:proofErr w:type="spellEnd"/>
      <w:r w:rsidR="00C96BA5" w:rsidRPr="00C96BA5">
        <w:rPr>
          <w:i/>
        </w:rPr>
        <w:t xml:space="preserve"> </w:t>
      </w:r>
      <w:proofErr w:type="spellStart"/>
      <w:r w:rsidR="00C96BA5" w:rsidRPr="00C96BA5">
        <w:rPr>
          <w:i/>
        </w:rPr>
        <w:t>okmotu</w:t>
      </w:r>
      <w:proofErr w:type="spellEnd"/>
      <w:r w:rsidR="00C96BA5">
        <w:t>, they immediately threatened to withdraw their support for the park.  The project (and, more accurately, the SAEPF) is now considering rushing through the legal steps to establish the park</w:t>
      </w:r>
      <w:r w:rsidR="00E60480">
        <w:t xml:space="preserve"> (in contrast with the point made above about a lack of urgency!):</w:t>
      </w:r>
      <w:r w:rsidR="00C96BA5">
        <w:t xml:space="preserve"> </w:t>
      </w:r>
      <w:proofErr w:type="spellStart"/>
      <w:r w:rsidR="00C96BA5">
        <w:t>i</w:t>
      </w:r>
      <w:proofErr w:type="spellEnd"/>
      <w:r w:rsidR="00C96BA5">
        <w:t xml:space="preserve">) leaving out the pastures of the </w:t>
      </w:r>
      <w:proofErr w:type="spellStart"/>
      <w:r w:rsidR="00C96BA5">
        <w:t>Otradnoe</w:t>
      </w:r>
      <w:proofErr w:type="spellEnd"/>
      <w:r w:rsidR="00C96BA5">
        <w:t xml:space="preserve"> </w:t>
      </w:r>
      <w:proofErr w:type="spellStart"/>
      <w:r w:rsidR="00C96BA5" w:rsidRPr="00C96BA5">
        <w:rPr>
          <w:i/>
        </w:rPr>
        <w:t>aiyl</w:t>
      </w:r>
      <w:proofErr w:type="spellEnd"/>
      <w:r w:rsidR="00C96BA5" w:rsidRPr="00C96BA5">
        <w:rPr>
          <w:i/>
        </w:rPr>
        <w:t xml:space="preserve"> </w:t>
      </w:r>
      <w:proofErr w:type="spellStart"/>
      <w:r w:rsidR="00C96BA5" w:rsidRPr="00C96BA5">
        <w:rPr>
          <w:i/>
        </w:rPr>
        <w:t>okmotu</w:t>
      </w:r>
      <w:proofErr w:type="spellEnd"/>
      <w:r w:rsidR="00C96BA5">
        <w:t xml:space="preserve"> and ii) </w:t>
      </w:r>
      <w:r w:rsidR="004A61E5">
        <w:t xml:space="preserve">before the </w:t>
      </w:r>
      <w:proofErr w:type="spellStart"/>
      <w:r w:rsidR="004A61E5" w:rsidRPr="004A61E5">
        <w:rPr>
          <w:i/>
        </w:rPr>
        <w:t>aiyl</w:t>
      </w:r>
      <w:proofErr w:type="spellEnd"/>
      <w:r w:rsidR="004A61E5" w:rsidRPr="004A61E5">
        <w:rPr>
          <w:i/>
        </w:rPr>
        <w:t xml:space="preserve"> </w:t>
      </w:r>
      <w:proofErr w:type="spellStart"/>
      <w:r w:rsidR="004A61E5" w:rsidRPr="004A61E5">
        <w:rPr>
          <w:i/>
        </w:rPr>
        <w:t>okmotu</w:t>
      </w:r>
      <w:proofErr w:type="spellEnd"/>
      <w:r w:rsidR="004A61E5">
        <w:t xml:space="preserve"> withdraws its support – or any of the others finding out that errors were made!!  This is obviously a far from ideal situation but </w:t>
      </w:r>
      <w:r w:rsidR="004A61E5" w:rsidRPr="004A61E5">
        <w:rPr>
          <w:i/>
        </w:rPr>
        <w:t xml:space="preserve">taking steps such as these will only serve to alienate the communities </w:t>
      </w:r>
      <w:r w:rsidR="00E60480">
        <w:rPr>
          <w:i/>
        </w:rPr>
        <w:t xml:space="preserve">and deepen distrust </w:t>
      </w:r>
      <w:r w:rsidR="004A61E5" w:rsidRPr="004A61E5">
        <w:rPr>
          <w:i/>
        </w:rPr>
        <w:t>further</w:t>
      </w:r>
      <w:r w:rsidR="00E60480">
        <w:rPr>
          <w:i/>
        </w:rPr>
        <w:t>,</w:t>
      </w:r>
      <w:r w:rsidR="004A61E5" w:rsidRPr="004A61E5">
        <w:rPr>
          <w:i/>
        </w:rPr>
        <w:t xml:space="preserve"> and could lead to the unravelling of all the work carried out to date.  The MTR recommends in the strongest terms possible </w:t>
      </w:r>
      <w:r w:rsidR="004A61E5">
        <w:rPr>
          <w:i/>
        </w:rPr>
        <w:t>to explore all other options before such profound steps are taken.</w:t>
      </w:r>
    </w:p>
    <w:p w14:paraId="7B02AC6B" w14:textId="592A9561" w:rsidR="00D72496" w:rsidRDefault="00D72496" w:rsidP="0039653C">
      <w:pPr>
        <w:numPr>
          <w:ilvl w:val="0"/>
          <w:numId w:val="2"/>
        </w:numPr>
        <w:ind w:left="0" w:firstLine="0"/>
        <w:jc w:val="both"/>
      </w:pPr>
      <w:r>
        <w:t>The engagement with other development partners and civil-society organisations is also broadly satisfactory.  However, this is not without its shortcomings.  There has been a profound and absolute breakdown of relations with WWF and despite the apparent pleadings of the UNDP-CO, it appears at present as if this cannot be mended.</w:t>
      </w:r>
      <w:r w:rsidR="007C17DB">
        <w:t xml:space="preserve">  This is more than simply misfortunate for a number of reasons: </w:t>
      </w:r>
      <w:proofErr w:type="spellStart"/>
      <w:r w:rsidR="007C17DB">
        <w:t>i</w:t>
      </w:r>
      <w:proofErr w:type="spellEnd"/>
      <w:r w:rsidR="007C17DB">
        <w:t xml:space="preserve">) WWF (in conjunction with USAID) are supposed to be key co-financiers to the project, and ii) the two key people involved with WWF in Kyrgyzstan led the design and development of the project – which was, after all, based on the foundation of WWF’s </w:t>
      </w:r>
      <w:proofErr w:type="spellStart"/>
      <w:r w:rsidR="007C17DB">
        <w:t>Econet</w:t>
      </w:r>
      <w:proofErr w:type="spellEnd"/>
      <w:r w:rsidR="007C17DB">
        <w:t xml:space="preserve"> analyses.</w:t>
      </w:r>
    </w:p>
    <w:p w14:paraId="7EBCC567" w14:textId="55312D98" w:rsidR="00467631" w:rsidRDefault="00B840A3" w:rsidP="0039653C">
      <w:pPr>
        <w:numPr>
          <w:ilvl w:val="0"/>
          <w:numId w:val="2"/>
        </w:numPr>
        <w:ind w:left="0" w:firstLine="0"/>
        <w:jc w:val="both"/>
      </w:pPr>
      <w:r>
        <w:t>In terms of the project’s engagement and contribution to gender equality a number of points can be made:</w:t>
      </w:r>
    </w:p>
    <w:p w14:paraId="493B91E8" w14:textId="506FFE01" w:rsidR="00B840A3" w:rsidRDefault="00B840A3" w:rsidP="00B840A3">
      <w:pPr>
        <w:numPr>
          <w:ilvl w:val="1"/>
          <w:numId w:val="2"/>
        </w:numPr>
        <w:jc w:val="both"/>
      </w:pPr>
      <w:proofErr w:type="gramStart"/>
      <w:r>
        <w:t>The project’s development was led by a woman</w:t>
      </w:r>
      <w:proofErr w:type="gramEnd"/>
      <w:r>
        <w:t xml:space="preserve"> and the project development process was designed to capture the inputs of stakeholders, irrespective of gender.</w:t>
      </w:r>
    </w:p>
    <w:p w14:paraId="244A4619" w14:textId="6F936767" w:rsidR="00B840A3" w:rsidRDefault="00B840A3" w:rsidP="00B840A3">
      <w:pPr>
        <w:numPr>
          <w:ilvl w:val="1"/>
          <w:numId w:val="2"/>
        </w:numPr>
        <w:jc w:val="both"/>
      </w:pPr>
      <w:r>
        <w:t>Similarly, the recruitment of people engaged with the project was done irrespective of gender although, as with all UNDP projects, women and minorities were encouraged to apply.</w:t>
      </w:r>
    </w:p>
    <w:p w14:paraId="3D548C33" w14:textId="2A20AA15" w:rsidR="00B840A3" w:rsidRDefault="003A43FF" w:rsidP="00B840A3">
      <w:pPr>
        <w:numPr>
          <w:ilvl w:val="1"/>
          <w:numId w:val="2"/>
        </w:numPr>
        <w:jc w:val="both"/>
      </w:pPr>
      <w:proofErr w:type="gramStart"/>
      <w:r>
        <w:t>Project implementation is being led by two women</w:t>
      </w:r>
      <w:proofErr w:type="gramEnd"/>
      <w:r>
        <w:t xml:space="preserve"> (the Project Coordinator and Project Assistant).</w:t>
      </w:r>
    </w:p>
    <w:p w14:paraId="5E8EDF7D" w14:textId="57EA1BFD" w:rsidR="003A43FF" w:rsidRDefault="003A43FF" w:rsidP="00B840A3">
      <w:pPr>
        <w:numPr>
          <w:ilvl w:val="1"/>
          <w:numId w:val="2"/>
        </w:numPr>
        <w:jc w:val="both"/>
      </w:pPr>
      <w:r>
        <w:t>The project is making efforts not to perpetuate gender stereotypes.</w:t>
      </w:r>
    </w:p>
    <w:p w14:paraId="4229C224" w14:textId="518DC8AD" w:rsidR="003A43FF" w:rsidRDefault="009D6B85" w:rsidP="00B840A3">
      <w:pPr>
        <w:numPr>
          <w:ilvl w:val="1"/>
          <w:numId w:val="2"/>
        </w:numPr>
        <w:jc w:val="both"/>
      </w:pPr>
      <w:r>
        <w:t xml:space="preserve">Employment opportunities that arise from the project outcomes (especially the establishment of the Khan </w:t>
      </w:r>
      <w:proofErr w:type="spellStart"/>
      <w:r>
        <w:t>Tengri</w:t>
      </w:r>
      <w:proofErr w:type="spellEnd"/>
      <w:r>
        <w:t xml:space="preserve"> National Park) may </w:t>
      </w:r>
      <w:r>
        <w:rPr>
          <w:i/>
        </w:rPr>
        <w:t>not</w:t>
      </w:r>
      <w:r>
        <w:t xml:space="preserve"> be equal as there is an existing gender stereotype that park inspectors should be male.  The project should make efforts to ensure that in the documents </w:t>
      </w:r>
      <w:proofErr w:type="gramStart"/>
      <w:r>
        <w:t>the provide</w:t>
      </w:r>
      <w:proofErr w:type="gramEnd"/>
      <w:r>
        <w:t xml:space="preserve"> the foundation for the establishment of the park, there are pledges and principles included to ensure gender equality.</w:t>
      </w:r>
    </w:p>
    <w:p w14:paraId="296A822C" w14:textId="53EE5D7E" w:rsidR="005725E0" w:rsidRDefault="005725E0" w:rsidP="00B840A3">
      <w:pPr>
        <w:numPr>
          <w:ilvl w:val="1"/>
          <w:numId w:val="2"/>
        </w:numPr>
        <w:jc w:val="both"/>
      </w:pPr>
      <w:r>
        <w:t>The outcomes of the project, especially the establishment of the national park, will be gender neutral and should impact men and women in similar ways.</w:t>
      </w:r>
    </w:p>
    <w:p w14:paraId="6D8195E4" w14:textId="3A461361" w:rsidR="00660D28" w:rsidRPr="00516656" w:rsidRDefault="00B800A2" w:rsidP="00660D28">
      <w:pPr>
        <w:pStyle w:val="Heading3"/>
      </w:pPr>
      <w:bookmarkStart w:id="35" w:name="_Toc311452885"/>
      <w:r w:rsidRPr="00516656">
        <w:t>Reporting</w:t>
      </w:r>
      <w:bookmarkEnd w:id="35"/>
    </w:p>
    <w:p w14:paraId="5C38748B" w14:textId="1776AC5E" w:rsidR="00AA2FB8" w:rsidRDefault="002843E4" w:rsidP="0077272D">
      <w:pPr>
        <w:numPr>
          <w:ilvl w:val="0"/>
          <w:numId w:val="2"/>
        </w:numPr>
        <w:ind w:left="0" w:firstLine="0"/>
        <w:jc w:val="both"/>
      </w:pPr>
      <w:r>
        <w:t>The project is following standard reporting processes and sc</w:t>
      </w:r>
      <w:r w:rsidR="005A087A">
        <w:t>hedules for UNDP-GEF projects.  In addition to these usual practices, the project reports to the SAEPF and to the interagency committee that has been established by the SAEPF.</w:t>
      </w:r>
    </w:p>
    <w:p w14:paraId="263D446C" w14:textId="3F58F1A0" w:rsidR="005A087A" w:rsidRDefault="005A087A" w:rsidP="0077272D">
      <w:pPr>
        <w:numPr>
          <w:ilvl w:val="0"/>
          <w:numId w:val="2"/>
        </w:numPr>
        <w:ind w:left="0" w:firstLine="0"/>
        <w:jc w:val="both"/>
      </w:pPr>
      <w:r>
        <w:t>There is room for improvement in the reporting: within the PIRs, there is some muddling of the project’s results framework and information inserted into the columns each year, and the narrative in the section on “Progress in Implementation”</w:t>
      </w:r>
      <w:r w:rsidR="00ED722E">
        <w:t>.  While the PRF can contain</w:t>
      </w:r>
      <w:r>
        <w:t xml:space="preserve"> updates towards the achievement of the targets for the indicators, </w:t>
      </w:r>
      <w:r w:rsidR="00ED722E">
        <w:t xml:space="preserve">it should be concise and brief; the section on “Progress in Implementation” is where the narrative should be placed.  At present, a lengthy narrative is placed within the PRF and only </w:t>
      </w:r>
      <w:r w:rsidR="00AD55D2">
        <w:t>brief bullet points is placed in the “Progress in Implementation”.  The analysis of the progress towards outcomes in the MTR report (see Section 4.2.1) is an example of what the narrative in the PIR’s “Progress in Implementation” section should look like!</w:t>
      </w:r>
    </w:p>
    <w:p w14:paraId="34192AB9" w14:textId="1E6427B3" w:rsidR="00660D28" w:rsidRPr="00516656" w:rsidRDefault="00B800A2" w:rsidP="00660D28">
      <w:pPr>
        <w:pStyle w:val="Heading3"/>
      </w:pPr>
      <w:bookmarkStart w:id="36" w:name="_Toc311452886"/>
      <w:r w:rsidRPr="00516656">
        <w:t>Communication</w:t>
      </w:r>
      <w:bookmarkEnd w:id="36"/>
      <w:r w:rsidR="00660D28" w:rsidRPr="00516656">
        <w:t xml:space="preserve"> </w:t>
      </w:r>
    </w:p>
    <w:p w14:paraId="5AA7B45F" w14:textId="46F8B000" w:rsidR="00FD11D3" w:rsidRDefault="00FD11D3" w:rsidP="00216C70">
      <w:pPr>
        <w:numPr>
          <w:ilvl w:val="0"/>
          <w:numId w:val="2"/>
        </w:numPr>
        <w:ind w:left="0" w:firstLine="0"/>
        <w:jc w:val="both"/>
      </w:pPr>
      <w:r>
        <w:t>The project has a proactive communication plan which is developed and implemented on an annual basis.  As an example, the communication processes for this year (2015) have included:</w:t>
      </w:r>
    </w:p>
    <w:p w14:paraId="54EC6C57" w14:textId="54D9D2BE" w:rsidR="001B4B0B" w:rsidRDefault="001B4B0B" w:rsidP="001B4B0B">
      <w:pPr>
        <w:numPr>
          <w:ilvl w:val="1"/>
          <w:numId w:val="2"/>
        </w:numPr>
        <w:jc w:val="both"/>
      </w:pPr>
      <w:r>
        <w:t xml:space="preserve">A </w:t>
      </w:r>
      <w:r w:rsidR="008251EF">
        <w:t xml:space="preserve">March for parks </w:t>
      </w:r>
      <w:r>
        <w:t xml:space="preserve">that involved </w:t>
      </w:r>
      <w:r w:rsidR="008251EF">
        <w:t>25 schools</w:t>
      </w:r>
      <w:r>
        <w:t xml:space="preserve"> (with over 500 students from schools and universities participating).  The event also involved geography and biology teachers, and there was a “master class” on environmental education.  Competitions were held for children and youth.  The event rolled from Earth Day (22 April) until Biodiversity Day (22 May).</w:t>
      </w:r>
    </w:p>
    <w:p w14:paraId="4BDC44CF" w14:textId="58A2C434" w:rsidR="008251EF" w:rsidRDefault="001B4B0B" w:rsidP="001B4B0B">
      <w:pPr>
        <w:numPr>
          <w:ilvl w:val="1"/>
          <w:numId w:val="2"/>
        </w:numPr>
        <w:jc w:val="both"/>
      </w:pPr>
      <w:r>
        <w:t>On 05 June, a Poetry Day for university students was held and involved students from three faculties (ecology, sports and linguistics)</w:t>
      </w:r>
    </w:p>
    <w:p w14:paraId="684C77F4" w14:textId="1277A66E" w:rsidR="001B4B0B" w:rsidRDefault="001B4B0B" w:rsidP="001B4B0B">
      <w:pPr>
        <w:numPr>
          <w:ilvl w:val="1"/>
          <w:numId w:val="2"/>
        </w:numPr>
        <w:jc w:val="both"/>
      </w:pPr>
      <w:r>
        <w:t xml:space="preserve">College students were taken to </w:t>
      </w:r>
      <w:proofErr w:type="spellStart"/>
      <w:r>
        <w:t>Karakol</w:t>
      </w:r>
      <w:proofErr w:type="spellEnd"/>
      <w:r>
        <w:t xml:space="preserve"> State Nature Park in an organised “clean-up” and tree-planting exercise.</w:t>
      </w:r>
    </w:p>
    <w:p w14:paraId="3FBD0AD9" w14:textId="6071CC27" w:rsidR="008251EF" w:rsidRDefault="001B4B0B" w:rsidP="001B4B0B">
      <w:pPr>
        <w:numPr>
          <w:ilvl w:val="1"/>
          <w:numId w:val="2"/>
        </w:numPr>
        <w:jc w:val="both"/>
      </w:pPr>
      <w:r>
        <w:t>All events were covered by the media, including print, electronic and TV</w:t>
      </w:r>
    </w:p>
    <w:p w14:paraId="6FC9D8F6" w14:textId="0F754C6D" w:rsidR="001B4B0B" w:rsidRDefault="001B4B0B" w:rsidP="001B4B0B">
      <w:pPr>
        <w:numPr>
          <w:ilvl w:val="1"/>
          <w:numId w:val="2"/>
        </w:numPr>
        <w:jc w:val="both"/>
      </w:pPr>
      <w:r>
        <w:t>The project has also made other press releases from time to time, as appropriate.</w:t>
      </w:r>
    </w:p>
    <w:p w14:paraId="10B4643C" w14:textId="10B0AF15" w:rsidR="003B111C" w:rsidRPr="00B30CFC" w:rsidRDefault="003B111C" w:rsidP="00216C70">
      <w:pPr>
        <w:numPr>
          <w:ilvl w:val="0"/>
          <w:numId w:val="2"/>
        </w:numPr>
        <w:ind w:left="0" w:firstLine="0"/>
        <w:jc w:val="both"/>
      </w:pPr>
      <w:r>
        <w:t xml:space="preserve">This was similar in </w:t>
      </w:r>
      <w:r w:rsidRPr="00B30CFC">
        <w:t xml:space="preserve">previous years – one example from 2014 was the public awareness campaign </w:t>
      </w:r>
      <w:r w:rsidR="00B30CFC" w:rsidRPr="00B30CFC">
        <w:t xml:space="preserve">“Importance of Biodiversity” (carried out from 09-15 June 2014 in </w:t>
      </w:r>
      <w:proofErr w:type="spellStart"/>
      <w:r w:rsidR="00B30CFC" w:rsidRPr="00B30CFC">
        <w:t>Djety-Oguz</w:t>
      </w:r>
      <w:proofErr w:type="spellEnd"/>
      <w:r w:rsidR="00B30CFC" w:rsidRPr="00B30CFC">
        <w:t xml:space="preserve"> and </w:t>
      </w:r>
      <w:proofErr w:type="spellStart"/>
      <w:r w:rsidR="00B30CFC" w:rsidRPr="00B30CFC">
        <w:t>Ak-Suu</w:t>
      </w:r>
      <w:proofErr w:type="spellEnd"/>
      <w:r w:rsidR="00B30CFC" w:rsidRPr="00B30CFC">
        <w:t xml:space="preserve"> </w:t>
      </w:r>
      <w:proofErr w:type="spellStart"/>
      <w:r w:rsidR="00B30CFC" w:rsidRPr="00B30CFC">
        <w:t>rayons</w:t>
      </w:r>
      <w:proofErr w:type="spellEnd"/>
      <w:r w:rsidR="00B30CFC" w:rsidRPr="00B30CFC">
        <w:t xml:space="preserve"> of </w:t>
      </w:r>
      <w:proofErr w:type="spellStart"/>
      <w:r w:rsidR="00B30CFC" w:rsidRPr="00B30CFC">
        <w:t>Issyk-Kyl</w:t>
      </w:r>
      <w:proofErr w:type="spellEnd"/>
      <w:r w:rsidR="00B30CFC" w:rsidRPr="00B30CFC">
        <w:t xml:space="preserve"> oblast).  The objective of this campaign was to increase local communities’ knowledge and awareness on biodiversity conservation, environmental legislation, </w:t>
      </w:r>
      <w:proofErr w:type="gramStart"/>
      <w:r w:rsidR="00B30CFC" w:rsidRPr="00B30CFC">
        <w:t>types</w:t>
      </w:r>
      <w:proofErr w:type="gramEnd"/>
      <w:r w:rsidR="00B30CFC" w:rsidRPr="00B30CFC">
        <w:t xml:space="preserve"> of environmental violations, penalties and sustainable use of wildlife.</w:t>
      </w:r>
    </w:p>
    <w:p w14:paraId="5D2C24C1" w14:textId="74C7EFA8" w:rsidR="008251EF" w:rsidRPr="003B111C" w:rsidRDefault="005A57FE" w:rsidP="00216C70">
      <w:pPr>
        <w:numPr>
          <w:ilvl w:val="0"/>
          <w:numId w:val="2"/>
        </w:numPr>
        <w:ind w:left="0" w:firstLine="0"/>
        <w:jc w:val="both"/>
      </w:pPr>
      <w:r w:rsidRPr="00B30CFC">
        <w:t>In these ways, the project has been working to improve awareness and bring the establishment of the park</w:t>
      </w:r>
      <w:r>
        <w:t xml:space="preserve"> to the attention of the public.  Whether or not this is having impact remains unknown because no surveys have been undertaken (and it is now too late to establish any sort of baseline).  The best way to ascertain whether there is any impact of such awareness creation activities is to carry out a modified Knowledge-Attitude-Practice (KAP </w:t>
      </w:r>
      <w:r w:rsidRPr="003B111C">
        <w:t>survey</w:t>
      </w:r>
      <w:r w:rsidR="00520FBD" w:rsidRPr="003B111C">
        <w:rPr>
          <w:rStyle w:val="FootnoteReference"/>
        </w:rPr>
        <w:footnoteReference w:id="28"/>
      </w:r>
      <w:r w:rsidRPr="003B111C">
        <w:t>.</w:t>
      </w:r>
    </w:p>
    <w:p w14:paraId="4C00A0B2" w14:textId="4F21A454" w:rsidR="00483AA0" w:rsidRPr="00516656" w:rsidRDefault="00483AA0" w:rsidP="00660D28">
      <w:pPr>
        <w:pStyle w:val="Heading2"/>
      </w:pPr>
      <w:bookmarkStart w:id="37" w:name="_Toc311452887"/>
      <w:r w:rsidRPr="00516656">
        <w:t>Sustainability</w:t>
      </w:r>
      <w:bookmarkEnd w:id="37"/>
    </w:p>
    <w:p w14:paraId="13C211F3" w14:textId="5909F608" w:rsidR="00563826" w:rsidRDefault="00802AF1" w:rsidP="00CD5E76">
      <w:pPr>
        <w:numPr>
          <w:ilvl w:val="0"/>
          <w:numId w:val="2"/>
        </w:numPr>
        <w:ind w:left="0" w:firstLine="0"/>
        <w:jc w:val="both"/>
      </w:pPr>
      <w:r>
        <w:t xml:space="preserve">While it is </w:t>
      </w:r>
      <w:r w:rsidR="001A5B7B">
        <w:t xml:space="preserve">still </w:t>
      </w:r>
      <w:r>
        <w:t xml:space="preserve">early to </w:t>
      </w:r>
      <w:r w:rsidR="001A5B7B">
        <w:t>have a full grasp of the degree to which sustainability may – or may not – be achieved, the amount of work that remains to be done in a relatively limited amount of time means that there are significant concerns about sustainability</w:t>
      </w:r>
      <w:r w:rsidR="00B07D2F">
        <w:t xml:space="preserve"> even at this stage</w:t>
      </w:r>
      <w:r w:rsidR="001A5B7B">
        <w:t>.  These will be discussed in this section, with recommendations of what be done to enhance the likelihood of sustainability.</w:t>
      </w:r>
    </w:p>
    <w:p w14:paraId="41ABB91F" w14:textId="4D05D5EE" w:rsidR="009C5655" w:rsidRDefault="009C5655" w:rsidP="00CD5E76">
      <w:pPr>
        <w:numPr>
          <w:ilvl w:val="0"/>
          <w:numId w:val="2"/>
        </w:numPr>
        <w:ind w:left="0" w:firstLine="0"/>
        <w:jc w:val="both"/>
      </w:pPr>
      <w:r>
        <w:t>Indeed, the journey has barely begun.  And even once the park is legally established and once the project has done its part to procure equipment and provide training f</w:t>
      </w:r>
      <w:r w:rsidR="00F34790">
        <w:t>or the members of staff of the park, this is still far from a park with strong foundations.  The same is precisely true of the livelihoods work.</w:t>
      </w:r>
    </w:p>
    <w:p w14:paraId="4582FBE2" w14:textId="225CFCD4" w:rsidR="00F34790" w:rsidRDefault="00F34790" w:rsidP="00CD5E76">
      <w:pPr>
        <w:numPr>
          <w:ilvl w:val="0"/>
          <w:numId w:val="2"/>
        </w:numPr>
        <w:ind w:left="0" w:firstLine="0"/>
        <w:jc w:val="both"/>
      </w:pPr>
      <w:r>
        <w:t>In order to contribute to ensuring sustainability, the project should consider developing – and adhering to – a brief, concise sustainability plan.  In it, each of the project’s processes, outputs, outcomes and objectives should be listed, and against each, the actions that need to be taken to ensure sustainability.</w:t>
      </w:r>
    </w:p>
    <w:p w14:paraId="23AA2357" w14:textId="348306A7" w:rsidR="00E21C6A" w:rsidRDefault="00E21C6A" w:rsidP="00CD5E76">
      <w:pPr>
        <w:numPr>
          <w:ilvl w:val="0"/>
          <w:numId w:val="2"/>
        </w:numPr>
        <w:ind w:left="0" w:firstLine="0"/>
        <w:jc w:val="both"/>
      </w:pPr>
      <w:r>
        <w:t xml:space="preserve">In the remaining time of the project and while these aspects are developed and implemented, where necessary, the project should draw off the </w:t>
      </w:r>
      <w:r w:rsidR="00FE5E8B">
        <w:t xml:space="preserve">technical </w:t>
      </w:r>
      <w:r>
        <w:t>resources and support that is available to them.  This not only includes the UNDP-GEF Regional Technical Centre in Istanbul but also elsewhere within the UNDP-GEF network</w:t>
      </w:r>
      <w:r w:rsidR="00433445">
        <w:t xml:space="preserve">.  In addition and as already discussed, the project urgently needs to recruit a Chief Technical Advisor to assist with the livelihoods aspect of the project.  In addition and funding-dependent, the project (and </w:t>
      </w:r>
      <w:r w:rsidR="0058773D">
        <w:t>the</w:t>
      </w:r>
      <w:r w:rsidR="00433445">
        <w:t xml:space="preserve"> park</w:t>
      </w:r>
      <w:r w:rsidR="0058773D">
        <w:t>, once established</w:t>
      </w:r>
      <w:r w:rsidR="00433445">
        <w:t>) would have much</w:t>
      </w:r>
      <w:r w:rsidR="0058773D">
        <w:t xml:space="preserve"> to gain from </w:t>
      </w:r>
      <w:r w:rsidR="00E65DB8">
        <w:t>recruitment of a Protected Areas Advisor (ideally, an international</w:t>
      </w:r>
      <w:r w:rsidR="00E65DB8">
        <w:rPr>
          <w:rStyle w:val="FootnoteReference"/>
        </w:rPr>
        <w:footnoteReference w:id="29"/>
      </w:r>
      <w:r w:rsidR="00E65DB8">
        <w:t>).</w:t>
      </w:r>
    </w:p>
    <w:p w14:paraId="669CAF0E" w14:textId="6AF0A379" w:rsidR="00181388" w:rsidRPr="000004BD" w:rsidRDefault="00FE5E8B" w:rsidP="00CD5E76">
      <w:pPr>
        <w:numPr>
          <w:ilvl w:val="0"/>
          <w:numId w:val="2"/>
        </w:numPr>
        <w:ind w:left="0" w:firstLine="0"/>
        <w:jc w:val="both"/>
      </w:pPr>
      <w:r w:rsidRPr="000004BD">
        <w:t xml:space="preserve">There is an alternative to the employment of either (or both) of these advisors.  This is to engage partner organisation(s) to assist with these components of the project.  The funding that is available for these positions </w:t>
      </w:r>
      <w:r w:rsidR="00D77AF3" w:rsidRPr="000004BD">
        <w:t xml:space="preserve">could be used as grants to establish the partner organisation(s).  The </w:t>
      </w:r>
      <w:proofErr w:type="gramStart"/>
      <w:r w:rsidR="00831967" w:rsidRPr="000004BD">
        <w:t>engagement of partner organisation(s) will contribute significantly to ensuring sustainability because they</w:t>
      </w:r>
      <w:r w:rsidR="000004BD" w:rsidRPr="000004BD">
        <w:t xml:space="preserve"> could be present and active in the area lo</w:t>
      </w:r>
      <w:r w:rsidR="000004BD">
        <w:t>ng after the project has closed (and see</w:t>
      </w:r>
      <w:proofErr w:type="gramEnd"/>
      <w:r w:rsidR="000004BD">
        <w:t xml:space="preserve"> section on Recommendations </w:t>
      </w:r>
      <w:r w:rsidR="00594759">
        <w:t>for further discussion).</w:t>
      </w:r>
    </w:p>
    <w:p w14:paraId="59D206B8" w14:textId="180B4B3E" w:rsidR="00C86A5E" w:rsidRDefault="00C86A5E" w:rsidP="00CD5E76">
      <w:pPr>
        <w:numPr>
          <w:ilvl w:val="0"/>
          <w:numId w:val="2"/>
        </w:numPr>
        <w:ind w:left="0" w:firstLine="0"/>
        <w:jc w:val="both"/>
      </w:pPr>
      <w:r>
        <w:t xml:space="preserve">Finally, it will fall to the project’s Terminal Evaluation to assess the degree to which the project has truly build the foundations for sustainability within the park and </w:t>
      </w:r>
      <w:r w:rsidR="00417397">
        <w:t>for the livelihoods of</w:t>
      </w:r>
      <w:r>
        <w:t xml:space="preserve"> the local communities.</w:t>
      </w:r>
    </w:p>
    <w:tbl>
      <w:tblPr>
        <w:tblStyle w:val="TableGrid"/>
        <w:tblW w:w="0" w:type="auto"/>
        <w:tblLayout w:type="fixed"/>
        <w:tblLook w:val="04A0" w:firstRow="1" w:lastRow="0" w:firstColumn="1" w:lastColumn="0" w:noHBand="0" w:noVBand="1"/>
      </w:tblPr>
      <w:tblGrid>
        <w:gridCol w:w="1526"/>
        <w:gridCol w:w="1417"/>
        <w:gridCol w:w="5579"/>
      </w:tblGrid>
      <w:tr w:rsidR="006B2A06" w:rsidRPr="00FF6383" w14:paraId="6F366D2C" w14:textId="77777777" w:rsidTr="006B2A06">
        <w:trPr>
          <w:tblHeader/>
        </w:trPr>
        <w:tc>
          <w:tcPr>
            <w:tcW w:w="1526" w:type="dxa"/>
            <w:shd w:val="clear" w:color="auto" w:fill="D9D9D9" w:themeFill="background1" w:themeFillShade="D9"/>
          </w:tcPr>
          <w:p w14:paraId="2BC782FA" w14:textId="783BE1D9" w:rsidR="006B2A06" w:rsidRPr="00FF6383" w:rsidRDefault="006B2A06" w:rsidP="006D37D3">
            <w:pPr>
              <w:rPr>
                <w:b/>
                <w:sz w:val="18"/>
                <w:szCs w:val="18"/>
              </w:rPr>
            </w:pPr>
            <w:r w:rsidRPr="00FF6383">
              <w:rPr>
                <w:b/>
                <w:sz w:val="18"/>
                <w:szCs w:val="18"/>
              </w:rPr>
              <w:t>Measure</w:t>
            </w:r>
          </w:p>
        </w:tc>
        <w:tc>
          <w:tcPr>
            <w:tcW w:w="1417" w:type="dxa"/>
            <w:shd w:val="clear" w:color="auto" w:fill="D9D9D9" w:themeFill="background1" w:themeFillShade="D9"/>
          </w:tcPr>
          <w:p w14:paraId="1FF86C17" w14:textId="77777777" w:rsidR="006B2A06" w:rsidRPr="00FF6383" w:rsidRDefault="006B2A06" w:rsidP="006D37D3">
            <w:pPr>
              <w:jc w:val="center"/>
              <w:rPr>
                <w:b/>
                <w:sz w:val="18"/>
                <w:szCs w:val="18"/>
              </w:rPr>
            </w:pPr>
            <w:r w:rsidRPr="00FF6383">
              <w:rPr>
                <w:b/>
                <w:sz w:val="18"/>
                <w:szCs w:val="18"/>
              </w:rPr>
              <w:t>MTR Rating</w:t>
            </w:r>
          </w:p>
        </w:tc>
        <w:tc>
          <w:tcPr>
            <w:tcW w:w="5579" w:type="dxa"/>
            <w:shd w:val="clear" w:color="auto" w:fill="D9D9D9" w:themeFill="background1" w:themeFillShade="D9"/>
          </w:tcPr>
          <w:p w14:paraId="18577BD6" w14:textId="77777777" w:rsidR="006B2A06" w:rsidRPr="00FF6383" w:rsidRDefault="006B2A06" w:rsidP="006D37D3">
            <w:pPr>
              <w:rPr>
                <w:b/>
                <w:sz w:val="18"/>
                <w:szCs w:val="18"/>
              </w:rPr>
            </w:pPr>
            <w:r w:rsidRPr="00FF6383">
              <w:rPr>
                <w:b/>
                <w:sz w:val="18"/>
                <w:szCs w:val="18"/>
              </w:rPr>
              <w:t>Achievement Description</w:t>
            </w:r>
          </w:p>
        </w:tc>
      </w:tr>
      <w:tr w:rsidR="006B2A06" w:rsidRPr="00FF6383" w14:paraId="2E8A2C77" w14:textId="77777777" w:rsidTr="006B2A06">
        <w:tc>
          <w:tcPr>
            <w:tcW w:w="1526" w:type="dxa"/>
            <w:shd w:val="clear" w:color="auto" w:fill="D9D9D9" w:themeFill="background1" w:themeFillShade="D9"/>
          </w:tcPr>
          <w:p w14:paraId="0AB63D55" w14:textId="47AB3BEF" w:rsidR="006B2A06" w:rsidRPr="00FF6383" w:rsidRDefault="006B2A06" w:rsidP="006D37D3">
            <w:pPr>
              <w:rPr>
                <w:b/>
                <w:sz w:val="18"/>
                <w:szCs w:val="18"/>
              </w:rPr>
            </w:pPr>
            <w:r w:rsidRPr="00FF6383">
              <w:rPr>
                <w:b/>
                <w:sz w:val="18"/>
                <w:szCs w:val="18"/>
              </w:rPr>
              <w:t>Sustainability</w:t>
            </w:r>
          </w:p>
        </w:tc>
        <w:tc>
          <w:tcPr>
            <w:tcW w:w="1417" w:type="dxa"/>
          </w:tcPr>
          <w:p w14:paraId="0C5B9AA2" w14:textId="77777777" w:rsidR="006B2A06" w:rsidRPr="00FF6383" w:rsidRDefault="006B2A06" w:rsidP="006D37D3">
            <w:pPr>
              <w:jc w:val="center"/>
              <w:rPr>
                <w:b/>
                <w:sz w:val="18"/>
                <w:szCs w:val="18"/>
              </w:rPr>
            </w:pPr>
            <w:r>
              <w:rPr>
                <w:b/>
                <w:sz w:val="18"/>
                <w:szCs w:val="18"/>
              </w:rPr>
              <w:t>MU</w:t>
            </w:r>
          </w:p>
        </w:tc>
        <w:tc>
          <w:tcPr>
            <w:tcW w:w="5579" w:type="dxa"/>
          </w:tcPr>
          <w:p w14:paraId="3147E788" w14:textId="77777777" w:rsidR="006B2A06" w:rsidRPr="00BB01A7" w:rsidRDefault="006B2A06" w:rsidP="006D37D3">
            <w:pPr>
              <w:rPr>
                <w:sz w:val="18"/>
                <w:szCs w:val="18"/>
              </w:rPr>
            </w:pPr>
            <w:r>
              <w:rPr>
                <w:sz w:val="18"/>
                <w:szCs w:val="18"/>
              </w:rPr>
              <w:t xml:space="preserve">With only 20 months of implementation time remaining and with a great deal of work to be completed, real questions emerge about the sustainability of: </w:t>
            </w:r>
            <w:proofErr w:type="spellStart"/>
            <w:r>
              <w:rPr>
                <w:sz w:val="18"/>
                <w:szCs w:val="18"/>
              </w:rPr>
              <w:t>i</w:t>
            </w:r>
            <w:proofErr w:type="spellEnd"/>
            <w:r>
              <w:rPr>
                <w:sz w:val="18"/>
                <w:szCs w:val="18"/>
              </w:rPr>
              <w:t xml:space="preserve">) the KTNP (if and when legally established), ii) the ecological functionality of the buffers and corridors, and iii) any livelihoods work that the project may carry out in its remaining lifetime.  The project </w:t>
            </w:r>
            <w:r>
              <w:rPr>
                <w:i/>
                <w:sz w:val="18"/>
                <w:szCs w:val="18"/>
              </w:rPr>
              <w:t>may</w:t>
            </w:r>
            <w:r>
              <w:rPr>
                <w:sz w:val="18"/>
                <w:szCs w:val="18"/>
              </w:rPr>
              <w:t xml:space="preserve"> deliver on all of its outputs, expenditure and achieve the majority of the indicator targets  - but that does not necessarily guarantee sustainability.  The project has a great deal of work to do to build foundations that will make the work that it has carried out and the impacts that it may achieve sustainable.</w:t>
            </w:r>
          </w:p>
        </w:tc>
      </w:tr>
    </w:tbl>
    <w:p w14:paraId="34F77C70" w14:textId="77777777" w:rsidR="00887486" w:rsidRDefault="00887486" w:rsidP="00887486">
      <w:pPr>
        <w:jc w:val="both"/>
      </w:pPr>
    </w:p>
    <w:p w14:paraId="79CEC50E" w14:textId="15FC0D69" w:rsidR="00552642" w:rsidRPr="00516656" w:rsidRDefault="00552642" w:rsidP="00552642">
      <w:pPr>
        <w:pStyle w:val="Heading3"/>
      </w:pPr>
      <w:bookmarkStart w:id="38" w:name="_Toc311452888"/>
      <w:r w:rsidRPr="00516656">
        <w:t>Financial Risks to Sustainability</w:t>
      </w:r>
      <w:bookmarkEnd w:id="38"/>
    </w:p>
    <w:p w14:paraId="5763D3DA" w14:textId="2042DC31" w:rsidR="00D4376D" w:rsidRDefault="00FA09BB" w:rsidP="0039653C">
      <w:pPr>
        <w:numPr>
          <w:ilvl w:val="0"/>
          <w:numId w:val="2"/>
        </w:numPr>
        <w:ind w:left="0" w:firstLine="0"/>
        <w:jc w:val="both"/>
      </w:pPr>
      <w:r>
        <w:t>There are numerous concerns regarding the likelihood of financial sustainability.  As with the other aspects of sustainability, these are from both the perspective of the national park and that of the livelihoods of the local communities.  These will be dealt with in turn in each of the following sections.</w:t>
      </w:r>
    </w:p>
    <w:p w14:paraId="174DD721" w14:textId="0CCD158D" w:rsidR="00FA09BB" w:rsidRDefault="00FA09BB" w:rsidP="0039653C">
      <w:pPr>
        <w:numPr>
          <w:ilvl w:val="0"/>
          <w:numId w:val="2"/>
        </w:numPr>
        <w:ind w:left="0" w:firstLine="0"/>
        <w:jc w:val="both"/>
      </w:pPr>
      <w:r>
        <w:t xml:space="preserve">From the perspective of the park, it was </w:t>
      </w:r>
      <w:r w:rsidR="00E31838">
        <w:t xml:space="preserve">instructive over the MTR mission in Kyrgyzstan to understand the financial system that is in place for the </w:t>
      </w:r>
      <w:proofErr w:type="spellStart"/>
      <w:r w:rsidR="00E31838">
        <w:t>Karakol</w:t>
      </w:r>
      <w:proofErr w:type="spellEnd"/>
      <w:r w:rsidR="00E31838">
        <w:t xml:space="preserve"> State Nature Park – which also falls within the </w:t>
      </w:r>
      <w:proofErr w:type="spellStart"/>
      <w:r w:rsidR="00E31838">
        <w:t>Issyl</w:t>
      </w:r>
      <w:proofErr w:type="spellEnd"/>
      <w:r w:rsidR="00E31838">
        <w:t xml:space="preserve"> </w:t>
      </w:r>
      <w:proofErr w:type="spellStart"/>
      <w:r w:rsidR="00E31838">
        <w:t>Kul</w:t>
      </w:r>
      <w:proofErr w:type="spellEnd"/>
      <w:r w:rsidR="00E31838">
        <w:t xml:space="preserve"> oblast and the </w:t>
      </w:r>
      <w:proofErr w:type="spellStart"/>
      <w:r w:rsidR="00E31838">
        <w:t>Ak</w:t>
      </w:r>
      <w:proofErr w:type="spellEnd"/>
      <w:r w:rsidR="00E31838">
        <w:t xml:space="preserve"> </w:t>
      </w:r>
      <w:proofErr w:type="spellStart"/>
      <w:r w:rsidR="00E31838">
        <w:t>Suu</w:t>
      </w:r>
      <w:proofErr w:type="spellEnd"/>
      <w:r w:rsidR="00E31838">
        <w:t xml:space="preserve"> rayon.  [Not unlike many protected areas around the world], the park receives funding from the government to cover its basic recurrent costs – thus, its salaries and other recurrent costs.  However, any development or capital costs are not covered by the state and </w:t>
      </w:r>
      <w:proofErr w:type="gramStart"/>
      <w:r w:rsidR="00E31838">
        <w:t>these must be raised by the protected area</w:t>
      </w:r>
      <w:proofErr w:type="gramEnd"/>
      <w:r w:rsidR="00E31838">
        <w:t xml:space="preserve">.  Fortuitously for the </w:t>
      </w:r>
      <w:proofErr w:type="spellStart"/>
      <w:r w:rsidR="00E31838">
        <w:t>Karakol</w:t>
      </w:r>
      <w:proofErr w:type="spellEnd"/>
      <w:r w:rsidR="00E31838">
        <w:t xml:space="preserve"> SNP, it has a number of opportunities to accrue revenues, including: tourism (through the ski resort), the sale of seedlings, the sale of timber, </w:t>
      </w:r>
      <w:r w:rsidR="005850EA">
        <w:t>and the rent of pastures.  In other words, their revenues streams are currently diverse and sufficient to fulfil their needs.  However, t</w:t>
      </w:r>
      <w:r w:rsidR="00D4355B">
        <w:t xml:space="preserve">here are concerns that the Khan </w:t>
      </w:r>
      <w:proofErr w:type="spellStart"/>
      <w:r w:rsidR="00D4355B">
        <w:t>Tengri</w:t>
      </w:r>
      <w:proofErr w:type="spellEnd"/>
      <w:r w:rsidR="00D4355B">
        <w:t xml:space="preserve"> National Park will have fewer options to generate revenues.</w:t>
      </w:r>
    </w:p>
    <w:p w14:paraId="783E659C" w14:textId="7B1CE536" w:rsidR="00D4355B" w:rsidRDefault="00D4355B" w:rsidP="0039653C">
      <w:pPr>
        <w:numPr>
          <w:ilvl w:val="0"/>
          <w:numId w:val="2"/>
        </w:numPr>
        <w:ind w:left="0" w:firstLine="0"/>
        <w:jc w:val="both"/>
      </w:pPr>
      <w:r>
        <w:t xml:space="preserve">It is important, therefore, that a financial sustainability plan for the KTNP is </w:t>
      </w:r>
      <w:r w:rsidR="00BF1A8E">
        <w:t>developed before the project closes; this may be coupled with the development of the park’s management plan.  The financial sustainability should also be developed in conjunction with a tourism development plan (which, similarly, could be coupled with the development of the park’s management plan).</w:t>
      </w:r>
    </w:p>
    <w:p w14:paraId="579FAC84" w14:textId="2849DC8F" w:rsidR="00E21C6A" w:rsidRDefault="008C2346" w:rsidP="0039653C">
      <w:pPr>
        <w:numPr>
          <w:ilvl w:val="0"/>
          <w:numId w:val="2"/>
        </w:numPr>
        <w:ind w:left="0" w:firstLine="0"/>
        <w:jc w:val="both"/>
      </w:pPr>
      <w:r>
        <w:t xml:space="preserve">In addition to the financial sustainability of the park, the project has also “recruited” and trained a group of “freelance inspectors”.  </w:t>
      </w:r>
      <w:r w:rsidR="003D1BC1">
        <w:t>When asked why they were motivated to carry out their tasks with no formal salary, the response was, partly, their patriotism!  While this is surely not in question, at present, the freelance inspectors do get some remuneration if they manage to catch poachers (as indicated in Section 4.2.1).  Howeve</w:t>
      </w:r>
      <w:r w:rsidR="00C86A5E">
        <w:t>r, if they are very successful, the number of poaching incidents will diminish and they will no longer be remunerated for their work.  In short, this is not a sustainable source of financing for the freelance inspectors and the potential for abuse is high as a result.</w:t>
      </w:r>
    </w:p>
    <w:p w14:paraId="289F7EF2" w14:textId="7477D810" w:rsidR="00DB6B74" w:rsidRPr="00516656" w:rsidRDefault="00C86A5E" w:rsidP="006A08E7">
      <w:pPr>
        <w:numPr>
          <w:ilvl w:val="0"/>
          <w:numId w:val="2"/>
        </w:numPr>
        <w:ind w:left="0" w:firstLine="0"/>
        <w:jc w:val="both"/>
      </w:pPr>
      <w:r>
        <w:t xml:space="preserve">As with the park, there are concerns about the </w:t>
      </w:r>
      <w:r w:rsidR="00321985">
        <w:t xml:space="preserve">sustainability of the alternative livelihood work that the project is due to carry out.  The majority of these concerns will be discussed in the following section (on socio-economic sustainability, see Section 4.4.2).  However, </w:t>
      </w:r>
      <w:r w:rsidR="006A08E7">
        <w:t xml:space="preserve">given that the livelihood programme plans include the implementation of a micro-credit scheme, it is worth starting the discussion here.  The project has allocated </w:t>
      </w:r>
      <w:r w:rsidR="0063779D">
        <w:t xml:space="preserve">USD 150,000 to initiate a micro-credit scheme among the local communities.  Fortunately, there are existing structures through which these can be implemented (the </w:t>
      </w:r>
      <w:proofErr w:type="spellStart"/>
      <w:r w:rsidR="0063779D" w:rsidRPr="0063779D">
        <w:rPr>
          <w:i/>
        </w:rPr>
        <w:t>aiyl</w:t>
      </w:r>
      <w:proofErr w:type="spellEnd"/>
      <w:r w:rsidR="0063779D" w:rsidRPr="0063779D">
        <w:rPr>
          <w:i/>
        </w:rPr>
        <w:t xml:space="preserve"> </w:t>
      </w:r>
      <w:proofErr w:type="spellStart"/>
      <w:r w:rsidR="0063779D" w:rsidRPr="0063779D">
        <w:rPr>
          <w:i/>
        </w:rPr>
        <w:t>okmotu</w:t>
      </w:r>
      <w:proofErr w:type="spellEnd"/>
      <w:r w:rsidR="0063779D">
        <w:t xml:space="preserve">) but, nonetheless, this is almost a trivial sum of money given that there are </w:t>
      </w:r>
      <w:proofErr w:type="gramStart"/>
      <w:r w:rsidR="0063779D">
        <w:t xml:space="preserve">seven </w:t>
      </w:r>
      <w:proofErr w:type="spellStart"/>
      <w:r w:rsidR="0063779D" w:rsidRPr="0063779D">
        <w:rPr>
          <w:i/>
        </w:rPr>
        <w:t>aiyl</w:t>
      </w:r>
      <w:proofErr w:type="spellEnd"/>
      <w:proofErr w:type="gramEnd"/>
      <w:r w:rsidR="0063779D" w:rsidRPr="0063779D">
        <w:rPr>
          <w:i/>
        </w:rPr>
        <w:t xml:space="preserve"> </w:t>
      </w:r>
      <w:proofErr w:type="spellStart"/>
      <w:r w:rsidR="0063779D" w:rsidRPr="0063779D">
        <w:rPr>
          <w:i/>
        </w:rPr>
        <w:t>okmotu</w:t>
      </w:r>
      <w:proofErr w:type="spellEnd"/>
      <w:r w:rsidR="0063779D">
        <w:t xml:space="preserve"> in the area.</w:t>
      </w:r>
      <w:r w:rsidR="00092BC7">
        <w:t xml:space="preserve">  In addition, that sum of money will not last very long: thus, without mechanisms to replenish or re-capitalise the micro-credit fund.  There are numerous ways in which this could be done.  The project should, however, work with the communities themselves to develop the scheme of how the re-capitalisation should function.</w:t>
      </w:r>
    </w:p>
    <w:p w14:paraId="32C04AA3" w14:textId="2E40D1F8" w:rsidR="00552642" w:rsidRPr="00516656" w:rsidRDefault="00B7729F" w:rsidP="00552642">
      <w:pPr>
        <w:pStyle w:val="Heading3"/>
      </w:pPr>
      <w:bookmarkStart w:id="39" w:name="_Toc311452889"/>
      <w:r w:rsidRPr="00516656">
        <w:t>Socio-economic Risks to Sustainability</w:t>
      </w:r>
      <w:bookmarkEnd w:id="39"/>
    </w:p>
    <w:p w14:paraId="444DE1A2" w14:textId="61782310" w:rsidR="0002435C" w:rsidRDefault="0046490F" w:rsidP="0002435C">
      <w:pPr>
        <w:numPr>
          <w:ilvl w:val="0"/>
          <w:numId w:val="2"/>
        </w:numPr>
        <w:ind w:left="0" w:firstLine="0"/>
        <w:jc w:val="both"/>
      </w:pPr>
      <w:r>
        <w:t xml:space="preserve">The potential to cause more harm than good </w:t>
      </w:r>
      <w:r w:rsidR="00926274">
        <w:t>when trying to implement a livelihood programme from scratch with only 20 months in which to do it is high.  Alternative livelihood programme</w:t>
      </w:r>
      <w:r w:rsidR="00917F29">
        <w:t>s</w:t>
      </w:r>
      <w:r w:rsidR="00926274">
        <w:t xml:space="preserve"> are complex </w:t>
      </w:r>
      <w:r w:rsidR="00C949A6">
        <w:t>to implement.  They rely some social organisation or structures through which the programmes can work being in place.  The capacity of the communities needs to be built – for example, in proposal development, transparency and accountability, monitoring and evaluation, and reporting as well as in the skills that may be necessary for whatever project is being implemented.</w:t>
      </w:r>
    </w:p>
    <w:p w14:paraId="0D41E7A8" w14:textId="132C75CE" w:rsidR="00917F29" w:rsidRDefault="00917F29" w:rsidP="005354E1">
      <w:pPr>
        <w:numPr>
          <w:ilvl w:val="0"/>
          <w:numId w:val="2"/>
        </w:numPr>
        <w:ind w:left="0" w:firstLine="0"/>
        <w:jc w:val="both"/>
      </w:pPr>
      <w:r>
        <w:t xml:space="preserve">There are three pillars to the socio-economic development work: </w:t>
      </w:r>
      <w:proofErr w:type="spellStart"/>
      <w:r>
        <w:t>i</w:t>
      </w:r>
      <w:proofErr w:type="spellEnd"/>
      <w:r>
        <w:t>) the introduction of micro-credit schemes, ii) the management of pastures – not only but primarily the pastures that have been included in the KTNP, and iii) the development of tourism.</w:t>
      </w:r>
      <w:r w:rsidR="005354E1">
        <w:t xml:space="preserve">  Each of these needs to be developed with a strong linkage to environmental sustainability (see section below).</w:t>
      </w:r>
    </w:p>
    <w:p w14:paraId="462A92A8" w14:textId="589FC022" w:rsidR="00C949A6" w:rsidRDefault="00016F6B" w:rsidP="0002435C">
      <w:pPr>
        <w:numPr>
          <w:ilvl w:val="0"/>
          <w:numId w:val="2"/>
        </w:numPr>
        <w:ind w:left="0" w:firstLine="0"/>
        <w:jc w:val="both"/>
      </w:pPr>
      <w:r>
        <w:t xml:space="preserve">Fortuitously, the UNDP-CO </w:t>
      </w:r>
      <w:r w:rsidR="00C949A6">
        <w:t xml:space="preserve">and other </w:t>
      </w:r>
      <w:r>
        <w:t>organisations within Kyrgyzstan</w:t>
      </w:r>
      <w:r w:rsidR="00C949A6">
        <w:t xml:space="preserve"> have experience implementing </w:t>
      </w:r>
      <w:r>
        <w:t xml:space="preserve">micro-credit schemes.  The project will have to draw off these </w:t>
      </w:r>
      <w:r w:rsidR="00216571">
        <w:t>to ensure that the schemes are implemented in the project area in as efficient a way as possible.</w:t>
      </w:r>
    </w:p>
    <w:p w14:paraId="5A774401" w14:textId="77777777" w:rsidR="00216571" w:rsidRDefault="00216571" w:rsidP="00216571">
      <w:pPr>
        <w:numPr>
          <w:ilvl w:val="0"/>
          <w:numId w:val="2"/>
        </w:numPr>
        <w:ind w:left="0" w:firstLine="0"/>
        <w:jc w:val="both"/>
      </w:pPr>
      <w:r>
        <w:t xml:space="preserve">Realistically, the project will get into the first round of funding for a limited number of micro-credit schemes/projects.  It is very unlikely that these will come to fruition by the end of the project and the </w:t>
      </w:r>
      <w:r>
        <w:rPr>
          <w:i/>
        </w:rPr>
        <w:t>impact</w:t>
      </w:r>
      <w:r>
        <w:t xml:space="preserve"> on livelihoods will be negligible.  The project needs to prepare itself for this and to ensure that there is a mechanism to allow the work to continue once the project has closed.  Various options for how this may be done are discussed in the Recommendations section below.</w:t>
      </w:r>
    </w:p>
    <w:p w14:paraId="67FC9F4C" w14:textId="14062984" w:rsidR="00917F29" w:rsidRDefault="005354E1" w:rsidP="00216571">
      <w:pPr>
        <w:numPr>
          <w:ilvl w:val="0"/>
          <w:numId w:val="2"/>
        </w:numPr>
        <w:ind w:left="0" w:firstLine="0"/>
        <w:jc w:val="both"/>
      </w:pPr>
      <w:r>
        <w:t xml:space="preserve">There is also good experience </w:t>
      </w:r>
      <w:r w:rsidR="00203D97">
        <w:t>in development of schemes for improved management of pastures throughout Kyrgyzstan and good experiences in natural resource management from around the world</w:t>
      </w:r>
      <w:r w:rsidR="00BF1B28">
        <w:rPr>
          <w:rStyle w:val="FootnoteReference"/>
        </w:rPr>
        <w:footnoteReference w:id="30"/>
      </w:r>
      <w:r w:rsidR="00203D97">
        <w:t>.</w:t>
      </w:r>
      <w:r w:rsidR="00BF1B28">
        <w:t xml:space="preserve">  In addition, there are numerous lessons from poor practices from around the world (and the MTR is convinced that there will also be examples from Kyrgyzstan as well) on how </w:t>
      </w:r>
      <w:r w:rsidR="00BF1B28">
        <w:rPr>
          <w:i/>
        </w:rPr>
        <w:t>not</w:t>
      </w:r>
      <w:r w:rsidR="00BF1B28">
        <w:t xml:space="preserve"> to </w:t>
      </w:r>
      <w:r w:rsidR="009724AD">
        <w:t>implement pasture management</w:t>
      </w:r>
      <w:r w:rsidR="009724AD">
        <w:rPr>
          <w:rStyle w:val="FootnoteReference"/>
        </w:rPr>
        <w:footnoteReference w:id="31"/>
      </w:r>
      <w:r w:rsidR="00BF1B28">
        <w:t>.  Thus, the foundati</w:t>
      </w:r>
      <w:r w:rsidR="009724AD">
        <w:t>ons are there on which to build and lessons on what to avoid!</w:t>
      </w:r>
    </w:p>
    <w:p w14:paraId="075D3418" w14:textId="18955678" w:rsidR="00BF1B28" w:rsidRDefault="00BF1B28" w:rsidP="00216571">
      <w:pPr>
        <w:numPr>
          <w:ilvl w:val="0"/>
          <w:numId w:val="2"/>
        </w:numPr>
        <w:ind w:left="0" w:firstLine="0"/>
        <w:jc w:val="both"/>
      </w:pPr>
      <w:r>
        <w:t>When developing and implementing pasture management schemes, there are a number of principles and lessons learned which are essential</w:t>
      </w:r>
      <w:r w:rsidR="009724AD">
        <w:t xml:space="preserve"> for success and sustainability: </w:t>
      </w:r>
      <w:proofErr w:type="spellStart"/>
      <w:r w:rsidR="009724AD">
        <w:t>i</w:t>
      </w:r>
      <w:proofErr w:type="spellEnd"/>
      <w:r w:rsidR="009724AD">
        <w:t xml:space="preserve">) the </w:t>
      </w:r>
      <w:r w:rsidR="009724AD" w:rsidRPr="002F78DE">
        <w:rPr>
          <w:i/>
        </w:rPr>
        <w:t>responsibility</w:t>
      </w:r>
      <w:r w:rsidR="009724AD">
        <w:t xml:space="preserve"> for pasture access and use should remain with the pasture committees – including those pastures that have been included within the National Park; ii) pasture use (and other use of natural resources) should be negotiated and agreed with the communities with the agreements being formalised in a way that is culturally appropriate and binding; iii) the agreements include conflict resolution mechanisms, </w:t>
      </w:r>
      <w:r w:rsidR="002F78DE">
        <w:t>allocated responsibilities for monitoring, iv) language such as pastures are “owned” or “transferred” to the park should be avoided; the pastures are “included into the area” of the park is more appropriate.</w:t>
      </w:r>
    </w:p>
    <w:p w14:paraId="4B35FE67" w14:textId="08BB1AD1" w:rsidR="00D168CD" w:rsidRDefault="002F78DE" w:rsidP="0002435C">
      <w:pPr>
        <w:numPr>
          <w:ilvl w:val="0"/>
          <w:numId w:val="2"/>
        </w:numPr>
        <w:ind w:left="0" w:firstLine="0"/>
        <w:jc w:val="both"/>
      </w:pPr>
      <w:r>
        <w:t>Finally, t</w:t>
      </w:r>
      <w:r w:rsidR="00216571">
        <w:t xml:space="preserve">ourism represents a real opportunity for generating revenue in the area – not only within the Khan </w:t>
      </w:r>
      <w:proofErr w:type="spellStart"/>
      <w:r w:rsidR="00216571">
        <w:t>Tengri</w:t>
      </w:r>
      <w:proofErr w:type="spellEnd"/>
      <w:r w:rsidR="00216571">
        <w:t xml:space="preserve"> National Park but also in the surrounding areas.  </w:t>
      </w:r>
      <w:r>
        <w:t xml:space="preserve">The tourism development and management plan should consider how best this should be done but, again, there are numerous lessons from around the world – including Kyrgyzstan – on </w:t>
      </w:r>
      <w:r w:rsidR="00D168CD">
        <w:t>which to build</w:t>
      </w:r>
      <w:r>
        <w:t>.</w:t>
      </w:r>
      <w:r w:rsidR="00F4576F">
        <w:t xml:space="preserve">  </w:t>
      </w:r>
      <w:r w:rsidR="00D168CD">
        <w:t>Community-based tour</w:t>
      </w:r>
      <w:r w:rsidR="00BE69BC">
        <w:t>ism should be part of the strategy; the Kyrgyz Community Based Tourism Association (KCBTA) is already functioning and has both lessons and an institutional structure to assist the process.  Similarly, there are some excellent examples from around the world</w:t>
      </w:r>
      <w:r w:rsidR="00BE69BC">
        <w:rPr>
          <w:rStyle w:val="FootnoteReference"/>
        </w:rPr>
        <w:footnoteReference w:id="32"/>
      </w:r>
      <w:r w:rsidR="00BE69BC">
        <w:t>.</w:t>
      </w:r>
    </w:p>
    <w:p w14:paraId="2129B8B5" w14:textId="716D9A1E" w:rsidR="00216571" w:rsidRDefault="00F4576F" w:rsidP="0002435C">
      <w:pPr>
        <w:numPr>
          <w:ilvl w:val="0"/>
          <w:numId w:val="2"/>
        </w:numPr>
        <w:ind w:left="0" w:firstLine="0"/>
        <w:jc w:val="both"/>
      </w:pPr>
      <w:r>
        <w:t>A diversified tourism strategy would be best and the tourism operators should become partners</w:t>
      </w:r>
      <w:r w:rsidR="00D168CD">
        <w:t xml:space="preserve"> of the park – and included, for example, in the park’s management committee (as well as representatives from the local communities).</w:t>
      </w:r>
    </w:p>
    <w:p w14:paraId="01C99AB5" w14:textId="64B01207" w:rsidR="00B7729F" w:rsidRPr="00516656" w:rsidRDefault="00B7729F" w:rsidP="00552642">
      <w:pPr>
        <w:pStyle w:val="Heading3"/>
      </w:pPr>
      <w:bookmarkStart w:id="40" w:name="_Toc311452890"/>
      <w:r w:rsidRPr="00516656">
        <w:t>Institutional Framework and Governance Risks to Sustainability</w:t>
      </w:r>
      <w:bookmarkEnd w:id="40"/>
    </w:p>
    <w:p w14:paraId="110C0184" w14:textId="5898D622" w:rsidR="000D7891" w:rsidRDefault="005825C9" w:rsidP="000D7891">
      <w:pPr>
        <w:numPr>
          <w:ilvl w:val="0"/>
          <w:numId w:val="2"/>
        </w:numPr>
        <w:ind w:left="0" w:firstLine="0"/>
        <w:jc w:val="both"/>
      </w:pPr>
      <w:r>
        <w:t xml:space="preserve">The majority of the institutions involved with </w:t>
      </w:r>
      <w:r w:rsidR="007129A6">
        <w:t>the proposed KTNP are robust and resilient</w:t>
      </w:r>
      <w:r w:rsidR="00181388">
        <w:t xml:space="preserve"> – primarily because many are governmental.</w:t>
      </w:r>
    </w:p>
    <w:p w14:paraId="41D9B8F1" w14:textId="0B01ACAF" w:rsidR="00181388" w:rsidRDefault="00181388" w:rsidP="000D7891">
      <w:pPr>
        <w:numPr>
          <w:ilvl w:val="0"/>
          <w:numId w:val="2"/>
        </w:numPr>
        <w:ind w:left="0" w:firstLine="0"/>
        <w:jc w:val="both"/>
      </w:pPr>
      <w:r>
        <w:t xml:space="preserve">There </w:t>
      </w:r>
      <w:proofErr w:type="gramStart"/>
      <w:r>
        <w:t>are</w:t>
      </w:r>
      <w:proofErr w:type="gramEnd"/>
      <w:r>
        <w:t xml:space="preserve"> some sustainability risks associated with some of the non-governmental structures associated with the project.  These include: </w:t>
      </w:r>
      <w:proofErr w:type="spellStart"/>
      <w:r>
        <w:t>i</w:t>
      </w:r>
      <w:proofErr w:type="spellEnd"/>
      <w:r>
        <w:t xml:space="preserve">) the community structures – including the </w:t>
      </w:r>
      <w:r w:rsidR="00B5078E">
        <w:t xml:space="preserve">pasture committees, </w:t>
      </w:r>
      <w:proofErr w:type="spellStart"/>
      <w:r w:rsidRPr="00181388">
        <w:rPr>
          <w:i/>
        </w:rPr>
        <w:t>aiyl</w:t>
      </w:r>
      <w:proofErr w:type="spellEnd"/>
      <w:r w:rsidRPr="00181388">
        <w:rPr>
          <w:i/>
        </w:rPr>
        <w:t xml:space="preserve"> </w:t>
      </w:r>
      <w:proofErr w:type="spellStart"/>
      <w:r w:rsidRPr="00181388">
        <w:rPr>
          <w:i/>
        </w:rPr>
        <w:t>okmotu</w:t>
      </w:r>
      <w:proofErr w:type="spellEnd"/>
      <w:r>
        <w:t xml:space="preserve"> and deputies at the community level, </w:t>
      </w:r>
      <w:r w:rsidR="00B5078E">
        <w:t xml:space="preserve">and </w:t>
      </w:r>
      <w:r>
        <w:t xml:space="preserve">ii) any NGO(s) that come in as partners to the community development programme and to support the </w:t>
      </w:r>
      <w:r w:rsidR="007653BB">
        <w:t>continued development and m</w:t>
      </w:r>
      <w:r w:rsidR="00B5078E">
        <w:t xml:space="preserve">anagement of the KTNP.  These are all subject to political processes (that are beyond the scope of the project) but </w:t>
      </w:r>
      <w:r w:rsidR="001078D7">
        <w:t xml:space="preserve">the risks should be considered both from the outset but also as part of the </w:t>
      </w:r>
      <w:proofErr w:type="spellStart"/>
      <w:r w:rsidR="001078D7">
        <w:t>ongoing</w:t>
      </w:r>
      <w:proofErr w:type="spellEnd"/>
      <w:r w:rsidR="001078D7">
        <w:t xml:space="preserve"> implementation.</w:t>
      </w:r>
    </w:p>
    <w:p w14:paraId="1C3A7E08" w14:textId="3ED75664" w:rsidR="001078D7" w:rsidRDefault="00CB533C" w:rsidP="000D7891">
      <w:pPr>
        <w:numPr>
          <w:ilvl w:val="0"/>
          <w:numId w:val="2"/>
        </w:numPr>
        <w:ind w:left="0" w:firstLine="0"/>
        <w:jc w:val="both"/>
      </w:pPr>
      <w:r>
        <w:t>In addition</w:t>
      </w:r>
      <w:r w:rsidR="003F55FF">
        <w:t xml:space="preserve">, if/when the KTNP is established in the coming months, </w:t>
      </w:r>
      <w:r w:rsidR="000D3831">
        <w:t xml:space="preserve">by the end of the project, it will still be very young and immature.  At best, the project will facilitate its legal establishment and provide some foundations on which it will grow and, hopefully, flourish.  </w:t>
      </w:r>
      <w:r>
        <w:t>Its long-term sustainability (and that of the community institutions, structures and programmes) will be dependent on finding good partners.</w:t>
      </w:r>
    </w:p>
    <w:p w14:paraId="6733DE67" w14:textId="3DA12E6F" w:rsidR="00DB6B74" w:rsidRPr="00516656" w:rsidRDefault="00CB533C" w:rsidP="00DB6B74">
      <w:pPr>
        <w:numPr>
          <w:ilvl w:val="0"/>
          <w:numId w:val="2"/>
        </w:numPr>
        <w:ind w:left="0" w:firstLine="0"/>
        <w:jc w:val="both"/>
      </w:pPr>
      <w:r>
        <w:t>Finally, the c</w:t>
      </w:r>
      <w:r w:rsidR="00DB6B74">
        <w:t xml:space="preserve">omplexity </w:t>
      </w:r>
      <w:r>
        <w:t xml:space="preserve">that the </w:t>
      </w:r>
      <w:proofErr w:type="spellStart"/>
      <w:r>
        <w:t>Issyl</w:t>
      </w:r>
      <w:proofErr w:type="spellEnd"/>
      <w:r>
        <w:t xml:space="preserve"> </w:t>
      </w:r>
      <w:proofErr w:type="spellStart"/>
      <w:r>
        <w:t>Kul</w:t>
      </w:r>
      <w:proofErr w:type="spellEnd"/>
      <w:r>
        <w:t xml:space="preserve"> Biosphere Territory adds to the </w:t>
      </w:r>
      <w:r w:rsidR="00DB6B74">
        <w:t>institutional arrangement</w:t>
      </w:r>
      <w:r>
        <w:t>s</w:t>
      </w:r>
      <w:r w:rsidR="00DB6B74">
        <w:t xml:space="preserve"> </w:t>
      </w:r>
      <w:r>
        <w:t xml:space="preserve">for the </w:t>
      </w:r>
      <w:r w:rsidR="00DB6B74">
        <w:t xml:space="preserve">KTNP </w:t>
      </w:r>
      <w:r>
        <w:t xml:space="preserve">(and other protected areas in the territory, </w:t>
      </w:r>
      <w:r w:rsidR="00DB6B74">
        <w:t>adds ineffic</w:t>
      </w:r>
      <w:r>
        <w:t>iency and (probably) reduces</w:t>
      </w:r>
      <w:r w:rsidR="00DB6B74">
        <w:t xml:space="preserve"> effectiveness</w:t>
      </w:r>
      <w:r>
        <w:t xml:space="preserve">.  </w:t>
      </w:r>
      <w:r w:rsidR="00BB58EA">
        <w:t xml:space="preserve">Inefficiency and ineffectiveness, in the long-term, contribute to </w:t>
      </w:r>
      <w:r w:rsidR="00AC4A00">
        <w:t>decreasing</w:t>
      </w:r>
      <w:r w:rsidR="00BB58EA">
        <w:t xml:space="preserve"> the likelihood of sustainability and, therefore, ideally, these institutional arrangements should be reviewed and adjusted during the project’s lifetime.</w:t>
      </w:r>
    </w:p>
    <w:p w14:paraId="5F47E885" w14:textId="51B0886F" w:rsidR="00B7729F" w:rsidRPr="00516656" w:rsidRDefault="00B7729F" w:rsidP="00552642">
      <w:pPr>
        <w:pStyle w:val="Heading3"/>
      </w:pPr>
      <w:bookmarkStart w:id="41" w:name="_Toc311452891"/>
      <w:r w:rsidRPr="00516656">
        <w:t>Environmental Risks to Sustainability</w:t>
      </w:r>
      <w:bookmarkEnd w:id="41"/>
    </w:p>
    <w:p w14:paraId="1021E74A" w14:textId="1AFDC958" w:rsidR="00B800A2" w:rsidRDefault="00F807EE" w:rsidP="0039653C">
      <w:pPr>
        <w:numPr>
          <w:ilvl w:val="0"/>
          <w:numId w:val="2"/>
        </w:numPr>
        <w:ind w:left="0" w:firstLine="0"/>
        <w:jc w:val="both"/>
      </w:pPr>
      <w:r>
        <w:t>The primary goal and objective of this project is to ensure environmental sustainability – with a specific focus on biodiversity.</w:t>
      </w:r>
      <w:r w:rsidR="00FD494B">
        <w:t xml:space="preserve">  Therefore, so long as the project achieves its goal, objective and outcomes, environmental sustainability should, in principle, be assured.</w:t>
      </w:r>
    </w:p>
    <w:p w14:paraId="4C4F585D" w14:textId="566AF811" w:rsidR="00FD494B" w:rsidRDefault="00FD494B" w:rsidP="0039653C">
      <w:pPr>
        <w:numPr>
          <w:ilvl w:val="0"/>
          <w:numId w:val="2"/>
        </w:numPr>
        <w:ind w:left="0" w:firstLine="0"/>
        <w:jc w:val="both"/>
      </w:pPr>
      <w:r>
        <w:t>However, there are a number of risks to environmental sustainability</w:t>
      </w:r>
      <w:r w:rsidR="00B806FB">
        <w:t xml:space="preserve"> – primarily through inadvertent impacts.  One example of this is that when the alternative livelihoods programme begins and communities start to accrue benefits, these benefits could be used in ways that further threaten the biodiversity, ecosystem services and eco</w:t>
      </w:r>
      <w:r w:rsidR="00AC4A00">
        <w:t>logical processes in the area – such as if they use the benefits to purchase larger numbers of livestock.</w:t>
      </w:r>
    </w:p>
    <w:p w14:paraId="7E9362AB" w14:textId="1A93338B" w:rsidR="00105D26" w:rsidRDefault="00AC4A00" w:rsidP="00DB6B74">
      <w:pPr>
        <w:numPr>
          <w:ilvl w:val="0"/>
          <w:numId w:val="2"/>
        </w:numPr>
        <w:ind w:left="0" w:firstLine="0"/>
        <w:jc w:val="both"/>
      </w:pPr>
      <w:r>
        <w:t xml:space="preserve">There is a more immediate risk to environmental sustainability.  </w:t>
      </w:r>
      <w:r w:rsidR="00A43855">
        <w:t xml:space="preserve">There is mention that the pastures used by the </w:t>
      </w:r>
      <w:proofErr w:type="spellStart"/>
      <w:r w:rsidR="00A43855">
        <w:t>Otradnoe</w:t>
      </w:r>
      <w:proofErr w:type="spellEnd"/>
      <w:r w:rsidR="00A43855">
        <w:t xml:space="preserve"> </w:t>
      </w:r>
      <w:proofErr w:type="spellStart"/>
      <w:r w:rsidR="00A43855" w:rsidRPr="00534EE1">
        <w:rPr>
          <w:i/>
        </w:rPr>
        <w:t>aiyl</w:t>
      </w:r>
      <w:proofErr w:type="spellEnd"/>
      <w:r w:rsidR="00A43855" w:rsidRPr="00534EE1">
        <w:rPr>
          <w:i/>
        </w:rPr>
        <w:t xml:space="preserve"> </w:t>
      </w:r>
      <w:proofErr w:type="spellStart"/>
      <w:r w:rsidR="00A43855" w:rsidRPr="00534EE1">
        <w:rPr>
          <w:i/>
        </w:rPr>
        <w:t>okmotu</w:t>
      </w:r>
      <w:proofErr w:type="spellEnd"/>
      <w:r w:rsidR="00A43855">
        <w:t xml:space="preserve"> will be excluded from the area of the national park.  However, exclusion of this area will have consequences for the biodiversity of the area; indeed, it was included by the scientists from the National Academy of Sciences on the basis of its biodiversity value.  It should, as a cons</w:t>
      </w:r>
      <w:r w:rsidR="00977281">
        <w:t>equence, not be excluded (and for more discussion on this, see the section on Recommendations, below).</w:t>
      </w:r>
    </w:p>
    <w:p w14:paraId="1BE98A9D" w14:textId="20DAD0AC" w:rsidR="00DE2BB9" w:rsidRDefault="00DE2BB9" w:rsidP="00DB6B74">
      <w:pPr>
        <w:numPr>
          <w:ilvl w:val="0"/>
          <w:numId w:val="2"/>
        </w:numPr>
        <w:ind w:left="0" w:firstLine="0"/>
        <w:jc w:val="both"/>
      </w:pPr>
      <w:r>
        <w:t>Finally, as with the inadvertent impacts that the livelihood programme may have, so too may any tourism development.  Tourism impacts can be significant, particularly in mountain ecosystems.  As a result, all tourism development should be done such that all impacts should be avoided, minimised or mitigated</w:t>
      </w:r>
      <w:r>
        <w:rPr>
          <w:rStyle w:val="FootnoteReference"/>
        </w:rPr>
        <w:footnoteReference w:id="33"/>
      </w:r>
    </w:p>
    <w:p w14:paraId="3B036556" w14:textId="232E6A28" w:rsidR="00A00266" w:rsidRDefault="00A00266" w:rsidP="00A00266">
      <w:pPr>
        <w:pStyle w:val="Heading1"/>
      </w:pPr>
      <w:bookmarkStart w:id="42" w:name="_Toc311452892"/>
      <w:r w:rsidRPr="00516656">
        <w:t>Conclusions</w:t>
      </w:r>
      <w:r w:rsidR="00483AA0" w:rsidRPr="00516656">
        <w:t xml:space="preserve"> and </w:t>
      </w:r>
      <w:r w:rsidRPr="00516656">
        <w:t>Recommendations</w:t>
      </w:r>
      <w:bookmarkEnd w:id="42"/>
    </w:p>
    <w:p w14:paraId="2917D219" w14:textId="77777777" w:rsidR="00237C95" w:rsidRPr="00516656" w:rsidRDefault="00237C95" w:rsidP="00683205">
      <w:pPr>
        <w:pStyle w:val="Heading2"/>
      </w:pPr>
      <w:bookmarkStart w:id="43" w:name="_Toc311452893"/>
      <w:r w:rsidRPr="00516656">
        <w:t>Conclusions</w:t>
      </w:r>
      <w:bookmarkEnd w:id="43"/>
    </w:p>
    <w:p w14:paraId="3992ACBB" w14:textId="3B6DFF34" w:rsidR="00E252F7" w:rsidRDefault="001E6654" w:rsidP="007C0405">
      <w:pPr>
        <w:numPr>
          <w:ilvl w:val="0"/>
          <w:numId w:val="2"/>
        </w:numPr>
        <w:ind w:left="0" w:firstLine="0"/>
        <w:jc w:val="both"/>
      </w:pPr>
      <w:r w:rsidRPr="007C0405">
        <w:t xml:space="preserve">In conclusion, then, </w:t>
      </w:r>
      <w:r w:rsidR="008A2227" w:rsidRPr="007C0405">
        <w:t xml:space="preserve">the project </w:t>
      </w:r>
      <w:r w:rsidR="00664799" w:rsidRPr="007C0405">
        <w:t xml:space="preserve">is complex, challenging and ambitious in a number of ways: </w:t>
      </w:r>
      <w:proofErr w:type="spellStart"/>
      <w:r w:rsidR="00664799" w:rsidRPr="007C0405">
        <w:t>i</w:t>
      </w:r>
      <w:proofErr w:type="spellEnd"/>
      <w:r w:rsidR="00664799" w:rsidRPr="007C0405">
        <w:t xml:space="preserve">) it proposes to amend laws and establish a new protected area at the national level – both of which will require high level governmental approvals, ii) work with local authorities at the provincial and district levels to mainstream biodiversity conservation into the land use plans – especially within the identified </w:t>
      </w:r>
      <w:r w:rsidR="00102A51">
        <w:t xml:space="preserve">ecologically important </w:t>
      </w:r>
      <w:r w:rsidR="00664799" w:rsidRPr="007C0405">
        <w:t>area</w:t>
      </w:r>
      <w:r w:rsidR="00102A51">
        <w:t>s surrounding protected areas</w:t>
      </w:r>
      <w:r w:rsidR="00664799" w:rsidRPr="007C0405">
        <w:t xml:space="preserve"> and within the corridors between the protected areas – and implement measure to enforce regulations, and iii) develop and implement an alternative livelihood program among local communities.  The project proposes to do all this in a four-year period and with a budget of less than USD one million!</w:t>
      </w:r>
      <w:r w:rsidR="007C0405" w:rsidRPr="007C0405">
        <w:t xml:space="preserve">  </w:t>
      </w:r>
    </w:p>
    <w:p w14:paraId="2B58A6E2" w14:textId="4AF96104" w:rsidR="00FA74C1" w:rsidRDefault="00EE37C4" w:rsidP="007C0405">
      <w:pPr>
        <w:numPr>
          <w:ilvl w:val="0"/>
          <w:numId w:val="2"/>
        </w:numPr>
        <w:ind w:left="0" w:firstLine="0"/>
        <w:jc w:val="both"/>
      </w:pPr>
      <w:r w:rsidRPr="007C0405">
        <w:t>As such, it fits into the category of a h</w:t>
      </w:r>
      <w:r w:rsidR="007A74AA" w:rsidRPr="007C0405">
        <w:t xml:space="preserve">igh risk, high impact project: if it manages what it set out to achieve, it will be a great success.  Indeed, to date, the project </w:t>
      </w:r>
      <w:r w:rsidR="008A2227" w:rsidRPr="007C0405">
        <w:t>has made some good progress but there are a number of shortcomings.</w:t>
      </w:r>
      <w:r w:rsidR="00FA74C1" w:rsidRPr="007C0405">
        <w:t xml:space="preserve">  And while there has been significant progress, there is a huge amount yet to be done in a relatively short (20 months) period of time particularly if the project is to provide secure foundations on which the Khan </w:t>
      </w:r>
      <w:proofErr w:type="spellStart"/>
      <w:r w:rsidR="00FA74C1" w:rsidRPr="007C0405">
        <w:t>Tengri</w:t>
      </w:r>
      <w:proofErr w:type="spellEnd"/>
      <w:r w:rsidR="00FA74C1" w:rsidRPr="007C0405">
        <w:t xml:space="preserve"> National Park can be built and on which the livelihoods of the local communities can remain secure without an over-dependence on natural resources.</w:t>
      </w:r>
      <w:r w:rsidR="007A74AA" w:rsidRPr="007C0405">
        <w:t xml:space="preserve">  </w:t>
      </w:r>
      <w:r w:rsidR="00F03118" w:rsidRPr="007C0405">
        <w:t xml:space="preserve">It is ensuring the likelihood of the </w:t>
      </w:r>
      <w:r w:rsidR="00F03118" w:rsidRPr="007C0405">
        <w:rPr>
          <w:i/>
        </w:rPr>
        <w:t>sustainability</w:t>
      </w:r>
      <w:r w:rsidR="00F03118" w:rsidRPr="007C0405">
        <w:t xml:space="preserve"> of the projects outputs and outcomes that will be the biggest challenge that the project faces in the coming 20 months.</w:t>
      </w:r>
    </w:p>
    <w:p w14:paraId="20E44DDD" w14:textId="277BA9A1" w:rsidR="00C559E6" w:rsidRDefault="00C559E6" w:rsidP="00C559E6">
      <w:pPr>
        <w:pStyle w:val="Heading2"/>
      </w:pPr>
      <w:bookmarkStart w:id="44" w:name="_Toc311452894"/>
      <w:bookmarkStart w:id="45" w:name="_GoBack"/>
      <w:bookmarkEnd w:id="45"/>
      <w:r w:rsidRPr="00516656">
        <w:t>Recommendations</w:t>
      </w:r>
      <w:bookmarkEnd w:id="44"/>
    </w:p>
    <w:p w14:paraId="646E3BA9" w14:textId="76D7D8F8" w:rsidR="00412858" w:rsidRDefault="00E252F7" w:rsidP="00412858">
      <w:pPr>
        <w:numPr>
          <w:ilvl w:val="0"/>
          <w:numId w:val="2"/>
        </w:numPr>
        <w:ind w:left="0" w:firstLine="0"/>
        <w:jc w:val="both"/>
      </w:pPr>
      <w:r>
        <w:t xml:space="preserve">One mechanism to ensure the sustainability of the project’s processes and impacts will be to attract non-governmental partners to come into the area to continue to work on </w:t>
      </w:r>
      <w:proofErr w:type="spellStart"/>
      <w:r>
        <w:t>i</w:t>
      </w:r>
      <w:proofErr w:type="spellEnd"/>
      <w:r>
        <w:t>) the development and management of the national park and ii) the alternative livelihood pr</w:t>
      </w:r>
      <w:r w:rsidR="00412858">
        <w:t>ogrammes with local communities.</w:t>
      </w:r>
    </w:p>
    <w:p w14:paraId="03862106" w14:textId="3D9D628D" w:rsidR="003B6ED7" w:rsidRDefault="00412858" w:rsidP="00D75AFB">
      <w:pPr>
        <w:numPr>
          <w:ilvl w:val="0"/>
          <w:numId w:val="2"/>
        </w:numPr>
        <w:ind w:left="0" w:firstLine="0"/>
        <w:jc w:val="both"/>
      </w:pPr>
      <w:r>
        <w:t xml:space="preserve">In addition, as mentioned above, there is 20 months of implementation time remaining.  The project </w:t>
      </w:r>
      <w:r>
        <w:rPr>
          <w:i/>
        </w:rPr>
        <w:t>could</w:t>
      </w:r>
      <w:r>
        <w:t xml:space="preserve"> quite easily check the boxes and spend the remaining funds</w:t>
      </w:r>
      <w:r w:rsidR="00432396">
        <w:t xml:space="preserve"> (thus, </w:t>
      </w:r>
      <w:r w:rsidR="00CB0916">
        <w:t>in theory, deliver the project)</w:t>
      </w:r>
      <w:r>
        <w:t xml:space="preserve"> … but this would be done at the expense of doing things properly and without the ability to build sufficiently deep foundations to ensure sustainability.  Therefore, in order to complete the task diligently, with due process and </w:t>
      </w:r>
      <w:r w:rsidR="00E73CCD">
        <w:t xml:space="preserve">satisfactorily such that sustainability is assured, further time may be necessary.  As such, the </w:t>
      </w:r>
      <w:r w:rsidR="003B6ED7">
        <w:t>MTR proposes that the project immediately seek a</w:t>
      </w:r>
      <w:r w:rsidR="00E73CCD">
        <w:t xml:space="preserve"> no-cost extension of up to a maximum of one year.  </w:t>
      </w:r>
      <w:r w:rsidR="00CB0916">
        <w:t>The UNDP-CO would have to underwrite any additional costs, including those of maintaining the PIU staff for the duration of the project’s extension.</w:t>
      </w:r>
      <w:r w:rsidR="00D75AFB">
        <w:t xml:space="preserve">  </w:t>
      </w:r>
      <w:r w:rsidR="003B6ED7">
        <w:t>It should be noted, however, that the GEF is increasingly reluctant to grant such extensions; indeed, projects should be designed to accommodate the context in which they are due to be implemented</w:t>
      </w:r>
      <w:r w:rsidR="00F31D3A">
        <w:t>.</w:t>
      </w:r>
    </w:p>
    <w:p w14:paraId="7551493F" w14:textId="2E19FF55" w:rsidR="00F31D3A" w:rsidRDefault="008140AE" w:rsidP="00D874BD">
      <w:pPr>
        <w:numPr>
          <w:ilvl w:val="0"/>
          <w:numId w:val="2"/>
        </w:numPr>
        <w:ind w:left="0" w:firstLine="0"/>
        <w:jc w:val="both"/>
      </w:pPr>
      <w:r>
        <w:t>In addition, t</w:t>
      </w:r>
      <w:r w:rsidR="00B5150A">
        <w:t xml:space="preserve">he MTR proposes that </w:t>
      </w:r>
      <w:r w:rsidR="00F31D3A">
        <w:t xml:space="preserve">an internal review of project progress take place on or before </w:t>
      </w:r>
      <w:r w:rsidR="00931C21">
        <w:t>30 September</w:t>
      </w:r>
      <w:r w:rsidR="00F31D3A">
        <w:t xml:space="preserve"> 2016.  At this point, the </w:t>
      </w:r>
      <w:r w:rsidR="00B5150A">
        <w:t xml:space="preserve">project will have </w:t>
      </w:r>
      <w:r w:rsidR="00931C21">
        <w:t>nine months</w:t>
      </w:r>
      <w:r w:rsidR="00B5150A">
        <w:t xml:space="preserve"> </w:t>
      </w:r>
      <w:r w:rsidR="000948E4">
        <w:t xml:space="preserve">of “normal” time to go.  </w:t>
      </w:r>
      <w:r w:rsidR="00C559E6">
        <w:t>If</w:t>
      </w:r>
      <w:r w:rsidR="00F31D3A">
        <w:t xml:space="preserve"> </w:t>
      </w:r>
      <w:r w:rsidR="00C559E6">
        <w:rPr>
          <w:i/>
        </w:rPr>
        <w:t xml:space="preserve">all </w:t>
      </w:r>
      <w:r w:rsidR="00C559E6">
        <w:t xml:space="preserve">of </w:t>
      </w:r>
      <w:r w:rsidR="00F31D3A">
        <w:t>the following four triggers have not been hit by this date, the MTR proposes that the project be closed immediately:</w:t>
      </w:r>
    </w:p>
    <w:p w14:paraId="53E0FCA0" w14:textId="47A37EFA" w:rsidR="00F31D3A" w:rsidRDefault="00F31D3A" w:rsidP="00D874BD">
      <w:pPr>
        <w:numPr>
          <w:ilvl w:val="1"/>
          <w:numId w:val="2"/>
        </w:numPr>
        <w:jc w:val="both"/>
      </w:pPr>
      <w:r w:rsidRPr="00F31D3A">
        <w:t xml:space="preserve">The park </w:t>
      </w:r>
      <w:r w:rsidR="004855D7">
        <w:t xml:space="preserve">in its entirety </w:t>
      </w:r>
      <w:r w:rsidRPr="00F31D3A">
        <w:t>has not yet been legally established</w:t>
      </w:r>
      <w:r w:rsidR="003148B3">
        <w:rPr>
          <w:rStyle w:val="FootnoteReference"/>
        </w:rPr>
        <w:footnoteReference w:id="34"/>
      </w:r>
    </w:p>
    <w:p w14:paraId="676F19AF" w14:textId="77777777" w:rsidR="00F31D3A" w:rsidRDefault="00F31D3A" w:rsidP="00D874BD">
      <w:pPr>
        <w:numPr>
          <w:ilvl w:val="1"/>
          <w:numId w:val="2"/>
        </w:numPr>
        <w:jc w:val="both"/>
      </w:pPr>
      <w:r w:rsidRPr="00F31D3A">
        <w:t>The first disbursement for micro-finance projects among the local communities has not happened</w:t>
      </w:r>
    </w:p>
    <w:p w14:paraId="171260D1" w14:textId="77777777" w:rsidR="00F31D3A" w:rsidRDefault="00F31D3A" w:rsidP="00D874BD">
      <w:pPr>
        <w:numPr>
          <w:ilvl w:val="1"/>
          <w:numId w:val="2"/>
        </w:numPr>
        <w:jc w:val="both"/>
      </w:pPr>
      <w:r w:rsidRPr="00F31D3A">
        <w:t>The first agreement regarding pasture use, based on best international practices of natural resource management</w:t>
      </w:r>
      <w:r w:rsidRPr="00F31D3A">
        <w:rPr>
          <w:rStyle w:val="FootnoteReference"/>
        </w:rPr>
        <w:footnoteReference w:id="35"/>
      </w:r>
      <w:r w:rsidRPr="00F31D3A">
        <w:t>, in the community pastures that have been included in the park has not been signed</w:t>
      </w:r>
    </w:p>
    <w:p w14:paraId="4C308161" w14:textId="03A634C6" w:rsidR="000948E4" w:rsidRPr="00F31D3A" w:rsidRDefault="00F31D3A" w:rsidP="000948E4">
      <w:pPr>
        <w:numPr>
          <w:ilvl w:val="1"/>
          <w:numId w:val="2"/>
        </w:numPr>
        <w:jc w:val="both"/>
      </w:pPr>
      <w:r w:rsidRPr="00F31D3A">
        <w:t>An agreement to develop a community-based tourism operation, based on best international practices</w:t>
      </w:r>
      <w:r w:rsidRPr="00F31D3A">
        <w:rPr>
          <w:rStyle w:val="FootnoteReference"/>
        </w:rPr>
        <w:footnoteReference w:id="36"/>
      </w:r>
      <w:r w:rsidRPr="00F31D3A">
        <w:t xml:space="preserve">, </w:t>
      </w:r>
    </w:p>
    <w:p w14:paraId="3AD6A906" w14:textId="541FE7E4" w:rsidR="00DB6B74" w:rsidRDefault="00432396" w:rsidP="00432396">
      <w:pPr>
        <w:numPr>
          <w:ilvl w:val="0"/>
          <w:numId w:val="2"/>
        </w:numPr>
        <w:ind w:left="0" w:firstLine="0"/>
        <w:jc w:val="both"/>
      </w:pPr>
      <w:r>
        <w:t xml:space="preserve">The remaining recommendations are presented in the sections below (with the summary in Table </w:t>
      </w:r>
      <w:r w:rsidR="000A3D70">
        <w:t>8</w:t>
      </w:r>
      <w:r>
        <w:t>).  Because the majority of the recommendations are based on discussions and arguments that have already been made in the body of the report above, they are presented in summary form.</w:t>
      </w:r>
    </w:p>
    <w:p w14:paraId="71859D56" w14:textId="1744B6F7" w:rsidR="00BB109F" w:rsidRDefault="00C12E74" w:rsidP="00C12E74">
      <w:pPr>
        <w:pStyle w:val="Caption"/>
      </w:pPr>
      <w:proofErr w:type="gramStart"/>
      <w:r>
        <w:t xml:space="preserve">Table </w:t>
      </w:r>
      <w:proofErr w:type="gramEnd"/>
      <w:r>
        <w:fldChar w:fldCharType="begin"/>
      </w:r>
      <w:r>
        <w:instrText xml:space="preserve"> SEQ Table \* ARABIC </w:instrText>
      </w:r>
      <w:r>
        <w:fldChar w:fldCharType="separate"/>
      </w:r>
      <w:r w:rsidR="001E10DE">
        <w:rPr>
          <w:noProof/>
        </w:rPr>
        <w:t>8</w:t>
      </w:r>
      <w:r>
        <w:fldChar w:fldCharType="end"/>
      </w:r>
      <w:proofErr w:type="gramStart"/>
      <w:r>
        <w:t>.</w:t>
      </w:r>
      <w:proofErr w:type="gramEnd"/>
      <w:r>
        <w:t xml:space="preserve"> The summary of MTR recommendations for the project</w:t>
      </w:r>
    </w:p>
    <w:tbl>
      <w:tblPr>
        <w:tblStyle w:val="TableGrid"/>
        <w:tblW w:w="0" w:type="auto"/>
        <w:tblLayout w:type="fixed"/>
        <w:tblLook w:val="04A0" w:firstRow="1" w:lastRow="0" w:firstColumn="1" w:lastColumn="0" w:noHBand="0" w:noVBand="1"/>
      </w:tblPr>
      <w:tblGrid>
        <w:gridCol w:w="675"/>
        <w:gridCol w:w="6379"/>
        <w:gridCol w:w="1468"/>
      </w:tblGrid>
      <w:tr w:rsidR="00534EE1" w:rsidRPr="00BB109F" w14:paraId="221E119D" w14:textId="77777777" w:rsidTr="00EE7FE8">
        <w:trPr>
          <w:tblHeader/>
        </w:trPr>
        <w:tc>
          <w:tcPr>
            <w:tcW w:w="675" w:type="dxa"/>
            <w:shd w:val="clear" w:color="auto" w:fill="BFBFBF" w:themeFill="background1" w:themeFillShade="BF"/>
          </w:tcPr>
          <w:p w14:paraId="0BA2A9F4" w14:textId="77777777" w:rsidR="00534EE1" w:rsidRPr="00BB109F" w:rsidRDefault="00534EE1" w:rsidP="00EE7FE8">
            <w:pPr>
              <w:rPr>
                <w:b/>
                <w:sz w:val="20"/>
                <w:szCs w:val="20"/>
              </w:rPr>
            </w:pPr>
            <w:r w:rsidRPr="00BB109F">
              <w:rPr>
                <w:b/>
                <w:sz w:val="20"/>
                <w:szCs w:val="20"/>
              </w:rPr>
              <w:t>Rec#</w:t>
            </w:r>
          </w:p>
        </w:tc>
        <w:tc>
          <w:tcPr>
            <w:tcW w:w="6379" w:type="dxa"/>
            <w:shd w:val="clear" w:color="auto" w:fill="BFBFBF" w:themeFill="background1" w:themeFillShade="BF"/>
          </w:tcPr>
          <w:p w14:paraId="7A5EA90A" w14:textId="77777777" w:rsidR="00534EE1" w:rsidRPr="00BB109F" w:rsidRDefault="00534EE1" w:rsidP="00EE7FE8">
            <w:pPr>
              <w:rPr>
                <w:b/>
                <w:sz w:val="20"/>
                <w:szCs w:val="20"/>
              </w:rPr>
            </w:pPr>
            <w:r w:rsidRPr="00BB109F">
              <w:rPr>
                <w:b/>
                <w:sz w:val="20"/>
                <w:szCs w:val="20"/>
              </w:rPr>
              <w:t>Recommendation</w:t>
            </w:r>
          </w:p>
        </w:tc>
        <w:tc>
          <w:tcPr>
            <w:tcW w:w="1468" w:type="dxa"/>
            <w:shd w:val="clear" w:color="auto" w:fill="BFBFBF" w:themeFill="background1" w:themeFillShade="BF"/>
          </w:tcPr>
          <w:p w14:paraId="1C87D5B4" w14:textId="77777777" w:rsidR="00534EE1" w:rsidRPr="00BB109F" w:rsidRDefault="00534EE1" w:rsidP="00EE7FE8">
            <w:pPr>
              <w:rPr>
                <w:b/>
                <w:sz w:val="20"/>
                <w:szCs w:val="20"/>
              </w:rPr>
            </w:pPr>
            <w:r w:rsidRPr="00BB109F">
              <w:rPr>
                <w:b/>
                <w:sz w:val="20"/>
                <w:szCs w:val="20"/>
              </w:rPr>
              <w:t>Entity Responsible</w:t>
            </w:r>
          </w:p>
        </w:tc>
      </w:tr>
      <w:tr w:rsidR="00534EE1" w:rsidRPr="00BB109F" w14:paraId="589EE342" w14:textId="77777777" w:rsidTr="00EE7FE8">
        <w:tc>
          <w:tcPr>
            <w:tcW w:w="675" w:type="dxa"/>
            <w:shd w:val="clear" w:color="auto" w:fill="D9D9D9" w:themeFill="background1" w:themeFillShade="D9"/>
          </w:tcPr>
          <w:p w14:paraId="769688DA" w14:textId="77777777" w:rsidR="00534EE1" w:rsidRPr="00BB109F" w:rsidRDefault="00534EE1" w:rsidP="00EE7FE8">
            <w:pPr>
              <w:rPr>
                <w:sz w:val="20"/>
                <w:szCs w:val="20"/>
              </w:rPr>
            </w:pPr>
            <w:r w:rsidRPr="00BB109F">
              <w:rPr>
                <w:sz w:val="20"/>
                <w:szCs w:val="20"/>
              </w:rPr>
              <w:t>A</w:t>
            </w:r>
          </w:p>
        </w:tc>
        <w:tc>
          <w:tcPr>
            <w:tcW w:w="6379" w:type="dxa"/>
            <w:shd w:val="clear" w:color="auto" w:fill="D9D9D9" w:themeFill="background1" w:themeFillShade="D9"/>
          </w:tcPr>
          <w:p w14:paraId="080D04B7" w14:textId="77777777" w:rsidR="00534EE1" w:rsidRPr="00BB109F" w:rsidRDefault="00534EE1" w:rsidP="00EE7FE8">
            <w:pPr>
              <w:rPr>
                <w:sz w:val="20"/>
                <w:szCs w:val="20"/>
              </w:rPr>
            </w:pPr>
            <w:r w:rsidRPr="00BB109F">
              <w:rPr>
                <w:sz w:val="20"/>
                <w:szCs w:val="20"/>
              </w:rPr>
              <w:t xml:space="preserve">Objective: </w:t>
            </w:r>
          </w:p>
        </w:tc>
        <w:tc>
          <w:tcPr>
            <w:tcW w:w="1468" w:type="dxa"/>
            <w:shd w:val="clear" w:color="auto" w:fill="D9D9D9" w:themeFill="background1" w:themeFillShade="D9"/>
          </w:tcPr>
          <w:p w14:paraId="767A9B25" w14:textId="77777777" w:rsidR="00534EE1" w:rsidRPr="00BB109F" w:rsidRDefault="00534EE1" w:rsidP="00EE7FE8">
            <w:pPr>
              <w:rPr>
                <w:sz w:val="20"/>
                <w:szCs w:val="20"/>
              </w:rPr>
            </w:pPr>
          </w:p>
        </w:tc>
      </w:tr>
      <w:tr w:rsidR="00534EE1" w:rsidRPr="00BB109F" w14:paraId="03F69240" w14:textId="77777777" w:rsidTr="00EE7FE8">
        <w:tc>
          <w:tcPr>
            <w:tcW w:w="675" w:type="dxa"/>
          </w:tcPr>
          <w:p w14:paraId="62814EE4" w14:textId="77777777" w:rsidR="00534EE1" w:rsidRPr="00BB109F" w:rsidRDefault="00534EE1" w:rsidP="00EE7FE8">
            <w:pPr>
              <w:rPr>
                <w:sz w:val="20"/>
                <w:szCs w:val="20"/>
              </w:rPr>
            </w:pPr>
            <w:r>
              <w:rPr>
                <w:sz w:val="20"/>
                <w:szCs w:val="20"/>
              </w:rPr>
              <w:t>A.1</w:t>
            </w:r>
          </w:p>
        </w:tc>
        <w:tc>
          <w:tcPr>
            <w:tcW w:w="6379" w:type="dxa"/>
          </w:tcPr>
          <w:p w14:paraId="15BC5A98" w14:textId="69B5016E" w:rsidR="00534EE1" w:rsidRPr="00BB109F" w:rsidRDefault="00534EE1" w:rsidP="000A3D70">
            <w:pPr>
              <w:rPr>
                <w:sz w:val="20"/>
                <w:szCs w:val="20"/>
              </w:rPr>
            </w:pPr>
            <w:r>
              <w:rPr>
                <w:sz w:val="20"/>
                <w:szCs w:val="20"/>
              </w:rPr>
              <w:t xml:space="preserve">Amendments to project results framework (see Table </w:t>
            </w:r>
            <w:r w:rsidR="000A3D70">
              <w:rPr>
                <w:sz w:val="20"/>
                <w:szCs w:val="20"/>
              </w:rPr>
              <w:t>9</w:t>
            </w:r>
            <w:r>
              <w:rPr>
                <w:sz w:val="20"/>
                <w:szCs w:val="20"/>
              </w:rPr>
              <w:t>)</w:t>
            </w:r>
          </w:p>
        </w:tc>
        <w:tc>
          <w:tcPr>
            <w:tcW w:w="1468" w:type="dxa"/>
          </w:tcPr>
          <w:p w14:paraId="75EC43EB" w14:textId="77777777" w:rsidR="00534EE1" w:rsidRPr="00BB109F" w:rsidRDefault="00534EE1" w:rsidP="00EE7FE8">
            <w:pPr>
              <w:rPr>
                <w:sz w:val="20"/>
                <w:szCs w:val="20"/>
              </w:rPr>
            </w:pPr>
            <w:r>
              <w:rPr>
                <w:sz w:val="20"/>
                <w:szCs w:val="20"/>
              </w:rPr>
              <w:t>PB, UNDP-GEF RTA</w:t>
            </w:r>
          </w:p>
        </w:tc>
      </w:tr>
      <w:tr w:rsidR="00534EE1" w:rsidRPr="00BB109F" w14:paraId="38A512CB" w14:textId="77777777" w:rsidTr="00EE7FE8">
        <w:tc>
          <w:tcPr>
            <w:tcW w:w="675" w:type="dxa"/>
          </w:tcPr>
          <w:p w14:paraId="255548BD" w14:textId="77777777" w:rsidR="00534EE1" w:rsidRDefault="00534EE1" w:rsidP="00EE7FE8">
            <w:pPr>
              <w:rPr>
                <w:sz w:val="20"/>
                <w:szCs w:val="20"/>
              </w:rPr>
            </w:pPr>
            <w:r>
              <w:rPr>
                <w:sz w:val="20"/>
                <w:szCs w:val="20"/>
              </w:rPr>
              <w:t>A.2</w:t>
            </w:r>
          </w:p>
        </w:tc>
        <w:tc>
          <w:tcPr>
            <w:tcW w:w="6379" w:type="dxa"/>
          </w:tcPr>
          <w:p w14:paraId="53D449EF" w14:textId="77777777" w:rsidR="00534EE1" w:rsidRDefault="00534EE1" w:rsidP="00EE7FE8">
            <w:pPr>
              <w:rPr>
                <w:sz w:val="20"/>
                <w:szCs w:val="20"/>
              </w:rPr>
            </w:pPr>
            <w:r>
              <w:rPr>
                <w:sz w:val="20"/>
                <w:szCs w:val="20"/>
              </w:rPr>
              <w:t>The project requests a no-cost extension of up to one year.</w:t>
            </w:r>
          </w:p>
        </w:tc>
        <w:tc>
          <w:tcPr>
            <w:tcW w:w="1468" w:type="dxa"/>
          </w:tcPr>
          <w:p w14:paraId="12253669" w14:textId="77777777" w:rsidR="00534EE1" w:rsidRDefault="00534EE1" w:rsidP="00EE7FE8">
            <w:pPr>
              <w:rPr>
                <w:sz w:val="20"/>
                <w:szCs w:val="20"/>
              </w:rPr>
            </w:pPr>
            <w:r>
              <w:rPr>
                <w:sz w:val="20"/>
                <w:szCs w:val="20"/>
              </w:rPr>
              <w:t>PB, UNDP-CO, UNDP-GEF RTA</w:t>
            </w:r>
          </w:p>
        </w:tc>
      </w:tr>
      <w:tr w:rsidR="00534EE1" w:rsidRPr="00BB109F" w14:paraId="7C4972F7" w14:textId="77777777" w:rsidTr="00EE7FE8">
        <w:tc>
          <w:tcPr>
            <w:tcW w:w="675" w:type="dxa"/>
          </w:tcPr>
          <w:p w14:paraId="2FCEB583" w14:textId="77777777" w:rsidR="00534EE1" w:rsidRDefault="00534EE1" w:rsidP="00EE7FE8">
            <w:pPr>
              <w:rPr>
                <w:sz w:val="20"/>
                <w:szCs w:val="20"/>
              </w:rPr>
            </w:pPr>
            <w:r>
              <w:rPr>
                <w:sz w:val="20"/>
                <w:szCs w:val="20"/>
              </w:rPr>
              <w:t>A.3</w:t>
            </w:r>
          </w:p>
        </w:tc>
        <w:tc>
          <w:tcPr>
            <w:tcW w:w="6379" w:type="dxa"/>
          </w:tcPr>
          <w:p w14:paraId="28162C2C" w14:textId="62EE78B6" w:rsidR="00534EE1" w:rsidRDefault="00534EE1" w:rsidP="00931C21">
            <w:pPr>
              <w:rPr>
                <w:sz w:val="20"/>
                <w:szCs w:val="20"/>
              </w:rPr>
            </w:pPr>
            <w:r>
              <w:rPr>
                <w:sz w:val="20"/>
                <w:szCs w:val="20"/>
              </w:rPr>
              <w:t xml:space="preserve">If the project does not hit a series of four triggers by </w:t>
            </w:r>
            <w:r w:rsidR="00931C21">
              <w:rPr>
                <w:sz w:val="20"/>
                <w:szCs w:val="20"/>
              </w:rPr>
              <w:t>30 September</w:t>
            </w:r>
            <w:r>
              <w:rPr>
                <w:sz w:val="20"/>
                <w:szCs w:val="20"/>
              </w:rPr>
              <w:t xml:space="preserve"> 2016, the project should be closed immediately</w:t>
            </w:r>
          </w:p>
        </w:tc>
        <w:tc>
          <w:tcPr>
            <w:tcW w:w="1468" w:type="dxa"/>
          </w:tcPr>
          <w:p w14:paraId="75A955B2" w14:textId="77777777" w:rsidR="00534EE1" w:rsidRDefault="00534EE1" w:rsidP="00EE7FE8">
            <w:pPr>
              <w:rPr>
                <w:sz w:val="20"/>
                <w:szCs w:val="20"/>
              </w:rPr>
            </w:pPr>
            <w:r>
              <w:rPr>
                <w:sz w:val="20"/>
                <w:szCs w:val="20"/>
              </w:rPr>
              <w:t>PB, UNDP-CO, UNDP-GEF RTA</w:t>
            </w:r>
          </w:p>
        </w:tc>
      </w:tr>
      <w:tr w:rsidR="00534EE1" w:rsidRPr="00BB109F" w14:paraId="4DEDD75C" w14:textId="77777777" w:rsidTr="00EE7FE8">
        <w:tc>
          <w:tcPr>
            <w:tcW w:w="675" w:type="dxa"/>
            <w:shd w:val="clear" w:color="auto" w:fill="D9D9D9" w:themeFill="background1" w:themeFillShade="D9"/>
          </w:tcPr>
          <w:p w14:paraId="28CC5DC0" w14:textId="77777777" w:rsidR="00534EE1" w:rsidRPr="00BB109F" w:rsidRDefault="00534EE1" w:rsidP="00EE7FE8">
            <w:pPr>
              <w:rPr>
                <w:sz w:val="20"/>
                <w:szCs w:val="20"/>
              </w:rPr>
            </w:pPr>
            <w:r w:rsidRPr="00BB109F">
              <w:rPr>
                <w:sz w:val="20"/>
                <w:szCs w:val="20"/>
              </w:rPr>
              <w:t>B</w:t>
            </w:r>
          </w:p>
        </w:tc>
        <w:tc>
          <w:tcPr>
            <w:tcW w:w="6379" w:type="dxa"/>
            <w:shd w:val="clear" w:color="auto" w:fill="D9D9D9" w:themeFill="background1" w:themeFillShade="D9"/>
          </w:tcPr>
          <w:p w14:paraId="43355781" w14:textId="77777777" w:rsidR="00534EE1" w:rsidRPr="00BB109F" w:rsidRDefault="00534EE1" w:rsidP="00EE7FE8">
            <w:pPr>
              <w:rPr>
                <w:sz w:val="20"/>
                <w:szCs w:val="20"/>
              </w:rPr>
            </w:pPr>
            <w:r w:rsidRPr="00BB109F">
              <w:rPr>
                <w:sz w:val="20"/>
                <w:szCs w:val="20"/>
              </w:rPr>
              <w:t>Outcome 1:</w:t>
            </w:r>
          </w:p>
        </w:tc>
        <w:tc>
          <w:tcPr>
            <w:tcW w:w="1468" w:type="dxa"/>
            <w:shd w:val="clear" w:color="auto" w:fill="D9D9D9" w:themeFill="background1" w:themeFillShade="D9"/>
          </w:tcPr>
          <w:p w14:paraId="706AD803" w14:textId="77777777" w:rsidR="00534EE1" w:rsidRPr="00BB109F" w:rsidRDefault="00534EE1" w:rsidP="00EE7FE8">
            <w:pPr>
              <w:rPr>
                <w:sz w:val="20"/>
                <w:szCs w:val="20"/>
              </w:rPr>
            </w:pPr>
          </w:p>
        </w:tc>
      </w:tr>
      <w:tr w:rsidR="00534EE1" w:rsidRPr="00BB109F" w14:paraId="30491BFB" w14:textId="77777777" w:rsidTr="00EE7FE8">
        <w:tc>
          <w:tcPr>
            <w:tcW w:w="675" w:type="dxa"/>
          </w:tcPr>
          <w:p w14:paraId="386BD065" w14:textId="77777777" w:rsidR="00534EE1" w:rsidRPr="00BB109F" w:rsidRDefault="00534EE1" w:rsidP="00EE7FE8">
            <w:pPr>
              <w:rPr>
                <w:sz w:val="20"/>
                <w:szCs w:val="20"/>
              </w:rPr>
            </w:pPr>
            <w:r>
              <w:rPr>
                <w:sz w:val="20"/>
                <w:szCs w:val="20"/>
              </w:rPr>
              <w:t>B.1</w:t>
            </w:r>
          </w:p>
        </w:tc>
        <w:tc>
          <w:tcPr>
            <w:tcW w:w="6379" w:type="dxa"/>
          </w:tcPr>
          <w:p w14:paraId="1B2682B8" w14:textId="77777777" w:rsidR="00534EE1" w:rsidRPr="00BB109F" w:rsidRDefault="00534EE1" w:rsidP="00EE7FE8">
            <w:pPr>
              <w:rPr>
                <w:sz w:val="20"/>
                <w:szCs w:val="20"/>
              </w:rPr>
            </w:pPr>
            <w:r>
              <w:rPr>
                <w:sz w:val="20"/>
                <w:szCs w:val="20"/>
              </w:rPr>
              <w:t xml:space="preserve">Do not establish the KTNP without first exhausting </w:t>
            </w:r>
            <w:r w:rsidRPr="006C4593">
              <w:rPr>
                <w:i/>
                <w:sz w:val="20"/>
                <w:szCs w:val="20"/>
              </w:rPr>
              <w:t xml:space="preserve">all possible options </w:t>
            </w:r>
            <w:r>
              <w:rPr>
                <w:sz w:val="20"/>
                <w:szCs w:val="20"/>
              </w:rPr>
              <w:t xml:space="preserve">with the </w:t>
            </w:r>
            <w:proofErr w:type="spellStart"/>
            <w:r>
              <w:rPr>
                <w:sz w:val="20"/>
                <w:szCs w:val="20"/>
              </w:rPr>
              <w:t>Otradnoe</w:t>
            </w:r>
            <w:proofErr w:type="spellEnd"/>
            <w:r>
              <w:rPr>
                <w:sz w:val="20"/>
                <w:szCs w:val="20"/>
              </w:rPr>
              <w:t xml:space="preserve"> </w:t>
            </w:r>
            <w:proofErr w:type="spellStart"/>
            <w:r w:rsidRPr="006C4593">
              <w:rPr>
                <w:i/>
                <w:sz w:val="20"/>
                <w:szCs w:val="20"/>
              </w:rPr>
              <w:t>aiyl</w:t>
            </w:r>
            <w:proofErr w:type="spellEnd"/>
            <w:r w:rsidRPr="006C4593">
              <w:rPr>
                <w:i/>
                <w:sz w:val="20"/>
                <w:szCs w:val="20"/>
              </w:rPr>
              <w:t xml:space="preserve"> </w:t>
            </w:r>
            <w:proofErr w:type="spellStart"/>
            <w:r w:rsidRPr="006C4593">
              <w:rPr>
                <w:i/>
                <w:sz w:val="20"/>
                <w:szCs w:val="20"/>
              </w:rPr>
              <w:t>okmotu</w:t>
            </w:r>
            <w:proofErr w:type="spellEnd"/>
            <w:r>
              <w:rPr>
                <w:sz w:val="20"/>
                <w:szCs w:val="20"/>
              </w:rPr>
              <w:t xml:space="preserve"> (see Recommendation C.1); the 25,000ha area of pasture is of biodiversity importance and its exclusion from the KTNP would lead to fragmentation and a loss of integrity.   Other options do exist for further negotiations.</w:t>
            </w:r>
          </w:p>
        </w:tc>
        <w:tc>
          <w:tcPr>
            <w:tcW w:w="1468" w:type="dxa"/>
          </w:tcPr>
          <w:p w14:paraId="2F718005" w14:textId="77777777" w:rsidR="00534EE1" w:rsidRPr="00BB109F" w:rsidRDefault="00534EE1" w:rsidP="00EE7FE8">
            <w:pPr>
              <w:rPr>
                <w:sz w:val="20"/>
                <w:szCs w:val="20"/>
              </w:rPr>
            </w:pPr>
            <w:r>
              <w:rPr>
                <w:sz w:val="20"/>
                <w:szCs w:val="20"/>
              </w:rPr>
              <w:t>SAEPF, PIU</w:t>
            </w:r>
          </w:p>
        </w:tc>
      </w:tr>
      <w:tr w:rsidR="00534EE1" w:rsidRPr="00BB109F" w14:paraId="0BCEED5F" w14:textId="77777777" w:rsidTr="00EE7FE8">
        <w:tc>
          <w:tcPr>
            <w:tcW w:w="675" w:type="dxa"/>
          </w:tcPr>
          <w:p w14:paraId="7FC32FB1" w14:textId="77777777" w:rsidR="00534EE1" w:rsidRDefault="00534EE1" w:rsidP="00EE7FE8">
            <w:pPr>
              <w:rPr>
                <w:sz w:val="20"/>
                <w:szCs w:val="20"/>
              </w:rPr>
            </w:pPr>
            <w:r>
              <w:rPr>
                <w:sz w:val="20"/>
                <w:szCs w:val="20"/>
              </w:rPr>
              <w:t>B.2</w:t>
            </w:r>
          </w:p>
        </w:tc>
        <w:tc>
          <w:tcPr>
            <w:tcW w:w="6379" w:type="dxa"/>
          </w:tcPr>
          <w:p w14:paraId="7E098C63" w14:textId="77777777" w:rsidR="00534EE1" w:rsidRDefault="00534EE1" w:rsidP="00EE7FE8">
            <w:pPr>
              <w:rPr>
                <w:sz w:val="20"/>
                <w:szCs w:val="20"/>
              </w:rPr>
            </w:pPr>
            <w:r>
              <w:rPr>
                <w:sz w:val="20"/>
                <w:szCs w:val="20"/>
              </w:rPr>
              <w:t>Seek a long-term, non-governmental partner for the KTNP; secure a long-term agreement between SAEPF and the partner for financial and technical support.</w:t>
            </w:r>
          </w:p>
        </w:tc>
        <w:tc>
          <w:tcPr>
            <w:tcW w:w="1468" w:type="dxa"/>
          </w:tcPr>
          <w:p w14:paraId="4F5BB22B" w14:textId="77777777" w:rsidR="00534EE1" w:rsidRDefault="00534EE1" w:rsidP="00EE7FE8">
            <w:pPr>
              <w:rPr>
                <w:sz w:val="20"/>
                <w:szCs w:val="20"/>
              </w:rPr>
            </w:pPr>
            <w:r>
              <w:rPr>
                <w:sz w:val="20"/>
                <w:szCs w:val="20"/>
              </w:rPr>
              <w:t>PIU, SAEPF, NGOs</w:t>
            </w:r>
          </w:p>
        </w:tc>
      </w:tr>
      <w:tr w:rsidR="00534EE1" w:rsidRPr="00BB109F" w14:paraId="36F2522F" w14:textId="77777777" w:rsidTr="00EE7FE8">
        <w:tc>
          <w:tcPr>
            <w:tcW w:w="675" w:type="dxa"/>
          </w:tcPr>
          <w:p w14:paraId="1C750F82" w14:textId="77777777" w:rsidR="00534EE1" w:rsidRDefault="00534EE1" w:rsidP="00EE7FE8">
            <w:pPr>
              <w:rPr>
                <w:sz w:val="20"/>
                <w:szCs w:val="20"/>
              </w:rPr>
            </w:pPr>
            <w:r>
              <w:rPr>
                <w:sz w:val="20"/>
                <w:szCs w:val="20"/>
              </w:rPr>
              <w:t>B.3</w:t>
            </w:r>
          </w:p>
        </w:tc>
        <w:tc>
          <w:tcPr>
            <w:tcW w:w="6379" w:type="dxa"/>
          </w:tcPr>
          <w:p w14:paraId="51E0B854" w14:textId="3E0EF02C" w:rsidR="00534EE1" w:rsidRDefault="00534EE1" w:rsidP="00027594">
            <w:pPr>
              <w:rPr>
                <w:sz w:val="20"/>
                <w:szCs w:val="20"/>
              </w:rPr>
            </w:pPr>
            <w:r>
              <w:rPr>
                <w:sz w:val="20"/>
                <w:szCs w:val="20"/>
              </w:rPr>
              <w:t xml:space="preserve">Establish the KTNP according to best current knowledge and practices </w:t>
            </w:r>
            <w:r w:rsidR="00027594">
              <w:rPr>
                <w:sz w:val="20"/>
                <w:szCs w:val="20"/>
              </w:rPr>
              <w:t>from around the globe</w:t>
            </w:r>
          </w:p>
        </w:tc>
        <w:tc>
          <w:tcPr>
            <w:tcW w:w="1468" w:type="dxa"/>
          </w:tcPr>
          <w:p w14:paraId="350C6102" w14:textId="77777777" w:rsidR="00534EE1" w:rsidRDefault="00534EE1" w:rsidP="00EE7FE8">
            <w:pPr>
              <w:rPr>
                <w:sz w:val="20"/>
                <w:szCs w:val="20"/>
              </w:rPr>
            </w:pPr>
            <w:r>
              <w:rPr>
                <w:sz w:val="20"/>
                <w:szCs w:val="20"/>
              </w:rPr>
              <w:t>PIU, SAEPF, UNDP-GEF RTA</w:t>
            </w:r>
          </w:p>
        </w:tc>
      </w:tr>
      <w:tr w:rsidR="00534EE1" w:rsidRPr="00BB109F" w14:paraId="5323C178" w14:textId="77777777" w:rsidTr="00EE7FE8">
        <w:tc>
          <w:tcPr>
            <w:tcW w:w="675" w:type="dxa"/>
          </w:tcPr>
          <w:p w14:paraId="0947A15B" w14:textId="77777777" w:rsidR="00534EE1" w:rsidRDefault="00534EE1" w:rsidP="00EE7FE8">
            <w:pPr>
              <w:rPr>
                <w:sz w:val="20"/>
                <w:szCs w:val="20"/>
              </w:rPr>
            </w:pPr>
            <w:r>
              <w:rPr>
                <w:sz w:val="20"/>
                <w:szCs w:val="20"/>
              </w:rPr>
              <w:t>B.4</w:t>
            </w:r>
          </w:p>
        </w:tc>
        <w:tc>
          <w:tcPr>
            <w:tcW w:w="6379" w:type="dxa"/>
          </w:tcPr>
          <w:p w14:paraId="1C05D017" w14:textId="77777777" w:rsidR="00534EE1" w:rsidRDefault="00534EE1" w:rsidP="00EE7FE8">
            <w:pPr>
              <w:rPr>
                <w:sz w:val="20"/>
                <w:szCs w:val="20"/>
              </w:rPr>
            </w:pPr>
            <w:r>
              <w:rPr>
                <w:sz w:val="20"/>
                <w:szCs w:val="20"/>
              </w:rPr>
              <w:t xml:space="preserve">Determine possibilities for support an assistance in </w:t>
            </w:r>
            <w:proofErr w:type="spellStart"/>
            <w:r>
              <w:rPr>
                <w:sz w:val="20"/>
                <w:szCs w:val="20"/>
              </w:rPr>
              <w:t>Sarychat</w:t>
            </w:r>
            <w:proofErr w:type="spellEnd"/>
            <w:r>
              <w:rPr>
                <w:sz w:val="20"/>
                <w:szCs w:val="20"/>
              </w:rPr>
              <w:t xml:space="preserve"> </w:t>
            </w:r>
            <w:proofErr w:type="spellStart"/>
            <w:r>
              <w:rPr>
                <w:sz w:val="20"/>
                <w:szCs w:val="20"/>
              </w:rPr>
              <w:t>Ertash</w:t>
            </w:r>
            <w:proofErr w:type="spellEnd"/>
            <w:r>
              <w:rPr>
                <w:sz w:val="20"/>
                <w:szCs w:val="20"/>
              </w:rPr>
              <w:t xml:space="preserve"> </w:t>
            </w:r>
            <w:proofErr w:type="spellStart"/>
            <w:r>
              <w:rPr>
                <w:sz w:val="20"/>
                <w:szCs w:val="20"/>
              </w:rPr>
              <w:t>zapovednik</w:t>
            </w:r>
            <w:proofErr w:type="spellEnd"/>
          </w:p>
        </w:tc>
        <w:tc>
          <w:tcPr>
            <w:tcW w:w="1468" w:type="dxa"/>
          </w:tcPr>
          <w:p w14:paraId="260CC664" w14:textId="77777777" w:rsidR="00534EE1" w:rsidRDefault="00534EE1" w:rsidP="00EE7FE8">
            <w:pPr>
              <w:rPr>
                <w:sz w:val="20"/>
                <w:szCs w:val="20"/>
              </w:rPr>
            </w:pPr>
            <w:r>
              <w:rPr>
                <w:sz w:val="20"/>
                <w:szCs w:val="20"/>
              </w:rPr>
              <w:t>PIU, SAZ partners, SAEPF</w:t>
            </w:r>
          </w:p>
        </w:tc>
      </w:tr>
      <w:tr w:rsidR="00534EE1" w:rsidRPr="00BB109F" w14:paraId="18B67986" w14:textId="77777777" w:rsidTr="00EE7FE8">
        <w:tc>
          <w:tcPr>
            <w:tcW w:w="675" w:type="dxa"/>
          </w:tcPr>
          <w:p w14:paraId="1DC1FBF3" w14:textId="77777777" w:rsidR="00534EE1" w:rsidRDefault="00534EE1" w:rsidP="00EE7FE8">
            <w:pPr>
              <w:rPr>
                <w:sz w:val="20"/>
                <w:szCs w:val="20"/>
              </w:rPr>
            </w:pPr>
            <w:r>
              <w:rPr>
                <w:sz w:val="20"/>
                <w:szCs w:val="20"/>
              </w:rPr>
              <w:t>B.5</w:t>
            </w:r>
          </w:p>
        </w:tc>
        <w:tc>
          <w:tcPr>
            <w:tcW w:w="6379" w:type="dxa"/>
          </w:tcPr>
          <w:p w14:paraId="35EB6D93" w14:textId="77777777" w:rsidR="00534EE1" w:rsidRDefault="00534EE1" w:rsidP="00EE7FE8">
            <w:pPr>
              <w:rPr>
                <w:sz w:val="20"/>
                <w:szCs w:val="20"/>
              </w:rPr>
            </w:pPr>
            <w:r>
              <w:rPr>
                <w:sz w:val="20"/>
                <w:szCs w:val="20"/>
              </w:rPr>
              <w:t>Catalyse the process of establishing a Snow Leopard Conservation Forum (for ensuring cooperation, collaboration and coordination among snow leopard conservation actors in Kyrgyzstan)</w:t>
            </w:r>
          </w:p>
        </w:tc>
        <w:tc>
          <w:tcPr>
            <w:tcW w:w="1468" w:type="dxa"/>
          </w:tcPr>
          <w:p w14:paraId="23D76124" w14:textId="77777777" w:rsidR="00534EE1" w:rsidRDefault="00534EE1" w:rsidP="00EE7FE8">
            <w:pPr>
              <w:rPr>
                <w:sz w:val="20"/>
                <w:szCs w:val="20"/>
              </w:rPr>
            </w:pPr>
            <w:r>
              <w:rPr>
                <w:sz w:val="20"/>
                <w:szCs w:val="20"/>
              </w:rPr>
              <w:t>SAEPF, PIU</w:t>
            </w:r>
          </w:p>
        </w:tc>
      </w:tr>
      <w:tr w:rsidR="00534EE1" w:rsidRPr="00BB109F" w14:paraId="5FF01ABE" w14:textId="77777777" w:rsidTr="00EE7FE8">
        <w:tc>
          <w:tcPr>
            <w:tcW w:w="675" w:type="dxa"/>
            <w:shd w:val="clear" w:color="auto" w:fill="D9D9D9" w:themeFill="background1" w:themeFillShade="D9"/>
          </w:tcPr>
          <w:p w14:paraId="2B60BC2F" w14:textId="77777777" w:rsidR="00534EE1" w:rsidRPr="00BB109F" w:rsidRDefault="00534EE1" w:rsidP="00EE7FE8">
            <w:pPr>
              <w:rPr>
                <w:sz w:val="20"/>
                <w:szCs w:val="20"/>
              </w:rPr>
            </w:pPr>
            <w:r w:rsidRPr="00BB109F">
              <w:rPr>
                <w:sz w:val="20"/>
                <w:szCs w:val="20"/>
              </w:rPr>
              <w:t>C</w:t>
            </w:r>
          </w:p>
        </w:tc>
        <w:tc>
          <w:tcPr>
            <w:tcW w:w="6379" w:type="dxa"/>
            <w:shd w:val="clear" w:color="auto" w:fill="D9D9D9" w:themeFill="background1" w:themeFillShade="D9"/>
          </w:tcPr>
          <w:p w14:paraId="39201AE3" w14:textId="77777777" w:rsidR="00534EE1" w:rsidRPr="00BB109F" w:rsidRDefault="00534EE1" w:rsidP="00EE7FE8">
            <w:pPr>
              <w:rPr>
                <w:sz w:val="20"/>
                <w:szCs w:val="20"/>
              </w:rPr>
            </w:pPr>
            <w:r w:rsidRPr="00BB109F">
              <w:rPr>
                <w:sz w:val="20"/>
                <w:szCs w:val="20"/>
              </w:rPr>
              <w:t>Outcome 2:</w:t>
            </w:r>
          </w:p>
        </w:tc>
        <w:tc>
          <w:tcPr>
            <w:tcW w:w="1468" w:type="dxa"/>
            <w:shd w:val="clear" w:color="auto" w:fill="D9D9D9" w:themeFill="background1" w:themeFillShade="D9"/>
          </w:tcPr>
          <w:p w14:paraId="1FB438B4" w14:textId="77777777" w:rsidR="00534EE1" w:rsidRPr="00BB109F" w:rsidRDefault="00534EE1" w:rsidP="00EE7FE8">
            <w:pPr>
              <w:rPr>
                <w:sz w:val="20"/>
                <w:szCs w:val="20"/>
              </w:rPr>
            </w:pPr>
          </w:p>
        </w:tc>
      </w:tr>
      <w:tr w:rsidR="00534EE1" w:rsidRPr="00BB109F" w14:paraId="33ABCF36" w14:textId="77777777" w:rsidTr="00EE7FE8">
        <w:tc>
          <w:tcPr>
            <w:tcW w:w="675" w:type="dxa"/>
          </w:tcPr>
          <w:p w14:paraId="193EE48F" w14:textId="77777777" w:rsidR="00534EE1" w:rsidRPr="00BB109F" w:rsidRDefault="00534EE1" w:rsidP="00EE7FE8">
            <w:pPr>
              <w:rPr>
                <w:sz w:val="20"/>
                <w:szCs w:val="20"/>
              </w:rPr>
            </w:pPr>
            <w:r>
              <w:rPr>
                <w:sz w:val="20"/>
                <w:szCs w:val="20"/>
              </w:rPr>
              <w:t>C.1</w:t>
            </w:r>
          </w:p>
        </w:tc>
        <w:tc>
          <w:tcPr>
            <w:tcW w:w="6379" w:type="dxa"/>
          </w:tcPr>
          <w:p w14:paraId="1CD30D41" w14:textId="77777777" w:rsidR="00534EE1" w:rsidRDefault="00534EE1" w:rsidP="00EE7FE8">
            <w:pPr>
              <w:rPr>
                <w:sz w:val="20"/>
                <w:szCs w:val="20"/>
              </w:rPr>
            </w:pPr>
            <w:r>
              <w:rPr>
                <w:sz w:val="20"/>
                <w:szCs w:val="20"/>
              </w:rPr>
              <w:t>Immediately hire a CTA – Livelihoods</w:t>
            </w:r>
          </w:p>
          <w:p w14:paraId="67B03F24" w14:textId="77777777" w:rsidR="00534EE1" w:rsidRPr="00BB109F" w:rsidRDefault="00534EE1" w:rsidP="00EE7FE8">
            <w:pPr>
              <w:rPr>
                <w:sz w:val="20"/>
                <w:szCs w:val="20"/>
              </w:rPr>
            </w:pPr>
            <w:r>
              <w:rPr>
                <w:sz w:val="20"/>
                <w:szCs w:val="20"/>
              </w:rPr>
              <w:t xml:space="preserve">CTA to review and assess feasibility and sustainability of livelihoods programme, lead negotiation with </w:t>
            </w:r>
            <w:proofErr w:type="spellStart"/>
            <w:r>
              <w:rPr>
                <w:sz w:val="20"/>
                <w:szCs w:val="20"/>
              </w:rPr>
              <w:t>Otradnoe</w:t>
            </w:r>
            <w:proofErr w:type="spellEnd"/>
            <w:r>
              <w:rPr>
                <w:sz w:val="20"/>
                <w:szCs w:val="20"/>
              </w:rPr>
              <w:t xml:space="preserve"> </w:t>
            </w:r>
            <w:proofErr w:type="spellStart"/>
            <w:r>
              <w:rPr>
                <w:sz w:val="20"/>
                <w:szCs w:val="20"/>
              </w:rPr>
              <w:t>aiyl</w:t>
            </w:r>
            <w:proofErr w:type="spellEnd"/>
            <w:r>
              <w:rPr>
                <w:sz w:val="20"/>
                <w:szCs w:val="20"/>
              </w:rPr>
              <w:t xml:space="preserve"> </w:t>
            </w:r>
            <w:proofErr w:type="spellStart"/>
            <w:r>
              <w:rPr>
                <w:sz w:val="20"/>
                <w:szCs w:val="20"/>
              </w:rPr>
              <w:t>okmotu</w:t>
            </w:r>
            <w:proofErr w:type="spellEnd"/>
            <w:r>
              <w:rPr>
                <w:sz w:val="20"/>
                <w:szCs w:val="20"/>
              </w:rPr>
              <w:t xml:space="preserve">; lead study tour for local community representatives; support PC; select non-governmental partner for livelihoods work; implement livelihoods programme (including three components – community-based tourism, use and management of pastures/NRM, and micro-credit schemes); negotiate and sign natural resource use and management agreements with seven </w:t>
            </w:r>
            <w:proofErr w:type="spellStart"/>
            <w:r w:rsidRPr="00630079">
              <w:rPr>
                <w:i/>
                <w:sz w:val="20"/>
                <w:szCs w:val="20"/>
              </w:rPr>
              <w:t>aiyl</w:t>
            </w:r>
            <w:proofErr w:type="spellEnd"/>
            <w:r w:rsidRPr="00630079">
              <w:rPr>
                <w:i/>
                <w:sz w:val="20"/>
                <w:szCs w:val="20"/>
              </w:rPr>
              <w:t xml:space="preserve"> </w:t>
            </w:r>
            <w:proofErr w:type="spellStart"/>
            <w:r w:rsidRPr="00630079">
              <w:rPr>
                <w:i/>
                <w:sz w:val="20"/>
                <w:szCs w:val="20"/>
              </w:rPr>
              <w:t>okmotu</w:t>
            </w:r>
            <w:r>
              <w:rPr>
                <w:sz w:val="20"/>
                <w:szCs w:val="20"/>
              </w:rPr>
              <w:t>s</w:t>
            </w:r>
            <w:proofErr w:type="spellEnd"/>
            <w:r>
              <w:rPr>
                <w:sz w:val="20"/>
                <w:szCs w:val="20"/>
              </w:rPr>
              <w:t xml:space="preserve"> (and their pasture committees) with pastures included in KTNP</w:t>
            </w:r>
          </w:p>
        </w:tc>
        <w:tc>
          <w:tcPr>
            <w:tcW w:w="1468" w:type="dxa"/>
          </w:tcPr>
          <w:p w14:paraId="6F7341AF" w14:textId="77777777" w:rsidR="00534EE1" w:rsidRPr="00BB109F" w:rsidRDefault="00534EE1" w:rsidP="00EE7FE8">
            <w:pPr>
              <w:rPr>
                <w:sz w:val="20"/>
                <w:szCs w:val="20"/>
              </w:rPr>
            </w:pPr>
            <w:r>
              <w:rPr>
                <w:sz w:val="20"/>
                <w:szCs w:val="20"/>
              </w:rPr>
              <w:t>PIU</w:t>
            </w:r>
          </w:p>
        </w:tc>
      </w:tr>
      <w:tr w:rsidR="00534EE1" w:rsidRPr="00BB109F" w14:paraId="408C604D" w14:textId="77777777" w:rsidTr="00EE7FE8">
        <w:tc>
          <w:tcPr>
            <w:tcW w:w="675" w:type="dxa"/>
          </w:tcPr>
          <w:p w14:paraId="61390F2D" w14:textId="77777777" w:rsidR="00534EE1" w:rsidRDefault="00534EE1" w:rsidP="00EE7FE8">
            <w:pPr>
              <w:rPr>
                <w:sz w:val="20"/>
                <w:szCs w:val="20"/>
              </w:rPr>
            </w:pPr>
            <w:r>
              <w:rPr>
                <w:sz w:val="20"/>
                <w:szCs w:val="20"/>
              </w:rPr>
              <w:t>C.2</w:t>
            </w:r>
          </w:p>
        </w:tc>
        <w:tc>
          <w:tcPr>
            <w:tcW w:w="6379" w:type="dxa"/>
          </w:tcPr>
          <w:p w14:paraId="650812E7" w14:textId="77777777" w:rsidR="00534EE1" w:rsidRDefault="00534EE1" w:rsidP="00EE7FE8">
            <w:pPr>
              <w:rPr>
                <w:sz w:val="20"/>
                <w:szCs w:val="20"/>
              </w:rPr>
            </w:pPr>
            <w:r>
              <w:rPr>
                <w:sz w:val="20"/>
                <w:szCs w:val="20"/>
              </w:rPr>
              <w:t>With the exception of quick wins (e.g., training inspectors), accept that improving the trophy hunting industry is beyond the scope of this project</w:t>
            </w:r>
          </w:p>
        </w:tc>
        <w:tc>
          <w:tcPr>
            <w:tcW w:w="1468" w:type="dxa"/>
          </w:tcPr>
          <w:p w14:paraId="01CA14CB" w14:textId="77777777" w:rsidR="00534EE1" w:rsidRDefault="00534EE1" w:rsidP="00EE7FE8">
            <w:pPr>
              <w:rPr>
                <w:sz w:val="20"/>
                <w:szCs w:val="20"/>
              </w:rPr>
            </w:pPr>
            <w:r>
              <w:rPr>
                <w:sz w:val="20"/>
                <w:szCs w:val="20"/>
              </w:rPr>
              <w:t>SAEPF, UNDP-CO, UNDP-GEF RTA</w:t>
            </w:r>
          </w:p>
        </w:tc>
      </w:tr>
      <w:tr w:rsidR="00534EE1" w:rsidRPr="00BB109F" w14:paraId="666D6C46" w14:textId="77777777" w:rsidTr="00EE7FE8">
        <w:tc>
          <w:tcPr>
            <w:tcW w:w="675" w:type="dxa"/>
          </w:tcPr>
          <w:p w14:paraId="6457386C" w14:textId="77777777" w:rsidR="00534EE1" w:rsidRDefault="00534EE1" w:rsidP="00EE7FE8">
            <w:pPr>
              <w:rPr>
                <w:sz w:val="20"/>
                <w:szCs w:val="20"/>
              </w:rPr>
            </w:pPr>
            <w:r>
              <w:rPr>
                <w:sz w:val="20"/>
                <w:szCs w:val="20"/>
              </w:rPr>
              <w:t>C.3</w:t>
            </w:r>
          </w:p>
        </w:tc>
        <w:tc>
          <w:tcPr>
            <w:tcW w:w="6379" w:type="dxa"/>
          </w:tcPr>
          <w:p w14:paraId="011C7EE6" w14:textId="77777777" w:rsidR="00534EE1" w:rsidRDefault="00534EE1" w:rsidP="00EE7FE8">
            <w:pPr>
              <w:rPr>
                <w:sz w:val="20"/>
                <w:szCs w:val="20"/>
              </w:rPr>
            </w:pPr>
            <w:r>
              <w:rPr>
                <w:sz w:val="20"/>
                <w:szCs w:val="20"/>
              </w:rPr>
              <w:t>Include courts in capacity building activities and formally request prosecution data</w:t>
            </w:r>
          </w:p>
        </w:tc>
        <w:tc>
          <w:tcPr>
            <w:tcW w:w="1468" w:type="dxa"/>
          </w:tcPr>
          <w:p w14:paraId="3D3CF41A" w14:textId="77777777" w:rsidR="00534EE1" w:rsidRDefault="00534EE1" w:rsidP="00EE7FE8">
            <w:pPr>
              <w:rPr>
                <w:sz w:val="20"/>
                <w:szCs w:val="20"/>
              </w:rPr>
            </w:pPr>
            <w:r>
              <w:rPr>
                <w:sz w:val="20"/>
                <w:szCs w:val="20"/>
              </w:rPr>
              <w:t xml:space="preserve">SAEPF, PIU, </w:t>
            </w:r>
            <w:proofErr w:type="spellStart"/>
            <w:r>
              <w:rPr>
                <w:sz w:val="20"/>
                <w:szCs w:val="20"/>
              </w:rPr>
              <w:t>Issyl</w:t>
            </w:r>
            <w:proofErr w:type="spellEnd"/>
            <w:r>
              <w:rPr>
                <w:sz w:val="20"/>
                <w:szCs w:val="20"/>
              </w:rPr>
              <w:t xml:space="preserve"> </w:t>
            </w:r>
            <w:proofErr w:type="spellStart"/>
            <w:r>
              <w:rPr>
                <w:sz w:val="20"/>
                <w:szCs w:val="20"/>
              </w:rPr>
              <w:t>Kul</w:t>
            </w:r>
            <w:proofErr w:type="spellEnd"/>
            <w:r>
              <w:rPr>
                <w:sz w:val="20"/>
                <w:szCs w:val="20"/>
              </w:rPr>
              <w:t xml:space="preserve"> Biosphere Territory; </w:t>
            </w:r>
            <w:proofErr w:type="spellStart"/>
            <w:r>
              <w:rPr>
                <w:sz w:val="20"/>
                <w:szCs w:val="20"/>
              </w:rPr>
              <w:t>Issyl</w:t>
            </w:r>
            <w:proofErr w:type="spellEnd"/>
            <w:r>
              <w:rPr>
                <w:sz w:val="20"/>
                <w:szCs w:val="20"/>
              </w:rPr>
              <w:t xml:space="preserve"> </w:t>
            </w:r>
            <w:proofErr w:type="spellStart"/>
            <w:r>
              <w:rPr>
                <w:sz w:val="20"/>
                <w:szCs w:val="20"/>
              </w:rPr>
              <w:t>Kul</w:t>
            </w:r>
            <w:proofErr w:type="spellEnd"/>
            <w:r>
              <w:rPr>
                <w:sz w:val="20"/>
                <w:szCs w:val="20"/>
              </w:rPr>
              <w:t xml:space="preserve"> oblast</w:t>
            </w:r>
          </w:p>
        </w:tc>
      </w:tr>
      <w:tr w:rsidR="00534EE1" w:rsidRPr="00BB109F" w14:paraId="3C359F99" w14:textId="77777777" w:rsidTr="00EE7FE8">
        <w:tc>
          <w:tcPr>
            <w:tcW w:w="675" w:type="dxa"/>
            <w:shd w:val="clear" w:color="auto" w:fill="D9D9D9" w:themeFill="background1" w:themeFillShade="D9"/>
          </w:tcPr>
          <w:p w14:paraId="0EDFB524" w14:textId="77777777" w:rsidR="00534EE1" w:rsidRPr="00BB109F" w:rsidRDefault="00534EE1" w:rsidP="00EE7FE8">
            <w:pPr>
              <w:rPr>
                <w:sz w:val="20"/>
                <w:szCs w:val="20"/>
              </w:rPr>
            </w:pPr>
            <w:r w:rsidRPr="00BB109F">
              <w:rPr>
                <w:sz w:val="20"/>
                <w:szCs w:val="20"/>
              </w:rPr>
              <w:t>D</w:t>
            </w:r>
          </w:p>
        </w:tc>
        <w:tc>
          <w:tcPr>
            <w:tcW w:w="6379" w:type="dxa"/>
            <w:shd w:val="clear" w:color="auto" w:fill="D9D9D9" w:themeFill="background1" w:themeFillShade="D9"/>
          </w:tcPr>
          <w:p w14:paraId="3734D549" w14:textId="77777777" w:rsidR="00534EE1" w:rsidRPr="00BB109F" w:rsidRDefault="00534EE1" w:rsidP="00EE7FE8">
            <w:pPr>
              <w:rPr>
                <w:sz w:val="20"/>
                <w:szCs w:val="20"/>
              </w:rPr>
            </w:pPr>
            <w:r w:rsidRPr="00BB109F">
              <w:rPr>
                <w:sz w:val="20"/>
                <w:szCs w:val="20"/>
              </w:rPr>
              <w:t>Outcome 3: Project Management</w:t>
            </w:r>
          </w:p>
        </w:tc>
        <w:tc>
          <w:tcPr>
            <w:tcW w:w="1468" w:type="dxa"/>
            <w:shd w:val="clear" w:color="auto" w:fill="D9D9D9" w:themeFill="background1" w:themeFillShade="D9"/>
          </w:tcPr>
          <w:p w14:paraId="00E715A2" w14:textId="77777777" w:rsidR="00534EE1" w:rsidRPr="00BB109F" w:rsidRDefault="00534EE1" w:rsidP="00EE7FE8">
            <w:pPr>
              <w:rPr>
                <w:sz w:val="20"/>
                <w:szCs w:val="20"/>
              </w:rPr>
            </w:pPr>
          </w:p>
        </w:tc>
      </w:tr>
      <w:tr w:rsidR="00534EE1" w:rsidRPr="00BB109F" w14:paraId="2FFF0774" w14:textId="77777777" w:rsidTr="00EE7FE8">
        <w:tc>
          <w:tcPr>
            <w:tcW w:w="675" w:type="dxa"/>
          </w:tcPr>
          <w:p w14:paraId="70388FD0" w14:textId="77777777" w:rsidR="00534EE1" w:rsidRPr="00BB109F" w:rsidRDefault="00534EE1" w:rsidP="00EE7FE8">
            <w:pPr>
              <w:rPr>
                <w:sz w:val="20"/>
                <w:szCs w:val="20"/>
              </w:rPr>
            </w:pPr>
            <w:r>
              <w:rPr>
                <w:sz w:val="20"/>
                <w:szCs w:val="20"/>
              </w:rPr>
              <w:t>D.1</w:t>
            </w:r>
          </w:p>
        </w:tc>
        <w:tc>
          <w:tcPr>
            <w:tcW w:w="6379" w:type="dxa"/>
          </w:tcPr>
          <w:p w14:paraId="44F2250F" w14:textId="77777777" w:rsidR="00534EE1" w:rsidRPr="00BB109F" w:rsidRDefault="00534EE1" w:rsidP="00EE7FE8">
            <w:pPr>
              <w:rPr>
                <w:sz w:val="20"/>
                <w:szCs w:val="20"/>
              </w:rPr>
            </w:pPr>
            <w:r>
              <w:rPr>
                <w:sz w:val="20"/>
                <w:szCs w:val="20"/>
              </w:rPr>
              <w:t>No amendment to implementation modality – continue DIM</w:t>
            </w:r>
          </w:p>
        </w:tc>
        <w:tc>
          <w:tcPr>
            <w:tcW w:w="1468" w:type="dxa"/>
          </w:tcPr>
          <w:p w14:paraId="18848C17" w14:textId="77777777" w:rsidR="00534EE1" w:rsidRPr="00BB109F" w:rsidRDefault="00534EE1" w:rsidP="00EE7FE8">
            <w:pPr>
              <w:rPr>
                <w:sz w:val="20"/>
                <w:szCs w:val="20"/>
              </w:rPr>
            </w:pPr>
            <w:r>
              <w:rPr>
                <w:sz w:val="20"/>
                <w:szCs w:val="20"/>
              </w:rPr>
              <w:t>PB, PIU</w:t>
            </w:r>
          </w:p>
        </w:tc>
      </w:tr>
      <w:tr w:rsidR="00534EE1" w:rsidRPr="00BB109F" w14:paraId="77809944" w14:textId="77777777" w:rsidTr="00EE7FE8">
        <w:tc>
          <w:tcPr>
            <w:tcW w:w="675" w:type="dxa"/>
          </w:tcPr>
          <w:p w14:paraId="65CDB059" w14:textId="77777777" w:rsidR="00534EE1" w:rsidRDefault="00534EE1" w:rsidP="00EE7FE8">
            <w:pPr>
              <w:rPr>
                <w:sz w:val="20"/>
                <w:szCs w:val="20"/>
              </w:rPr>
            </w:pPr>
            <w:r>
              <w:rPr>
                <w:sz w:val="20"/>
                <w:szCs w:val="20"/>
              </w:rPr>
              <w:t>D.2</w:t>
            </w:r>
          </w:p>
        </w:tc>
        <w:tc>
          <w:tcPr>
            <w:tcW w:w="6379" w:type="dxa"/>
          </w:tcPr>
          <w:p w14:paraId="1EF343EA" w14:textId="77777777" w:rsidR="00534EE1" w:rsidRDefault="00534EE1" w:rsidP="00EE7FE8">
            <w:pPr>
              <w:rPr>
                <w:sz w:val="20"/>
                <w:szCs w:val="20"/>
              </w:rPr>
            </w:pPr>
            <w:r>
              <w:rPr>
                <w:sz w:val="20"/>
                <w:szCs w:val="20"/>
              </w:rPr>
              <w:t>Project implementation should be more flexible, incorporating adaptive management – so long as it serves and contributes to the objective and outcomes of the project</w:t>
            </w:r>
          </w:p>
        </w:tc>
        <w:tc>
          <w:tcPr>
            <w:tcW w:w="1468" w:type="dxa"/>
          </w:tcPr>
          <w:p w14:paraId="75812BF7" w14:textId="77777777" w:rsidR="00534EE1" w:rsidRDefault="00534EE1" w:rsidP="00EE7FE8">
            <w:pPr>
              <w:rPr>
                <w:sz w:val="20"/>
                <w:szCs w:val="20"/>
              </w:rPr>
            </w:pPr>
            <w:r>
              <w:rPr>
                <w:sz w:val="20"/>
                <w:szCs w:val="20"/>
              </w:rPr>
              <w:t>PIU</w:t>
            </w:r>
          </w:p>
        </w:tc>
      </w:tr>
      <w:tr w:rsidR="00534EE1" w:rsidRPr="00BB109F" w14:paraId="4D1A0084" w14:textId="77777777" w:rsidTr="00EE7FE8">
        <w:tc>
          <w:tcPr>
            <w:tcW w:w="675" w:type="dxa"/>
          </w:tcPr>
          <w:p w14:paraId="1B84AD55" w14:textId="77777777" w:rsidR="00534EE1" w:rsidRDefault="00534EE1" w:rsidP="00EE7FE8">
            <w:pPr>
              <w:rPr>
                <w:sz w:val="20"/>
                <w:szCs w:val="20"/>
              </w:rPr>
            </w:pPr>
            <w:r>
              <w:rPr>
                <w:sz w:val="20"/>
                <w:szCs w:val="20"/>
              </w:rPr>
              <w:t>D.3</w:t>
            </w:r>
          </w:p>
        </w:tc>
        <w:tc>
          <w:tcPr>
            <w:tcW w:w="6379" w:type="dxa"/>
          </w:tcPr>
          <w:p w14:paraId="4BFA5172" w14:textId="77777777" w:rsidR="00534EE1" w:rsidRDefault="00534EE1" w:rsidP="00EE7FE8">
            <w:pPr>
              <w:rPr>
                <w:sz w:val="20"/>
                <w:szCs w:val="20"/>
              </w:rPr>
            </w:pPr>
            <w:r>
              <w:rPr>
                <w:sz w:val="20"/>
                <w:szCs w:val="20"/>
              </w:rPr>
              <w:t>Enhance the effectiveness, efficiency and urgency of implementation</w:t>
            </w:r>
          </w:p>
        </w:tc>
        <w:tc>
          <w:tcPr>
            <w:tcW w:w="1468" w:type="dxa"/>
          </w:tcPr>
          <w:p w14:paraId="5D136BC3" w14:textId="77777777" w:rsidR="00534EE1" w:rsidRDefault="00534EE1" w:rsidP="00EE7FE8">
            <w:pPr>
              <w:rPr>
                <w:sz w:val="20"/>
                <w:szCs w:val="20"/>
              </w:rPr>
            </w:pPr>
            <w:r>
              <w:rPr>
                <w:sz w:val="20"/>
                <w:szCs w:val="20"/>
              </w:rPr>
              <w:t>PIU</w:t>
            </w:r>
          </w:p>
        </w:tc>
      </w:tr>
    </w:tbl>
    <w:p w14:paraId="429BE92D" w14:textId="6655FB9D" w:rsidR="001B65A1" w:rsidRPr="00516656" w:rsidRDefault="001B65A1" w:rsidP="00BB109F">
      <w:pPr>
        <w:jc w:val="both"/>
      </w:pPr>
    </w:p>
    <w:p w14:paraId="193AD10B" w14:textId="007243C7" w:rsidR="001B1CDD" w:rsidRPr="00516656" w:rsidRDefault="001B1CDD" w:rsidP="00557937">
      <w:pPr>
        <w:pStyle w:val="Heading3"/>
      </w:pPr>
      <w:bookmarkStart w:id="46" w:name="_Toc311452895"/>
      <w:r w:rsidRPr="00516656">
        <w:t>Corrective actions for the design, implementation, monitoring and evaluation of the project</w:t>
      </w:r>
      <w:bookmarkEnd w:id="46"/>
    </w:p>
    <w:p w14:paraId="3EA46297" w14:textId="322B1DDD" w:rsidR="004C1FD9" w:rsidRDefault="005C471A" w:rsidP="00DD5EF8">
      <w:pPr>
        <w:numPr>
          <w:ilvl w:val="0"/>
          <w:numId w:val="2"/>
        </w:numPr>
        <w:ind w:left="0" w:firstLine="0"/>
        <w:jc w:val="both"/>
      </w:pPr>
      <w:r>
        <w:rPr>
          <w:i/>
        </w:rPr>
        <w:t>Project’s Results Framework</w:t>
      </w:r>
      <w:r>
        <w:t xml:space="preserve">.  </w:t>
      </w:r>
      <w:r w:rsidR="00DD5EF8">
        <w:t>A number of proposals have been made for amendments to the proje</w:t>
      </w:r>
      <w:r w:rsidR="0097400E">
        <w:t>ct’s results framework (see Tab</w:t>
      </w:r>
      <w:r w:rsidR="00DD5EF8">
        <w:t>l</w:t>
      </w:r>
      <w:r w:rsidR="0097400E">
        <w:t>e</w:t>
      </w:r>
      <w:r w:rsidR="00DD5EF8">
        <w:t xml:space="preserve"> </w:t>
      </w:r>
      <w:r w:rsidR="006B2CFA">
        <w:t>2</w:t>
      </w:r>
      <w:r w:rsidR="00DD5EF8">
        <w:t xml:space="preserve"> and Table </w:t>
      </w:r>
      <w:r w:rsidR="006B2CFA">
        <w:t>9</w:t>
      </w:r>
      <w:r w:rsidR="00DD5EF8">
        <w:t>).</w:t>
      </w:r>
    </w:p>
    <w:p w14:paraId="27D01778" w14:textId="73714178" w:rsidR="000C1F7B" w:rsidRPr="001E10DE" w:rsidRDefault="001E10DE" w:rsidP="001E10DE">
      <w:pPr>
        <w:pStyle w:val="Caption"/>
        <w:rPr>
          <w:b w:val="0"/>
        </w:rPr>
      </w:pPr>
      <w:bookmarkStart w:id="47" w:name="_Ref311445607"/>
      <w:proofErr w:type="gramStart"/>
      <w:r w:rsidRPr="001E10DE">
        <w:rPr>
          <w:b w:val="0"/>
        </w:rPr>
        <w:t xml:space="preserve">Table </w:t>
      </w:r>
      <w:r w:rsidRPr="001E10DE">
        <w:rPr>
          <w:b w:val="0"/>
        </w:rPr>
        <w:fldChar w:fldCharType="begin"/>
      </w:r>
      <w:r w:rsidRPr="001E10DE">
        <w:rPr>
          <w:b w:val="0"/>
        </w:rPr>
        <w:instrText xml:space="preserve"> SEQ Table \* ARABIC </w:instrText>
      </w:r>
      <w:r w:rsidRPr="001E10DE">
        <w:rPr>
          <w:b w:val="0"/>
        </w:rPr>
        <w:fldChar w:fldCharType="separate"/>
      </w:r>
      <w:r w:rsidRPr="001E10DE">
        <w:rPr>
          <w:b w:val="0"/>
          <w:noProof/>
        </w:rPr>
        <w:t>9</w:t>
      </w:r>
      <w:r w:rsidRPr="001E10DE">
        <w:rPr>
          <w:b w:val="0"/>
        </w:rPr>
        <w:fldChar w:fldCharType="end"/>
      </w:r>
      <w:bookmarkEnd w:id="47"/>
      <w:r w:rsidRPr="001E10DE">
        <w:rPr>
          <w:b w:val="0"/>
        </w:rPr>
        <w:t>.</w:t>
      </w:r>
      <w:proofErr w:type="gramEnd"/>
      <w:r w:rsidRPr="001E10DE">
        <w:rPr>
          <w:b w:val="0"/>
        </w:rPr>
        <w:t xml:space="preserve"> </w:t>
      </w:r>
      <w:proofErr w:type="gramStart"/>
      <w:r w:rsidRPr="001E10DE">
        <w:rPr>
          <w:b w:val="0"/>
        </w:rPr>
        <w:t>The proposed amendments to the project’s results framework.</w:t>
      </w:r>
      <w:proofErr w:type="gramEnd"/>
    </w:p>
    <w:tbl>
      <w:tblPr>
        <w:tblStyle w:val="TableGrid"/>
        <w:tblW w:w="0" w:type="auto"/>
        <w:tblLook w:val="04A0" w:firstRow="1" w:lastRow="0" w:firstColumn="1" w:lastColumn="0" w:noHBand="0" w:noVBand="1"/>
      </w:tblPr>
      <w:tblGrid>
        <w:gridCol w:w="2130"/>
        <w:gridCol w:w="2130"/>
        <w:gridCol w:w="2131"/>
        <w:gridCol w:w="2131"/>
      </w:tblGrid>
      <w:tr w:rsidR="000C1F7B" w:rsidRPr="000C1F7B" w14:paraId="50DCA033" w14:textId="77777777" w:rsidTr="000C1F7B">
        <w:trPr>
          <w:tblHeader/>
        </w:trPr>
        <w:tc>
          <w:tcPr>
            <w:tcW w:w="2130" w:type="dxa"/>
            <w:shd w:val="clear" w:color="auto" w:fill="D9D9D9" w:themeFill="background1" w:themeFillShade="D9"/>
          </w:tcPr>
          <w:p w14:paraId="03F0CCEB" w14:textId="77777777" w:rsidR="000C1F7B" w:rsidRPr="000C1F7B" w:rsidRDefault="000C1F7B" w:rsidP="000C1F7B">
            <w:pPr>
              <w:rPr>
                <w:b/>
                <w:sz w:val="20"/>
                <w:szCs w:val="20"/>
              </w:rPr>
            </w:pPr>
            <w:r w:rsidRPr="000C1F7B">
              <w:rPr>
                <w:b/>
                <w:sz w:val="20"/>
                <w:szCs w:val="20"/>
              </w:rPr>
              <w:t>Project strategy</w:t>
            </w:r>
          </w:p>
        </w:tc>
        <w:tc>
          <w:tcPr>
            <w:tcW w:w="2130" w:type="dxa"/>
            <w:shd w:val="clear" w:color="auto" w:fill="D9D9D9" w:themeFill="background1" w:themeFillShade="D9"/>
          </w:tcPr>
          <w:p w14:paraId="47F21096" w14:textId="77777777" w:rsidR="000C1F7B" w:rsidRPr="000C1F7B" w:rsidRDefault="000C1F7B" w:rsidP="0039419D">
            <w:pPr>
              <w:rPr>
                <w:b/>
                <w:sz w:val="20"/>
                <w:szCs w:val="20"/>
              </w:rPr>
            </w:pPr>
            <w:r w:rsidRPr="000C1F7B">
              <w:rPr>
                <w:b/>
                <w:sz w:val="20"/>
                <w:szCs w:val="20"/>
              </w:rPr>
              <w:t>Original indicator</w:t>
            </w:r>
          </w:p>
        </w:tc>
        <w:tc>
          <w:tcPr>
            <w:tcW w:w="2131" w:type="dxa"/>
            <w:shd w:val="clear" w:color="auto" w:fill="D9D9D9" w:themeFill="background1" w:themeFillShade="D9"/>
          </w:tcPr>
          <w:p w14:paraId="2C7333B1" w14:textId="77777777" w:rsidR="000C1F7B" w:rsidRPr="000C1F7B" w:rsidRDefault="000C1F7B" w:rsidP="0039419D">
            <w:pPr>
              <w:rPr>
                <w:b/>
                <w:sz w:val="20"/>
                <w:szCs w:val="20"/>
              </w:rPr>
            </w:pPr>
            <w:r w:rsidRPr="000C1F7B">
              <w:rPr>
                <w:b/>
                <w:sz w:val="20"/>
                <w:szCs w:val="20"/>
              </w:rPr>
              <w:t>Original target</w:t>
            </w:r>
          </w:p>
        </w:tc>
        <w:tc>
          <w:tcPr>
            <w:tcW w:w="2131" w:type="dxa"/>
            <w:shd w:val="clear" w:color="auto" w:fill="D9D9D9" w:themeFill="background1" w:themeFillShade="D9"/>
          </w:tcPr>
          <w:p w14:paraId="5A92E80A" w14:textId="77777777" w:rsidR="000C1F7B" w:rsidRPr="000C1F7B" w:rsidRDefault="000C1F7B" w:rsidP="0039419D">
            <w:pPr>
              <w:rPr>
                <w:b/>
                <w:sz w:val="20"/>
                <w:szCs w:val="20"/>
              </w:rPr>
            </w:pPr>
            <w:r w:rsidRPr="000C1F7B">
              <w:rPr>
                <w:b/>
                <w:sz w:val="20"/>
                <w:szCs w:val="20"/>
              </w:rPr>
              <w:t>Recommended amendments</w:t>
            </w:r>
          </w:p>
        </w:tc>
      </w:tr>
      <w:tr w:rsidR="000C1F7B" w:rsidRPr="00D60707" w14:paraId="780D5A6F" w14:textId="77777777" w:rsidTr="0039419D">
        <w:tc>
          <w:tcPr>
            <w:tcW w:w="2130" w:type="dxa"/>
          </w:tcPr>
          <w:p w14:paraId="3AFA92D4" w14:textId="77777777" w:rsidR="000C1F7B" w:rsidRPr="00D60707" w:rsidRDefault="000C1F7B" w:rsidP="0039419D">
            <w:pPr>
              <w:rPr>
                <w:sz w:val="20"/>
                <w:szCs w:val="20"/>
              </w:rPr>
            </w:pPr>
            <w:r w:rsidRPr="00D60707">
              <w:rPr>
                <w:sz w:val="20"/>
                <w:szCs w:val="20"/>
              </w:rPr>
              <w:t xml:space="preserve">Objective: To improve the coverage and effectiveness of protected areas in the Central </w:t>
            </w:r>
            <w:proofErr w:type="spellStart"/>
            <w:r w:rsidRPr="00D60707">
              <w:rPr>
                <w:sz w:val="20"/>
                <w:szCs w:val="20"/>
              </w:rPr>
              <w:t>Tian</w:t>
            </w:r>
            <w:proofErr w:type="spellEnd"/>
            <w:r w:rsidRPr="00D60707">
              <w:rPr>
                <w:sz w:val="20"/>
                <w:szCs w:val="20"/>
              </w:rPr>
              <w:t xml:space="preserve"> Shan Mountains so as to expand threatened species representation in the national system</w:t>
            </w:r>
          </w:p>
        </w:tc>
        <w:tc>
          <w:tcPr>
            <w:tcW w:w="2130" w:type="dxa"/>
          </w:tcPr>
          <w:p w14:paraId="39DFA1BD" w14:textId="77777777" w:rsidR="000C1F7B" w:rsidRPr="00D60707" w:rsidRDefault="000C1F7B" w:rsidP="0039419D">
            <w:pPr>
              <w:rPr>
                <w:sz w:val="20"/>
                <w:szCs w:val="20"/>
              </w:rPr>
            </w:pPr>
            <w:r w:rsidRPr="00D60707">
              <w:rPr>
                <w:sz w:val="20"/>
                <w:szCs w:val="20"/>
              </w:rPr>
              <w:t>Population size of snow leopard (</w:t>
            </w:r>
            <w:proofErr w:type="spellStart"/>
            <w:r w:rsidRPr="00D60707">
              <w:rPr>
                <w:i/>
                <w:sz w:val="20"/>
                <w:szCs w:val="20"/>
              </w:rPr>
              <w:t>Uncia</w:t>
            </w:r>
            <w:proofErr w:type="spellEnd"/>
            <w:r w:rsidRPr="00D60707">
              <w:rPr>
                <w:i/>
                <w:sz w:val="20"/>
                <w:szCs w:val="20"/>
              </w:rPr>
              <w:t xml:space="preserve"> </w:t>
            </w:r>
            <w:proofErr w:type="spellStart"/>
            <w:r w:rsidRPr="00D60707">
              <w:rPr>
                <w:i/>
                <w:sz w:val="20"/>
                <w:szCs w:val="20"/>
              </w:rPr>
              <w:t>uncia</w:t>
            </w:r>
            <w:proofErr w:type="spellEnd"/>
            <w:r w:rsidRPr="00D60707">
              <w:rPr>
                <w:sz w:val="20"/>
                <w:szCs w:val="20"/>
              </w:rPr>
              <w:t xml:space="preserve">) in Central </w:t>
            </w:r>
            <w:proofErr w:type="spellStart"/>
            <w:r w:rsidRPr="00D60707">
              <w:rPr>
                <w:sz w:val="20"/>
                <w:szCs w:val="20"/>
              </w:rPr>
              <w:t>Tian</w:t>
            </w:r>
            <w:proofErr w:type="spellEnd"/>
            <w:r w:rsidRPr="00D60707">
              <w:rPr>
                <w:sz w:val="20"/>
                <w:szCs w:val="20"/>
              </w:rPr>
              <w:t xml:space="preserve"> Shan shows an increasing trend</w:t>
            </w:r>
          </w:p>
        </w:tc>
        <w:tc>
          <w:tcPr>
            <w:tcW w:w="2131" w:type="dxa"/>
          </w:tcPr>
          <w:p w14:paraId="534C9784" w14:textId="77777777" w:rsidR="000C1F7B" w:rsidRPr="00D60707" w:rsidRDefault="000C1F7B" w:rsidP="0039419D">
            <w:pPr>
              <w:rPr>
                <w:sz w:val="20"/>
                <w:szCs w:val="20"/>
              </w:rPr>
            </w:pPr>
            <w:r w:rsidRPr="00D415E0">
              <w:rPr>
                <w:sz w:val="20"/>
                <w:szCs w:val="20"/>
              </w:rPr>
              <w:t>By EOP, target area offers permanent habitat for five females with cubs</w:t>
            </w:r>
          </w:p>
        </w:tc>
        <w:tc>
          <w:tcPr>
            <w:tcW w:w="2131" w:type="dxa"/>
          </w:tcPr>
          <w:p w14:paraId="3C5D8436" w14:textId="77777777" w:rsidR="000C1F7B" w:rsidRDefault="000C1F7B" w:rsidP="0039419D">
            <w:pPr>
              <w:rPr>
                <w:sz w:val="20"/>
                <w:szCs w:val="20"/>
              </w:rPr>
            </w:pPr>
            <w:r w:rsidRPr="0086029D">
              <w:rPr>
                <w:b/>
                <w:sz w:val="20"/>
                <w:szCs w:val="20"/>
              </w:rPr>
              <w:t>Indicator</w:t>
            </w:r>
            <w:r>
              <w:rPr>
                <w:sz w:val="20"/>
                <w:szCs w:val="20"/>
              </w:rPr>
              <w:t xml:space="preserve">: </w:t>
            </w:r>
            <w:r w:rsidRPr="00D60707">
              <w:rPr>
                <w:sz w:val="20"/>
                <w:szCs w:val="20"/>
              </w:rPr>
              <w:t xml:space="preserve">Area of snow leopard habitat that is effectively protected in the Central </w:t>
            </w:r>
            <w:proofErr w:type="spellStart"/>
            <w:r w:rsidRPr="00D60707">
              <w:rPr>
                <w:sz w:val="20"/>
                <w:szCs w:val="20"/>
              </w:rPr>
              <w:t>Tian</w:t>
            </w:r>
            <w:proofErr w:type="spellEnd"/>
            <w:r w:rsidRPr="00D60707">
              <w:rPr>
                <w:sz w:val="20"/>
                <w:szCs w:val="20"/>
              </w:rPr>
              <w:t xml:space="preserve"> Shan Mountains</w:t>
            </w:r>
          </w:p>
          <w:p w14:paraId="6AA5DC9D" w14:textId="77777777" w:rsidR="000C1F7B" w:rsidRPr="00D60707" w:rsidRDefault="000C1F7B" w:rsidP="0039419D">
            <w:pPr>
              <w:rPr>
                <w:sz w:val="20"/>
                <w:szCs w:val="20"/>
              </w:rPr>
            </w:pPr>
            <w:r w:rsidRPr="0086029D">
              <w:rPr>
                <w:b/>
                <w:sz w:val="20"/>
                <w:szCs w:val="20"/>
              </w:rPr>
              <w:t>Target</w:t>
            </w:r>
            <w:r>
              <w:rPr>
                <w:sz w:val="20"/>
                <w:szCs w:val="20"/>
              </w:rPr>
              <w:t xml:space="preserve">: A minimum of </w:t>
            </w:r>
            <w:r w:rsidRPr="00D415E0">
              <w:rPr>
                <w:sz w:val="20"/>
                <w:szCs w:val="20"/>
              </w:rPr>
              <w:t>336,119.9ha by EOP</w:t>
            </w:r>
            <w:r>
              <w:rPr>
                <w:sz w:val="20"/>
                <w:szCs w:val="20"/>
              </w:rPr>
              <w:t>; METT scores (as for indicator No. 3)</w:t>
            </w:r>
          </w:p>
        </w:tc>
      </w:tr>
      <w:tr w:rsidR="00A162F7" w:rsidRPr="00D60707" w14:paraId="30423D73" w14:textId="77777777" w:rsidTr="0039419D">
        <w:tc>
          <w:tcPr>
            <w:tcW w:w="2130" w:type="dxa"/>
            <w:vMerge w:val="restart"/>
          </w:tcPr>
          <w:p w14:paraId="335347A4" w14:textId="77777777" w:rsidR="00A162F7" w:rsidRPr="00D60707" w:rsidRDefault="00A162F7" w:rsidP="0039419D">
            <w:pPr>
              <w:rPr>
                <w:sz w:val="20"/>
                <w:szCs w:val="20"/>
              </w:rPr>
            </w:pPr>
            <w:r w:rsidRPr="00D60707">
              <w:rPr>
                <w:sz w:val="20"/>
                <w:szCs w:val="20"/>
              </w:rPr>
              <w:t xml:space="preserve">Outcome 2: Habitat connectivity, sustainability and effectiveness of PAs in Central </w:t>
            </w:r>
            <w:proofErr w:type="spellStart"/>
            <w:r w:rsidRPr="00D60707">
              <w:rPr>
                <w:sz w:val="20"/>
                <w:szCs w:val="20"/>
              </w:rPr>
              <w:t>Tian</w:t>
            </w:r>
            <w:proofErr w:type="spellEnd"/>
            <w:r w:rsidRPr="00D60707">
              <w:rPr>
                <w:sz w:val="20"/>
                <w:szCs w:val="20"/>
              </w:rPr>
              <w:t xml:space="preserve"> Shan are enhanced by regulating land use in buffer zones, wildlife corridors and other intervening landscapes</w:t>
            </w:r>
          </w:p>
        </w:tc>
        <w:tc>
          <w:tcPr>
            <w:tcW w:w="2130" w:type="dxa"/>
          </w:tcPr>
          <w:p w14:paraId="1CF02709" w14:textId="77777777" w:rsidR="00A162F7" w:rsidRPr="00D60707" w:rsidRDefault="00A162F7" w:rsidP="0039419D">
            <w:pPr>
              <w:rPr>
                <w:sz w:val="20"/>
                <w:szCs w:val="20"/>
              </w:rPr>
            </w:pPr>
            <w:r w:rsidRPr="00D60707">
              <w:rPr>
                <w:sz w:val="20"/>
                <w:szCs w:val="20"/>
              </w:rPr>
              <w:t>Area over which territorial land use planning is fully aligned with requirements for regulated resource use stipulated in the management plans of PA buffer zones and corridors</w:t>
            </w:r>
          </w:p>
        </w:tc>
        <w:tc>
          <w:tcPr>
            <w:tcW w:w="2131" w:type="dxa"/>
          </w:tcPr>
          <w:p w14:paraId="4416508C" w14:textId="77777777" w:rsidR="00A162F7" w:rsidRPr="00D60707" w:rsidRDefault="00A162F7" w:rsidP="0039419D">
            <w:pPr>
              <w:rPr>
                <w:sz w:val="20"/>
                <w:szCs w:val="20"/>
              </w:rPr>
            </w:pPr>
            <w:r w:rsidRPr="00D415E0">
              <w:rPr>
                <w:sz w:val="20"/>
                <w:szCs w:val="20"/>
              </w:rPr>
              <w:t>200,000ha</w:t>
            </w:r>
          </w:p>
        </w:tc>
        <w:tc>
          <w:tcPr>
            <w:tcW w:w="2131" w:type="dxa"/>
          </w:tcPr>
          <w:p w14:paraId="271CE141" w14:textId="77777777" w:rsidR="00A162F7" w:rsidRDefault="00A162F7" w:rsidP="0039419D">
            <w:pPr>
              <w:rPr>
                <w:sz w:val="20"/>
                <w:szCs w:val="20"/>
              </w:rPr>
            </w:pPr>
            <w:r w:rsidRPr="0086029D">
              <w:rPr>
                <w:b/>
                <w:sz w:val="20"/>
                <w:szCs w:val="20"/>
              </w:rPr>
              <w:t>Indicator</w:t>
            </w:r>
            <w:r>
              <w:rPr>
                <w:sz w:val="20"/>
                <w:szCs w:val="20"/>
              </w:rPr>
              <w:t xml:space="preserve">: </w:t>
            </w:r>
            <w:r w:rsidRPr="00D60707">
              <w:rPr>
                <w:sz w:val="20"/>
                <w:szCs w:val="20"/>
              </w:rPr>
              <w:t>The area of buffer zones and corridors within which natural resource management agreements (with stakeholders) are developed and implemented</w:t>
            </w:r>
          </w:p>
          <w:p w14:paraId="19FA3EA7" w14:textId="77777777" w:rsidR="00A162F7" w:rsidRPr="00D60707" w:rsidRDefault="00A162F7" w:rsidP="0039419D">
            <w:pPr>
              <w:rPr>
                <w:sz w:val="20"/>
                <w:szCs w:val="20"/>
              </w:rPr>
            </w:pPr>
            <w:r w:rsidRPr="0086029D">
              <w:rPr>
                <w:b/>
                <w:sz w:val="20"/>
                <w:szCs w:val="20"/>
              </w:rPr>
              <w:t>Target</w:t>
            </w:r>
            <w:r>
              <w:rPr>
                <w:sz w:val="20"/>
                <w:szCs w:val="20"/>
              </w:rPr>
              <w:t>: 200,000ha; six NRM/pasture use agreements</w:t>
            </w:r>
          </w:p>
        </w:tc>
      </w:tr>
      <w:tr w:rsidR="00A162F7" w:rsidRPr="00D60707" w14:paraId="6FD78484" w14:textId="77777777" w:rsidTr="0039419D">
        <w:tc>
          <w:tcPr>
            <w:tcW w:w="2130" w:type="dxa"/>
            <w:vMerge/>
          </w:tcPr>
          <w:p w14:paraId="783C21C4" w14:textId="77777777" w:rsidR="00A162F7" w:rsidRPr="00D60707" w:rsidRDefault="00A162F7" w:rsidP="0039419D">
            <w:pPr>
              <w:rPr>
                <w:sz w:val="20"/>
                <w:szCs w:val="20"/>
              </w:rPr>
            </w:pPr>
          </w:p>
        </w:tc>
        <w:tc>
          <w:tcPr>
            <w:tcW w:w="2130" w:type="dxa"/>
          </w:tcPr>
          <w:p w14:paraId="35E856DD" w14:textId="77777777" w:rsidR="00A162F7" w:rsidRPr="00D60707" w:rsidRDefault="00A162F7" w:rsidP="0039419D">
            <w:pPr>
              <w:rPr>
                <w:sz w:val="20"/>
                <w:szCs w:val="20"/>
              </w:rPr>
            </w:pPr>
            <w:r w:rsidRPr="00D60707">
              <w:rPr>
                <w:sz w:val="20"/>
                <w:szCs w:val="20"/>
              </w:rPr>
              <w:t xml:space="preserve">Better management of hunting in buffers and corridors as reflected in </w:t>
            </w:r>
            <w:proofErr w:type="spellStart"/>
            <w:r w:rsidRPr="00D60707">
              <w:rPr>
                <w:sz w:val="20"/>
                <w:szCs w:val="20"/>
              </w:rPr>
              <w:t>percent</w:t>
            </w:r>
            <w:proofErr w:type="spellEnd"/>
            <w:r w:rsidRPr="00D60707">
              <w:rPr>
                <w:sz w:val="20"/>
                <w:szCs w:val="20"/>
              </w:rPr>
              <w:t xml:space="preserve"> of trophy hunting that is controlled and monitored</w:t>
            </w:r>
          </w:p>
        </w:tc>
        <w:tc>
          <w:tcPr>
            <w:tcW w:w="2131" w:type="dxa"/>
          </w:tcPr>
          <w:p w14:paraId="2D591D19" w14:textId="77777777" w:rsidR="00A162F7" w:rsidRPr="00D60707" w:rsidRDefault="00A162F7" w:rsidP="0039419D">
            <w:pPr>
              <w:rPr>
                <w:sz w:val="20"/>
                <w:szCs w:val="20"/>
              </w:rPr>
            </w:pPr>
            <w:r w:rsidRPr="00D415E0">
              <w:rPr>
                <w:sz w:val="20"/>
                <w:szCs w:val="20"/>
              </w:rPr>
              <w:t>90% of trophy hunting is legally licensed</w:t>
            </w:r>
          </w:p>
        </w:tc>
        <w:tc>
          <w:tcPr>
            <w:tcW w:w="2131" w:type="dxa"/>
          </w:tcPr>
          <w:p w14:paraId="4EBE267E" w14:textId="77777777" w:rsidR="00A162F7" w:rsidRPr="00D60707" w:rsidRDefault="00A162F7" w:rsidP="0039419D">
            <w:pPr>
              <w:rPr>
                <w:sz w:val="20"/>
                <w:szCs w:val="20"/>
              </w:rPr>
            </w:pPr>
            <w:r w:rsidRPr="0086029D">
              <w:rPr>
                <w:b/>
                <w:sz w:val="20"/>
                <w:szCs w:val="20"/>
              </w:rPr>
              <w:t>Indicator</w:t>
            </w:r>
            <w:r>
              <w:rPr>
                <w:sz w:val="20"/>
                <w:szCs w:val="20"/>
              </w:rPr>
              <w:t xml:space="preserve">: </w:t>
            </w:r>
            <w:r w:rsidRPr="007F7D26">
              <w:rPr>
                <w:sz w:val="20"/>
                <w:szCs w:val="20"/>
              </w:rPr>
              <w:t>The MTR recommends that this indicator is deleted</w:t>
            </w:r>
          </w:p>
        </w:tc>
      </w:tr>
      <w:tr w:rsidR="00A162F7" w:rsidRPr="00D60707" w14:paraId="2DFEACD0" w14:textId="77777777" w:rsidTr="0039419D">
        <w:tc>
          <w:tcPr>
            <w:tcW w:w="2130" w:type="dxa"/>
            <w:vMerge/>
          </w:tcPr>
          <w:p w14:paraId="3A03A680" w14:textId="77777777" w:rsidR="00A162F7" w:rsidRPr="00D60707" w:rsidRDefault="00A162F7" w:rsidP="0039419D">
            <w:pPr>
              <w:rPr>
                <w:sz w:val="20"/>
                <w:szCs w:val="20"/>
              </w:rPr>
            </w:pPr>
          </w:p>
        </w:tc>
        <w:tc>
          <w:tcPr>
            <w:tcW w:w="2130" w:type="dxa"/>
          </w:tcPr>
          <w:p w14:paraId="391761BB" w14:textId="77777777" w:rsidR="00A162F7" w:rsidRPr="00D60707" w:rsidRDefault="00A162F7" w:rsidP="0039419D">
            <w:pPr>
              <w:rPr>
                <w:sz w:val="20"/>
                <w:szCs w:val="20"/>
              </w:rPr>
            </w:pPr>
            <w:r w:rsidRPr="00D60707">
              <w:rPr>
                <w:sz w:val="20"/>
                <w:szCs w:val="20"/>
              </w:rPr>
              <w:t>Prosecution of illegal hunting in buffers and corridors</w:t>
            </w:r>
          </w:p>
        </w:tc>
        <w:tc>
          <w:tcPr>
            <w:tcW w:w="2131" w:type="dxa"/>
          </w:tcPr>
          <w:p w14:paraId="510D059E" w14:textId="77777777" w:rsidR="00A162F7" w:rsidRPr="00D60707" w:rsidRDefault="00A162F7" w:rsidP="0039419D">
            <w:pPr>
              <w:rPr>
                <w:sz w:val="20"/>
                <w:szCs w:val="20"/>
              </w:rPr>
            </w:pPr>
            <w:r w:rsidRPr="00D415E0">
              <w:rPr>
                <w:sz w:val="20"/>
                <w:szCs w:val="20"/>
              </w:rPr>
              <w:t>At least 50% of incidents of illegal hunting successfully prosecuted from YR4</w:t>
            </w:r>
          </w:p>
        </w:tc>
        <w:tc>
          <w:tcPr>
            <w:tcW w:w="2131" w:type="dxa"/>
          </w:tcPr>
          <w:p w14:paraId="7B9D718F" w14:textId="77777777" w:rsidR="00A162F7" w:rsidRDefault="00A162F7" w:rsidP="0039419D">
            <w:pPr>
              <w:rPr>
                <w:sz w:val="20"/>
                <w:szCs w:val="20"/>
              </w:rPr>
            </w:pPr>
            <w:r w:rsidRPr="0086029D">
              <w:rPr>
                <w:b/>
                <w:sz w:val="20"/>
                <w:szCs w:val="20"/>
              </w:rPr>
              <w:t>Indicator</w:t>
            </w:r>
            <w:r>
              <w:rPr>
                <w:sz w:val="20"/>
                <w:szCs w:val="20"/>
              </w:rPr>
              <w:t xml:space="preserve">: </w:t>
            </w:r>
            <w:r w:rsidRPr="00D60707">
              <w:rPr>
                <w:sz w:val="20"/>
                <w:szCs w:val="20"/>
              </w:rPr>
              <w:t xml:space="preserve">Prosecution of illegal hunting in </w:t>
            </w:r>
            <w:r>
              <w:rPr>
                <w:sz w:val="20"/>
                <w:szCs w:val="20"/>
              </w:rPr>
              <w:t xml:space="preserve">Central </w:t>
            </w:r>
            <w:proofErr w:type="spellStart"/>
            <w:r>
              <w:rPr>
                <w:sz w:val="20"/>
                <w:szCs w:val="20"/>
              </w:rPr>
              <w:t>Tian</w:t>
            </w:r>
            <w:proofErr w:type="spellEnd"/>
            <w:r>
              <w:rPr>
                <w:sz w:val="20"/>
                <w:szCs w:val="20"/>
              </w:rPr>
              <w:t xml:space="preserve"> Shan ecosystem (including corridors, buffers and protected areas)</w:t>
            </w:r>
          </w:p>
          <w:p w14:paraId="621A821E" w14:textId="276FBF55" w:rsidR="00A162F7" w:rsidRPr="00D60707" w:rsidRDefault="00A162F7" w:rsidP="00EC40A6">
            <w:pPr>
              <w:rPr>
                <w:sz w:val="20"/>
                <w:szCs w:val="20"/>
              </w:rPr>
            </w:pPr>
            <w:r w:rsidRPr="0086029D">
              <w:rPr>
                <w:b/>
                <w:sz w:val="20"/>
                <w:szCs w:val="20"/>
              </w:rPr>
              <w:t>Target</w:t>
            </w:r>
            <w:r>
              <w:rPr>
                <w:sz w:val="20"/>
                <w:szCs w:val="20"/>
              </w:rPr>
              <w:t xml:space="preserve">: </w:t>
            </w:r>
            <w:r w:rsidR="00EC40A6">
              <w:rPr>
                <w:sz w:val="20"/>
                <w:szCs w:val="20"/>
              </w:rPr>
              <w:t>Of the cases p</w:t>
            </w:r>
            <w:r>
              <w:rPr>
                <w:sz w:val="20"/>
                <w:szCs w:val="20"/>
              </w:rPr>
              <w:t>r</w:t>
            </w:r>
            <w:r w:rsidR="00EC40A6">
              <w:rPr>
                <w:sz w:val="20"/>
                <w:szCs w:val="20"/>
              </w:rPr>
              <w:t>esented</w:t>
            </w:r>
            <w:r>
              <w:rPr>
                <w:sz w:val="20"/>
                <w:szCs w:val="20"/>
              </w:rPr>
              <w:t xml:space="preserve"> </w:t>
            </w:r>
            <w:r w:rsidR="00EC40A6">
              <w:rPr>
                <w:sz w:val="20"/>
                <w:szCs w:val="20"/>
              </w:rPr>
              <w:t xml:space="preserve">in court, prosecution </w:t>
            </w:r>
            <w:r>
              <w:rPr>
                <w:sz w:val="20"/>
                <w:szCs w:val="20"/>
              </w:rPr>
              <w:t>rates increase to 50%</w:t>
            </w:r>
          </w:p>
        </w:tc>
      </w:tr>
      <w:tr w:rsidR="00A162F7" w:rsidRPr="00D60707" w14:paraId="294F2275" w14:textId="77777777" w:rsidTr="0039419D">
        <w:tc>
          <w:tcPr>
            <w:tcW w:w="2130" w:type="dxa"/>
            <w:vMerge/>
          </w:tcPr>
          <w:p w14:paraId="1E388154" w14:textId="77777777" w:rsidR="00A162F7" w:rsidRPr="00D60707" w:rsidRDefault="00A162F7" w:rsidP="0039419D">
            <w:pPr>
              <w:rPr>
                <w:sz w:val="20"/>
                <w:szCs w:val="20"/>
              </w:rPr>
            </w:pPr>
          </w:p>
        </w:tc>
        <w:tc>
          <w:tcPr>
            <w:tcW w:w="2130" w:type="dxa"/>
          </w:tcPr>
          <w:p w14:paraId="78C63E37" w14:textId="77777777" w:rsidR="00A162F7" w:rsidRPr="00D60707" w:rsidRDefault="00A162F7" w:rsidP="0039419D">
            <w:pPr>
              <w:rPr>
                <w:sz w:val="20"/>
                <w:szCs w:val="20"/>
              </w:rPr>
            </w:pPr>
            <w:r w:rsidRPr="00D60707">
              <w:rPr>
                <w:sz w:val="20"/>
                <w:szCs w:val="20"/>
              </w:rPr>
              <w:t>Increase in share of incomes of local communities from biodiversity-compatible alternative livelihood activities</w:t>
            </w:r>
          </w:p>
        </w:tc>
        <w:tc>
          <w:tcPr>
            <w:tcW w:w="2131" w:type="dxa"/>
          </w:tcPr>
          <w:p w14:paraId="684DC7DA" w14:textId="77777777" w:rsidR="00A162F7" w:rsidRPr="00D60707" w:rsidRDefault="00A162F7" w:rsidP="0039419D">
            <w:pPr>
              <w:rPr>
                <w:sz w:val="20"/>
                <w:szCs w:val="20"/>
              </w:rPr>
            </w:pPr>
            <w:r w:rsidRPr="00D415E0">
              <w:rPr>
                <w:sz w:val="20"/>
                <w:szCs w:val="20"/>
              </w:rPr>
              <w:t>By EOP, at least 60% of income comes from sustainable livelihoods promoted by the project</w:t>
            </w:r>
          </w:p>
        </w:tc>
        <w:tc>
          <w:tcPr>
            <w:tcW w:w="2131" w:type="dxa"/>
          </w:tcPr>
          <w:p w14:paraId="0AF8EA6A" w14:textId="77777777" w:rsidR="00A162F7" w:rsidRDefault="00A162F7" w:rsidP="0039419D">
            <w:pPr>
              <w:rPr>
                <w:sz w:val="20"/>
                <w:szCs w:val="20"/>
              </w:rPr>
            </w:pPr>
            <w:r w:rsidRPr="0086029D">
              <w:rPr>
                <w:b/>
                <w:sz w:val="20"/>
                <w:szCs w:val="20"/>
              </w:rPr>
              <w:t>Indicator</w:t>
            </w:r>
            <w:r>
              <w:rPr>
                <w:sz w:val="20"/>
                <w:szCs w:val="20"/>
              </w:rPr>
              <w:t xml:space="preserve">: </w:t>
            </w:r>
            <w:r w:rsidRPr="00D60707">
              <w:rPr>
                <w:sz w:val="20"/>
                <w:szCs w:val="20"/>
              </w:rPr>
              <w:t>Increase in share of incomes of local communities from biodiversity-compatible alternative livelihood activities</w:t>
            </w:r>
          </w:p>
          <w:p w14:paraId="0A458D6C" w14:textId="6CA637FF" w:rsidR="00A162F7" w:rsidRPr="00D60707" w:rsidRDefault="00A162F7" w:rsidP="00DA347E">
            <w:pPr>
              <w:rPr>
                <w:sz w:val="20"/>
                <w:szCs w:val="20"/>
              </w:rPr>
            </w:pPr>
            <w:r w:rsidRPr="0086029D">
              <w:rPr>
                <w:b/>
                <w:sz w:val="20"/>
                <w:szCs w:val="20"/>
              </w:rPr>
              <w:t>Target</w:t>
            </w:r>
            <w:r w:rsidR="00DA347E">
              <w:rPr>
                <w:b/>
                <w:sz w:val="20"/>
                <w:szCs w:val="20"/>
              </w:rPr>
              <w:t>s</w:t>
            </w:r>
            <w:r>
              <w:rPr>
                <w:sz w:val="20"/>
                <w:szCs w:val="20"/>
              </w:rPr>
              <w:t xml:space="preserve">: At least </w:t>
            </w:r>
            <w:r w:rsidR="00DA347E">
              <w:rPr>
                <w:sz w:val="20"/>
                <w:szCs w:val="20"/>
              </w:rPr>
              <w:t>two micro</w:t>
            </w:r>
            <w:r>
              <w:rPr>
                <w:sz w:val="20"/>
                <w:szCs w:val="20"/>
              </w:rPr>
              <w:t>-credit schemes funded by EOP</w:t>
            </w:r>
            <w:r w:rsidR="00127A55" w:rsidRPr="00DA347E">
              <w:rPr>
                <w:rStyle w:val="FootnoteReference"/>
                <w:sz w:val="20"/>
                <w:szCs w:val="20"/>
              </w:rPr>
              <w:footnoteReference w:id="37"/>
            </w:r>
            <w:r w:rsidRPr="00DA347E">
              <w:rPr>
                <w:sz w:val="20"/>
                <w:szCs w:val="20"/>
              </w:rPr>
              <w:t xml:space="preserve">; </w:t>
            </w:r>
            <w:r w:rsidR="00DA347E" w:rsidRPr="00DA347E">
              <w:rPr>
                <w:rFonts w:cs="Calibri"/>
                <w:sz w:val="20"/>
                <w:szCs w:val="20"/>
                <w:lang w:val="en-US"/>
              </w:rPr>
              <w:t>at least 60% of targeted beneficiaries report on increased incomes from livelihood opportunities proposed by the project;</w:t>
            </w:r>
            <w:r w:rsidR="00DA347E" w:rsidRPr="00DA347E">
              <w:rPr>
                <w:sz w:val="20"/>
                <w:szCs w:val="20"/>
              </w:rPr>
              <w:t xml:space="preserve"> </w:t>
            </w:r>
            <w:r w:rsidRPr="00DA347E">
              <w:rPr>
                <w:sz w:val="20"/>
                <w:szCs w:val="20"/>
              </w:rPr>
              <w:t>community tourism venture generating</w:t>
            </w:r>
            <w:r>
              <w:rPr>
                <w:sz w:val="20"/>
                <w:szCs w:val="20"/>
              </w:rPr>
              <w:t xml:space="preserve"> revenue for the community</w:t>
            </w:r>
          </w:p>
        </w:tc>
      </w:tr>
      <w:tr w:rsidR="00A162F7" w:rsidRPr="00D60707" w14:paraId="2DED0ACB" w14:textId="77777777" w:rsidTr="0039419D">
        <w:tc>
          <w:tcPr>
            <w:tcW w:w="2130" w:type="dxa"/>
            <w:vMerge/>
          </w:tcPr>
          <w:p w14:paraId="5BE99B26" w14:textId="77777777" w:rsidR="00A162F7" w:rsidRPr="00D60707" w:rsidRDefault="00A162F7" w:rsidP="0039419D">
            <w:pPr>
              <w:rPr>
                <w:sz w:val="20"/>
                <w:szCs w:val="20"/>
              </w:rPr>
            </w:pPr>
          </w:p>
        </w:tc>
        <w:tc>
          <w:tcPr>
            <w:tcW w:w="2130" w:type="dxa"/>
          </w:tcPr>
          <w:p w14:paraId="2BF1E6EF" w14:textId="77777777" w:rsidR="00A162F7" w:rsidRPr="00D60707" w:rsidRDefault="00A162F7" w:rsidP="0039419D">
            <w:pPr>
              <w:rPr>
                <w:sz w:val="20"/>
                <w:szCs w:val="20"/>
              </w:rPr>
            </w:pPr>
            <w:r w:rsidRPr="00D60707">
              <w:rPr>
                <w:sz w:val="20"/>
                <w:szCs w:val="20"/>
              </w:rPr>
              <w:t>Reduced hunting effort directly attributable to changes in livelihoods among hunters</w:t>
            </w:r>
          </w:p>
        </w:tc>
        <w:tc>
          <w:tcPr>
            <w:tcW w:w="2131" w:type="dxa"/>
          </w:tcPr>
          <w:p w14:paraId="7A352867" w14:textId="77777777" w:rsidR="00A162F7" w:rsidRPr="00D415E0" w:rsidRDefault="00A162F7" w:rsidP="0039419D">
            <w:pPr>
              <w:rPr>
                <w:sz w:val="20"/>
                <w:szCs w:val="20"/>
              </w:rPr>
            </w:pPr>
            <w:r w:rsidRPr="00D415E0">
              <w:rPr>
                <w:sz w:val="20"/>
                <w:szCs w:val="20"/>
              </w:rPr>
              <w:t>150 (reduction by 1/3) persons hunting by EOP</w:t>
            </w:r>
          </w:p>
        </w:tc>
        <w:tc>
          <w:tcPr>
            <w:tcW w:w="2131" w:type="dxa"/>
          </w:tcPr>
          <w:p w14:paraId="645BDF7E" w14:textId="77777777" w:rsidR="00A162F7" w:rsidRDefault="00A162F7" w:rsidP="0039419D">
            <w:pPr>
              <w:rPr>
                <w:sz w:val="20"/>
                <w:szCs w:val="20"/>
              </w:rPr>
            </w:pPr>
            <w:r w:rsidRPr="0086029D">
              <w:rPr>
                <w:b/>
                <w:sz w:val="20"/>
                <w:szCs w:val="20"/>
              </w:rPr>
              <w:t>Indicator</w:t>
            </w:r>
            <w:r>
              <w:rPr>
                <w:sz w:val="20"/>
                <w:szCs w:val="20"/>
              </w:rPr>
              <w:t xml:space="preserve">: </w:t>
            </w:r>
            <w:r w:rsidRPr="00A25494">
              <w:rPr>
                <w:sz w:val="20"/>
                <w:szCs w:val="20"/>
              </w:rPr>
              <w:t>Reduced hunting among people using grazing pastures within the KTNP once it has been established</w:t>
            </w:r>
          </w:p>
          <w:p w14:paraId="3399CA27" w14:textId="77777777" w:rsidR="00A162F7" w:rsidRPr="0086029D" w:rsidRDefault="00A162F7" w:rsidP="0039419D">
            <w:pPr>
              <w:rPr>
                <w:b/>
                <w:sz w:val="20"/>
                <w:szCs w:val="20"/>
              </w:rPr>
            </w:pPr>
            <w:r w:rsidRPr="0086029D">
              <w:rPr>
                <w:b/>
                <w:sz w:val="20"/>
                <w:szCs w:val="20"/>
              </w:rPr>
              <w:t>Target</w:t>
            </w:r>
            <w:r>
              <w:rPr>
                <w:sz w:val="20"/>
                <w:szCs w:val="20"/>
              </w:rPr>
              <w:t xml:space="preserve">: No reported cases of hunting by communities using pastures for grazing </w:t>
            </w:r>
          </w:p>
        </w:tc>
      </w:tr>
    </w:tbl>
    <w:p w14:paraId="2485795D" w14:textId="77777777" w:rsidR="00FE20C1" w:rsidRDefault="00FE20C1" w:rsidP="00FE20C1">
      <w:pPr>
        <w:jc w:val="both"/>
      </w:pPr>
    </w:p>
    <w:p w14:paraId="427904CF" w14:textId="578774CD" w:rsidR="00F65864" w:rsidRDefault="00F65864" w:rsidP="001B65A1">
      <w:pPr>
        <w:numPr>
          <w:ilvl w:val="0"/>
          <w:numId w:val="2"/>
        </w:numPr>
        <w:ind w:left="0" w:firstLine="0"/>
        <w:jc w:val="both"/>
      </w:pPr>
      <w:r>
        <w:rPr>
          <w:i/>
        </w:rPr>
        <w:t>Continue DIM implementation</w:t>
      </w:r>
      <w:r>
        <w:t xml:space="preserve">.  Other projects that start off being implemented under DIM can transition to NIM.  In the case of the current project, this is </w:t>
      </w:r>
      <w:r w:rsidRPr="00F65864">
        <w:rPr>
          <w:i/>
        </w:rPr>
        <w:t>not</w:t>
      </w:r>
      <w:r>
        <w:t xml:space="preserve"> recommended; there is too little time and too much urgency to change the implementation modalities at this point.  In addition, there is a good sense of ownership among the government partners.</w:t>
      </w:r>
    </w:p>
    <w:p w14:paraId="5FA57F04" w14:textId="6CCA1E7E" w:rsidR="00CE575A" w:rsidRDefault="00CE575A" w:rsidP="00CE575A">
      <w:pPr>
        <w:numPr>
          <w:ilvl w:val="0"/>
          <w:numId w:val="2"/>
        </w:numPr>
        <w:ind w:left="0" w:firstLine="0"/>
        <w:jc w:val="both"/>
      </w:pPr>
      <w:r>
        <w:t xml:space="preserve">It is also too late to make changes to the DSA rates </w:t>
      </w:r>
      <w:r w:rsidR="006A0D96">
        <w:t xml:space="preserve">(those of UNDP) </w:t>
      </w:r>
      <w:r>
        <w:t>that the project has been using and the precedent has been established.</w:t>
      </w:r>
      <w:r w:rsidR="006A0D96">
        <w:t xml:space="preserve">  However, future projects should consider only using the government’s DSA rates.</w:t>
      </w:r>
    </w:p>
    <w:p w14:paraId="48A78B60" w14:textId="6ED8D47C" w:rsidR="0097400E" w:rsidRDefault="0097400E" w:rsidP="001B65A1">
      <w:pPr>
        <w:numPr>
          <w:ilvl w:val="0"/>
          <w:numId w:val="2"/>
        </w:numPr>
        <w:ind w:left="0" w:firstLine="0"/>
        <w:jc w:val="both"/>
      </w:pPr>
      <w:r>
        <w:rPr>
          <w:i/>
        </w:rPr>
        <w:t>Adaptive management</w:t>
      </w:r>
      <w:r>
        <w:t xml:space="preserve">. The PIU has been strictly adhering to the </w:t>
      </w:r>
      <w:proofErr w:type="spellStart"/>
      <w:r>
        <w:t>Prodoc</w:t>
      </w:r>
      <w:proofErr w:type="spellEnd"/>
      <w:r>
        <w:t xml:space="preserve"> with relatively little adaptive management.  So long as the adaptive management serves the purpose of project delivery – thus, enabling the project to achieve its objective and outcomes while also </w:t>
      </w:r>
      <w:r w:rsidR="00406B44">
        <w:t>enhancing effectiveness and efficiency, adaptive management is to be encouraged.</w:t>
      </w:r>
    </w:p>
    <w:p w14:paraId="0F197B87" w14:textId="77777777" w:rsidR="00775975" w:rsidRDefault="00721466" w:rsidP="001B65A1">
      <w:pPr>
        <w:numPr>
          <w:ilvl w:val="0"/>
          <w:numId w:val="2"/>
        </w:numPr>
        <w:ind w:left="0" w:firstLine="0"/>
        <w:jc w:val="both"/>
      </w:pPr>
      <w:r>
        <w:rPr>
          <w:i/>
        </w:rPr>
        <w:t>Adhere to the original proposed boundaries for the park</w:t>
      </w:r>
      <w:r>
        <w:t>. The project has already made many concessions and compromises for the boundaries of the KTNP</w:t>
      </w:r>
      <w:r w:rsidR="008A57EE">
        <w:t xml:space="preserve"> involving </w:t>
      </w:r>
      <w:r w:rsidR="00446151">
        <w:t xml:space="preserve">a reduction from </w:t>
      </w:r>
      <w:r w:rsidR="008A57EE">
        <w:t xml:space="preserve">just over 325,000ha to just over 300,000ha.  The resulting area is </w:t>
      </w:r>
      <w:r>
        <w:t xml:space="preserve">significantly bigger than the originally proposed area of 187,000ha (derived from WWF’s </w:t>
      </w:r>
      <w:proofErr w:type="spellStart"/>
      <w:r>
        <w:t>Econet</w:t>
      </w:r>
      <w:proofErr w:type="spellEnd"/>
      <w:r>
        <w:t xml:space="preserve"> analysis)</w:t>
      </w:r>
      <w:r w:rsidR="008A57EE">
        <w:t xml:space="preserve"> but to consider a further reduction (from 300,000ha to 286,000ha) – thereby excluding the pastures used by the </w:t>
      </w:r>
      <w:proofErr w:type="spellStart"/>
      <w:r w:rsidR="008A57EE">
        <w:t>Otradnoe</w:t>
      </w:r>
      <w:proofErr w:type="spellEnd"/>
      <w:r w:rsidR="008A57EE">
        <w:t xml:space="preserve"> </w:t>
      </w:r>
      <w:proofErr w:type="spellStart"/>
      <w:r w:rsidR="008A57EE" w:rsidRPr="008A57EE">
        <w:rPr>
          <w:i/>
        </w:rPr>
        <w:t>aiyl</w:t>
      </w:r>
      <w:proofErr w:type="spellEnd"/>
      <w:r w:rsidR="008A57EE" w:rsidRPr="008A57EE">
        <w:rPr>
          <w:i/>
        </w:rPr>
        <w:t xml:space="preserve"> </w:t>
      </w:r>
      <w:proofErr w:type="spellStart"/>
      <w:r w:rsidR="008A57EE" w:rsidRPr="008A57EE">
        <w:rPr>
          <w:i/>
        </w:rPr>
        <w:t>okmotu</w:t>
      </w:r>
      <w:proofErr w:type="spellEnd"/>
      <w:r w:rsidR="008A57EE">
        <w:t xml:space="preserve"> with its resulting reduction in the biological integrity of the park </w:t>
      </w:r>
      <w:r w:rsidR="00BD6834">
        <w:t xml:space="preserve">– should </w:t>
      </w:r>
      <w:r w:rsidR="008A57EE">
        <w:t xml:space="preserve">not be considered </w:t>
      </w:r>
      <w:r w:rsidR="00BD6834">
        <w:t xml:space="preserve">until </w:t>
      </w:r>
      <w:r w:rsidR="008A57EE" w:rsidRPr="00BD6834">
        <w:rPr>
          <w:i/>
        </w:rPr>
        <w:t>all options</w:t>
      </w:r>
      <w:r w:rsidR="008A57EE">
        <w:t xml:space="preserve"> with the </w:t>
      </w:r>
      <w:proofErr w:type="spellStart"/>
      <w:r w:rsidR="008A57EE">
        <w:t>Otradnoe</w:t>
      </w:r>
      <w:proofErr w:type="spellEnd"/>
      <w:r w:rsidR="008A57EE">
        <w:t xml:space="preserve"> </w:t>
      </w:r>
      <w:proofErr w:type="spellStart"/>
      <w:r w:rsidR="008A57EE" w:rsidRPr="008A57EE">
        <w:rPr>
          <w:i/>
        </w:rPr>
        <w:t>aiyl</w:t>
      </w:r>
      <w:proofErr w:type="spellEnd"/>
      <w:r w:rsidR="008A57EE" w:rsidRPr="008A57EE">
        <w:rPr>
          <w:i/>
        </w:rPr>
        <w:t xml:space="preserve"> </w:t>
      </w:r>
      <w:proofErr w:type="spellStart"/>
      <w:r w:rsidR="008A57EE" w:rsidRPr="008A57EE">
        <w:rPr>
          <w:i/>
        </w:rPr>
        <w:t>okmotu</w:t>
      </w:r>
      <w:proofErr w:type="spellEnd"/>
      <w:r w:rsidR="008A57EE">
        <w:t xml:space="preserve"> have been exhausted (and the MTR believes that there are still options which have not been tested</w:t>
      </w:r>
      <w:r w:rsidR="00BD6834">
        <w:t xml:space="preserve"> – see recommendations below</w:t>
      </w:r>
      <w:r w:rsidR="008A57EE">
        <w:t>).</w:t>
      </w:r>
      <w:r w:rsidR="00775975">
        <w:t xml:space="preserve">  </w:t>
      </w:r>
    </w:p>
    <w:p w14:paraId="45D20AC8" w14:textId="38A5DC3D" w:rsidR="00721466" w:rsidRDefault="00775975" w:rsidP="001B65A1">
      <w:pPr>
        <w:numPr>
          <w:ilvl w:val="0"/>
          <w:numId w:val="2"/>
        </w:numPr>
        <w:ind w:left="0" w:firstLine="0"/>
        <w:jc w:val="both"/>
      </w:pPr>
      <w:r w:rsidRPr="00775975">
        <w:t>In conclusion, r</w:t>
      </w:r>
      <w:r>
        <w:t xml:space="preserve">ushing into the establishment of the park (and excluding the </w:t>
      </w:r>
      <w:proofErr w:type="spellStart"/>
      <w:r>
        <w:t>Otradnoe</w:t>
      </w:r>
      <w:proofErr w:type="spellEnd"/>
      <w:r>
        <w:t xml:space="preserve"> </w:t>
      </w:r>
      <w:proofErr w:type="spellStart"/>
      <w:r w:rsidRPr="00775975">
        <w:rPr>
          <w:i/>
        </w:rPr>
        <w:t>aiyl</w:t>
      </w:r>
      <w:proofErr w:type="spellEnd"/>
      <w:r w:rsidRPr="00775975">
        <w:rPr>
          <w:i/>
        </w:rPr>
        <w:t xml:space="preserve"> </w:t>
      </w:r>
      <w:proofErr w:type="spellStart"/>
      <w:r w:rsidRPr="00775975">
        <w:rPr>
          <w:i/>
        </w:rPr>
        <w:t>okmotu</w:t>
      </w:r>
      <w:proofErr w:type="spellEnd"/>
      <w:r>
        <w:t xml:space="preserve"> pastures while not admitting the errors in calculations of pasture area with the other </w:t>
      </w:r>
      <w:proofErr w:type="spellStart"/>
      <w:r w:rsidRPr="00775975">
        <w:rPr>
          <w:i/>
        </w:rPr>
        <w:t>aiyl</w:t>
      </w:r>
      <w:proofErr w:type="spellEnd"/>
      <w:r w:rsidRPr="00775975">
        <w:rPr>
          <w:i/>
        </w:rPr>
        <w:t xml:space="preserve"> </w:t>
      </w:r>
      <w:proofErr w:type="spellStart"/>
      <w:r w:rsidRPr="00775975">
        <w:rPr>
          <w:i/>
        </w:rPr>
        <w:t>okmotu</w:t>
      </w:r>
      <w:r>
        <w:t>s</w:t>
      </w:r>
      <w:proofErr w:type="spellEnd"/>
      <w:r>
        <w:t>) at this point may well have inadvertent, detrimental impacts on the park; it will certainly deepen mistrust.</w:t>
      </w:r>
      <w:r w:rsidR="00964651">
        <w:t xml:space="preserve">  As such, the MTR recommends that if the </w:t>
      </w:r>
      <w:proofErr w:type="spellStart"/>
      <w:r w:rsidR="00964651">
        <w:t>gazettement</w:t>
      </w:r>
      <w:proofErr w:type="spellEnd"/>
      <w:r w:rsidR="00964651">
        <w:t xml:space="preserve"> notice and legislation surrounding the establishment of the Khan </w:t>
      </w:r>
      <w:proofErr w:type="spellStart"/>
      <w:r w:rsidR="00964651">
        <w:t>Tengri</w:t>
      </w:r>
      <w:proofErr w:type="spellEnd"/>
      <w:r w:rsidR="00964651">
        <w:t xml:space="preserve"> National Park is produced before all options for persuading the </w:t>
      </w:r>
      <w:proofErr w:type="spellStart"/>
      <w:r w:rsidR="00964651">
        <w:t>Otradnoe</w:t>
      </w:r>
      <w:proofErr w:type="spellEnd"/>
      <w:r w:rsidR="00964651">
        <w:t xml:space="preserve"> </w:t>
      </w:r>
      <w:proofErr w:type="spellStart"/>
      <w:r w:rsidR="00964651" w:rsidRPr="00775975">
        <w:rPr>
          <w:i/>
        </w:rPr>
        <w:t>aiyl</w:t>
      </w:r>
      <w:proofErr w:type="spellEnd"/>
      <w:r w:rsidR="00964651" w:rsidRPr="00775975">
        <w:rPr>
          <w:i/>
        </w:rPr>
        <w:t xml:space="preserve"> </w:t>
      </w:r>
      <w:proofErr w:type="spellStart"/>
      <w:r w:rsidR="00964651" w:rsidRPr="00775975">
        <w:rPr>
          <w:i/>
        </w:rPr>
        <w:t>okmotu</w:t>
      </w:r>
      <w:proofErr w:type="spellEnd"/>
      <w:r w:rsidR="00964651">
        <w:t xml:space="preserve">, then an </w:t>
      </w:r>
      <w:r w:rsidR="00964651">
        <w:rPr>
          <w:i/>
        </w:rPr>
        <w:t>opt in</w:t>
      </w:r>
      <w:r w:rsidR="00964651">
        <w:t xml:space="preserve"> (that allows the </w:t>
      </w:r>
      <w:proofErr w:type="spellStart"/>
      <w:r w:rsidR="00964651">
        <w:t>Otradnoe</w:t>
      </w:r>
      <w:proofErr w:type="spellEnd"/>
      <w:r w:rsidR="00964651">
        <w:t xml:space="preserve"> </w:t>
      </w:r>
      <w:proofErr w:type="spellStart"/>
      <w:r w:rsidR="00964651" w:rsidRPr="00775975">
        <w:rPr>
          <w:i/>
        </w:rPr>
        <w:t>aiyl</w:t>
      </w:r>
      <w:proofErr w:type="spellEnd"/>
      <w:r w:rsidR="00964651" w:rsidRPr="00775975">
        <w:rPr>
          <w:i/>
        </w:rPr>
        <w:t xml:space="preserve"> </w:t>
      </w:r>
      <w:proofErr w:type="spellStart"/>
      <w:r w:rsidR="00964651" w:rsidRPr="00775975">
        <w:rPr>
          <w:i/>
        </w:rPr>
        <w:t>okmotu</w:t>
      </w:r>
      <w:proofErr w:type="spellEnd"/>
      <w:r w:rsidR="00964651">
        <w:t xml:space="preserve"> to agree for the inclusion of their pasture areas if they are convinced by the benefits provided to the adjacent communities) or, alternatively, an </w:t>
      </w:r>
      <w:r w:rsidR="00964651" w:rsidRPr="00964651">
        <w:rPr>
          <w:i/>
        </w:rPr>
        <w:t>opt out</w:t>
      </w:r>
      <w:r w:rsidR="00964651">
        <w:t xml:space="preserve"> (if the </w:t>
      </w:r>
      <w:proofErr w:type="spellStart"/>
      <w:r w:rsidR="00964651">
        <w:t>Otradnoe</w:t>
      </w:r>
      <w:proofErr w:type="spellEnd"/>
      <w:r w:rsidR="00964651">
        <w:t xml:space="preserve"> </w:t>
      </w:r>
      <w:proofErr w:type="spellStart"/>
      <w:r w:rsidR="00964651" w:rsidRPr="00775975">
        <w:rPr>
          <w:i/>
        </w:rPr>
        <w:t>aiyl</w:t>
      </w:r>
      <w:proofErr w:type="spellEnd"/>
      <w:r w:rsidR="00964651" w:rsidRPr="00775975">
        <w:rPr>
          <w:i/>
        </w:rPr>
        <w:t xml:space="preserve"> </w:t>
      </w:r>
      <w:proofErr w:type="spellStart"/>
      <w:r w:rsidR="00964651" w:rsidRPr="00775975">
        <w:rPr>
          <w:i/>
        </w:rPr>
        <w:t>okmotu</w:t>
      </w:r>
      <w:proofErr w:type="spellEnd"/>
      <w:r w:rsidR="00964651">
        <w:t xml:space="preserve"> pastures are included from the outset and they opt not to keep their pastures within the national park) clause is included into the legislation – with these opt in or opt out clauses being valid for, say, three years.</w:t>
      </w:r>
    </w:p>
    <w:p w14:paraId="7EDB5F3B" w14:textId="109226B3" w:rsidR="00C375DD" w:rsidRDefault="00F60439" w:rsidP="001B65A1">
      <w:pPr>
        <w:numPr>
          <w:ilvl w:val="0"/>
          <w:numId w:val="2"/>
        </w:numPr>
        <w:ind w:left="0" w:firstLine="0"/>
        <w:jc w:val="both"/>
      </w:pPr>
      <w:r>
        <w:rPr>
          <w:i/>
        </w:rPr>
        <w:t>Enhance effectiveness, efficiency and urgency of implementation</w:t>
      </w:r>
      <w:r>
        <w:t xml:space="preserve">.  The project has made good, steady progress but with only 20 months remaining and </w:t>
      </w:r>
      <w:r w:rsidR="0015653B">
        <w:t xml:space="preserve">much to achieve, a sense of urgency needs to </w:t>
      </w:r>
      <w:r w:rsidR="005F1BC4">
        <w:t>permeate the project for the rest of its life.  As has been discussed, various mistakes, miscommunications and misunderstandings have occurred in the past 24 months; at time</w:t>
      </w:r>
      <w:r w:rsidR="005E4EBB">
        <w:t>s, this has led to delays.  There are a number of reasons that underpin these issues – all of which can lead to lessons learned – but, more pragmatically, the project can afford no further mistakes or lost time.</w:t>
      </w:r>
    </w:p>
    <w:p w14:paraId="0FA42346" w14:textId="23DDCDB0" w:rsidR="00755A5B" w:rsidRDefault="00755A5B" w:rsidP="001B65A1">
      <w:pPr>
        <w:numPr>
          <w:ilvl w:val="0"/>
          <w:numId w:val="2"/>
        </w:numPr>
        <w:ind w:left="0" w:firstLine="0"/>
        <w:jc w:val="both"/>
      </w:pPr>
      <w:r>
        <w:rPr>
          <w:i/>
        </w:rPr>
        <w:t xml:space="preserve">Seek and engage a long-term </w:t>
      </w:r>
      <w:r w:rsidR="00B56708">
        <w:rPr>
          <w:i/>
        </w:rPr>
        <w:t xml:space="preserve">partner </w:t>
      </w:r>
      <w:r>
        <w:rPr>
          <w:i/>
        </w:rPr>
        <w:t>for KTNP</w:t>
      </w:r>
      <w:r>
        <w:t xml:space="preserve">. </w:t>
      </w:r>
      <w:r w:rsidR="00B56708">
        <w:t xml:space="preserve">Even if the KTNP is established in the coming weeks, the sustainability of the park will be significantly more likely with the assistance of a non-governmental partner that will bring in external funding and expertise.  There are precedents for this throughout the world – including within Kyrgyzstan and even within the project’s focus area (numerous partner organisations with the </w:t>
      </w:r>
      <w:proofErr w:type="spellStart"/>
      <w:r w:rsidR="00B56708">
        <w:t>Sarychat</w:t>
      </w:r>
      <w:proofErr w:type="spellEnd"/>
      <w:r w:rsidR="00B56708">
        <w:t xml:space="preserve"> </w:t>
      </w:r>
      <w:proofErr w:type="spellStart"/>
      <w:r w:rsidR="00B56708">
        <w:t>Ertash</w:t>
      </w:r>
      <w:proofErr w:type="spellEnd"/>
      <w:r w:rsidR="00B56708">
        <w:t xml:space="preserve"> </w:t>
      </w:r>
      <w:proofErr w:type="spellStart"/>
      <w:r w:rsidR="00B56708">
        <w:t>zapovednik</w:t>
      </w:r>
      <w:proofErr w:type="spellEnd"/>
      <w:r w:rsidR="00B56708">
        <w:t>) – for such partnerships.</w:t>
      </w:r>
    </w:p>
    <w:p w14:paraId="77648274" w14:textId="515C02AE" w:rsidR="006217F6" w:rsidRDefault="006217F6" w:rsidP="001B65A1">
      <w:pPr>
        <w:numPr>
          <w:ilvl w:val="0"/>
          <w:numId w:val="2"/>
        </w:numPr>
        <w:ind w:left="0" w:firstLine="0"/>
        <w:jc w:val="both"/>
      </w:pPr>
      <w:r>
        <w:t>Indeed, as soon as the park is established, it is likely that a number of NGOs with a conservation link to snow leopards will express an interest in working with the park.  It might be the case of seeking cooperation and coordination among the partners than actually seeking to find any interested parties.</w:t>
      </w:r>
    </w:p>
    <w:p w14:paraId="60F4FAC5" w14:textId="6BBF8E30" w:rsidR="00091CD6" w:rsidRDefault="009A5783" w:rsidP="001B65A1">
      <w:pPr>
        <w:numPr>
          <w:ilvl w:val="0"/>
          <w:numId w:val="2"/>
        </w:numPr>
        <w:ind w:left="0" w:firstLine="0"/>
        <w:jc w:val="both"/>
      </w:pPr>
      <w:r>
        <w:rPr>
          <w:i/>
        </w:rPr>
        <w:t>Various initiatives for the KTNP</w:t>
      </w:r>
      <w:r w:rsidRPr="009A5783">
        <w:t>.</w:t>
      </w:r>
      <w:r>
        <w:t xml:space="preserve">  In Annex </w:t>
      </w:r>
      <w:r w:rsidR="00027594">
        <w:t>VII</w:t>
      </w:r>
      <w:r>
        <w:t xml:space="preserve">, the MTR proposes a broad flowchart for the development of Khan </w:t>
      </w:r>
      <w:proofErr w:type="spellStart"/>
      <w:r>
        <w:t>Tengri</w:t>
      </w:r>
      <w:proofErr w:type="spellEnd"/>
      <w:r>
        <w:t xml:space="preserve"> National Park.  However, it is useful to list (and in some cases reiterate) a few of the initiatives should be included in the establishment, planning and management</w:t>
      </w:r>
      <w:r w:rsidR="00091CD6">
        <w:t xml:space="preserve"> of the KTNP.  These include:</w:t>
      </w:r>
    </w:p>
    <w:p w14:paraId="552F1433" w14:textId="77777777" w:rsidR="00091CD6" w:rsidRDefault="00091CD6" w:rsidP="00091CD6">
      <w:pPr>
        <w:numPr>
          <w:ilvl w:val="1"/>
          <w:numId w:val="2"/>
        </w:numPr>
        <w:jc w:val="both"/>
      </w:pPr>
      <w:r>
        <w:t>T</w:t>
      </w:r>
      <w:r w:rsidR="009A5783">
        <w:t xml:space="preserve">he establishment of a management committee (with appropriate powers) for </w:t>
      </w:r>
      <w:r>
        <w:t>t</w:t>
      </w:r>
      <w:r w:rsidR="009A5783">
        <w:t>he park and that includes appropriate stakeholders (</w:t>
      </w:r>
      <w:r>
        <w:t xml:space="preserve">oblast, </w:t>
      </w:r>
      <w:proofErr w:type="spellStart"/>
      <w:r>
        <w:t>rayons</w:t>
      </w:r>
      <w:proofErr w:type="spellEnd"/>
      <w:r>
        <w:t>, local community structures, tourism operators, non-governmental partners and the governmental manager of the park)</w:t>
      </w:r>
    </w:p>
    <w:p w14:paraId="20B59976" w14:textId="77777777" w:rsidR="00091CD6" w:rsidRDefault="00091CD6" w:rsidP="00091CD6">
      <w:pPr>
        <w:numPr>
          <w:ilvl w:val="1"/>
          <w:numId w:val="2"/>
        </w:numPr>
        <w:jc w:val="both"/>
      </w:pPr>
      <w:r>
        <w:t>The development of a management plan that is action and results orientated – towards conservation targets and reducing threats; the management plan should include a) a financial sustainability plan (linked to business-planning), and b) tourism development and management plan</w:t>
      </w:r>
    </w:p>
    <w:p w14:paraId="02DA0E97" w14:textId="46C1DF2D" w:rsidR="009A5783" w:rsidRPr="00755A5B" w:rsidRDefault="00091CD6" w:rsidP="00091CD6">
      <w:pPr>
        <w:numPr>
          <w:ilvl w:val="1"/>
          <w:numId w:val="2"/>
        </w:numPr>
        <w:jc w:val="both"/>
      </w:pPr>
      <w:r>
        <w:t>The introduction and implementation of SMART</w:t>
      </w:r>
      <w:r w:rsidR="00D8753E">
        <w:rPr>
          <w:rStyle w:val="FootnoteReference"/>
        </w:rPr>
        <w:footnoteReference w:id="38"/>
      </w:r>
      <w:r w:rsidR="00A41D06">
        <w:t xml:space="preserve"> (and have the potential to demonstrate its use in Kyrgyzstan for replication elsewhere in the protected area system)</w:t>
      </w:r>
      <w:r w:rsidR="001302BA">
        <w:t>.  There is no use to wait for a future UNDP-GEF project to introduce SMART.</w:t>
      </w:r>
    </w:p>
    <w:p w14:paraId="018AD5D5" w14:textId="7CE01B87" w:rsidR="00F60439" w:rsidRDefault="00F60439" w:rsidP="001B65A1">
      <w:pPr>
        <w:numPr>
          <w:ilvl w:val="0"/>
          <w:numId w:val="2"/>
        </w:numPr>
        <w:ind w:left="0" w:firstLine="0"/>
        <w:jc w:val="both"/>
      </w:pPr>
      <w:r>
        <w:rPr>
          <w:i/>
        </w:rPr>
        <w:t>Immediately hire a Chief Technical Advisor, Livelihoods</w:t>
      </w:r>
      <w:r w:rsidR="00280656">
        <w:rPr>
          <w:i/>
        </w:rPr>
        <w:t xml:space="preserve"> </w:t>
      </w:r>
      <w:r w:rsidR="001A6B09" w:rsidRPr="001A6B09">
        <w:rPr>
          <w:i/>
        </w:rPr>
        <w:t>and</w:t>
      </w:r>
      <w:r w:rsidR="00280656">
        <w:rPr>
          <w:i/>
        </w:rPr>
        <w:t xml:space="preserve"> engage a third-party partner</w:t>
      </w:r>
      <w:r w:rsidR="002823DE">
        <w:rPr>
          <w:i/>
        </w:rPr>
        <w:t>; start livelihoods work</w:t>
      </w:r>
      <w:r>
        <w:t xml:space="preserve">.  </w:t>
      </w:r>
      <w:r w:rsidR="002823DE">
        <w:t xml:space="preserve">The livelihoods work has been delayed – despite the fact that a number of the </w:t>
      </w:r>
      <w:proofErr w:type="spellStart"/>
      <w:r w:rsidR="002823DE" w:rsidRPr="002823DE">
        <w:rPr>
          <w:i/>
        </w:rPr>
        <w:t>aiyl</w:t>
      </w:r>
      <w:proofErr w:type="spellEnd"/>
      <w:r w:rsidR="002823DE" w:rsidRPr="002823DE">
        <w:rPr>
          <w:i/>
        </w:rPr>
        <w:t xml:space="preserve"> </w:t>
      </w:r>
      <w:proofErr w:type="spellStart"/>
      <w:r w:rsidR="002823DE" w:rsidRPr="002823DE">
        <w:rPr>
          <w:i/>
        </w:rPr>
        <w:t>okmotu</w:t>
      </w:r>
      <w:r w:rsidR="002823DE">
        <w:t>s</w:t>
      </w:r>
      <w:proofErr w:type="spellEnd"/>
      <w:r w:rsidR="002823DE">
        <w:t xml:space="preserve"> agreed, with signatures, to the inclusion of pastures into the park</w:t>
      </w:r>
      <w:r w:rsidR="00861477">
        <w:t xml:space="preserve"> some months ago</w:t>
      </w:r>
      <w:r w:rsidR="002823DE">
        <w:t>.  Initiating the livelihoods work with these communities would have demonstrated good faith.  It would have also contributed to persuading the other communities to agree as well.</w:t>
      </w:r>
    </w:p>
    <w:p w14:paraId="00FEE05C" w14:textId="3494B24B" w:rsidR="00966554" w:rsidRDefault="002823DE" w:rsidP="001B65A1">
      <w:pPr>
        <w:numPr>
          <w:ilvl w:val="0"/>
          <w:numId w:val="2"/>
        </w:numPr>
        <w:ind w:left="0" w:firstLine="0"/>
        <w:jc w:val="both"/>
      </w:pPr>
      <w:r>
        <w:t xml:space="preserve">With 20 months remaining </w:t>
      </w:r>
      <w:r w:rsidR="00E7116E">
        <w:t xml:space="preserve">there is a huge amount of work to do, even to make a start on this work.  </w:t>
      </w:r>
      <w:r w:rsidR="0058756A">
        <w:t>This should start immediately.</w:t>
      </w:r>
    </w:p>
    <w:p w14:paraId="7EED0617" w14:textId="0E2098B2" w:rsidR="00966554" w:rsidRDefault="00966554" w:rsidP="001B65A1">
      <w:pPr>
        <w:numPr>
          <w:ilvl w:val="0"/>
          <w:numId w:val="2"/>
        </w:numPr>
        <w:ind w:left="0" w:firstLine="0"/>
        <w:jc w:val="both"/>
      </w:pPr>
      <w:r>
        <w:t xml:space="preserve">First, a CTA should be urgently sought and hired.  This should be a highly </w:t>
      </w:r>
      <w:r w:rsidR="0058756A">
        <w:t xml:space="preserve">committed and </w:t>
      </w:r>
      <w:r>
        <w:t>qualified individual with experience implementing livelihood schemes with a linkage to biodiversity conservation and, preferably, to protected areas (so as to avoid inadvertent negative impacts that are commonly associated with badly designed and implemented livelihood programmes).  A CTA with previous work that has linkages with protected areas will also be able to contribute in a meaningful way to the establishmen</w:t>
      </w:r>
      <w:r w:rsidR="0058756A">
        <w:t>t and development of the park.</w:t>
      </w:r>
    </w:p>
    <w:p w14:paraId="2B559ACE" w14:textId="1F98C811" w:rsidR="0058756A" w:rsidRDefault="0058756A" w:rsidP="001B65A1">
      <w:pPr>
        <w:numPr>
          <w:ilvl w:val="0"/>
          <w:numId w:val="2"/>
        </w:numPr>
        <w:ind w:left="0" w:firstLine="0"/>
        <w:jc w:val="both"/>
      </w:pPr>
      <w:r>
        <w:t xml:space="preserve">The CTA should lead the implementation of the livelihood work, including continuing the negotiation with the </w:t>
      </w:r>
      <w:proofErr w:type="spellStart"/>
      <w:r>
        <w:t>Otradnoe</w:t>
      </w:r>
      <w:proofErr w:type="spellEnd"/>
      <w:r>
        <w:t xml:space="preserve"> </w:t>
      </w:r>
      <w:proofErr w:type="spellStart"/>
      <w:r w:rsidRPr="00324825">
        <w:rPr>
          <w:i/>
        </w:rPr>
        <w:t>aiyl</w:t>
      </w:r>
      <w:proofErr w:type="spellEnd"/>
      <w:r w:rsidRPr="00324825">
        <w:rPr>
          <w:i/>
        </w:rPr>
        <w:t xml:space="preserve"> </w:t>
      </w:r>
      <w:proofErr w:type="spellStart"/>
      <w:r w:rsidRPr="00324825">
        <w:rPr>
          <w:i/>
        </w:rPr>
        <w:t>okmotu</w:t>
      </w:r>
      <w:proofErr w:type="spellEnd"/>
      <w:r>
        <w:t xml:space="preserve"> and deputies</w:t>
      </w:r>
      <w:r w:rsidR="001C2F34">
        <w:t xml:space="preserve"> with the aim of persuading them to include their pasture in the national park; the approach should be different from the heavy-handed approach already used by the project</w:t>
      </w:r>
      <w:r w:rsidR="00324825">
        <w:t xml:space="preserve"> up to date.</w:t>
      </w:r>
      <w:r w:rsidR="006E16D2">
        <w:t xml:space="preserve">  In addition, the CTA will organise and lead the study </w:t>
      </w:r>
      <w:proofErr w:type="gramStart"/>
      <w:r w:rsidR="006E16D2">
        <w:t>tour,</w:t>
      </w:r>
      <w:proofErr w:type="gramEnd"/>
      <w:r w:rsidR="006E16D2">
        <w:t xml:space="preserve"> ensuring correct participation and that the lessons learned from the study tour are adequately understood by the participants.  The CTA will also facilitate forums to all the participants to share their </w:t>
      </w:r>
      <w:proofErr w:type="gramStart"/>
      <w:r w:rsidR="006E16D2">
        <w:t>new-found</w:t>
      </w:r>
      <w:proofErr w:type="gramEnd"/>
      <w:r w:rsidR="006E16D2">
        <w:t xml:space="preserve"> knowledge and experience on their return.</w:t>
      </w:r>
    </w:p>
    <w:p w14:paraId="34B6D631" w14:textId="6C2FB425" w:rsidR="00D8753E" w:rsidRDefault="00D8753E" w:rsidP="001B65A1">
      <w:pPr>
        <w:numPr>
          <w:ilvl w:val="0"/>
          <w:numId w:val="2"/>
        </w:numPr>
        <w:ind w:left="0" w:firstLine="0"/>
        <w:jc w:val="both"/>
      </w:pPr>
      <w:r>
        <w:t xml:space="preserve">In addition, the CTA can provide support for the Project Coordinator: the Project Coordinator is relatively inexperienced – certainly with implementing GEF projects.  To date, she has been relying on support from the SAEPF (her former employers with whom she has a good relationship) but that is not always the best option – as seen from the alienation and distrust with the </w:t>
      </w:r>
      <w:proofErr w:type="spellStart"/>
      <w:r>
        <w:t>Otradnoe</w:t>
      </w:r>
      <w:proofErr w:type="spellEnd"/>
      <w:r>
        <w:t xml:space="preserve"> </w:t>
      </w:r>
      <w:proofErr w:type="spellStart"/>
      <w:r w:rsidRPr="00D8753E">
        <w:rPr>
          <w:i/>
        </w:rPr>
        <w:t>aiyl</w:t>
      </w:r>
      <w:proofErr w:type="spellEnd"/>
      <w:r w:rsidRPr="00D8753E">
        <w:rPr>
          <w:i/>
        </w:rPr>
        <w:t xml:space="preserve"> </w:t>
      </w:r>
      <w:proofErr w:type="spellStart"/>
      <w:r w:rsidRPr="00D8753E">
        <w:rPr>
          <w:i/>
        </w:rPr>
        <w:t>okmotu</w:t>
      </w:r>
      <w:proofErr w:type="spellEnd"/>
      <w:r>
        <w:t xml:space="preserve">.  </w:t>
      </w:r>
    </w:p>
    <w:p w14:paraId="6618EC8F" w14:textId="1D9177C6" w:rsidR="00E63D1F" w:rsidRDefault="0058756A" w:rsidP="00966554">
      <w:pPr>
        <w:numPr>
          <w:ilvl w:val="0"/>
          <w:numId w:val="2"/>
        </w:numPr>
        <w:ind w:left="0" w:firstLine="0"/>
        <w:jc w:val="both"/>
      </w:pPr>
      <w:r>
        <w:t>Third</w:t>
      </w:r>
      <w:r w:rsidR="00966554">
        <w:t>, a</w:t>
      </w:r>
      <w:r w:rsidR="00E7116E">
        <w:t>s with the national park, the livelihoods work would benefit from a long-term partner.  Again, there are precedent</w:t>
      </w:r>
      <w:r w:rsidR="005342D2">
        <w:t>s</w:t>
      </w:r>
      <w:r w:rsidR="00E7116E">
        <w:t xml:space="preserve"> and examples of best practice from </w:t>
      </w:r>
      <w:r w:rsidR="005342D2">
        <w:t>around the globe and within Kyrgyzstan (including other UNDP projects on micro-credit schemes and natural resource management and pasture use schemes), and the project should draw off these</w:t>
      </w:r>
      <w:r w:rsidR="00E63D1F">
        <w:t>.</w:t>
      </w:r>
      <w:r w:rsidR="00966554">
        <w:t xml:space="preserve">  The CTA can assist with the process of attracting a long-term livelihoods partner.</w:t>
      </w:r>
    </w:p>
    <w:p w14:paraId="605553AA" w14:textId="44D770FC" w:rsidR="00861477" w:rsidRPr="00324825" w:rsidRDefault="00324825" w:rsidP="00966554">
      <w:pPr>
        <w:numPr>
          <w:ilvl w:val="0"/>
          <w:numId w:val="2"/>
        </w:numPr>
        <w:ind w:left="0" w:firstLine="0"/>
        <w:jc w:val="both"/>
      </w:pPr>
      <w:r w:rsidRPr="00324825">
        <w:t>It will fall to the Terminal Evaluation to determine the success and sustainability of the livelihoods work that the project implements.</w:t>
      </w:r>
    </w:p>
    <w:p w14:paraId="6544398A" w14:textId="4B80DCF6" w:rsidR="00966554" w:rsidRDefault="00966554" w:rsidP="00966554">
      <w:pPr>
        <w:numPr>
          <w:ilvl w:val="0"/>
          <w:numId w:val="2"/>
        </w:numPr>
        <w:ind w:left="0" w:firstLine="0"/>
        <w:jc w:val="both"/>
      </w:pPr>
      <w:r w:rsidRPr="002E6C67">
        <w:rPr>
          <w:i/>
        </w:rPr>
        <w:t xml:space="preserve">Feasibility </w:t>
      </w:r>
      <w:r>
        <w:rPr>
          <w:i/>
        </w:rPr>
        <w:t xml:space="preserve">and sustainability </w:t>
      </w:r>
      <w:r w:rsidRPr="002E6C67">
        <w:rPr>
          <w:i/>
        </w:rPr>
        <w:t>of alternative livelihood plans</w:t>
      </w:r>
      <w:r>
        <w:t xml:space="preserve">.  The alternative livelihood plans that will be implemented among the local communities may include: </w:t>
      </w:r>
      <w:proofErr w:type="spellStart"/>
      <w:r>
        <w:t>i</w:t>
      </w:r>
      <w:proofErr w:type="spellEnd"/>
      <w:r>
        <w:t>) micro-credit schemes, ii) community-based tourism schemes, and iii) improved use and management of natural resources, including pastures.</w:t>
      </w:r>
      <w:r w:rsidR="00DE253A">
        <w:t xml:space="preserve">  These should be built</w:t>
      </w:r>
      <w:r>
        <w:t xml:space="preserve"> </w:t>
      </w:r>
      <w:r w:rsidR="00DE253A">
        <w:t xml:space="preserve">on experiences and lessons learned both from within Kyrgyzstan but also best practices from around the globe. </w:t>
      </w:r>
      <w:r>
        <w:t xml:space="preserve"> </w:t>
      </w:r>
      <w:r w:rsidR="00605D42">
        <w:t>Once the CTA is in place</w:t>
      </w:r>
      <w:r>
        <w:t xml:space="preserve">, </w:t>
      </w:r>
      <w:r w:rsidR="00605D42">
        <w:t xml:space="preserve">the plans should be reviewed and </w:t>
      </w:r>
      <w:r>
        <w:t>the feasibility of achieving any results and whether the results and processes will be sustai</w:t>
      </w:r>
      <w:r w:rsidR="00605D42">
        <w:t>nable on closure of the project should be assessed.</w:t>
      </w:r>
    </w:p>
    <w:p w14:paraId="3B539A8F" w14:textId="19DF4EEF" w:rsidR="004670B7" w:rsidRDefault="00DE253A" w:rsidP="00966554">
      <w:pPr>
        <w:numPr>
          <w:ilvl w:val="0"/>
          <w:numId w:val="2"/>
        </w:numPr>
        <w:ind w:left="0" w:firstLine="0"/>
        <w:jc w:val="both"/>
      </w:pPr>
      <w:r>
        <w:t xml:space="preserve">The livelihood programme should be build on a number of other principles: </w:t>
      </w:r>
      <w:proofErr w:type="spellStart"/>
      <w:r>
        <w:t>i</w:t>
      </w:r>
      <w:proofErr w:type="spellEnd"/>
      <w:r>
        <w:t xml:space="preserve">) manage the expectations of the communities such that they remain realistic relative to what the project can actually deliver, ii) the programme should be equitable (targeting vulnerable and marginalised people), iii) it should be transparent (with the majority of the decisions being made by the community themselves); and iv) it will have capacity development at it core. </w:t>
      </w:r>
    </w:p>
    <w:p w14:paraId="3CE44F1D" w14:textId="43723F34" w:rsidR="007E175C" w:rsidRDefault="007E175C" w:rsidP="00966554">
      <w:pPr>
        <w:numPr>
          <w:ilvl w:val="0"/>
          <w:numId w:val="2"/>
        </w:numPr>
        <w:ind w:left="0" w:firstLine="0"/>
        <w:jc w:val="both"/>
      </w:pPr>
      <w:r>
        <w:rPr>
          <w:i/>
        </w:rPr>
        <w:t>Pasture committees</w:t>
      </w:r>
      <w:r w:rsidRPr="007E175C">
        <w:t>.</w:t>
      </w:r>
      <w:r>
        <w:t xml:space="preserve">  </w:t>
      </w:r>
      <w:r w:rsidR="009B5047">
        <w:t>Past experiences with natural resource management has demonstrated repeatedly that transferring responsibility and control, following well mediated negotiations resulting in agreements over natural resource use, results, in turn, in better managed natural resources than any other form of natural resource.</w:t>
      </w:r>
      <w:r w:rsidR="00D014D7">
        <w:t xml:space="preserve">  From the outset, the communities from the seven </w:t>
      </w:r>
      <w:proofErr w:type="spellStart"/>
      <w:r w:rsidR="00D014D7" w:rsidRPr="00D014D7">
        <w:rPr>
          <w:i/>
        </w:rPr>
        <w:t>aiyl</w:t>
      </w:r>
      <w:proofErr w:type="spellEnd"/>
      <w:r w:rsidR="00D014D7" w:rsidRPr="00D014D7">
        <w:rPr>
          <w:i/>
        </w:rPr>
        <w:t xml:space="preserve"> </w:t>
      </w:r>
      <w:proofErr w:type="spellStart"/>
      <w:r w:rsidR="00D014D7" w:rsidRPr="00D014D7">
        <w:rPr>
          <w:i/>
        </w:rPr>
        <w:t>okmotu</w:t>
      </w:r>
      <w:proofErr w:type="spellEnd"/>
      <w:r w:rsidR="00D014D7">
        <w:t xml:space="preserve"> should have been reassured that their pasture committees would retain full control and responsibility for the use of pastures for grazing.</w:t>
      </w:r>
      <w:r w:rsidR="002060FE">
        <w:t xml:space="preserve">  When the livelihood programme is rolled out, the project should ensure that this become the case.</w:t>
      </w:r>
    </w:p>
    <w:p w14:paraId="6DE9BF0F" w14:textId="77777777" w:rsidR="004670B7" w:rsidRPr="00100365" w:rsidRDefault="004670B7" w:rsidP="004670B7">
      <w:pPr>
        <w:numPr>
          <w:ilvl w:val="0"/>
          <w:numId w:val="2"/>
        </w:numPr>
        <w:ind w:left="0" w:firstLine="0"/>
        <w:jc w:val="both"/>
      </w:pPr>
      <w:r>
        <w:rPr>
          <w:i/>
        </w:rPr>
        <w:t>Repair relationship with WWF</w:t>
      </w:r>
      <w:r>
        <w:t xml:space="preserve">. WWF were central to the design and development of the project.  They are engaged in the </w:t>
      </w:r>
      <w:proofErr w:type="spellStart"/>
      <w:r>
        <w:t>Sarychat</w:t>
      </w:r>
      <w:proofErr w:type="spellEnd"/>
      <w:r>
        <w:t xml:space="preserve"> </w:t>
      </w:r>
      <w:proofErr w:type="spellStart"/>
      <w:r>
        <w:t>Ertash</w:t>
      </w:r>
      <w:proofErr w:type="spellEnd"/>
      <w:r>
        <w:t xml:space="preserve"> </w:t>
      </w:r>
      <w:proofErr w:type="spellStart"/>
      <w:r>
        <w:t>zapovednik</w:t>
      </w:r>
      <w:proofErr w:type="spellEnd"/>
      <w:r>
        <w:t xml:space="preserve"> carrying out work similar to </w:t>
      </w:r>
      <w:proofErr w:type="gramStart"/>
      <w:r>
        <w:t>that which</w:t>
      </w:r>
      <w:proofErr w:type="gramEnd"/>
      <w:r>
        <w:t xml:space="preserve"> will be needed in the </w:t>
      </w:r>
      <w:r w:rsidRPr="00100365">
        <w:t xml:space="preserve">KTNP once it has been established.  </w:t>
      </w:r>
      <w:r>
        <w:t>As mentioned in Section 4.3.5, t</w:t>
      </w:r>
      <w:r w:rsidRPr="00100365">
        <w:t>here has been a profound brea</w:t>
      </w:r>
      <w:r>
        <w:t xml:space="preserve">kdown in relations between the project and WWF – based on misunderstanding and mistrust.  If possible, this should be repaired – either through mediation or through third-party actors (but probably not the government) who believe that the project has taken the correct pathway – then there should be mutual benefits – particularly as the project will need to learn lessons from the work that WWF has carried out in the </w:t>
      </w:r>
      <w:proofErr w:type="spellStart"/>
      <w:r>
        <w:t>Sarychat</w:t>
      </w:r>
      <w:proofErr w:type="spellEnd"/>
      <w:r>
        <w:t xml:space="preserve"> </w:t>
      </w:r>
      <w:proofErr w:type="spellStart"/>
      <w:r>
        <w:t>Ertash</w:t>
      </w:r>
      <w:proofErr w:type="spellEnd"/>
      <w:r>
        <w:t xml:space="preserve"> </w:t>
      </w:r>
      <w:proofErr w:type="spellStart"/>
      <w:r>
        <w:t>zapovednik</w:t>
      </w:r>
      <w:proofErr w:type="spellEnd"/>
      <w:r>
        <w:t>.</w:t>
      </w:r>
    </w:p>
    <w:p w14:paraId="232D4886" w14:textId="50EA0590" w:rsidR="00F60439" w:rsidRDefault="00F60439" w:rsidP="001B65A1">
      <w:pPr>
        <w:numPr>
          <w:ilvl w:val="0"/>
          <w:numId w:val="2"/>
        </w:numPr>
        <w:ind w:left="0" w:firstLine="0"/>
        <w:jc w:val="both"/>
      </w:pPr>
      <w:r>
        <w:rPr>
          <w:i/>
        </w:rPr>
        <w:t>Take great care with language</w:t>
      </w:r>
      <w:r>
        <w:t xml:space="preserve">.  </w:t>
      </w:r>
      <w:r w:rsidR="00605D42">
        <w:t xml:space="preserve">Language is a difficult thing for a MTR to comment on with too much confidence particularly when a proportion of the interviews carried out over the MTR mission were held using an interpreter.  That being said, it did appear as if language was being used in a less than ideal way, and sometimes quite thoughtlessly and loosely.  For example, people referred consistently to transferring the “ownership” of the communities’ pastures </w:t>
      </w:r>
      <w:r w:rsidR="00867747">
        <w:t xml:space="preserve">rather than the less threatening or alienating “inclusion” of the pastures within the park (with the added caveat that </w:t>
      </w:r>
      <w:r w:rsidR="007E175C">
        <w:t>the pasture committees would retain full control and responsibility for pasture management.  In short, some of the language has been confrontational and alienating – and it becomes less surprising to understand that some of the communities have been less than enthusiastic about the establishment of the park.</w:t>
      </w:r>
    </w:p>
    <w:p w14:paraId="707259B3" w14:textId="753A14E1" w:rsidR="001632DD" w:rsidRDefault="001632DD" w:rsidP="009C07F4">
      <w:pPr>
        <w:numPr>
          <w:ilvl w:val="0"/>
          <w:numId w:val="2"/>
        </w:numPr>
        <w:ind w:left="0" w:firstLine="0"/>
        <w:jc w:val="both"/>
      </w:pPr>
      <w:r>
        <w:rPr>
          <w:i/>
        </w:rPr>
        <w:t>Remove all focus on trophy hunting except for quick wins</w:t>
      </w:r>
      <w:r>
        <w:t xml:space="preserve">.  </w:t>
      </w:r>
      <w:r w:rsidR="001569E1">
        <w:t xml:space="preserve">As previously discussed in the report, to </w:t>
      </w:r>
      <w:r w:rsidR="009C07F4">
        <w:t>assume the responsibility for dealing with the issues associated with trophy hunting is far too ambitious for this already thin-stretched project.  The trophy hunting industry is notoriously difficult and corrupt and might well require a project of its own!  Therefore, the project should not even attempt to do anything but those things that are easiest and that can be integrated into the work that it is already tackling.  Thus, for example, the inspectors should be trained and equipped.</w:t>
      </w:r>
    </w:p>
    <w:p w14:paraId="4BF7DD9E" w14:textId="41E14A1B" w:rsidR="00DE253A" w:rsidRDefault="00DE253A" w:rsidP="00DE253A">
      <w:pPr>
        <w:numPr>
          <w:ilvl w:val="0"/>
          <w:numId w:val="2"/>
        </w:numPr>
        <w:ind w:left="0" w:firstLine="0"/>
        <w:jc w:val="both"/>
      </w:pPr>
      <w:r>
        <w:rPr>
          <w:i/>
        </w:rPr>
        <w:t xml:space="preserve">Process </w:t>
      </w:r>
      <w:r w:rsidR="00CE4D11">
        <w:rPr>
          <w:i/>
        </w:rPr>
        <w:t>following submission of the MTR draft report</w:t>
      </w:r>
      <w:r w:rsidRPr="00DE253A">
        <w:t>.</w:t>
      </w:r>
      <w:r>
        <w:t xml:space="preserve">  To assist the Project Coordinator, the process following submission of the first draft of the MTR report should be as follows:</w:t>
      </w:r>
    </w:p>
    <w:p w14:paraId="1E4F5CD4" w14:textId="65A8EAC9" w:rsidR="00DE253A" w:rsidRDefault="00DE253A" w:rsidP="00DE253A">
      <w:pPr>
        <w:numPr>
          <w:ilvl w:val="1"/>
          <w:numId w:val="2"/>
        </w:numPr>
        <w:jc w:val="both"/>
      </w:pPr>
      <w:r>
        <w:t>Read and make comments on the first draft of the MTR report</w:t>
      </w:r>
    </w:p>
    <w:p w14:paraId="608113B0" w14:textId="5FD58B56" w:rsidR="00DE253A" w:rsidRDefault="00DE253A" w:rsidP="00DE253A">
      <w:pPr>
        <w:numPr>
          <w:ilvl w:val="1"/>
          <w:numId w:val="2"/>
        </w:numPr>
        <w:jc w:val="both"/>
      </w:pPr>
      <w:r>
        <w:t>Develop the draft management response to Draft MTR</w:t>
      </w:r>
    </w:p>
    <w:p w14:paraId="1C43FC96" w14:textId="15E07319" w:rsidR="00DE253A" w:rsidRDefault="00DE253A" w:rsidP="00DE253A">
      <w:pPr>
        <w:numPr>
          <w:ilvl w:val="1"/>
          <w:numId w:val="2"/>
        </w:numPr>
        <w:jc w:val="both"/>
      </w:pPr>
      <w:r>
        <w:t>Return the comments on the MTR draft report to the MTR consultant</w:t>
      </w:r>
    </w:p>
    <w:p w14:paraId="5EAC368F" w14:textId="0B70647D" w:rsidR="00DE253A" w:rsidRDefault="00DE253A" w:rsidP="00DE253A">
      <w:pPr>
        <w:numPr>
          <w:ilvl w:val="1"/>
          <w:numId w:val="2"/>
        </w:numPr>
        <w:jc w:val="both"/>
      </w:pPr>
      <w:r>
        <w:t>The MTR consultant will finalise the MTR report on the basis of the comments and the final version will be submitted</w:t>
      </w:r>
    </w:p>
    <w:p w14:paraId="4E1EB772" w14:textId="2D15F00B" w:rsidR="00DE253A" w:rsidRDefault="00DE253A" w:rsidP="00DE253A">
      <w:pPr>
        <w:numPr>
          <w:ilvl w:val="1"/>
          <w:numId w:val="2"/>
        </w:numPr>
        <w:jc w:val="both"/>
      </w:pPr>
      <w:r>
        <w:t>The management response can be finalised</w:t>
      </w:r>
      <w:r w:rsidR="00BB750B">
        <w:t xml:space="preserve"> and aligned with the </w:t>
      </w:r>
      <w:proofErr w:type="spellStart"/>
      <w:r w:rsidR="00BB750B">
        <w:t>workplan</w:t>
      </w:r>
      <w:proofErr w:type="spellEnd"/>
      <w:r w:rsidR="00BB750B">
        <w:t xml:space="preserve"> and budget for 2016.  These can then be submitted for approval.</w:t>
      </w:r>
    </w:p>
    <w:p w14:paraId="05C68CD8" w14:textId="3DA6AAF7" w:rsidR="00BB750B" w:rsidRDefault="00BB750B" w:rsidP="00DE253A">
      <w:pPr>
        <w:numPr>
          <w:ilvl w:val="1"/>
          <w:numId w:val="2"/>
        </w:numPr>
        <w:jc w:val="both"/>
      </w:pPr>
      <w:r>
        <w:t>Final MTR report approval.</w:t>
      </w:r>
    </w:p>
    <w:p w14:paraId="3A9EE649" w14:textId="6A76E820" w:rsidR="001B1CDD" w:rsidRPr="00516656" w:rsidRDefault="001B1CDD" w:rsidP="00557937">
      <w:pPr>
        <w:pStyle w:val="Heading3"/>
      </w:pPr>
      <w:bookmarkStart w:id="48" w:name="_Toc311452896"/>
      <w:r w:rsidRPr="00516656">
        <w:t>Actions to follow up or reinforce initial benefits from the project</w:t>
      </w:r>
      <w:bookmarkEnd w:id="48"/>
    </w:p>
    <w:p w14:paraId="74F6EAF0" w14:textId="42470383" w:rsidR="00AF5F5E" w:rsidRDefault="00755A5B" w:rsidP="0039653C">
      <w:pPr>
        <w:numPr>
          <w:ilvl w:val="0"/>
          <w:numId w:val="2"/>
        </w:numPr>
        <w:ind w:left="0" w:firstLine="0"/>
        <w:jc w:val="both"/>
      </w:pPr>
      <w:r>
        <w:rPr>
          <w:i/>
        </w:rPr>
        <w:t xml:space="preserve">Engage with </w:t>
      </w:r>
      <w:proofErr w:type="spellStart"/>
      <w:r>
        <w:rPr>
          <w:i/>
        </w:rPr>
        <w:t>Sarychat-Ertash</w:t>
      </w:r>
      <w:proofErr w:type="spellEnd"/>
      <w:r>
        <w:rPr>
          <w:i/>
        </w:rPr>
        <w:t xml:space="preserve"> </w:t>
      </w:r>
      <w:proofErr w:type="spellStart"/>
      <w:r>
        <w:rPr>
          <w:i/>
        </w:rPr>
        <w:t>zapovednik</w:t>
      </w:r>
      <w:proofErr w:type="spellEnd"/>
      <w:r>
        <w:t xml:space="preserve">. Up to the time of the MTR, there has been a focus on the establishment of the KTNP.  While this is justified, </w:t>
      </w:r>
      <w:proofErr w:type="spellStart"/>
      <w:r>
        <w:t>i</w:t>
      </w:r>
      <w:proofErr w:type="spellEnd"/>
      <w:r>
        <w:t xml:space="preserve">) the goal of the project is to pursue landscape approaches – thus, including the </w:t>
      </w:r>
      <w:proofErr w:type="spellStart"/>
      <w:r>
        <w:t>Sarychat-Ertash</w:t>
      </w:r>
      <w:proofErr w:type="spellEnd"/>
      <w:r>
        <w:t xml:space="preserve"> </w:t>
      </w:r>
      <w:proofErr w:type="spellStart"/>
      <w:r>
        <w:t>zapovednik</w:t>
      </w:r>
      <w:proofErr w:type="spellEnd"/>
      <w:r>
        <w:t xml:space="preserve">, and ii) the project’s results framework includes an increase in the </w:t>
      </w:r>
      <w:proofErr w:type="spellStart"/>
      <w:r>
        <w:t>Sarychat-Ertash</w:t>
      </w:r>
      <w:proofErr w:type="spellEnd"/>
      <w:r>
        <w:t xml:space="preserve"> </w:t>
      </w:r>
      <w:proofErr w:type="spellStart"/>
      <w:r>
        <w:t>zapovednik’s</w:t>
      </w:r>
      <w:proofErr w:type="spellEnd"/>
      <w:r>
        <w:t xml:space="preserve"> METT score (from </w:t>
      </w:r>
      <w:r w:rsidR="00AE2002">
        <w:t xml:space="preserve">54% to 75%).  The project should engage with the </w:t>
      </w:r>
      <w:proofErr w:type="spellStart"/>
      <w:r w:rsidR="00AE2002">
        <w:t>Sarychat</w:t>
      </w:r>
      <w:proofErr w:type="spellEnd"/>
      <w:r w:rsidR="00AE2002">
        <w:t xml:space="preserve"> </w:t>
      </w:r>
      <w:proofErr w:type="spellStart"/>
      <w:r w:rsidR="00AE2002">
        <w:t>Ertash</w:t>
      </w:r>
      <w:proofErr w:type="spellEnd"/>
      <w:r w:rsidR="00AE2002">
        <w:t xml:space="preserve"> </w:t>
      </w:r>
      <w:proofErr w:type="spellStart"/>
      <w:r w:rsidR="00AE2002">
        <w:t>zapovendik</w:t>
      </w:r>
      <w:proofErr w:type="spellEnd"/>
      <w:r w:rsidR="00AE2002">
        <w:t xml:space="preserve"> and its partners in a meaningful to determine in which areas it might usefully contribute in the project’s remaining time to ensure that the target is achieved and that the management effectiveness of the </w:t>
      </w:r>
      <w:proofErr w:type="spellStart"/>
      <w:r w:rsidR="00AE2002">
        <w:t>zapovednik</w:t>
      </w:r>
      <w:proofErr w:type="spellEnd"/>
      <w:r w:rsidR="00AE2002">
        <w:t xml:space="preserve"> is</w:t>
      </w:r>
      <w:r w:rsidR="00AF40D4">
        <w:t xml:space="preserve"> improved.</w:t>
      </w:r>
    </w:p>
    <w:p w14:paraId="303007DA" w14:textId="1FDA4888" w:rsidR="00B87531" w:rsidRPr="00516656" w:rsidRDefault="00B87531" w:rsidP="0039653C">
      <w:pPr>
        <w:numPr>
          <w:ilvl w:val="0"/>
          <w:numId w:val="2"/>
        </w:numPr>
        <w:ind w:left="0" w:firstLine="0"/>
        <w:jc w:val="both"/>
      </w:pPr>
      <w:r>
        <w:t xml:space="preserve">In addition, for the purposes of the project, the </w:t>
      </w:r>
      <w:r w:rsidR="00E55A1C">
        <w:t xml:space="preserve">METT should continue to be used (as specified by the GEF).  However, in the future, the METT that has been modified for use in </w:t>
      </w:r>
      <w:proofErr w:type="spellStart"/>
      <w:r w:rsidR="00E55A1C">
        <w:t>zapovedniks</w:t>
      </w:r>
      <w:proofErr w:type="spellEnd"/>
      <w:r w:rsidR="00E55A1C">
        <w:t xml:space="preserve"> should be rolled out to all </w:t>
      </w:r>
      <w:proofErr w:type="spellStart"/>
      <w:r w:rsidR="00E55A1C">
        <w:t>zapovedniks</w:t>
      </w:r>
      <w:proofErr w:type="spellEnd"/>
      <w:r w:rsidR="00E55A1C">
        <w:t xml:space="preserve"> across the protected area system in Kyrgyzstan.</w:t>
      </w:r>
    </w:p>
    <w:p w14:paraId="7CF552D0" w14:textId="271EB1DB" w:rsidR="001B1CDD" w:rsidRPr="00516656" w:rsidRDefault="001B1CDD" w:rsidP="00557937">
      <w:pPr>
        <w:pStyle w:val="Heading3"/>
      </w:pPr>
      <w:bookmarkStart w:id="49" w:name="_Toc311452897"/>
      <w:r w:rsidRPr="00516656">
        <w:t>Proposals for future directions underlining main objectives</w:t>
      </w:r>
      <w:bookmarkEnd w:id="49"/>
    </w:p>
    <w:p w14:paraId="505D11AC" w14:textId="7A72A0FD" w:rsidR="00E70F8D" w:rsidRDefault="00C375DD" w:rsidP="00E70F8D">
      <w:pPr>
        <w:numPr>
          <w:ilvl w:val="0"/>
          <w:numId w:val="2"/>
        </w:numPr>
        <w:ind w:left="0" w:firstLine="0"/>
        <w:jc w:val="both"/>
      </w:pPr>
      <w:r w:rsidRPr="00E70F8D">
        <w:rPr>
          <w:i/>
        </w:rPr>
        <w:t>Build capacity of the courts</w:t>
      </w:r>
      <w:r>
        <w:t xml:space="preserve">.  </w:t>
      </w:r>
      <w:r w:rsidR="008E201C">
        <w:t xml:space="preserve">There is an assumption in conservation communities that dealing with law enforcement begins – and ends – with equipping and training inspectors (or rangers or scouts).  </w:t>
      </w:r>
      <w:r w:rsidR="00E70F8D">
        <w:t>However, the entire judicial chain should be considered – from the patrolling systems, to analysis of crime data, to arrest and case processing systems, to the capacity and knowledge of the prosecutors and magistrates, and to the penal code and sentencing procedures.  If there are bottlenecks or weaknesses at any stage along this chain, the entire system can fail.  Therefore, i</w:t>
      </w:r>
      <w:r w:rsidR="005025CC">
        <w:t xml:space="preserve">n the future, </w:t>
      </w:r>
      <w:r w:rsidR="00E70F8D">
        <w:t>judicial chain analysis should be carried out, bottlenecks identified and a plan developed and implemented to overcome those bottlenecks.  Such practices are becoming much more widespread since the crisis in illegal wildlife trade and crimes over the past few years.</w:t>
      </w:r>
    </w:p>
    <w:p w14:paraId="1A970492" w14:textId="6B6862FE" w:rsidR="00E70F8D" w:rsidRPr="002D0725" w:rsidRDefault="00E70F8D" w:rsidP="00E70F8D">
      <w:pPr>
        <w:numPr>
          <w:ilvl w:val="0"/>
          <w:numId w:val="2"/>
        </w:numPr>
        <w:ind w:left="0" w:firstLine="0"/>
        <w:jc w:val="both"/>
      </w:pPr>
      <w:r>
        <w:t xml:space="preserve">While this is something that should be considered in the longer term, </w:t>
      </w:r>
      <w:r w:rsidR="002D0725">
        <w:t>in the shorter term, as the project builds the systems within the new park (including patrolling and law enforcement, arrest procedures, crime database and analysis), the relationship with the courts should be nurtured such that some agreement about crime data can be developed.  In the meantime, the project should establish a database of all patrol</w:t>
      </w:r>
      <w:r w:rsidR="00D22B74">
        <w:t>,</w:t>
      </w:r>
      <w:r w:rsidR="002D0725">
        <w:t xml:space="preserve"> crime </w:t>
      </w:r>
      <w:r w:rsidR="00D22B74">
        <w:t xml:space="preserve">and prosecution </w:t>
      </w:r>
      <w:r w:rsidR="002D0725">
        <w:t>data such that it can be used for the project’s results framework (</w:t>
      </w:r>
      <w:r w:rsidR="002D0725" w:rsidRPr="002D0725">
        <w:t>and specifically the indicator: “Prosecution of illegal hunting in buffers and corridors”).</w:t>
      </w:r>
    </w:p>
    <w:p w14:paraId="2A146299" w14:textId="7A448316" w:rsidR="002E6C67" w:rsidRDefault="006B6D16" w:rsidP="008602C4">
      <w:pPr>
        <w:numPr>
          <w:ilvl w:val="0"/>
          <w:numId w:val="2"/>
        </w:numPr>
        <w:ind w:left="0" w:firstLine="0"/>
        <w:jc w:val="both"/>
      </w:pPr>
      <w:r>
        <w:rPr>
          <w:i/>
        </w:rPr>
        <w:t xml:space="preserve">Start dialogue regarding </w:t>
      </w:r>
      <w:proofErr w:type="spellStart"/>
      <w:r>
        <w:rPr>
          <w:i/>
        </w:rPr>
        <w:t>transboundary</w:t>
      </w:r>
      <w:proofErr w:type="spellEnd"/>
      <w:r>
        <w:rPr>
          <w:i/>
        </w:rPr>
        <w:t xml:space="preserve"> protected areas</w:t>
      </w:r>
      <w:r>
        <w:t xml:space="preserve">.  </w:t>
      </w:r>
      <w:r w:rsidR="00D22B74">
        <w:t xml:space="preserve">The proposed Khan </w:t>
      </w:r>
      <w:proofErr w:type="spellStart"/>
      <w:r w:rsidR="00D22B74">
        <w:t>Tengri</w:t>
      </w:r>
      <w:proofErr w:type="spellEnd"/>
      <w:r w:rsidR="00D22B74">
        <w:t xml:space="preserve"> National Park </w:t>
      </w:r>
      <w:r w:rsidR="00894BE6">
        <w:t xml:space="preserve">will be established along Kyrgyzstan’s border with China and Kazakhstan.  On the other side of the border, in Kazakhstan, </w:t>
      </w:r>
      <w:proofErr w:type="gramStart"/>
      <w:r w:rsidR="00894BE6">
        <w:t>are a number of trophy</w:t>
      </w:r>
      <w:proofErr w:type="gramEnd"/>
      <w:r w:rsidR="00894BE6">
        <w:t xml:space="preserve"> hunting concession areas; in contrast, on the other sider of the border in China, there is a protected area – the Mount </w:t>
      </w:r>
      <w:proofErr w:type="spellStart"/>
      <w:r w:rsidR="00894BE6">
        <w:t>Tuomuer</w:t>
      </w:r>
      <w:proofErr w:type="spellEnd"/>
      <w:r w:rsidR="00894BE6">
        <w:t xml:space="preserve"> Nature Reserve</w:t>
      </w:r>
      <w:r w:rsidR="00584441">
        <w:t xml:space="preserve">.  </w:t>
      </w:r>
      <w:r w:rsidR="002D1DC9">
        <w:t xml:space="preserve">In the future and when the opportunity arises, a dialogue about a </w:t>
      </w:r>
      <w:proofErr w:type="spellStart"/>
      <w:r w:rsidR="002D1DC9">
        <w:t>transboundary</w:t>
      </w:r>
      <w:proofErr w:type="spellEnd"/>
      <w:r w:rsidR="002D1DC9">
        <w:t xml:space="preserve"> initiative could be started.  One starting point could be the engaging with the </w:t>
      </w:r>
      <w:proofErr w:type="spellStart"/>
      <w:r w:rsidR="002D1DC9">
        <w:t>BirdLife</w:t>
      </w:r>
      <w:proofErr w:type="spellEnd"/>
      <w:r w:rsidR="002D1DC9">
        <w:t xml:space="preserve"> International partner in Kyrgyzstan (</w:t>
      </w:r>
      <w:r w:rsidR="00B460DF">
        <w:t xml:space="preserve">the non-governmental organisation, NABU) to demand why it is that the area of the proposed KTNP is not an IBA – as opposed to the ecologically contiguous area in China?  Presumably, the same criteria for the </w:t>
      </w:r>
      <w:r w:rsidR="008602C4">
        <w:t xml:space="preserve">Mount </w:t>
      </w:r>
      <w:proofErr w:type="spellStart"/>
      <w:r w:rsidR="008602C4">
        <w:t>Tuomuer</w:t>
      </w:r>
      <w:proofErr w:type="spellEnd"/>
      <w:r w:rsidR="008602C4">
        <w:t xml:space="preserve"> Nature Reserve listing apply to the KTNP?  If so, listing KTNP would encourage a </w:t>
      </w:r>
      <w:proofErr w:type="spellStart"/>
      <w:r w:rsidR="008602C4">
        <w:t>transboundary</w:t>
      </w:r>
      <w:proofErr w:type="spellEnd"/>
      <w:r w:rsidR="008602C4">
        <w:t xml:space="preserve"> </w:t>
      </w:r>
      <w:proofErr w:type="gramStart"/>
      <w:r w:rsidR="008602C4">
        <w:t>dialogue which</w:t>
      </w:r>
      <w:proofErr w:type="gramEnd"/>
      <w:r w:rsidR="008602C4">
        <w:t xml:space="preserve"> could then grow from there.</w:t>
      </w:r>
    </w:p>
    <w:p w14:paraId="06F9FC79" w14:textId="67347960" w:rsidR="001D47DC" w:rsidRPr="00516656" w:rsidRDefault="001D47DC" w:rsidP="008602C4">
      <w:pPr>
        <w:numPr>
          <w:ilvl w:val="0"/>
          <w:numId w:val="2"/>
        </w:numPr>
        <w:ind w:left="0" w:firstLine="0"/>
        <w:jc w:val="both"/>
      </w:pPr>
      <w:r>
        <w:rPr>
          <w:i/>
        </w:rPr>
        <w:t>Snow Leopard Conservation Forum</w:t>
      </w:r>
      <w:r w:rsidRPr="001D47DC">
        <w:t>.</w:t>
      </w:r>
      <w:r>
        <w:t xml:space="preserve">  As a result of the </w:t>
      </w:r>
      <w:r w:rsidR="006D767A" w:rsidRPr="00403E8A">
        <w:t>Global Snow Leopard Conservation Forum (22-23 October 2013</w:t>
      </w:r>
      <w:r w:rsidR="006D767A">
        <w:t xml:space="preserve">) at the beginning of the project, </w:t>
      </w:r>
      <w:r w:rsidR="006D767A" w:rsidRPr="00403E8A">
        <w:t xml:space="preserve">a Secretariat on Snow Leopard Conservation </w:t>
      </w:r>
      <w:r w:rsidR="006D767A">
        <w:t xml:space="preserve">was established </w:t>
      </w:r>
      <w:r w:rsidR="006D767A" w:rsidRPr="00403E8A">
        <w:t>in Bishkek</w:t>
      </w:r>
      <w:r w:rsidR="006D767A">
        <w:t xml:space="preserve">.  While this has some responsibility to coordinate activities globally, within Kyrgyzstan, there is no coordinating body to ensure cooperation, collaboration and coordination among all the actors.  The number of actors engaging in partnership with the </w:t>
      </w:r>
      <w:proofErr w:type="spellStart"/>
      <w:r w:rsidR="006D767A">
        <w:t>Sarychat</w:t>
      </w:r>
      <w:proofErr w:type="spellEnd"/>
      <w:r w:rsidR="006D767A">
        <w:t xml:space="preserve"> </w:t>
      </w:r>
      <w:proofErr w:type="spellStart"/>
      <w:r w:rsidR="006D767A">
        <w:t>Ertash</w:t>
      </w:r>
      <w:proofErr w:type="spellEnd"/>
      <w:r w:rsidR="006D767A">
        <w:t xml:space="preserve"> </w:t>
      </w:r>
      <w:proofErr w:type="spellStart"/>
      <w:r w:rsidR="006D767A" w:rsidRPr="00D36B5A">
        <w:rPr>
          <w:i/>
        </w:rPr>
        <w:t>zapovednik</w:t>
      </w:r>
      <w:proofErr w:type="spellEnd"/>
      <w:r w:rsidR="006D767A">
        <w:t xml:space="preserve"> is symptomatic of the interest in snow leopards and, once KTNP has been established, further </w:t>
      </w:r>
      <w:r w:rsidR="00D1379D">
        <w:t xml:space="preserve">actors will immediately express their interest in working with the park.  However, it may be worthwhile to establish a national level Snow Leopard Conservation Forum to foster cooperation, collaboration and coordination among all the actors.  There are various very successful models from around the globe for such an action (see Annex </w:t>
      </w:r>
      <w:r w:rsidR="00027594">
        <w:t>VIII</w:t>
      </w:r>
      <w:r w:rsidR="00D1379D">
        <w:t>).</w:t>
      </w:r>
    </w:p>
    <w:p w14:paraId="6D8D4587" w14:textId="5FB15037" w:rsidR="00265A1C" w:rsidRPr="00516656" w:rsidRDefault="00265A1C" w:rsidP="00557937">
      <w:pPr>
        <w:jc w:val="center"/>
      </w:pPr>
      <w:r w:rsidRPr="00516656">
        <w:t>___________________________________</w:t>
      </w:r>
    </w:p>
    <w:p w14:paraId="10509B59" w14:textId="77777777" w:rsidR="0095060C" w:rsidRPr="00516656" w:rsidRDefault="0095060C" w:rsidP="00557937"/>
    <w:sectPr w:rsidR="0095060C" w:rsidRPr="00516656" w:rsidSect="00D26013">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C7BD8" w14:textId="77777777" w:rsidR="00D36B5A" w:rsidRDefault="00D36B5A" w:rsidP="00DB46BF">
      <w:pPr>
        <w:spacing w:after="0"/>
      </w:pPr>
      <w:r>
        <w:separator/>
      </w:r>
    </w:p>
  </w:endnote>
  <w:endnote w:type="continuationSeparator" w:id="0">
    <w:p w14:paraId="6A6A39AC" w14:textId="77777777" w:rsidR="00D36B5A" w:rsidRDefault="00D36B5A" w:rsidP="00DB46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New Roman PSMT">
    <w:altName w:val="Cambria"/>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New Roman PS">
    <w:altName w:val="Cambria"/>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A6AA7" w14:textId="77777777" w:rsidR="00D36B5A" w:rsidRDefault="00D36B5A" w:rsidP="00277B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3A64AE" w14:textId="77777777" w:rsidR="00D36B5A" w:rsidRDefault="00D36B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DDDC6" w14:textId="77777777" w:rsidR="00D36B5A" w:rsidRDefault="00D36B5A" w:rsidP="00277B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64FA">
      <w:rPr>
        <w:rStyle w:val="PageNumber"/>
        <w:noProof/>
      </w:rPr>
      <w:t>vii</w:t>
    </w:r>
    <w:r>
      <w:rPr>
        <w:rStyle w:val="PageNumber"/>
      </w:rPr>
      <w:fldChar w:fldCharType="end"/>
    </w:r>
  </w:p>
  <w:p w14:paraId="2311CE06" w14:textId="77777777" w:rsidR="00D36B5A" w:rsidRDefault="00D36B5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C0526" w14:textId="77777777" w:rsidR="00D36B5A" w:rsidRDefault="00D36B5A" w:rsidP="004E5F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7E444A" w14:textId="77777777" w:rsidR="00D36B5A" w:rsidRDefault="00D36B5A">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AD08" w14:textId="77777777" w:rsidR="00D36B5A" w:rsidRDefault="00D36B5A" w:rsidP="004E5F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64FA">
      <w:rPr>
        <w:rStyle w:val="PageNumber"/>
        <w:noProof/>
      </w:rPr>
      <w:t>50</w:t>
    </w:r>
    <w:r>
      <w:rPr>
        <w:rStyle w:val="PageNumber"/>
      </w:rPr>
      <w:fldChar w:fldCharType="end"/>
    </w:r>
  </w:p>
  <w:p w14:paraId="102600CC" w14:textId="77777777" w:rsidR="00D36B5A" w:rsidRDefault="00D36B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C8FD1" w14:textId="77777777" w:rsidR="00D36B5A" w:rsidRDefault="00D36B5A" w:rsidP="00DB46BF">
      <w:pPr>
        <w:spacing w:after="0"/>
      </w:pPr>
      <w:r>
        <w:separator/>
      </w:r>
    </w:p>
  </w:footnote>
  <w:footnote w:type="continuationSeparator" w:id="0">
    <w:p w14:paraId="7658191D" w14:textId="77777777" w:rsidR="00D36B5A" w:rsidRDefault="00D36B5A" w:rsidP="00DB46BF">
      <w:pPr>
        <w:spacing w:after="0"/>
      </w:pPr>
      <w:r>
        <w:continuationSeparator/>
      </w:r>
    </w:p>
  </w:footnote>
  <w:footnote w:id="1">
    <w:p w14:paraId="405E8101" w14:textId="5D44933B" w:rsidR="00D36B5A" w:rsidRPr="007E16F4" w:rsidRDefault="00D36B5A">
      <w:pPr>
        <w:pStyle w:val="FootnoteText"/>
        <w:rPr>
          <w:sz w:val="20"/>
          <w:szCs w:val="20"/>
          <w:lang w:val="en-US"/>
        </w:rPr>
      </w:pPr>
      <w:r w:rsidRPr="007E16F4">
        <w:rPr>
          <w:rStyle w:val="FootnoteReference"/>
          <w:sz w:val="20"/>
          <w:szCs w:val="20"/>
        </w:rPr>
        <w:footnoteRef/>
      </w:r>
      <w:r w:rsidRPr="007E16F4">
        <w:rPr>
          <w:sz w:val="20"/>
          <w:szCs w:val="20"/>
        </w:rPr>
        <w:t xml:space="preserve"> </w:t>
      </w:r>
      <w:r>
        <w:rPr>
          <w:sz w:val="20"/>
          <w:szCs w:val="20"/>
        </w:rPr>
        <w:t xml:space="preserve">MTR edit: </w:t>
      </w:r>
      <w:r w:rsidRPr="007E16F4">
        <w:rPr>
          <w:sz w:val="20"/>
          <w:szCs w:val="20"/>
          <w:lang w:val="en-US"/>
        </w:rPr>
        <w:t>It should be understood that these areas are the sizes that were first proposed by the NAS; the final, resulting proposed park is much smaller.</w:t>
      </w:r>
    </w:p>
  </w:footnote>
  <w:footnote w:id="2">
    <w:p w14:paraId="4E0134B8" w14:textId="3935E69A" w:rsidR="00D36B5A" w:rsidRPr="00D147B4" w:rsidRDefault="00D36B5A">
      <w:pPr>
        <w:pStyle w:val="FootnoteText"/>
        <w:rPr>
          <w:sz w:val="20"/>
          <w:szCs w:val="20"/>
          <w:lang w:val="en-US"/>
        </w:rPr>
      </w:pPr>
      <w:r w:rsidRPr="00D147B4">
        <w:rPr>
          <w:rStyle w:val="FootnoteReference"/>
          <w:sz w:val="20"/>
          <w:szCs w:val="20"/>
        </w:rPr>
        <w:footnoteRef/>
      </w:r>
      <w:r w:rsidRPr="00D147B4">
        <w:rPr>
          <w:sz w:val="20"/>
          <w:szCs w:val="20"/>
        </w:rPr>
        <w:t xml:space="preserve"> </w:t>
      </w:r>
      <w:r w:rsidRPr="00D147B4">
        <w:rPr>
          <w:sz w:val="20"/>
          <w:szCs w:val="20"/>
          <w:lang w:val="en-US"/>
        </w:rPr>
        <w:t xml:space="preserve">UNDP-GEF (2014) </w:t>
      </w:r>
      <w:r w:rsidRPr="00D147B4">
        <w:rPr>
          <w:i/>
          <w:sz w:val="20"/>
          <w:szCs w:val="20"/>
          <w:lang w:val="en-US"/>
        </w:rPr>
        <w:t>Project-level Monitoring: Guidance for conducting midterm reviews of UNDP-supported, GEF-financed projects</w:t>
      </w:r>
      <w:r w:rsidRPr="00D147B4">
        <w:rPr>
          <w:sz w:val="20"/>
          <w:szCs w:val="20"/>
          <w:lang w:val="en-US"/>
        </w:rPr>
        <w:t>.</w:t>
      </w:r>
    </w:p>
  </w:footnote>
  <w:footnote w:id="3">
    <w:p w14:paraId="23E8F7CA" w14:textId="3E7CD53D" w:rsidR="00D36B5A" w:rsidRPr="0062704E" w:rsidRDefault="00D36B5A">
      <w:pPr>
        <w:pStyle w:val="FootnoteText"/>
        <w:rPr>
          <w:sz w:val="20"/>
          <w:szCs w:val="20"/>
          <w:lang w:val="en-US"/>
        </w:rPr>
      </w:pPr>
      <w:r w:rsidRPr="0062704E">
        <w:rPr>
          <w:rStyle w:val="FootnoteReference"/>
          <w:sz w:val="20"/>
          <w:szCs w:val="20"/>
        </w:rPr>
        <w:footnoteRef/>
      </w:r>
      <w:r w:rsidRPr="0062704E">
        <w:rPr>
          <w:sz w:val="20"/>
          <w:szCs w:val="20"/>
        </w:rPr>
        <w:t xml:space="preserve"> </w:t>
      </w:r>
      <w:r w:rsidRPr="0062704E">
        <w:rPr>
          <w:sz w:val="20"/>
          <w:szCs w:val="20"/>
          <w:lang w:val="en-US"/>
        </w:rPr>
        <w:t>There is, however, some dispute about the taxonomy of the species of spruce found in the area</w:t>
      </w:r>
      <w:proofErr w:type="gramStart"/>
      <w:r w:rsidRPr="0062704E">
        <w:rPr>
          <w:sz w:val="20"/>
          <w:szCs w:val="20"/>
          <w:lang w:val="en-US"/>
        </w:rPr>
        <w:t>;</w:t>
      </w:r>
      <w:proofErr w:type="gramEnd"/>
      <w:r w:rsidRPr="0062704E">
        <w:rPr>
          <w:sz w:val="20"/>
          <w:szCs w:val="20"/>
          <w:lang w:val="en-US"/>
        </w:rPr>
        <w:t xml:space="preserve"> </w:t>
      </w:r>
      <w:proofErr w:type="spellStart"/>
      <w:r w:rsidRPr="0062704E">
        <w:rPr>
          <w:sz w:val="20"/>
          <w:szCs w:val="20"/>
          <w:lang w:val="en-US"/>
        </w:rPr>
        <w:t>Georgi</w:t>
      </w:r>
      <w:proofErr w:type="spellEnd"/>
      <w:r w:rsidRPr="0062704E">
        <w:rPr>
          <w:sz w:val="20"/>
          <w:szCs w:val="20"/>
          <w:lang w:val="en-US"/>
        </w:rPr>
        <w:t xml:space="preserve"> </w:t>
      </w:r>
      <w:proofErr w:type="spellStart"/>
      <w:r w:rsidRPr="0062704E">
        <w:rPr>
          <w:sz w:val="20"/>
          <w:szCs w:val="20"/>
          <w:lang w:val="en-US"/>
        </w:rPr>
        <w:t>Lazkov</w:t>
      </w:r>
      <w:proofErr w:type="spellEnd"/>
      <w:r w:rsidRPr="0062704E">
        <w:rPr>
          <w:sz w:val="20"/>
          <w:szCs w:val="20"/>
          <w:lang w:val="en-US"/>
        </w:rPr>
        <w:t>, National Academy of Science, personal communication.</w:t>
      </w:r>
    </w:p>
  </w:footnote>
  <w:footnote w:id="4">
    <w:p w14:paraId="6475F206" w14:textId="30EE922A" w:rsidR="00D36B5A" w:rsidRPr="000C584C" w:rsidRDefault="00D36B5A">
      <w:pPr>
        <w:pStyle w:val="FootnoteText"/>
        <w:rPr>
          <w:sz w:val="20"/>
          <w:szCs w:val="20"/>
          <w:lang w:val="en-US"/>
        </w:rPr>
      </w:pPr>
      <w:r w:rsidRPr="000C584C">
        <w:rPr>
          <w:rStyle w:val="FootnoteReference"/>
          <w:sz w:val="20"/>
          <w:szCs w:val="20"/>
        </w:rPr>
        <w:footnoteRef/>
      </w:r>
      <w:r w:rsidRPr="000C584C">
        <w:rPr>
          <w:sz w:val="20"/>
          <w:szCs w:val="20"/>
        </w:rPr>
        <w:t xml:space="preserve"> </w:t>
      </w:r>
      <w:r w:rsidRPr="000C584C">
        <w:rPr>
          <w:sz w:val="20"/>
          <w:szCs w:val="20"/>
          <w:lang w:val="en-US"/>
        </w:rPr>
        <w:t xml:space="preserve">It may be that the Central </w:t>
      </w:r>
      <w:proofErr w:type="spellStart"/>
      <w:r w:rsidRPr="000C584C">
        <w:rPr>
          <w:sz w:val="20"/>
          <w:szCs w:val="20"/>
          <w:lang w:val="en-US"/>
        </w:rPr>
        <w:t>Tian</w:t>
      </w:r>
      <w:proofErr w:type="spellEnd"/>
      <w:r w:rsidRPr="000C584C">
        <w:rPr>
          <w:sz w:val="20"/>
          <w:szCs w:val="20"/>
          <w:lang w:val="en-US"/>
        </w:rPr>
        <w:t xml:space="preserve"> Shan is the “edge of the range” for the </w:t>
      </w:r>
      <w:proofErr w:type="spellStart"/>
      <w:r w:rsidRPr="000C584C">
        <w:rPr>
          <w:sz w:val="20"/>
          <w:szCs w:val="20"/>
          <w:lang w:val="en-US"/>
        </w:rPr>
        <w:t>maral</w:t>
      </w:r>
      <w:proofErr w:type="spellEnd"/>
      <w:proofErr w:type="gramStart"/>
      <w:r w:rsidRPr="000C584C">
        <w:rPr>
          <w:sz w:val="20"/>
          <w:szCs w:val="20"/>
          <w:lang w:val="en-US"/>
        </w:rPr>
        <w:t>;</w:t>
      </w:r>
      <w:proofErr w:type="gramEnd"/>
      <w:r w:rsidRPr="000C584C">
        <w:rPr>
          <w:sz w:val="20"/>
          <w:szCs w:val="20"/>
          <w:lang w:val="en-US"/>
        </w:rPr>
        <w:t xml:space="preserve"> Dmitry </w:t>
      </w:r>
      <w:proofErr w:type="spellStart"/>
      <w:r w:rsidRPr="000C584C">
        <w:rPr>
          <w:sz w:val="20"/>
          <w:szCs w:val="20"/>
          <w:lang w:val="en-US"/>
        </w:rPr>
        <w:t>Milko</w:t>
      </w:r>
      <w:proofErr w:type="spellEnd"/>
      <w:r w:rsidRPr="000C584C">
        <w:rPr>
          <w:sz w:val="20"/>
          <w:szCs w:val="20"/>
          <w:lang w:val="en-US"/>
        </w:rPr>
        <w:t>, National Academy of Science, personal communication.</w:t>
      </w:r>
    </w:p>
  </w:footnote>
  <w:footnote w:id="5">
    <w:p w14:paraId="2646B259" w14:textId="0FB57D9D" w:rsidR="00D36B5A" w:rsidRPr="00AB219A" w:rsidRDefault="00D36B5A">
      <w:pPr>
        <w:pStyle w:val="FootnoteText"/>
        <w:rPr>
          <w:sz w:val="20"/>
          <w:szCs w:val="20"/>
          <w:lang w:val="en-US"/>
        </w:rPr>
      </w:pPr>
      <w:r w:rsidRPr="00AB219A">
        <w:rPr>
          <w:rStyle w:val="FootnoteReference"/>
          <w:sz w:val="20"/>
          <w:szCs w:val="20"/>
        </w:rPr>
        <w:footnoteRef/>
      </w:r>
      <w:r w:rsidRPr="00AB219A">
        <w:rPr>
          <w:sz w:val="20"/>
          <w:szCs w:val="20"/>
        </w:rPr>
        <w:t xml:space="preserve"> </w:t>
      </w:r>
      <w:r w:rsidRPr="00AB219A">
        <w:rPr>
          <w:sz w:val="20"/>
          <w:szCs w:val="20"/>
          <w:lang w:val="en-US"/>
        </w:rPr>
        <w:t>This area is listed as a “breeding and staging site for [migratory] birds”. See http://www.birdlife.org/datazone/sitefactsheet.php?id=15448</w:t>
      </w:r>
    </w:p>
  </w:footnote>
  <w:footnote w:id="6">
    <w:p w14:paraId="35FD2812" w14:textId="28376345" w:rsidR="00D36B5A" w:rsidRPr="008C7C60" w:rsidRDefault="00D36B5A">
      <w:pPr>
        <w:pStyle w:val="FootnoteText"/>
        <w:rPr>
          <w:sz w:val="20"/>
          <w:szCs w:val="20"/>
          <w:lang w:val="en-US"/>
        </w:rPr>
      </w:pPr>
      <w:r w:rsidRPr="008C7C60">
        <w:rPr>
          <w:rStyle w:val="FootnoteReference"/>
          <w:sz w:val="20"/>
          <w:szCs w:val="20"/>
        </w:rPr>
        <w:footnoteRef/>
      </w:r>
      <w:r w:rsidRPr="008C7C60">
        <w:rPr>
          <w:sz w:val="20"/>
          <w:szCs w:val="20"/>
        </w:rPr>
        <w:t xml:space="preserve"> </w:t>
      </w:r>
      <w:proofErr w:type="spellStart"/>
      <w:r w:rsidRPr="008C7C60">
        <w:rPr>
          <w:sz w:val="20"/>
          <w:szCs w:val="20"/>
          <w:lang w:val="en-US"/>
        </w:rPr>
        <w:t>Gvozdetskiy</w:t>
      </w:r>
      <w:proofErr w:type="spellEnd"/>
      <w:r w:rsidRPr="008C7C60">
        <w:rPr>
          <w:sz w:val="20"/>
          <w:szCs w:val="20"/>
          <w:lang w:val="en-US"/>
        </w:rPr>
        <w:t xml:space="preserve"> in </w:t>
      </w:r>
      <w:proofErr w:type="spellStart"/>
      <w:r w:rsidRPr="008C7C60">
        <w:rPr>
          <w:sz w:val="20"/>
          <w:szCs w:val="20"/>
          <w:lang w:val="en-US"/>
        </w:rPr>
        <w:t>Spravochnik</w:t>
      </w:r>
      <w:proofErr w:type="spellEnd"/>
      <w:r w:rsidRPr="008C7C60">
        <w:rPr>
          <w:sz w:val="20"/>
          <w:szCs w:val="20"/>
          <w:lang w:val="en-US"/>
        </w:rPr>
        <w:t xml:space="preserve"> of Central Asia (Handbook of Central Asia), 1960</w:t>
      </w:r>
    </w:p>
  </w:footnote>
  <w:footnote w:id="7">
    <w:p w14:paraId="723BD85B" w14:textId="403C91DF" w:rsidR="00D36B5A" w:rsidRPr="0031104F" w:rsidRDefault="00D36B5A">
      <w:pPr>
        <w:pStyle w:val="FootnoteText"/>
        <w:rPr>
          <w:sz w:val="20"/>
          <w:szCs w:val="20"/>
          <w:lang w:val="en-US"/>
        </w:rPr>
      </w:pPr>
      <w:r w:rsidRPr="0031104F">
        <w:rPr>
          <w:rStyle w:val="FootnoteReference"/>
          <w:sz w:val="20"/>
          <w:szCs w:val="20"/>
        </w:rPr>
        <w:footnoteRef/>
      </w:r>
      <w:r w:rsidRPr="0031104F">
        <w:rPr>
          <w:sz w:val="20"/>
          <w:szCs w:val="20"/>
        </w:rPr>
        <w:t xml:space="preserve"> </w:t>
      </w:r>
      <w:r w:rsidRPr="0031104F">
        <w:rPr>
          <w:b/>
          <w:sz w:val="20"/>
          <w:szCs w:val="20"/>
        </w:rPr>
        <w:t>Commend and clarification on draft MTR</w:t>
      </w:r>
      <w:r w:rsidRPr="0031104F">
        <w:rPr>
          <w:sz w:val="20"/>
          <w:szCs w:val="20"/>
        </w:rPr>
        <w:t>: “</w:t>
      </w:r>
      <w:r w:rsidRPr="0031104F">
        <w:rPr>
          <w:i/>
          <w:sz w:val="20"/>
          <w:szCs w:val="20"/>
        </w:rPr>
        <w:t xml:space="preserve">Out of 21 reserves and parks 1 park under President of the Kyrgyz Republic management, others under SAEPF, regulated reserves: hunting and forest under the SAEPF, geological and botanical are under self-governance bodies, Ministry of Education </w:t>
      </w:r>
      <w:proofErr w:type="spellStart"/>
      <w:r w:rsidRPr="0031104F">
        <w:rPr>
          <w:i/>
          <w:sz w:val="20"/>
          <w:szCs w:val="20"/>
        </w:rPr>
        <w:t>etc</w:t>
      </w:r>
      <w:proofErr w:type="spellEnd"/>
      <w:r w:rsidRPr="0031104F">
        <w:rPr>
          <w:sz w:val="20"/>
          <w:szCs w:val="20"/>
        </w:rPr>
        <w:t>”</w:t>
      </w:r>
    </w:p>
  </w:footnote>
  <w:footnote w:id="8">
    <w:p w14:paraId="67998756" w14:textId="4EE00581" w:rsidR="00D36B5A" w:rsidRPr="0072161C" w:rsidRDefault="00D36B5A">
      <w:pPr>
        <w:pStyle w:val="FootnoteText"/>
        <w:rPr>
          <w:sz w:val="20"/>
          <w:szCs w:val="20"/>
          <w:lang w:val="en-US"/>
        </w:rPr>
      </w:pPr>
      <w:r w:rsidRPr="0072161C">
        <w:rPr>
          <w:rStyle w:val="FootnoteReference"/>
          <w:sz w:val="20"/>
          <w:szCs w:val="20"/>
        </w:rPr>
        <w:footnoteRef/>
      </w:r>
      <w:r w:rsidRPr="0072161C">
        <w:rPr>
          <w:sz w:val="20"/>
          <w:szCs w:val="20"/>
        </w:rPr>
        <w:t xml:space="preserve"> </w:t>
      </w:r>
      <w:r w:rsidRPr="0072161C">
        <w:rPr>
          <w:sz w:val="20"/>
          <w:szCs w:val="20"/>
          <w:lang w:val="en-US"/>
        </w:rPr>
        <w:t xml:space="preserve">Somewhat oddly, </w:t>
      </w:r>
      <w:r>
        <w:rPr>
          <w:sz w:val="20"/>
          <w:szCs w:val="20"/>
          <w:lang w:val="en-US"/>
        </w:rPr>
        <w:t xml:space="preserve">part way through </w:t>
      </w:r>
      <w:r w:rsidRPr="0072161C">
        <w:rPr>
          <w:sz w:val="20"/>
          <w:szCs w:val="20"/>
          <w:lang w:val="en-US"/>
        </w:rPr>
        <w:t>the project document mentions without warning that there would be a Technical Advisor without first describing such a person as a member of the PIU.</w:t>
      </w:r>
      <w:r>
        <w:rPr>
          <w:sz w:val="20"/>
          <w:szCs w:val="20"/>
          <w:lang w:val="en-US"/>
        </w:rPr>
        <w:t xml:space="preserve">  The PIU currently does not include such a person.</w:t>
      </w:r>
    </w:p>
  </w:footnote>
  <w:footnote w:id="9">
    <w:p w14:paraId="4B2719BA" w14:textId="7B3F0C77" w:rsidR="00D36B5A" w:rsidRPr="009345D4" w:rsidRDefault="00D36B5A">
      <w:pPr>
        <w:pStyle w:val="FootnoteText"/>
        <w:rPr>
          <w:sz w:val="20"/>
          <w:szCs w:val="20"/>
          <w:lang w:val="en-US"/>
        </w:rPr>
      </w:pPr>
      <w:r w:rsidRPr="009345D4">
        <w:rPr>
          <w:rStyle w:val="FootnoteReference"/>
          <w:sz w:val="20"/>
          <w:szCs w:val="20"/>
        </w:rPr>
        <w:footnoteRef/>
      </w:r>
      <w:r w:rsidRPr="009345D4">
        <w:rPr>
          <w:sz w:val="20"/>
          <w:szCs w:val="20"/>
        </w:rPr>
        <w:t xml:space="preserve"> </w:t>
      </w:r>
      <w:r w:rsidRPr="009345D4">
        <w:rPr>
          <w:sz w:val="20"/>
          <w:szCs w:val="20"/>
          <w:lang w:val="en-US"/>
        </w:rPr>
        <w:t>See the Stakehol</w:t>
      </w:r>
      <w:r>
        <w:rPr>
          <w:sz w:val="20"/>
          <w:szCs w:val="20"/>
          <w:lang w:val="en-US"/>
        </w:rPr>
        <w:t>der Analysis presented on pg. 18 of the Project Document and on pg. 8 of the Inception Report.</w:t>
      </w:r>
    </w:p>
  </w:footnote>
  <w:footnote w:id="10">
    <w:p w14:paraId="45DAD628" w14:textId="3536AE68" w:rsidR="00D36B5A" w:rsidRPr="00BE6F44" w:rsidRDefault="00D36B5A">
      <w:pPr>
        <w:pStyle w:val="FootnoteText"/>
        <w:rPr>
          <w:sz w:val="20"/>
          <w:szCs w:val="20"/>
          <w:lang w:val="en-US"/>
        </w:rPr>
      </w:pPr>
      <w:r w:rsidRPr="00BE6F44">
        <w:rPr>
          <w:rStyle w:val="FootnoteReference"/>
          <w:sz w:val="20"/>
          <w:szCs w:val="20"/>
        </w:rPr>
        <w:footnoteRef/>
      </w:r>
      <w:r w:rsidRPr="00BE6F44">
        <w:rPr>
          <w:sz w:val="20"/>
          <w:szCs w:val="20"/>
        </w:rPr>
        <w:t xml:space="preserve"> </w:t>
      </w:r>
      <w:r w:rsidRPr="00BE6F44">
        <w:rPr>
          <w:sz w:val="20"/>
          <w:szCs w:val="20"/>
          <w:lang w:val="en-US"/>
        </w:rPr>
        <w:t xml:space="preserve">The legislation in Kyrgyzstan allows for four zones within national parks: </w:t>
      </w:r>
      <w:proofErr w:type="spellStart"/>
      <w:r w:rsidRPr="00BE6F44">
        <w:rPr>
          <w:sz w:val="20"/>
          <w:szCs w:val="20"/>
          <w:lang w:val="en-US"/>
        </w:rPr>
        <w:t>i</w:t>
      </w:r>
      <w:proofErr w:type="spellEnd"/>
      <w:r w:rsidRPr="00BE6F44">
        <w:rPr>
          <w:sz w:val="20"/>
          <w:szCs w:val="20"/>
          <w:lang w:val="en-US"/>
        </w:rPr>
        <w:t xml:space="preserve">) strictly protected – equivalent to </w:t>
      </w:r>
      <w:proofErr w:type="spellStart"/>
      <w:r w:rsidRPr="00BE6F44">
        <w:rPr>
          <w:sz w:val="20"/>
          <w:szCs w:val="20"/>
          <w:lang w:val="en-US"/>
        </w:rPr>
        <w:t>zapovedniks</w:t>
      </w:r>
      <w:proofErr w:type="spellEnd"/>
      <w:r w:rsidRPr="00BE6F44">
        <w:rPr>
          <w:sz w:val="20"/>
          <w:szCs w:val="20"/>
          <w:lang w:val="en-US"/>
        </w:rPr>
        <w:t xml:space="preserve"> or IUCN PA Category IA, ii) ecological stabilization – areas requiring restoration and rehabilitation, iii) ecotourism – thus, areas that can be used for tourism, and iv) areas that allow limited economic activities.</w:t>
      </w:r>
    </w:p>
  </w:footnote>
  <w:footnote w:id="11">
    <w:p w14:paraId="69FB67CF" w14:textId="15CDCE50" w:rsidR="00D36B5A" w:rsidRPr="00C054EE" w:rsidRDefault="00D36B5A">
      <w:pPr>
        <w:pStyle w:val="FootnoteText"/>
        <w:rPr>
          <w:sz w:val="20"/>
          <w:szCs w:val="20"/>
          <w:lang w:val="en-US"/>
        </w:rPr>
      </w:pPr>
      <w:r w:rsidRPr="00C054EE">
        <w:rPr>
          <w:rStyle w:val="FootnoteReference"/>
          <w:sz w:val="20"/>
          <w:szCs w:val="20"/>
        </w:rPr>
        <w:footnoteRef/>
      </w:r>
      <w:r w:rsidRPr="00C054EE">
        <w:rPr>
          <w:sz w:val="20"/>
          <w:szCs w:val="20"/>
        </w:rPr>
        <w:t xml:space="preserve"> This is an analysis of the ecological connections that was carried out across Central Asia, see http://www.wwf.ru/about/where_we_work/asia/closed/econet/eng</w:t>
      </w:r>
    </w:p>
  </w:footnote>
  <w:footnote w:id="12">
    <w:p w14:paraId="2F2C9EDF" w14:textId="3D4F6FBC" w:rsidR="00D36B5A" w:rsidRPr="00CD3405" w:rsidRDefault="00D36B5A">
      <w:pPr>
        <w:pStyle w:val="FootnoteText"/>
        <w:rPr>
          <w:sz w:val="20"/>
          <w:szCs w:val="20"/>
          <w:lang w:val="en-US"/>
        </w:rPr>
      </w:pPr>
      <w:r w:rsidRPr="00CD3405">
        <w:rPr>
          <w:rStyle w:val="FootnoteReference"/>
          <w:sz w:val="20"/>
          <w:szCs w:val="20"/>
        </w:rPr>
        <w:footnoteRef/>
      </w:r>
      <w:r w:rsidRPr="00CD3405">
        <w:rPr>
          <w:sz w:val="20"/>
          <w:szCs w:val="20"/>
        </w:rPr>
        <w:t xml:space="preserve"> </w:t>
      </w:r>
      <w:r w:rsidRPr="00CD3405">
        <w:rPr>
          <w:sz w:val="20"/>
          <w:szCs w:val="20"/>
          <w:lang w:val="en-US"/>
        </w:rPr>
        <w:t xml:space="preserve">The METT has been adapted for measuring the management effectiveness of </w:t>
      </w:r>
      <w:proofErr w:type="spellStart"/>
      <w:r w:rsidRPr="00CD3405">
        <w:rPr>
          <w:sz w:val="20"/>
          <w:szCs w:val="20"/>
          <w:lang w:val="en-US"/>
        </w:rPr>
        <w:t>zapovedniks</w:t>
      </w:r>
      <w:proofErr w:type="spellEnd"/>
      <w:r w:rsidRPr="00CD3405">
        <w:rPr>
          <w:sz w:val="20"/>
          <w:szCs w:val="20"/>
          <w:lang w:val="en-US"/>
        </w:rPr>
        <w:t xml:space="preserve"> (or strict nature reserves).  The policy to use this adapted METT for all </w:t>
      </w:r>
      <w:proofErr w:type="spellStart"/>
      <w:r w:rsidRPr="00CD3405">
        <w:rPr>
          <w:sz w:val="20"/>
          <w:szCs w:val="20"/>
          <w:lang w:val="en-US"/>
        </w:rPr>
        <w:t>zapovenidks</w:t>
      </w:r>
      <w:proofErr w:type="spellEnd"/>
      <w:r w:rsidRPr="00CD3405">
        <w:rPr>
          <w:sz w:val="20"/>
          <w:szCs w:val="20"/>
          <w:lang w:val="en-US"/>
        </w:rPr>
        <w:t xml:space="preserve"> within Kyrgyzstan (and perhaps elsewhere in the CIS) may be adopted by governments but the (original) METT should continue to be used for all other categories of protected area, including national parks such as the KTNP.</w:t>
      </w:r>
    </w:p>
  </w:footnote>
  <w:footnote w:id="13">
    <w:p w14:paraId="77EFA00D" w14:textId="69FDD439" w:rsidR="00D36B5A" w:rsidRPr="00DC3F6C" w:rsidRDefault="00D36B5A">
      <w:pPr>
        <w:pStyle w:val="FootnoteText"/>
        <w:rPr>
          <w:sz w:val="20"/>
          <w:szCs w:val="20"/>
          <w:lang w:val="en-US"/>
        </w:rPr>
      </w:pPr>
      <w:r w:rsidRPr="00477C79">
        <w:rPr>
          <w:rStyle w:val="FootnoteReference"/>
          <w:sz w:val="20"/>
          <w:szCs w:val="20"/>
        </w:rPr>
        <w:footnoteRef/>
      </w:r>
      <w:r w:rsidRPr="00477C79">
        <w:rPr>
          <w:sz w:val="20"/>
          <w:szCs w:val="20"/>
        </w:rPr>
        <w:t xml:space="preserve"> </w:t>
      </w:r>
      <w:hyperlink r:id="rId1" w:history="1">
        <w:r w:rsidRPr="00477C79">
          <w:rPr>
            <w:rStyle w:val="Hyperlink"/>
            <w:sz w:val="20"/>
            <w:szCs w:val="20"/>
            <w:lang w:val="en-US"/>
          </w:rPr>
          <w:t>http://www.smartconservationsoftware.org</w:t>
        </w:r>
      </w:hyperlink>
    </w:p>
  </w:footnote>
  <w:footnote w:id="14">
    <w:p w14:paraId="67CED52E" w14:textId="509A1D49" w:rsidR="00D36B5A" w:rsidRPr="002105EC" w:rsidRDefault="00D36B5A">
      <w:pPr>
        <w:pStyle w:val="FootnoteText"/>
        <w:rPr>
          <w:sz w:val="20"/>
          <w:szCs w:val="20"/>
          <w:lang w:val="en-US"/>
        </w:rPr>
      </w:pPr>
      <w:r w:rsidRPr="002105EC">
        <w:rPr>
          <w:rStyle w:val="FootnoteReference"/>
          <w:sz w:val="20"/>
          <w:szCs w:val="20"/>
        </w:rPr>
        <w:footnoteRef/>
      </w:r>
      <w:r w:rsidRPr="002105EC">
        <w:rPr>
          <w:sz w:val="20"/>
          <w:szCs w:val="20"/>
        </w:rPr>
        <w:t xml:space="preserve"> </w:t>
      </w:r>
      <w:r w:rsidRPr="002105EC">
        <w:rPr>
          <w:sz w:val="20"/>
          <w:szCs w:val="20"/>
          <w:lang w:val="en-US"/>
        </w:rPr>
        <w:t xml:space="preserve">If this recommendation is approved by the Project Board, </w:t>
      </w:r>
      <w:r>
        <w:rPr>
          <w:sz w:val="20"/>
          <w:szCs w:val="20"/>
          <w:lang w:val="en-US"/>
        </w:rPr>
        <w:t>for the purposes of clarity and transparency, the indicator should not be physically removed from the project’s result framework but it should be struck through with the comment in the “Levels” columns of the PIRs should simply indicate “indicator deleted as per MTR recommendations.”</w:t>
      </w:r>
    </w:p>
  </w:footnote>
  <w:footnote w:id="15">
    <w:p w14:paraId="4CF0F6EE" w14:textId="404F2A60" w:rsidR="00D36B5A" w:rsidRPr="00A05A4D" w:rsidRDefault="00D36B5A">
      <w:pPr>
        <w:pStyle w:val="FootnoteText"/>
        <w:rPr>
          <w:sz w:val="20"/>
          <w:szCs w:val="20"/>
          <w:lang w:val="en-US"/>
        </w:rPr>
      </w:pPr>
      <w:r w:rsidRPr="00A05A4D">
        <w:rPr>
          <w:rStyle w:val="FootnoteReference"/>
          <w:sz w:val="20"/>
          <w:szCs w:val="20"/>
        </w:rPr>
        <w:footnoteRef/>
      </w:r>
      <w:r w:rsidRPr="00A05A4D">
        <w:rPr>
          <w:sz w:val="20"/>
          <w:szCs w:val="20"/>
        </w:rPr>
        <w:t xml:space="preserve"> </w:t>
      </w:r>
      <w:r w:rsidRPr="00A05A4D">
        <w:rPr>
          <w:sz w:val="20"/>
          <w:szCs w:val="20"/>
          <w:lang w:val="en-US"/>
        </w:rPr>
        <w:t xml:space="preserve">This also illustrates two additional points: </w:t>
      </w:r>
      <w:proofErr w:type="spellStart"/>
      <w:r w:rsidRPr="00A05A4D">
        <w:rPr>
          <w:sz w:val="20"/>
          <w:szCs w:val="20"/>
          <w:lang w:val="en-US"/>
        </w:rPr>
        <w:t>i</w:t>
      </w:r>
      <w:proofErr w:type="spellEnd"/>
      <w:r w:rsidRPr="00A05A4D">
        <w:rPr>
          <w:sz w:val="20"/>
          <w:szCs w:val="20"/>
          <w:lang w:val="en-US"/>
        </w:rPr>
        <w:t>) that “democratic” processes can effectively undermine well thought out environmental processes, and ii) that trying to implement environmental policies through consensus is problematic.</w:t>
      </w:r>
    </w:p>
  </w:footnote>
  <w:footnote w:id="16">
    <w:p w14:paraId="63D122E4" w14:textId="77777777" w:rsidR="00D36B5A" w:rsidRPr="00E55177" w:rsidRDefault="00D36B5A" w:rsidP="00353593">
      <w:pPr>
        <w:pStyle w:val="FootnoteText"/>
        <w:rPr>
          <w:sz w:val="20"/>
          <w:szCs w:val="20"/>
          <w:lang w:val="en-US"/>
        </w:rPr>
      </w:pPr>
      <w:r w:rsidRPr="00E55177">
        <w:rPr>
          <w:rStyle w:val="FootnoteReference"/>
          <w:sz w:val="20"/>
          <w:szCs w:val="20"/>
        </w:rPr>
        <w:footnoteRef/>
      </w:r>
      <w:r w:rsidRPr="00E55177">
        <w:rPr>
          <w:sz w:val="20"/>
          <w:szCs w:val="20"/>
        </w:rPr>
        <w:t xml:space="preserve"> </w:t>
      </w:r>
      <w:r w:rsidRPr="00E55177">
        <w:rPr>
          <w:sz w:val="20"/>
          <w:szCs w:val="20"/>
          <w:lang w:val="en-US"/>
        </w:rPr>
        <w:t xml:space="preserve">There are two factors that should be considered here: </w:t>
      </w:r>
      <w:proofErr w:type="spellStart"/>
      <w:r w:rsidRPr="00E55177">
        <w:rPr>
          <w:sz w:val="20"/>
          <w:szCs w:val="20"/>
          <w:lang w:val="en-US"/>
        </w:rPr>
        <w:t>i</w:t>
      </w:r>
      <w:proofErr w:type="spellEnd"/>
      <w:r w:rsidRPr="00E55177">
        <w:rPr>
          <w:sz w:val="20"/>
          <w:szCs w:val="20"/>
          <w:lang w:val="en-US"/>
        </w:rPr>
        <w:t>) numerous analyses have demonstrated that the greater the financial incentive to attend meetings, the lower the motivation and ii) the DSA rates are considerable relative to the monthly salaries of government staffers and, therefore, there might be simple financial motivations to attend rather than drive or ownership.</w:t>
      </w:r>
    </w:p>
  </w:footnote>
  <w:footnote w:id="17">
    <w:p w14:paraId="30218C9C" w14:textId="25D20CAE" w:rsidR="00D36B5A" w:rsidRPr="00721C4A" w:rsidRDefault="00D36B5A" w:rsidP="00721C4A">
      <w:pPr>
        <w:pStyle w:val="FootnoteText"/>
        <w:rPr>
          <w:sz w:val="20"/>
          <w:szCs w:val="20"/>
          <w:lang w:val="en-US"/>
        </w:rPr>
      </w:pPr>
      <w:r w:rsidRPr="00721C4A">
        <w:rPr>
          <w:rStyle w:val="FootnoteReference"/>
          <w:sz w:val="20"/>
          <w:szCs w:val="20"/>
        </w:rPr>
        <w:footnoteRef/>
      </w:r>
      <w:r w:rsidRPr="00721C4A">
        <w:rPr>
          <w:sz w:val="20"/>
          <w:szCs w:val="20"/>
        </w:rPr>
        <w:t xml:space="preserve"> </w:t>
      </w:r>
      <w:r w:rsidRPr="00721C4A">
        <w:rPr>
          <w:sz w:val="20"/>
          <w:szCs w:val="20"/>
          <w:lang w:val="en-US"/>
        </w:rPr>
        <w:t xml:space="preserve">Some of the interviewees over the course of the MTR mission questioned the value of this work, suggesting that it represented duplication of existing knowledge.  They suggested that it was wholly unnecessary.  The MTR was unable to verify the accuracy of these suggestions but the principle holds that </w:t>
      </w:r>
      <w:r w:rsidRPr="002C36FB">
        <w:rPr>
          <w:sz w:val="20"/>
          <w:szCs w:val="20"/>
          <w:lang w:val="en-US"/>
        </w:rPr>
        <w:t>the project must ensure that it does not duplicate existing work.</w:t>
      </w:r>
    </w:p>
  </w:footnote>
  <w:footnote w:id="18">
    <w:p w14:paraId="56A3FC64" w14:textId="680A36D9" w:rsidR="00D36B5A" w:rsidRPr="000B07CB" w:rsidRDefault="00D36B5A">
      <w:pPr>
        <w:pStyle w:val="FootnoteText"/>
        <w:rPr>
          <w:sz w:val="20"/>
          <w:szCs w:val="20"/>
          <w:lang w:val="en-US"/>
        </w:rPr>
      </w:pPr>
      <w:r w:rsidRPr="000B07CB">
        <w:rPr>
          <w:rStyle w:val="FootnoteReference"/>
          <w:sz w:val="20"/>
          <w:szCs w:val="20"/>
        </w:rPr>
        <w:footnoteRef/>
      </w:r>
      <w:r w:rsidRPr="000B07CB">
        <w:rPr>
          <w:sz w:val="20"/>
          <w:szCs w:val="20"/>
        </w:rPr>
        <w:t xml:space="preserve"> </w:t>
      </w:r>
      <w:r>
        <w:rPr>
          <w:sz w:val="20"/>
          <w:szCs w:val="20"/>
        </w:rPr>
        <w:t xml:space="preserve">Trainings </w:t>
      </w:r>
      <w:r w:rsidRPr="00430E0A">
        <w:rPr>
          <w:sz w:val="20"/>
          <w:szCs w:val="20"/>
        </w:rPr>
        <w:t xml:space="preserve">held on 12-13 September 2014 in </w:t>
      </w:r>
      <w:proofErr w:type="spellStart"/>
      <w:r w:rsidRPr="00430E0A">
        <w:rPr>
          <w:sz w:val="20"/>
          <w:szCs w:val="20"/>
        </w:rPr>
        <w:t>Karakol</w:t>
      </w:r>
      <w:proofErr w:type="spellEnd"/>
      <w:r w:rsidRPr="00430E0A">
        <w:rPr>
          <w:sz w:val="20"/>
          <w:szCs w:val="20"/>
        </w:rPr>
        <w:t>, and 17-</w:t>
      </w:r>
      <w:r w:rsidRPr="000B07CB">
        <w:rPr>
          <w:sz w:val="20"/>
          <w:szCs w:val="20"/>
        </w:rPr>
        <w:t xml:space="preserve">18 June, 2014 in </w:t>
      </w:r>
      <w:proofErr w:type="spellStart"/>
      <w:r w:rsidRPr="000B07CB">
        <w:rPr>
          <w:sz w:val="20"/>
          <w:szCs w:val="20"/>
        </w:rPr>
        <w:t>Karakol</w:t>
      </w:r>
      <w:proofErr w:type="spellEnd"/>
      <w:r w:rsidRPr="000B07CB">
        <w:rPr>
          <w:sz w:val="20"/>
          <w:szCs w:val="20"/>
        </w:rPr>
        <w:t xml:space="preserve">, for list of participants, see Annex </w:t>
      </w:r>
      <w:r>
        <w:rPr>
          <w:sz w:val="20"/>
          <w:szCs w:val="20"/>
        </w:rPr>
        <w:t>IX</w:t>
      </w:r>
    </w:p>
  </w:footnote>
  <w:footnote w:id="19">
    <w:p w14:paraId="0F1B4C1C" w14:textId="3F9F88CC" w:rsidR="00D36B5A" w:rsidRPr="00430E0A" w:rsidRDefault="00D36B5A">
      <w:pPr>
        <w:pStyle w:val="FootnoteText"/>
        <w:rPr>
          <w:sz w:val="20"/>
          <w:szCs w:val="20"/>
          <w:lang w:val="en-US"/>
        </w:rPr>
      </w:pPr>
      <w:r w:rsidRPr="00430E0A">
        <w:rPr>
          <w:rStyle w:val="FootnoteReference"/>
          <w:sz w:val="20"/>
          <w:szCs w:val="20"/>
        </w:rPr>
        <w:footnoteRef/>
      </w:r>
      <w:r w:rsidRPr="00430E0A">
        <w:rPr>
          <w:sz w:val="20"/>
          <w:szCs w:val="20"/>
        </w:rPr>
        <w:t xml:space="preserve"> </w:t>
      </w:r>
      <w:r w:rsidRPr="00430E0A">
        <w:rPr>
          <w:sz w:val="20"/>
          <w:szCs w:val="20"/>
          <w:lang w:val="en-US"/>
        </w:rPr>
        <w:t xml:space="preserve">Training held on 2-4 June 2014 in </w:t>
      </w:r>
      <w:proofErr w:type="spellStart"/>
      <w:r w:rsidRPr="00430E0A">
        <w:rPr>
          <w:sz w:val="20"/>
          <w:szCs w:val="20"/>
          <w:lang w:val="en-US"/>
        </w:rPr>
        <w:t>Cholpon</w:t>
      </w:r>
      <w:proofErr w:type="spellEnd"/>
      <w:r w:rsidRPr="00430E0A">
        <w:rPr>
          <w:sz w:val="20"/>
          <w:szCs w:val="20"/>
          <w:lang w:val="en-US"/>
        </w:rPr>
        <w:t>-Ata</w:t>
      </w:r>
      <w:proofErr w:type="gramStart"/>
      <w:r>
        <w:rPr>
          <w:sz w:val="20"/>
          <w:szCs w:val="20"/>
          <w:lang w:val="en-US"/>
        </w:rPr>
        <w:t>;</w:t>
      </w:r>
      <w:proofErr w:type="gramEnd"/>
      <w:r>
        <w:rPr>
          <w:sz w:val="20"/>
          <w:szCs w:val="20"/>
          <w:lang w:val="en-US"/>
        </w:rPr>
        <w:t xml:space="preserve"> for list of participants, see Annex IX.</w:t>
      </w:r>
    </w:p>
  </w:footnote>
  <w:footnote w:id="20">
    <w:p w14:paraId="59D9CC24" w14:textId="7DABEA28" w:rsidR="00D36B5A" w:rsidRPr="00622292" w:rsidRDefault="00D36B5A">
      <w:pPr>
        <w:pStyle w:val="FootnoteText"/>
        <w:rPr>
          <w:sz w:val="20"/>
          <w:szCs w:val="20"/>
          <w:lang w:val="en-US"/>
        </w:rPr>
      </w:pPr>
      <w:r w:rsidRPr="00622292">
        <w:rPr>
          <w:rStyle w:val="FootnoteReference"/>
          <w:sz w:val="20"/>
          <w:szCs w:val="20"/>
        </w:rPr>
        <w:footnoteRef/>
      </w:r>
      <w:r w:rsidRPr="00622292">
        <w:rPr>
          <w:sz w:val="20"/>
          <w:szCs w:val="20"/>
        </w:rPr>
        <w:t xml:space="preserve"> Approved by Order of the Plenipotentiary Representative of the Government of the Kyrgyz Republic in Issyk-Kul oblast, 09 February 2015 No. 21</w:t>
      </w:r>
    </w:p>
  </w:footnote>
  <w:footnote w:id="21">
    <w:p w14:paraId="177B3C63" w14:textId="45AC288F" w:rsidR="00D36B5A" w:rsidRPr="0027776C" w:rsidRDefault="00D36B5A">
      <w:pPr>
        <w:pStyle w:val="FootnoteText"/>
        <w:rPr>
          <w:sz w:val="20"/>
          <w:szCs w:val="20"/>
          <w:lang w:val="en-US"/>
        </w:rPr>
      </w:pPr>
      <w:r w:rsidRPr="0027776C">
        <w:rPr>
          <w:rStyle w:val="FootnoteReference"/>
          <w:sz w:val="20"/>
          <w:szCs w:val="20"/>
        </w:rPr>
        <w:footnoteRef/>
      </w:r>
      <w:r w:rsidRPr="0027776C">
        <w:rPr>
          <w:sz w:val="20"/>
          <w:szCs w:val="20"/>
        </w:rPr>
        <w:t xml:space="preserve"> All</w:t>
      </w:r>
      <w:r w:rsidRPr="0027776C">
        <w:rPr>
          <w:sz w:val="20"/>
          <w:szCs w:val="20"/>
          <w:lang w:val="en-US"/>
        </w:rPr>
        <w:t xml:space="preserve"> work in the environment sector is inextricably linked to governance: environmental work is the development and application of regulations</w:t>
      </w:r>
      <w:r>
        <w:rPr>
          <w:sz w:val="20"/>
          <w:szCs w:val="20"/>
          <w:lang w:val="en-US"/>
        </w:rPr>
        <w:t xml:space="preserve"> and it will be undermined by any factor that undermines governance.</w:t>
      </w:r>
    </w:p>
  </w:footnote>
  <w:footnote w:id="22">
    <w:p w14:paraId="12394DF1" w14:textId="69BE426A" w:rsidR="00D36B5A" w:rsidRPr="005A16F8" w:rsidRDefault="00D36B5A">
      <w:pPr>
        <w:pStyle w:val="FootnoteText"/>
        <w:rPr>
          <w:sz w:val="20"/>
          <w:szCs w:val="20"/>
          <w:lang w:val="en-US"/>
        </w:rPr>
      </w:pPr>
      <w:r w:rsidRPr="005A16F8">
        <w:rPr>
          <w:rStyle w:val="FootnoteReference"/>
          <w:sz w:val="20"/>
          <w:szCs w:val="20"/>
        </w:rPr>
        <w:footnoteRef/>
      </w:r>
      <w:r w:rsidRPr="005A16F8">
        <w:rPr>
          <w:sz w:val="20"/>
          <w:szCs w:val="20"/>
        </w:rPr>
        <w:t xml:space="preserve"> </w:t>
      </w:r>
      <w:r w:rsidRPr="005A16F8">
        <w:rPr>
          <w:b/>
          <w:sz w:val="20"/>
          <w:szCs w:val="20"/>
        </w:rPr>
        <w:t>Comment on draft MTR</w:t>
      </w:r>
      <w:r w:rsidRPr="005A16F8">
        <w:rPr>
          <w:sz w:val="20"/>
          <w:szCs w:val="20"/>
        </w:rPr>
        <w:t>: “</w:t>
      </w:r>
      <w:r w:rsidRPr="005A16F8">
        <w:rPr>
          <w:i/>
          <w:sz w:val="20"/>
          <w:szCs w:val="20"/>
        </w:rPr>
        <w:t xml:space="preserve">The Land management service in </w:t>
      </w:r>
      <w:proofErr w:type="spellStart"/>
      <w:r w:rsidRPr="005A16F8">
        <w:rPr>
          <w:i/>
          <w:sz w:val="20"/>
          <w:szCs w:val="20"/>
        </w:rPr>
        <w:t>Karakol</w:t>
      </w:r>
      <w:proofErr w:type="spellEnd"/>
      <w:r w:rsidRPr="005A16F8">
        <w:rPr>
          <w:i/>
          <w:sz w:val="20"/>
          <w:szCs w:val="20"/>
        </w:rPr>
        <w:t xml:space="preserve">, </w:t>
      </w:r>
      <w:proofErr w:type="spellStart"/>
      <w:r w:rsidRPr="005A16F8">
        <w:rPr>
          <w:i/>
          <w:sz w:val="20"/>
          <w:szCs w:val="20"/>
        </w:rPr>
        <w:t>Ak-Suu</w:t>
      </w:r>
      <w:proofErr w:type="spellEnd"/>
      <w:r w:rsidRPr="005A16F8">
        <w:rPr>
          <w:i/>
          <w:sz w:val="20"/>
          <w:szCs w:val="20"/>
        </w:rPr>
        <w:t xml:space="preserve"> region made mistakes in calculation of two </w:t>
      </w:r>
      <w:proofErr w:type="spellStart"/>
      <w:r w:rsidRPr="005A16F8">
        <w:rPr>
          <w:sz w:val="20"/>
          <w:szCs w:val="20"/>
        </w:rPr>
        <w:t>aiyl</w:t>
      </w:r>
      <w:proofErr w:type="spellEnd"/>
      <w:r w:rsidRPr="005A16F8">
        <w:rPr>
          <w:sz w:val="20"/>
          <w:szCs w:val="20"/>
        </w:rPr>
        <w:t xml:space="preserve"> </w:t>
      </w:r>
      <w:proofErr w:type="spellStart"/>
      <w:r w:rsidRPr="005A16F8">
        <w:rPr>
          <w:sz w:val="20"/>
          <w:szCs w:val="20"/>
        </w:rPr>
        <w:t>okmoty</w:t>
      </w:r>
      <w:proofErr w:type="spellEnd"/>
      <w:r w:rsidRPr="005A16F8">
        <w:rPr>
          <w:i/>
          <w:sz w:val="20"/>
          <w:szCs w:val="20"/>
        </w:rPr>
        <w:t xml:space="preserve"> (</w:t>
      </w:r>
      <w:proofErr w:type="spellStart"/>
      <w:r w:rsidRPr="005A16F8">
        <w:rPr>
          <w:i/>
          <w:sz w:val="20"/>
          <w:szCs w:val="20"/>
        </w:rPr>
        <w:t>Keregetash</w:t>
      </w:r>
      <w:proofErr w:type="spellEnd"/>
      <w:r w:rsidRPr="005A16F8">
        <w:rPr>
          <w:i/>
          <w:sz w:val="20"/>
          <w:szCs w:val="20"/>
        </w:rPr>
        <w:t xml:space="preserve"> and </w:t>
      </w:r>
      <w:proofErr w:type="spellStart"/>
      <w:r w:rsidRPr="005A16F8">
        <w:rPr>
          <w:i/>
          <w:sz w:val="20"/>
          <w:szCs w:val="20"/>
        </w:rPr>
        <w:t>Teplokluchenko</w:t>
      </w:r>
      <w:proofErr w:type="spellEnd"/>
      <w:r w:rsidRPr="005A16F8">
        <w:rPr>
          <w:i/>
          <w:sz w:val="20"/>
          <w:szCs w:val="20"/>
        </w:rPr>
        <w:t>)</w:t>
      </w:r>
      <w:r w:rsidRPr="005A16F8">
        <w:rPr>
          <w:sz w:val="20"/>
          <w:szCs w:val="20"/>
        </w:rPr>
        <w:t>”</w:t>
      </w:r>
    </w:p>
  </w:footnote>
  <w:footnote w:id="23">
    <w:p w14:paraId="5D95A965" w14:textId="0194224C" w:rsidR="00D36B5A" w:rsidRPr="009B2A78" w:rsidRDefault="00D36B5A">
      <w:pPr>
        <w:pStyle w:val="FootnoteText"/>
        <w:rPr>
          <w:sz w:val="20"/>
          <w:szCs w:val="20"/>
          <w:lang w:val="en-US"/>
        </w:rPr>
      </w:pPr>
      <w:r w:rsidRPr="009B2A78">
        <w:rPr>
          <w:rStyle w:val="FootnoteReference"/>
          <w:sz w:val="20"/>
          <w:szCs w:val="20"/>
        </w:rPr>
        <w:footnoteRef/>
      </w:r>
      <w:r w:rsidRPr="009B2A78">
        <w:rPr>
          <w:sz w:val="20"/>
          <w:szCs w:val="20"/>
        </w:rPr>
        <w:t xml:space="preserve"> </w:t>
      </w:r>
      <w:r w:rsidRPr="009B2A78">
        <w:rPr>
          <w:sz w:val="20"/>
          <w:szCs w:val="20"/>
          <w:lang w:val="en-US"/>
        </w:rPr>
        <w:t xml:space="preserve">The project should ensure that there is adequate representation from the </w:t>
      </w:r>
      <w:proofErr w:type="spellStart"/>
      <w:r w:rsidRPr="009B2A78">
        <w:rPr>
          <w:sz w:val="20"/>
          <w:szCs w:val="20"/>
          <w:lang w:val="en-US"/>
        </w:rPr>
        <w:t>Issyl</w:t>
      </w:r>
      <w:proofErr w:type="spellEnd"/>
      <w:r w:rsidRPr="009B2A78">
        <w:rPr>
          <w:sz w:val="20"/>
          <w:szCs w:val="20"/>
          <w:lang w:val="en-US"/>
        </w:rPr>
        <w:t xml:space="preserve"> </w:t>
      </w:r>
      <w:proofErr w:type="spellStart"/>
      <w:r w:rsidRPr="009B2A78">
        <w:rPr>
          <w:sz w:val="20"/>
          <w:szCs w:val="20"/>
          <w:lang w:val="en-US"/>
        </w:rPr>
        <w:t>Kul</w:t>
      </w:r>
      <w:proofErr w:type="spellEnd"/>
      <w:r w:rsidRPr="009B2A78">
        <w:rPr>
          <w:sz w:val="20"/>
          <w:szCs w:val="20"/>
          <w:lang w:val="en-US"/>
        </w:rPr>
        <w:t xml:space="preserve"> oblast and some representation from the local communities (including rayon administration and </w:t>
      </w:r>
      <w:proofErr w:type="spellStart"/>
      <w:r w:rsidRPr="009B2A78">
        <w:rPr>
          <w:sz w:val="20"/>
          <w:szCs w:val="20"/>
          <w:lang w:val="en-US"/>
        </w:rPr>
        <w:t>aiyl</w:t>
      </w:r>
      <w:proofErr w:type="spellEnd"/>
      <w:r w:rsidRPr="009B2A78">
        <w:rPr>
          <w:sz w:val="20"/>
          <w:szCs w:val="20"/>
          <w:lang w:val="en-US"/>
        </w:rPr>
        <w:t xml:space="preserve"> </w:t>
      </w:r>
      <w:proofErr w:type="spellStart"/>
      <w:r w:rsidRPr="009B2A78">
        <w:rPr>
          <w:sz w:val="20"/>
          <w:szCs w:val="20"/>
          <w:lang w:val="en-US"/>
        </w:rPr>
        <w:t>okmotu</w:t>
      </w:r>
      <w:proofErr w:type="spellEnd"/>
      <w:r w:rsidRPr="009B2A78">
        <w:rPr>
          <w:sz w:val="20"/>
          <w:szCs w:val="20"/>
          <w:lang w:val="en-US"/>
        </w:rPr>
        <w:t xml:space="preserve"> representation) on the interagency committee).</w:t>
      </w:r>
    </w:p>
  </w:footnote>
  <w:footnote w:id="24">
    <w:p w14:paraId="48E003C6" w14:textId="6BF33395" w:rsidR="00D36B5A" w:rsidRPr="0062195B" w:rsidRDefault="00D36B5A">
      <w:pPr>
        <w:pStyle w:val="FootnoteText"/>
        <w:rPr>
          <w:sz w:val="20"/>
          <w:szCs w:val="20"/>
          <w:lang w:val="en-US"/>
        </w:rPr>
      </w:pPr>
      <w:r w:rsidRPr="0062195B">
        <w:rPr>
          <w:rStyle w:val="FootnoteReference"/>
          <w:sz w:val="20"/>
          <w:szCs w:val="20"/>
        </w:rPr>
        <w:footnoteRef/>
      </w:r>
      <w:r w:rsidRPr="0062195B">
        <w:rPr>
          <w:sz w:val="20"/>
          <w:szCs w:val="20"/>
        </w:rPr>
        <w:t xml:space="preserve"> </w:t>
      </w:r>
      <w:r w:rsidRPr="0062195B">
        <w:rPr>
          <w:sz w:val="20"/>
          <w:szCs w:val="20"/>
          <w:lang w:val="en-US"/>
        </w:rPr>
        <w:t>However, for a counterpoint to this, see Section 4.2.1</w:t>
      </w:r>
    </w:p>
  </w:footnote>
  <w:footnote w:id="25">
    <w:p w14:paraId="7BDB45EA" w14:textId="37ACFADD" w:rsidR="00D36B5A" w:rsidRPr="00981940" w:rsidRDefault="00D36B5A" w:rsidP="00981940">
      <w:pPr>
        <w:pStyle w:val="CommentText"/>
        <w:rPr>
          <w:sz w:val="20"/>
          <w:szCs w:val="20"/>
        </w:rPr>
      </w:pPr>
      <w:r w:rsidRPr="00C74E38">
        <w:rPr>
          <w:rStyle w:val="FootnoteReference"/>
          <w:sz w:val="20"/>
          <w:szCs w:val="20"/>
        </w:rPr>
        <w:footnoteRef/>
      </w:r>
      <w:r w:rsidRPr="00C74E38">
        <w:rPr>
          <w:sz w:val="20"/>
          <w:szCs w:val="20"/>
        </w:rPr>
        <w:t xml:space="preserve"> </w:t>
      </w:r>
      <w:r w:rsidRPr="00C74E38">
        <w:rPr>
          <w:b/>
          <w:sz w:val="20"/>
          <w:szCs w:val="20"/>
          <w:lang w:val="en-US"/>
        </w:rPr>
        <w:t>Clarification provided on draft MTR</w:t>
      </w:r>
      <w:r w:rsidRPr="00C74E38">
        <w:rPr>
          <w:sz w:val="20"/>
          <w:szCs w:val="20"/>
          <w:lang w:val="en-US"/>
        </w:rPr>
        <w:t xml:space="preserve">: </w:t>
      </w:r>
      <w:r w:rsidRPr="00981940">
        <w:rPr>
          <w:sz w:val="20"/>
          <w:szCs w:val="20"/>
          <w:lang w:val="en-US"/>
        </w:rPr>
        <w:t>“</w:t>
      </w:r>
      <w:r w:rsidRPr="00981940">
        <w:rPr>
          <w:i/>
          <w:sz w:val="20"/>
          <w:szCs w:val="20"/>
        </w:rPr>
        <w:t xml:space="preserve">Starting from end of 2013 and early 2014 the PIU met several times with scientists from National academy of science (NAS) Taken into account the NAS recommendations on biodiversity hotspots for establishing protected areas starting from </w:t>
      </w:r>
      <w:proofErr w:type="gramStart"/>
      <w:r w:rsidRPr="00981940">
        <w:rPr>
          <w:i/>
          <w:sz w:val="20"/>
          <w:szCs w:val="20"/>
        </w:rPr>
        <w:t>1970s  left</w:t>
      </w:r>
      <w:proofErr w:type="gramEnd"/>
      <w:r w:rsidRPr="00981940">
        <w:rPr>
          <w:i/>
          <w:sz w:val="20"/>
          <w:szCs w:val="20"/>
        </w:rPr>
        <w:t xml:space="preserve"> site of the </w:t>
      </w:r>
      <w:proofErr w:type="spellStart"/>
      <w:r w:rsidRPr="00981940">
        <w:rPr>
          <w:i/>
          <w:sz w:val="20"/>
          <w:szCs w:val="20"/>
        </w:rPr>
        <w:t>Sary-Djaz</w:t>
      </w:r>
      <w:proofErr w:type="spellEnd"/>
      <w:r w:rsidRPr="00981940">
        <w:rPr>
          <w:i/>
          <w:sz w:val="20"/>
          <w:szCs w:val="20"/>
        </w:rPr>
        <w:t xml:space="preserve">  river was kept for establishing new PA free of hunting enterprises. Almost the same recommendation was given </w:t>
      </w:r>
      <w:proofErr w:type="spellStart"/>
      <w:r w:rsidRPr="00981940">
        <w:rPr>
          <w:i/>
          <w:sz w:val="20"/>
          <w:szCs w:val="20"/>
        </w:rPr>
        <w:t>Econet</w:t>
      </w:r>
      <w:proofErr w:type="spellEnd"/>
      <w:r w:rsidRPr="00981940">
        <w:rPr>
          <w:i/>
          <w:sz w:val="20"/>
          <w:szCs w:val="20"/>
        </w:rPr>
        <w:t xml:space="preserve">. 187000ha the territory according to the </w:t>
      </w:r>
      <w:proofErr w:type="spellStart"/>
      <w:r w:rsidRPr="00981940">
        <w:rPr>
          <w:i/>
          <w:sz w:val="20"/>
          <w:szCs w:val="20"/>
        </w:rPr>
        <w:t>Prodoc</w:t>
      </w:r>
      <w:proofErr w:type="spellEnd"/>
      <w:r w:rsidRPr="00981940">
        <w:rPr>
          <w:i/>
          <w:sz w:val="20"/>
          <w:szCs w:val="20"/>
        </w:rPr>
        <w:t xml:space="preserve"> has very little meaning for biodiversity, almost 99% of the territory covered by </w:t>
      </w:r>
      <w:proofErr w:type="spellStart"/>
      <w:r w:rsidRPr="00981940">
        <w:rPr>
          <w:i/>
          <w:sz w:val="20"/>
          <w:szCs w:val="20"/>
        </w:rPr>
        <w:t>Engilchek</w:t>
      </w:r>
      <w:proofErr w:type="spellEnd"/>
      <w:r w:rsidRPr="00981940">
        <w:rPr>
          <w:i/>
          <w:sz w:val="20"/>
          <w:szCs w:val="20"/>
        </w:rPr>
        <w:t xml:space="preserve"> glaciers and stones, no vegetation.</w:t>
      </w:r>
      <w:r w:rsidRPr="00981940">
        <w:rPr>
          <w:sz w:val="20"/>
          <w:szCs w:val="20"/>
        </w:rPr>
        <w:t xml:space="preserve"> </w:t>
      </w:r>
      <w:r>
        <w:rPr>
          <w:sz w:val="20"/>
          <w:szCs w:val="20"/>
        </w:rPr>
        <w:t xml:space="preserve"> </w:t>
      </w:r>
      <w:r w:rsidRPr="00981940">
        <w:rPr>
          <w:i/>
          <w:sz w:val="20"/>
          <w:szCs w:val="20"/>
        </w:rPr>
        <w:t xml:space="preserve">According to local legislation on PAs nature parks are research and nature conservation institutions. PIU in cooperation with SAEPF included additional to the </w:t>
      </w:r>
      <w:proofErr w:type="spellStart"/>
      <w:proofErr w:type="gramStart"/>
      <w:r w:rsidRPr="00981940">
        <w:rPr>
          <w:i/>
          <w:sz w:val="20"/>
          <w:szCs w:val="20"/>
        </w:rPr>
        <w:t>Prodoc</w:t>
      </w:r>
      <w:proofErr w:type="spellEnd"/>
      <w:proofErr w:type="gramEnd"/>
      <w:r w:rsidRPr="00981940">
        <w:rPr>
          <w:i/>
          <w:sz w:val="20"/>
          <w:szCs w:val="20"/>
        </w:rPr>
        <w:t xml:space="preserve"> 187000ha +18800</w:t>
      </w:r>
      <w:r>
        <w:rPr>
          <w:i/>
          <w:sz w:val="20"/>
          <w:szCs w:val="20"/>
        </w:rPr>
        <w:t xml:space="preserve">0 ha left site of the </w:t>
      </w:r>
      <w:proofErr w:type="spellStart"/>
      <w:r>
        <w:rPr>
          <w:i/>
          <w:sz w:val="20"/>
          <w:szCs w:val="20"/>
        </w:rPr>
        <w:t>Sary-Djaz</w:t>
      </w:r>
      <w:proofErr w:type="spellEnd"/>
      <w:r w:rsidRPr="00981940">
        <w:rPr>
          <w:i/>
          <w:sz w:val="20"/>
          <w:szCs w:val="20"/>
        </w:rPr>
        <w:t xml:space="preserve"> river. Out of 188000 ha 14 licenses for mineral resources exploration in 75000 ha (land belongs to 15 </w:t>
      </w:r>
      <w:proofErr w:type="spellStart"/>
      <w:r w:rsidRPr="00981940">
        <w:rPr>
          <w:i/>
          <w:sz w:val="20"/>
          <w:szCs w:val="20"/>
        </w:rPr>
        <w:t>aiyl</w:t>
      </w:r>
      <w:proofErr w:type="spellEnd"/>
      <w:r w:rsidRPr="00981940">
        <w:rPr>
          <w:i/>
          <w:sz w:val="20"/>
          <w:szCs w:val="20"/>
        </w:rPr>
        <w:t xml:space="preserve"> </w:t>
      </w:r>
      <w:proofErr w:type="spellStart"/>
      <w:r w:rsidRPr="00981940">
        <w:rPr>
          <w:i/>
          <w:sz w:val="20"/>
          <w:szCs w:val="20"/>
        </w:rPr>
        <w:t>okmoty</w:t>
      </w:r>
      <w:proofErr w:type="spellEnd"/>
      <w:r w:rsidRPr="00981940">
        <w:rPr>
          <w:i/>
          <w:sz w:val="20"/>
          <w:szCs w:val="20"/>
        </w:rPr>
        <w:t xml:space="preserve"> from two rayon s: </w:t>
      </w:r>
      <w:proofErr w:type="spellStart"/>
      <w:r w:rsidRPr="00981940">
        <w:rPr>
          <w:i/>
          <w:sz w:val="20"/>
          <w:szCs w:val="20"/>
        </w:rPr>
        <w:t>Ak-Suu</w:t>
      </w:r>
      <w:proofErr w:type="spellEnd"/>
      <w:r w:rsidRPr="00981940">
        <w:rPr>
          <w:i/>
          <w:sz w:val="20"/>
          <w:szCs w:val="20"/>
        </w:rPr>
        <w:t xml:space="preserve"> and </w:t>
      </w:r>
      <w:proofErr w:type="spellStart"/>
      <w:r w:rsidRPr="00981940">
        <w:rPr>
          <w:i/>
          <w:sz w:val="20"/>
          <w:szCs w:val="20"/>
        </w:rPr>
        <w:t>Tup</w:t>
      </w:r>
      <w:proofErr w:type="spellEnd"/>
      <w:r w:rsidRPr="00981940">
        <w:rPr>
          <w:i/>
          <w:sz w:val="20"/>
          <w:szCs w:val="20"/>
        </w:rPr>
        <w:t xml:space="preserve">) were </w:t>
      </w:r>
      <w:proofErr w:type="gramStart"/>
      <w:r w:rsidRPr="00981940">
        <w:rPr>
          <w:i/>
          <w:sz w:val="20"/>
          <w:szCs w:val="20"/>
        </w:rPr>
        <w:t>given  by</w:t>
      </w:r>
      <w:proofErr w:type="gramEnd"/>
      <w:r w:rsidRPr="00981940">
        <w:rPr>
          <w:i/>
          <w:sz w:val="20"/>
          <w:szCs w:val="20"/>
        </w:rPr>
        <w:t xml:space="preserve"> the State Agency on mineral resources. Therefore PIU have been working with 7 </w:t>
      </w:r>
      <w:proofErr w:type="spellStart"/>
      <w:r w:rsidRPr="00981940">
        <w:rPr>
          <w:i/>
          <w:sz w:val="20"/>
          <w:szCs w:val="20"/>
        </w:rPr>
        <w:t>aiyl</w:t>
      </w:r>
      <w:proofErr w:type="spellEnd"/>
      <w:r w:rsidRPr="00981940">
        <w:rPr>
          <w:i/>
          <w:sz w:val="20"/>
          <w:szCs w:val="20"/>
        </w:rPr>
        <w:t xml:space="preserve"> </w:t>
      </w:r>
      <w:proofErr w:type="spellStart"/>
      <w:r w:rsidRPr="00981940">
        <w:rPr>
          <w:i/>
          <w:sz w:val="20"/>
          <w:szCs w:val="20"/>
        </w:rPr>
        <w:t>okmoty</w:t>
      </w:r>
      <w:proofErr w:type="spellEnd"/>
      <w:r w:rsidRPr="00981940">
        <w:rPr>
          <w:i/>
          <w:sz w:val="20"/>
          <w:szCs w:val="20"/>
        </w:rPr>
        <w:t xml:space="preserve"> in left site of the </w:t>
      </w:r>
      <w:proofErr w:type="spellStart"/>
      <w:r w:rsidRPr="00981940">
        <w:rPr>
          <w:i/>
          <w:sz w:val="20"/>
          <w:szCs w:val="20"/>
        </w:rPr>
        <w:t>Sary-</w:t>
      </w:r>
      <w:proofErr w:type="gramStart"/>
      <w:r w:rsidRPr="00981940">
        <w:rPr>
          <w:i/>
          <w:sz w:val="20"/>
          <w:szCs w:val="20"/>
        </w:rPr>
        <w:t>Djaz</w:t>
      </w:r>
      <w:proofErr w:type="spellEnd"/>
      <w:r w:rsidRPr="00981940">
        <w:rPr>
          <w:i/>
          <w:sz w:val="20"/>
          <w:szCs w:val="20"/>
        </w:rPr>
        <w:t xml:space="preserve">  river</w:t>
      </w:r>
      <w:proofErr w:type="gramEnd"/>
      <w:r w:rsidRPr="00981940">
        <w:rPr>
          <w:i/>
          <w:sz w:val="20"/>
          <w:szCs w:val="20"/>
        </w:rPr>
        <w:t xml:space="preserve"> to transfer their high land agriculture land to the PAs category which has valuable for biodiversity in order to  ensure long-term better legal biodiversity protection and effective management.</w:t>
      </w:r>
      <w:r>
        <w:rPr>
          <w:sz w:val="20"/>
          <w:szCs w:val="20"/>
        </w:rPr>
        <w:t xml:space="preserve">  </w:t>
      </w:r>
      <w:r w:rsidRPr="00981940">
        <w:rPr>
          <w:i/>
          <w:sz w:val="20"/>
          <w:szCs w:val="20"/>
        </w:rPr>
        <w:t>The regulation on allocation of areas for hunting</w:t>
      </w:r>
      <w:r w:rsidRPr="00434D45">
        <w:rPr>
          <w:i/>
          <w:sz w:val="20"/>
          <w:szCs w:val="20"/>
        </w:rPr>
        <w:t xml:space="preserve"> in the Kyrgyz Republic was developed and approved by Government Decree (16. 12.2013, # 673). The one of the main targets of the regulation was consolidate the territories to be allocated for the hunting argali, ibex. According the regulation all </w:t>
      </w:r>
      <w:r w:rsidRPr="00434D45">
        <w:rPr>
          <w:i/>
          <w:sz w:val="20"/>
          <w:szCs w:val="20"/>
          <w:lang w:val="en-US"/>
        </w:rPr>
        <w:t xml:space="preserve">former </w:t>
      </w:r>
      <w:r w:rsidRPr="00434D45">
        <w:rPr>
          <w:i/>
          <w:sz w:val="20"/>
          <w:szCs w:val="20"/>
        </w:rPr>
        <w:t xml:space="preserve">agreements with private hunting companies were cancelled.  This gave chance for future establishing park enlarge its territory and occupy initially 375000 ha in the </w:t>
      </w:r>
      <w:proofErr w:type="spellStart"/>
      <w:r w:rsidRPr="00434D45">
        <w:rPr>
          <w:i/>
          <w:sz w:val="20"/>
          <w:szCs w:val="20"/>
        </w:rPr>
        <w:t>Sary-Djaz</w:t>
      </w:r>
      <w:proofErr w:type="spellEnd"/>
      <w:r w:rsidRPr="00434D45">
        <w:rPr>
          <w:i/>
          <w:sz w:val="20"/>
          <w:szCs w:val="20"/>
        </w:rPr>
        <w:t xml:space="preserve"> river basin, kept free of hunting companies out of 188000 ha are important for biodiversity. </w:t>
      </w:r>
      <w:r>
        <w:rPr>
          <w:i/>
          <w:sz w:val="20"/>
          <w:szCs w:val="20"/>
        </w:rPr>
        <w:t xml:space="preserve">  </w:t>
      </w:r>
      <w:r w:rsidRPr="00434D45">
        <w:rPr>
          <w:i/>
          <w:sz w:val="20"/>
          <w:szCs w:val="20"/>
        </w:rPr>
        <w:t>This was reached in close cooperation 3 Departments in SAEPF (Department on regulation of the natural resources, Department on Forest ecosystem and PA, Department on Forest and Hunting Resources inventory).</w:t>
      </w:r>
      <w:r w:rsidRPr="00C74E38">
        <w:rPr>
          <w:sz w:val="20"/>
          <w:szCs w:val="20"/>
          <w:lang w:val="en-US"/>
        </w:rPr>
        <w:t>”</w:t>
      </w:r>
    </w:p>
  </w:footnote>
  <w:footnote w:id="26">
    <w:p w14:paraId="3AFA4F12" w14:textId="16C4DBA3" w:rsidR="00D36B5A" w:rsidRPr="009F2FE0" w:rsidRDefault="00D36B5A">
      <w:pPr>
        <w:pStyle w:val="FootnoteText"/>
        <w:rPr>
          <w:sz w:val="20"/>
          <w:szCs w:val="20"/>
          <w:lang w:val="en-US"/>
        </w:rPr>
      </w:pPr>
      <w:r w:rsidRPr="009F2FE0">
        <w:rPr>
          <w:rStyle w:val="FootnoteReference"/>
          <w:sz w:val="20"/>
          <w:szCs w:val="20"/>
        </w:rPr>
        <w:footnoteRef/>
      </w:r>
      <w:r w:rsidRPr="009F2FE0">
        <w:rPr>
          <w:sz w:val="20"/>
          <w:szCs w:val="20"/>
        </w:rPr>
        <w:t xml:space="preserve"> </w:t>
      </w:r>
      <w:r w:rsidRPr="009F2FE0">
        <w:rPr>
          <w:sz w:val="20"/>
          <w:szCs w:val="20"/>
          <w:lang w:val="en-US"/>
        </w:rPr>
        <w:t>The Terminal Evaluation of the project will expect to visit the field sites to inspect these installations.</w:t>
      </w:r>
    </w:p>
  </w:footnote>
  <w:footnote w:id="27">
    <w:p w14:paraId="08E7D32F" w14:textId="7781B51B" w:rsidR="00D36B5A" w:rsidRPr="00E77A8F" w:rsidRDefault="00D36B5A">
      <w:pPr>
        <w:pStyle w:val="FootnoteText"/>
        <w:rPr>
          <w:sz w:val="20"/>
          <w:szCs w:val="20"/>
          <w:lang w:val="en-US"/>
        </w:rPr>
      </w:pPr>
      <w:r w:rsidRPr="00E77A8F">
        <w:rPr>
          <w:rStyle w:val="FootnoteReference"/>
          <w:sz w:val="20"/>
          <w:szCs w:val="20"/>
        </w:rPr>
        <w:footnoteRef/>
      </w:r>
      <w:r w:rsidRPr="00E77A8F">
        <w:rPr>
          <w:sz w:val="20"/>
          <w:szCs w:val="20"/>
        </w:rPr>
        <w:t xml:space="preserve"> </w:t>
      </w:r>
      <w:r w:rsidRPr="00E77A8F">
        <w:rPr>
          <w:sz w:val="20"/>
          <w:szCs w:val="20"/>
          <w:lang w:val="en-US"/>
        </w:rPr>
        <w:t xml:space="preserve">The Inception Workshop took advantage of the fact that it followed directly on from the </w:t>
      </w:r>
      <w:r w:rsidRPr="00E77A8F">
        <w:rPr>
          <w:sz w:val="20"/>
          <w:szCs w:val="20"/>
        </w:rPr>
        <w:t>Global Snow Leopard Conservation Forum (22-23 October 2013)</w:t>
      </w:r>
      <w:r>
        <w:rPr>
          <w:sz w:val="20"/>
          <w:szCs w:val="20"/>
        </w:rPr>
        <w:t xml:space="preserve"> – </w:t>
      </w:r>
      <w:proofErr w:type="gramStart"/>
      <w:r>
        <w:rPr>
          <w:sz w:val="20"/>
          <w:szCs w:val="20"/>
        </w:rPr>
        <w:t>therefore,</w:t>
      </w:r>
      <w:proofErr w:type="gramEnd"/>
      <w:r>
        <w:rPr>
          <w:sz w:val="20"/>
          <w:szCs w:val="20"/>
        </w:rPr>
        <w:t xml:space="preserve"> many stakeholders were already present in Bishkek for this meeting.</w:t>
      </w:r>
    </w:p>
  </w:footnote>
  <w:footnote w:id="28">
    <w:p w14:paraId="3541E3FD" w14:textId="328A19FA" w:rsidR="00D36B5A" w:rsidRPr="00520FBD" w:rsidRDefault="00D36B5A">
      <w:pPr>
        <w:pStyle w:val="FootnoteText"/>
        <w:rPr>
          <w:sz w:val="20"/>
          <w:szCs w:val="20"/>
          <w:lang w:val="en-US"/>
        </w:rPr>
      </w:pPr>
      <w:r w:rsidRPr="00520FBD">
        <w:rPr>
          <w:rStyle w:val="FootnoteReference"/>
          <w:sz w:val="20"/>
          <w:szCs w:val="20"/>
        </w:rPr>
        <w:footnoteRef/>
      </w:r>
      <w:r w:rsidRPr="00520FBD">
        <w:rPr>
          <w:sz w:val="20"/>
          <w:szCs w:val="20"/>
        </w:rPr>
        <w:t xml:space="preserve"> KAP (Knowledge, Attitude, Practice surveys are usually used in medical practices to assess compliance among medical patients, both for preventative and curative medicine.  See, for example, http://www.birds.cornell.edu/citscitoolkit/toolkit/steps/effects/resource-folder/Guideline%20for%20Conducting%20a%20KAP%20Study%20(PDF)</w:t>
      </w:r>
      <w:proofErr w:type="gramStart"/>
      <w:r w:rsidRPr="00520FBD">
        <w:rPr>
          <w:sz w:val="20"/>
          <w:szCs w:val="20"/>
        </w:rPr>
        <w:t>.</w:t>
      </w:r>
      <w:proofErr w:type="spellStart"/>
      <w:r w:rsidRPr="00520FBD">
        <w:rPr>
          <w:sz w:val="20"/>
          <w:szCs w:val="20"/>
        </w:rPr>
        <w:t>pdf</w:t>
      </w:r>
      <w:proofErr w:type="spellEnd"/>
      <w:proofErr w:type="gramEnd"/>
    </w:p>
  </w:footnote>
  <w:footnote w:id="29">
    <w:p w14:paraId="6A51717A" w14:textId="3732A092" w:rsidR="00D36B5A" w:rsidRPr="00417E07" w:rsidRDefault="00D36B5A">
      <w:pPr>
        <w:pStyle w:val="FootnoteText"/>
        <w:rPr>
          <w:sz w:val="20"/>
          <w:szCs w:val="20"/>
          <w:lang w:val="en-US"/>
        </w:rPr>
      </w:pPr>
      <w:r w:rsidRPr="00417E07">
        <w:rPr>
          <w:rStyle w:val="FootnoteReference"/>
          <w:sz w:val="20"/>
          <w:szCs w:val="20"/>
        </w:rPr>
        <w:footnoteRef/>
      </w:r>
      <w:r w:rsidRPr="00417E07">
        <w:rPr>
          <w:sz w:val="20"/>
          <w:szCs w:val="20"/>
        </w:rPr>
        <w:t xml:space="preserve"> </w:t>
      </w:r>
      <w:r w:rsidRPr="00417E07">
        <w:rPr>
          <w:sz w:val="20"/>
          <w:szCs w:val="20"/>
          <w:lang w:val="en-US"/>
        </w:rPr>
        <w:t xml:space="preserve">Although an international advisor would be more expensive, the MTR believes that </w:t>
      </w:r>
      <w:proofErr w:type="spellStart"/>
      <w:r w:rsidRPr="00417E07">
        <w:rPr>
          <w:sz w:val="20"/>
          <w:szCs w:val="20"/>
          <w:lang w:val="en-US"/>
        </w:rPr>
        <w:t>i</w:t>
      </w:r>
      <w:proofErr w:type="spellEnd"/>
      <w:r w:rsidRPr="00417E07">
        <w:rPr>
          <w:sz w:val="20"/>
          <w:szCs w:val="20"/>
          <w:lang w:val="en-US"/>
        </w:rPr>
        <w:t>) because time is short and efficiency is imperative and ii) the support would be invaluable for the project, SAEPF and protected area system as a whole, an international advisor would be worthwhile.</w:t>
      </w:r>
    </w:p>
  </w:footnote>
  <w:footnote w:id="30">
    <w:p w14:paraId="4FC50F17" w14:textId="4B61D0A0" w:rsidR="00D36B5A" w:rsidRPr="00BF1B28" w:rsidRDefault="00D36B5A">
      <w:pPr>
        <w:pStyle w:val="FootnoteText"/>
        <w:rPr>
          <w:sz w:val="20"/>
          <w:szCs w:val="20"/>
          <w:lang w:val="en-US"/>
        </w:rPr>
      </w:pPr>
      <w:r w:rsidRPr="00BF1B28">
        <w:rPr>
          <w:rStyle w:val="FootnoteReference"/>
          <w:sz w:val="20"/>
          <w:szCs w:val="20"/>
        </w:rPr>
        <w:footnoteRef/>
      </w:r>
      <w:r w:rsidRPr="00BF1B28">
        <w:rPr>
          <w:sz w:val="20"/>
          <w:szCs w:val="20"/>
        </w:rPr>
        <w:t xml:space="preserve"> </w:t>
      </w:r>
      <w:r w:rsidRPr="00BF1B28">
        <w:rPr>
          <w:sz w:val="20"/>
          <w:szCs w:val="20"/>
          <w:lang w:val="en-US"/>
        </w:rPr>
        <w:t>For an outstanding example of best practices, see http://www.farmafrica.org/downloads/resources/Key%20Steps%20in%20Establishing%20Participatory%20Forest%20Management.pdf</w:t>
      </w:r>
    </w:p>
  </w:footnote>
  <w:footnote w:id="31">
    <w:p w14:paraId="1D962440" w14:textId="4C83669E" w:rsidR="00D36B5A" w:rsidRPr="009724AD" w:rsidRDefault="00D36B5A">
      <w:pPr>
        <w:pStyle w:val="FootnoteText"/>
        <w:rPr>
          <w:sz w:val="20"/>
          <w:szCs w:val="20"/>
          <w:lang w:val="en-US"/>
        </w:rPr>
      </w:pPr>
      <w:r w:rsidRPr="009724AD">
        <w:rPr>
          <w:rStyle w:val="FootnoteReference"/>
          <w:sz w:val="20"/>
          <w:szCs w:val="20"/>
        </w:rPr>
        <w:footnoteRef/>
      </w:r>
      <w:r w:rsidRPr="009724AD">
        <w:rPr>
          <w:sz w:val="20"/>
          <w:szCs w:val="20"/>
        </w:rPr>
        <w:t xml:space="preserve"> </w:t>
      </w:r>
      <w:r w:rsidRPr="009724AD">
        <w:rPr>
          <w:sz w:val="20"/>
          <w:szCs w:val="20"/>
          <w:lang w:val="en-US"/>
        </w:rPr>
        <w:t xml:space="preserve">Examples of poor pasture and rangeland management abound from across the world; pasture management with indigenous people has been tried since the early twentieth century (e.g., see the Kenya Land Commission reports, 1933) and in the majority of cases it has spectacularly failed and often led to catastrophic social, humanitarian and environmental consequences.  </w:t>
      </w:r>
    </w:p>
  </w:footnote>
  <w:footnote w:id="32">
    <w:p w14:paraId="0D007D2D" w14:textId="7DFBE005" w:rsidR="00D36B5A" w:rsidRPr="00F4576F" w:rsidRDefault="00D36B5A" w:rsidP="00BE69BC">
      <w:pPr>
        <w:pStyle w:val="FootnoteText"/>
        <w:rPr>
          <w:sz w:val="20"/>
          <w:szCs w:val="20"/>
          <w:lang w:val="en-US"/>
        </w:rPr>
      </w:pPr>
      <w:r w:rsidRPr="00F4576F">
        <w:rPr>
          <w:rStyle w:val="FootnoteReference"/>
          <w:sz w:val="20"/>
          <w:szCs w:val="20"/>
        </w:rPr>
        <w:footnoteRef/>
      </w:r>
      <w:r w:rsidRPr="00F4576F">
        <w:rPr>
          <w:sz w:val="20"/>
          <w:szCs w:val="20"/>
        </w:rPr>
        <w:t xml:space="preserve"> </w:t>
      </w:r>
      <w:r w:rsidRPr="00F4576F">
        <w:rPr>
          <w:sz w:val="20"/>
          <w:szCs w:val="20"/>
          <w:lang w:val="en-US"/>
        </w:rPr>
        <w:t xml:space="preserve">See, for example, </w:t>
      </w:r>
      <w:hyperlink r:id="rId2" w:history="1">
        <w:r w:rsidRPr="00F4576F">
          <w:rPr>
            <w:rStyle w:val="Hyperlink"/>
            <w:sz w:val="20"/>
            <w:szCs w:val="20"/>
            <w:lang w:val="en-US"/>
          </w:rPr>
          <w:t>http://www.tesfatours.com</w:t>
        </w:r>
      </w:hyperlink>
      <w:r w:rsidRPr="00F4576F">
        <w:rPr>
          <w:sz w:val="20"/>
          <w:szCs w:val="20"/>
          <w:lang w:val="en-US"/>
        </w:rPr>
        <w:t xml:space="preserve"> - as a model of how c</w:t>
      </w:r>
      <w:r>
        <w:rPr>
          <w:sz w:val="20"/>
          <w:szCs w:val="20"/>
          <w:lang w:val="en-US"/>
        </w:rPr>
        <w:t xml:space="preserve">ommunity tourism should be done; for another good – but different – model, see </w:t>
      </w:r>
      <w:hyperlink r:id="rId3" w:history="1">
        <w:r w:rsidRPr="00CF626B">
          <w:rPr>
            <w:rStyle w:val="Hyperlink"/>
            <w:sz w:val="20"/>
            <w:szCs w:val="20"/>
            <w:lang w:val="en-US"/>
          </w:rPr>
          <w:t>http://www.nrt-kenya.org/enterprises/</w:t>
        </w:r>
      </w:hyperlink>
    </w:p>
  </w:footnote>
  <w:footnote w:id="33">
    <w:p w14:paraId="05842AEF" w14:textId="6E5BDD81" w:rsidR="00D36B5A" w:rsidRPr="00D95BCC" w:rsidRDefault="00D36B5A">
      <w:pPr>
        <w:pStyle w:val="FootnoteText"/>
        <w:rPr>
          <w:sz w:val="20"/>
          <w:szCs w:val="20"/>
          <w:lang w:val="en-US"/>
        </w:rPr>
      </w:pPr>
      <w:r w:rsidRPr="00D95BCC">
        <w:rPr>
          <w:rStyle w:val="FootnoteReference"/>
          <w:sz w:val="20"/>
          <w:szCs w:val="20"/>
        </w:rPr>
        <w:footnoteRef/>
      </w:r>
      <w:r w:rsidRPr="00D95BCC">
        <w:rPr>
          <w:sz w:val="20"/>
          <w:szCs w:val="20"/>
        </w:rPr>
        <w:t xml:space="preserve"> </w:t>
      </w:r>
      <w:r w:rsidRPr="00D95BCC">
        <w:rPr>
          <w:sz w:val="20"/>
          <w:szCs w:val="20"/>
          <w:lang w:val="en-US"/>
        </w:rPr>
        <w:t>In such a mitigation hierarchy, there is no room for offsetting the impacts of tourism: it simply should not be causing damage such that it cannot be minimized and/or mitigated.</w:t>
      </w:r>
    </w:p>
  </w:footnote>
  <w:footnote w:id="34">
    <w:p w14:paraId="664B067A" w14:textId="3FAC0F18" w:rsidR="00D36B5A" w:rsidRPr="003148B3" w:rsidRDefault="00D36B5A" w:rsidP="003148B3">
      <w:pPr>
        <w:pStyle w:val="FootnoteText"/>
        <w:rPr>
          <w:sz w:val="20"/>
          <w:szCs w:val="20"/>
          <w:lang w:val="en-US"/>
        </w:rPr>
      </w:pPr>
      <w:r w:rsidRPr="003148B3">
        <w:rPr>
          <w:rStyle w:val="FootnoteReference"/>
          <w:sz w:val="20"/>
          <w:szCs w:val="20"/>
        </w:rPr>
        <w:footnoteRef/>
      </w:r>
      <w:r w:rsidRPr="003148B3">
        <w:rPr>
          <w:sz w:val="20"/>
          <w:szCs w:val="20"/>
        </w:rPr>
        <w:t xml:space="preserve"> </w:t>
      </w:r>
      <w:r w:rsidRPr="003148B3">
        <w:rPr>
          <w:b/>
          <w:sz w:val="20"/>
          <w:szCs w:val="20"/>
          <w:lang w:val="en-US"/>
        </w:rPr>
        <w:t>Comment on draft MTR report</w:t>
      </w:r>
      <w:r w:rsidRPr="003148B3">
        <w:rPr>
          <w:sz w:val="20"/>
          <w:szCs w:val="20"/>
          <w:lang w:val="en-US"/>
        </w:rPr>
        <w:t>: “</w:t>
      </w:r>
      <w:r w:rsidRPr="003148B3">
        <w:rPr>
          <w:i/>
          <w:sz w:val="20"/>
          <w:szCs w:val="20"/>
          <w:lang w:val="en-US"/>
        </w:rPr>
        <w:t>The establishment of wildlife corridors will require local government and then central government approvals, thus, it is probable that this aspect will not be complete by 30 September 2016</w:t>
      </w:r>
      <w:r w:rsidRPr="003148B3">
        <w:rPr>
          <w:sz w:val="20"/>
          <w:szCs w:val="20"/>
          <w:lang w:val="en-US"/>
        </w:rPr>
        <w:t xml:space="preserve">.”  </w:t>
      </w:r>
      <w:r w:rsidRPr="003148B3">
        <w:rPr>
          <w:b/>
          <w:sz w:val="20"/>
          <w:szCs w:val="20"/>
          <w:lang w:val="en-US"/>
        </w:rPr>
        <w:t>MTR response</w:t>
      </w:r>
      <w:r w:rsidRPr="003148B3">
        <w:rPr>
          <w:sz w:val="20"/>
          <w:szCs w:val="20"/>
          <w:lang w:val="en-US"/>
        </w:rPr>
        <w:t xml:space="preserve">: If all that remains is the </w:t>
      </w:r>
      <w:r>
        <w:rPr>
          <w:sz w:val="20"/>
          <w:szCs w:val="20"/>
          <w:lang w:val="en-US"/>
        </w:rPr>
        <w:t xml:space="preserve">legal process around the corridors but all the other triggers are hit then the project should indeed continue until the proposed EOP.  However, the idea of the triggers and the proposed closing of the project </w:t>
      </w:r>
      <w:proofErr w:type="gramStart"/>
      <w:r>
        <w:rPr>
          <w:sz w:val="20"/>
          <w:szCs w:val="20"/>
          <w:lang w:val="en-US"/>
        </w:rPr>
        <w:t>is</w:t>
      </w:r>
      <w:proofErr w:type="gramEnd"/>
      <w:r>
        <w:rPr>
          <w:sz w:val="20"/>
          <w:szCs w:val="20"/>
          <w:lang w:val="en-US"/>
        </w:rPr>
        <w:t xml:space="preserve"> to instill a sense of urgency to accomplish these things such that by the EOP they are well established and some level of sustainability is implemented.</w:t>
      </w:r>
    </w:p>
  </w:footnote>
  <w:footnote w:id="35">
    <w:p w14:paraId="2824F7D5" w14:textId="3B64A19D" w:rsidR="00D36B5A" w:rsidRPr="00534EE1" w:rsidRDefault="00D36B5A">
      <w:pPr>
        <w:pStyle w:val="FootnoteText"/>
        <w:rPr>
          <w:sz w:val="20"/>
          <w:szCs w:val="20"/>
          <w:lang w:val="en-US"/>
        </w:rPr>
      </w:pPr>
      <w:r w:rsidRPr="00534EE1">
        <w:rPr>
          <w:rStyle w:val="FootnoteReference"/>
          <w:sz w:val="20"/>
          <w:szCs w:val="20"/>
        </w:rPr>
        <w:footnoteRef/>
      </w:r>
      <w:r w:rsidRPr="00534EE1">
        <w:rPr>
          <w:sz w:val="20"/>
          <w:szCs w:val="20"/>
        </w:rPr>
        <w:t xml:space="preserve"> </w:t>
      </w:r>
      <w:r w:rsidRPr="00534EE1">
        <w:rPr>
          <w:sz w:val="20"/>
          <w:szCs w:val="20"/>
          <w:lang w:val="en-US"/>
        </w:rPr>
        <w:t>For example, For an outstanding example of best practices, see http://www.farmafrica.org/downloads/resources/Key%20Steps%20in%20Establishing%20Participatory%20Forest%20Management.pdf</w:t>
      </w:r>
    </w:p>
  </w:footnote>
  <w:footnote w:id="36">
    <w:p w14:paraId="2D446A6A" w14:textId="2D8E88D3" w:rsidR="00D36B5A" w:rsidRPr="00B258AB" w:rsidRDefault="00D36B5A">
      <w:pPr>
        <w:pStyle w:val="FootnoteText"/>
        <w:rPr>
          <w:sz w:val="20"/>
          <w:szCs w:val="20"/>
          <w:lang w:val="en-US"/>
        </w:rPr>
      </w:pPr>
      <w:r w:rsidRPr="00B258AB">
        <w:rPr>
          <w:rStyle w:val="FootnoteReference"/>
          <w:sz w:val="20"/>
          <w:szCs w:val="20"/>
        </w:rPr>
        <w:footnoteRef/>
      </w:r>
      <w:r w:rsidRPr="00B258AB">
        <w:rPr>
          <w:sz w:val="20"/>
          <w:szCs w:val="20"/>
        </w:rPr>
        <w:t xml:space="preserve"> </w:t>
      </w:r>
      <w:r w:rsidRPr="00B258AB">
        <w:rPr>
          <w:sz w:val="20"/>
          <w:szCs w:val="20"/>
          <w:lang w:val="en-US"/>
        </w:rPr>
        <w:t xml:space="preserve">For example, </w:t>
      </w:r>
      <w:hyperlink r:id="rId4" w:history="1">
        <w:r w:rsidRPr="00B258AB">
          <w:rPr>
            <w:rStyle w:val="Hyperlink"/>
            <w:sz w:val="20"/>
            <w:szCs w:val="20"/>
            <w:lang w:val="en-US"/>
          </w:rPr>
          <w:t>http://www.nrt-kenya.org/enterprises/</w:t>
        </w:r>
      </w:hyperlink>
      <w:r w:rsidRPr="00B258AB">
        <w:rPr>
          <w:sz w:val="20"/>
          <w:szCs w:val="20"/>
          <w:lang w:val="en-US"/>
        </w:rPr>
        <w:t xml:space="preserve"> and http://www.tesfatours.com</w:t>
      </w:r>
    </w:p>
  </w:footnote>
  <w:footnote w:id="37">
    <w:p w14:paraId="1214517C" w14:textId="05C3CD36" w:rsidR="00D36B5A" w:rsidRPr="00127A55" w:rsidRDefault="00D36B5A" w:rsidP="00C3622B">
      <w:pPr>
        <w:rPr>
          <w:lang w:val="en-US"/>
        </w:rPr>
      </w:pPr>
      <w:r w:rsidRPr="00C3622B">
        <w:rPr>
          <w:rStyle w:val="FootnoteReference"/>
          <w:sz w:val="20"/>
          <w:szCs w:val="20"/>
        </w:rPr>
        <w:footnoteRef/>
      </w:r>
      <w:r w:rsidRPr="00C3622B">
        <w:rPr>
          <w:sz w:val="20"/>
          <w:szCs w:val="20"/>
        </w:rPr>
        <w:t xml:space="preserve"> </w:t>
      </w:r>
      <w:r>
        <w:rPr>
          <w:b/>
          <w:sz w:val="20"/>
          <w:szCs w:val="20"/>
        </w:rPr>
        <w:t xml:space="preserve">Comment provided by PIU on draft </w:t>
      </w:r>
      <w:r w:rsidRPr="00C3622B">
        <w:rPr>
          <w:b/>
          <w:sz w:val="20"/>
          <w:szCs w:val="20"/>
        </w:rPr>
        <w:t>MTR</w:t>
      </w:r>
      <w:r>
        <w:rPr>
          <w:sz w:val="20"/>
          <w:szCs w:val="20"/>
        </w:rPr>
        <w:t>: “</w:t>
      </w:r>
      <w:r w:rsidRPr="00C3622B">
        <w:rPr>
          <w:i/>
          <w:sz w:val="20"/>
          <w:szCs w:val="20"/>
          <w:lang w:val="en-US"/>
        </w:rPr>
        <w:t xml:space="preserve">It is difficult to establish micro-credit schemes in each </w:t>
      </w:r>
      <w:proofErr w:type="spellStart"/>
      <w:r w:rsidRPr="00C3622B">
        <w:rPr>
          <w:i/>
          <w:sz w:val="20"/>
          <w:szCs w:val="20"/>
          <w:lang w:val="en-US"/>
        </w:rPr>
        <w:t>aiyl</w:t>
      </w:r>
      <w:proofErr w:type="spellEnd"/>
      <w:r w:rsidRPr="00C3622B">
        <w:rPr>
          <w:i/>
          <w:sz w:val="20"/>
          <w:szCs w:val="20"/>
          <w:lang w:val="en-US"/>
        </w:rPr>
        <w:t xml:space="preserve"> </w:t>
      </w:r>
      <w:proofErr w:type="spellStart"/>
      <w:r w:rsidRPr="00C3622B">
        <w:rPr>
          <w:i/>
          <w:sz w:val="20"/>
          <w:szCs w:val="20"/>
          <w:lang w:val="en-US"/>
        </w:rPr>
        <w:t>okmotu</w:t>
      </w:r>
      <w:proofErr w:type="spellEnd"/>
      <w:r w:rsidRPr="00C3622B">
        <w:rPr>
          <w:i/>
          <w:sz w:val="20"/>
          <w:szCs w:val="20"/>
          <w:lang w:val="en-US"/>
        </w:rPr>
        <w:t>.  There was discussion how to use the funding with local decisi</w:t>
      </w:r>
      <w:r>
        <w:rPr>
          <w:i/>
          <w:sz w:val="20"/>
          <w:szCs w:val="20"/>
          <w:lang w:val="en-US"/>
        </w:rPr>
        <w:t xml:space="preserve">on makers (deputies) </w:t>
      </w:r>
      <w:proofErr w:type="spellStart"/>
      <w:r>
        <w:rPr>
          <w:i/>
          <w:sz w:val="20"/>
          <w:szCs w:val="20"/>
          <w:lang w:val="en-US"/>
        </w:rPr>
        <w:t>aiyl</w:t>
      </w:r>
      <w:proofErr w:type="spellEnd"/>
      <w:r>
        <w:rPr>
          <w:i/>
          <w:sz w:val="20"/>
          <w:szCs w:val="20"/>
          <w:lang w:val="en-US"/>
        </w:rPr>
        <w:t xml:space="preserve"> </w:t>
      </w:r>
      <w:proofErr w:type="spellStart"/>
      <w:r>
        <w:rPr>
          <w:i/>
          <w:sz w:val="20"/>
          <w:szCs w:val="20"/>
          <w:lang w:val="en-US"/>
        </w:rPr>
        <w:t>okmotu</w:t>
      </w:r>
      <w:proofErr w:type="spellEnd"/>
      <w:r w:rsidRPr="00C3622B">
        <w:rPr>
          <w:i/>
          <w:sz w:val="20"/>
          <w:szCs w:val="20"/>
          <w:lang w:val="en-US"/>
        </w:rPr>
        <w:t xml:space="preserve"> and rayon level in 2014.  Decision makers in both levels expressed that the est</w:t>
      </w:r>
      <w:r>
        <w:rPr>
          <w:i/>
          <w:sz w:val="20"/>
          <w:szCs w:val="20"/>
          <w:lang w:val="en-US"/>
        </w:rPr>
        <w:t xml:space="preserve">ablishing micro credit schemes </w:t>
      </w:r>
      <w:r w:rsidRPr="00C3622B">
        <w:rPr>
          <w:i/>
          <w:sz w:val="20"/>
          <w:szCs w:val="20"/>
          <w:lang w:val="en-US"/>
        </w:rPr>
        <w:t xml:space="preserve">is difficult to collect </w:t>
      </w:r>
      <w:proofErr w:type="gramStart"/>
      <w:r w:rsidRPr="00C3622B">
        <w:rPr>
          <w:i/>
          <w:sz w:val="20"/>
          <w:szCs w:val="20"/>
          <w:lang w:val="en-US"/>
        </w:rPr>
        <w:t>loans</w:t>
      </w:r>
      <w:proofErr w:type="gramEnd"/>
      <w:r w:rsidRPr="00C3622B">
        <w:rPr>
          <w:i/>
          <w:sz w:val="20"/>
          <w:szCs w:val="20"/>
          <w:lang w:val="en-US"/>
        </w:rPr>
        <w:t xml:space="preserve"> back. In one hand in rural areas poverty rate is higher. They expressed this kind of scheme for example for the project fund buy high quality crops seeds after harvesting the communities give back the same amount, other communities will use seeds for</w:t>
      </w:r>
      <w:r>
        <w:rPr>
          <w:i/>
          <w:sz w:val="20"/>
          <w:szCs w:val="20"/>
          <w:lang w:val="en-US"/>
        </w:rPr>
        <w:t xml:space="preserve"> another season.  On other hand,</w:t>
      </w:r>
      <w:r w:rsidRPr="00C3622B">
        <w:rPr>
          <w:i/>
          <w:sz w:val="20"/>
          <w:szCs w:val="20"/>
          <w:lang w:val="en-US"/>
        </w:rPr>
        <w:t xml:space="preserve"> 150 000 USD not much funding to </w:t>
      </w:r>
      <w:proofErr w:type="gramStart"/>
      <w:r w:rsidRPr="00C3622B">
        <w:rPr>
          <w:i/>
          <w:sz w:val="20"/>
          <w:szCs w:val="20"/>
          <w:lang w:val="en-US"/>
        </w:rPr>
        <w:t>established  micro</w:t>
      </w:r>
      <w:proofErr w:type="gramEnd"/>
      <w:r w:rsidRPr="00C3622B">
        <w:rPr>
          <w:i/>
          <w:sz w:val="20"/>
          <w:szCs w:val="20"/>
          <w:lang w:val="en-US"/>
        </w:rPr>
        <w:t xml:space="preserve">-credit schemes funding to give salaries for staff and other things to maintain the schemes. There is </w:t>
      </w:r>
      <w:proofErr w:type="spellStart"/>
      <w:r w:rsidRPr="00C3622B">
        <w:rPr>
          <w:i/>
          <w:sz w:val="20"/>
          <w:szCs w:val="20"/>
          <w:lang w:val="en-US"/>
        </w:rPr>
        <w:t>Bai</w:t>
      </w:r>
      <w:proofErr w:type="spellEnd"/>
      <w:r w:rsidRPr="00C3622B">
        <w:rPr>
          <w:i/>
          <w:sz w:val="20"/>
          <w:szCs w:val="20"/>
          <w:lang w:val="en-US"/>
        </w:rPr>
        <w:t xml:space="preserve"> </w:t>
      </w:r>
      <w:proofErr w:type="spellStart"/>
      <w:r w:rsidRPr="00C3622B">
        <w:rPr>
          <w:i/>
          <w:sz w:val="20"/>
          <w:szCs w:val="20"/>
          <w:lang w:val="en-US"/>
        </w:rPr>
        <w:t>Tushum</w:t>
      </w:r>
      <w:proofErr w:type="spellEnd"/>
      <w:r w:rsidRPr="00C3622B">
        <w:rPr>
          <w:i/>
          <w:sz w:val="20"/>
          <w:szCs w:val="20"/>
          <w:lang w:val="en-US"/>
        </w:rPr>
        <w:t xml:space="preserve"> bank (</w:t>
      </w:r>
      <w:hyperlink r:id="rId5" w:history="1">
        <w:r w:rsidRPr="00C3622B">
          <w:rPr>
            <w:rStyle w:val="Hyperlink"/>
            <w:i/>
            <w:sz w:val="20"/>
            <w:szCs w:val="20"/>
            <w:lang w:val="en-US"/>
          </w:rPr>
          <w:t>http://www.baitushum.kg/en/</w:t>
        </w:r>
      </w:hyperlink>
      <w:r w:rsidRPr="00C3622B">
        <w:rPr>
          <w:i/>
          <w:sz w:val="20"/>
          <w:szCs w:val="20"/>
          <w:lang w:val="en-US"/>
        </w:rPr>
        <w:t xml:space="preserve">) in the </w:t>
      </w:r>
      <w:proofErr w:type="spellStart"/>
      <w:r w:rsidRPr="00C3622B">
        <w:rPr>
          <w:i/>
          <w:sz w:val="20"/>
          <w:szCs w:val="20"/>
          <w:lang w:val="en-US"/>
        </w:rPr>
        <w:t>Ak-Suu</w:t>
      </w:r>
      <w:proofErr w:type="spellEnd"/>
      <w:r w:rsidRPr="00C3622B">
        <w:rPr>
          <w:i/>
          <w:sz w:val="20"/>
          <w:szCs w:val="20"/>
          <w:lang w:val="en-US"/>
        </w:rPr>
        <w:t xml:space="preserve">, I discussed with local bank manager the establishing micro-credit schemes in this bank, they suggested different options they can give the Project money as a grant to local communities but they will received 10% project funding for their service. They also can add their funding but interest rate very high 33% in local currency and 24% USD in year. For </w:t>
      </w:r>
      <w:r w:rsidRPr="00D46A3B">
        <w:rPr>
          <w:i/>
          <w:sz w:val="20"/>
          <w:szCs w:val="20"/>
          <w:lang w:val="en-US"/>
        </w:rPr>
        <w:t xml:space="preserve">beginners are very risky especially with agriculture crop marketing.  And another things </w:t>
      </w:r>
      <w:proofErr w:type="gramStart"/>
      <w:r w:rsidRPr="00D46A3B">
        <w:rPr>
          <w:i/>
          <w:sz w:val="20"/>
          <w:szCs w:val="20"/>
          <w:lang w:val="en-US"/>
        </w:rPr>
        <w:t>is</w:t>
      </w:r>
      <w:proofErr w:type="gramEnd"/>
      <w:r w:rsidRPr="00D46A3B">
        <w:rPr>
          <w:i/>
          <w:sz w:val="20"/>
          <w:szCs w:val="20"/>
          <w:lang w:val="en-US"/>
        </w:rPr>
        <w:t xml:space="preserve"> after the project accomplishing the funding is to be left in the bank for its consideration not given back to communities.  Local decision makers suggested distribute funding as a micro-capital grant with co-funding from grant receivers but again not much around 10-15%.   According to </w:t>
      </w:r>
      <w:proofErr w:type="spellStart"/>
      <w:r w:rsidRPr="00D46A3B">
        <w:rPr>
          <w:i/>
          <w:sz w:val="20"/>
          <w:szCs w:val="20"/>
          <w:lang w:val="en-US"/>
        </w:rPr>
        <w:t>Prodoc</w:t>
      </w:r>
      <w:proofErr w:type="spellEnd"/>
      <w:r w:rsidRPr="00D46A3B">
        <w:rPr>
          <w:i/>
          <w:sz w:val="20"/>
          <w:szCs w:val="20"/>
          <w:lang w:val="en-US"/>
        </w:rPr>
        <w:t xml:space="preserve"> there is one local Development Fund in </w:t>
      </w:r>
      <w:proofErr w:type="spellStart"/>
      <w:r w:rsidRPr="00D46A3B">
        <w:rPr>
          <w:i/>
          <w:sz w:val="20"/>
          <w:szCs w:val="20"/>
          <w:lang w:val="en-US"/>
        </w:rPr>
        <w:t>Toguz</w:t>
      </w:r>
      <w:proofErr w:type="spellEnd"/>
      <w:r w:rsidRPr="00D46A3B">
        <w:rPr>
          <w:i/>
          <w:sz w:val="20"/>
          <w:szCs w:val="20"/>
          <w:lang w:val="en-US"/>
        </w:rPr>
        <w:t xml:space="preserve"> </w:t>
      </w:r>
      <w:proofErr w:type="spellStart"/>
      <w:r w:rsidRPr="00D46A3B">
        <w:rPr>
          <w:i/>
          <w:sz w:val="20"/>
          <w:szCs w:val="20"/>
          <w:lang w:val="en-US"/>
        </w:rPr>
        <w:t>Bulak</w:t>
      </w:r>
      <w:proofErr w:type="spellEnd"/>
      <w:r w:rsidRPr="00D46A3B">
        <w:rPr>
          <w:i/>
          <w:sz w:val="20"/>
          <w:szCs w:val="20"/>
          <w:lang w:val="en-US"/>
        </w:rPr>
        <w:t xml:space="preserve"> village </w:t>
      </w:r>
      <w:proofErr w:type="spellStart"/>
      <w:r w:rsidRPr="00D46A3B">
        <w:rPr>
          <w:i/>
          <w:sz w:val="20"/>
          <w:szCs w:val="20"/>
          <w:lang w:val="en-US"/>
        </w:rPr>
        <w:t>Tup</w:t>
      </w:r>
      <w:proofErr w:type="spellEnd"/>
      <w:r w:rsidRPr="00D46A3B">
        <w:rPr>
          <w:i/>
          <w:sz w:val="20"/>
          <w:szCs w:val="20"/>
          <w:lang w:val="en-US"/>
        </w:rPr>
        <w:t xml:space="preserve"> </w:t>
      </w:r>
      <w:proofErr w:type="spellStart"/>
      <w:r w:rsidRPr="00D46A3B">
        <w:rPr>
          <w:i/>
          <w:sz w:val="20"/>
          <w:szCs w:val="20"/>
          <w:lang w:val="en-US"/>
        </w:rPr>
        <w:t>raion</w:t>
      </w:r>
      <w:proofErr w:type="spellEnd"/>
      <w:r w:rsidRPr="00D46A3B">
        <w:rPr>
          <w:i/>
          <w:sz w:val="20"/>
          <w:szCs w:val="20"/>
          <w:lang w:val="en-US"/>
        </w:rPr>
        <w:t>, director of this Fund expressed his willing to cooperate with the project, but later I did not discuss more detail about there conditions of cooperation I was waiting the official establishing of the Park</w:t>
      </w:r>
      <w:r w:rsidRPr="00D46A3B">
        <w:rPr>
          <w:sz w:val="20"/>
          <w:szCs w:val="20"/>
          <w:lang w:val="en-US"/>
        </w:rPr>
        <w:t>.”</w:t>
      </w:r>
      <w:r>
        <w:rPr>
          <w:sz w:val="20"/>
          <w:szCs w:val="20"/>
          <w:lang w:val="en-US"/>
        </w:rPr>
        <w:t xml:space="preserve">  </w:t>
      </w:r>
      <w:r w:rsidRPr="00694112">
        <w:rPr>
          <w:b/>
          <w:sz w:val="20"/>
          <w:szCs w:val="20"/>
          <w:lang w:val="en-US"/>
        </w:rPr>
        <w:t>MTR response</w:t>
      </w:r>
      <w:r>
        <w:rPr>
          <w:sz w:val="20"/>
          <w:szCs w:val="20"/>
          <w:lang w:val="en-US"/>
        </w:rPr>
        <w:t>: these are indeed challenges of micro-credit schemes, but the to-be-recruited CTA for livelihoods should deal with these things; this should be in his/her TOR.</w:t>
      </w:r>
    </w:p>
  </w:footnote>
  <w:footnote w:id="38">
    <w:p w14:paraId="4BC2838A" w14:textId="3C557002" w:rsidR="00D36B5A" w:rsidRPr="00D8753E" w:rsidRDefault="00D36B5A">
      <w:pPr>
        <w:pStyle w:val="FootnoteText"/>
        <w:rPr>
          <w:sz w:val="20"/>
          <w:szCs w:val="20"/>
          <w:lang w:val="en-US"/>
        </w:rPr>
      </w:pPr>
      <w:r w:rsidRPr="00D8753E">
        <w:rPr>
          <w:rStyle w:val="FootnoteReference"/>
          <w:sz w:val="20"/>
          <w:szCs w:val="20"/>
        </w:rPr>
        <w:footnoteRef/>
      </w:r>
      <w:r w:rsidRPr="00D8753E">
        <w:rPr>
          <w:sz w:val="20"/>
          <w:szCs w:val="20"/>
        </w:rPr>
        <w:t xml:space="preserve"> See </w:t>
      </w:r>
      <w:hyperlink r:id="rId6" w:history="1">
        <w:r w:rsidRPr="00D8753E">
          <w:rPr>
            <w:rStyle w:val="Hyperlink"/>
            <w:sz w:val="20"/>
            <w:szCs w:val="20"/>
          </w:rPr>
          <w:t>http://www.smartconservationsoftware.org</w:t>
        </w:r>
      </w:hyperlink>
      <w:r w:rsidRPr="00D8753E">
        <w:rPr>
          <w:sz w:val="20"/>
          <w:szCs w:val="20"/>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36B5A" w:rsidRPr="00DB46BF" w14:paraId="5689DA02" w14:textId="77777777" w:rsidTr="00DB46BF">
      <w:tc>
        <w:tcPr>
          <w:tcW w:w="8522" w:type="dxa"/>
        </w:tcPr>
        <w:p w14:paraId="62FE72E0" w14:textId="7B35F3F5" w:rsidR="00D36B5A" w:rsidRPr="00DB46BF" w:rsidRDefault="00D36B5A" w:rsidP="003E4C78">
          <w:pPr>
            <w:pStyle w:val="Header"/>
            <w:jc w:val="center"/>
            <w:rPr>
              <w:smallCaps/>
              <w:sz w:val="20"/>
              <w:szCs w:val="20"/>
            </w:rPr>
          </w:pPr>
          <w:r>
            <w:rPr>
              <w:smallCaps/>
              <w:sz w:val="20"/>
              <w:szCs w:val="20"/>
            </w:rPr>
            <w:t xml:space="preserve">Kyrgyzstan </w:t>
          </w:r>
          <w:r w:rsidRPr="00DB46BF">
            <w:rPr>
              <w:smallCaps/>
              <w:sz w:val="20"/>
              <w:szCs w:val="20"/>
            </w:rPr>
            <w:t xml:space="preserve">UNDP/GEF </w:t>
          </w:r>
          <w:r>
            <w:rPr>
              <w:smallCaps/>
              <w:sz w:val="20"/>
              <w:szCs w:val="20"/>
            </w:rPr>
            <w:t>KTNP Snow Leopard Project - MTR</w:t>
          </w:r>
        </w:p>
      </w:tc>
    </w:tr>
  </w:tbl>
  <w:p w14:paraId="017D6861" w14:textId="77777777" w:rsidR="00D36B5A" w:rsidRDefault="00D36B5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821"/>
    <w:multiLevelType w:val="multilevel"/>
    <w:tmpl w:val="DA207548"/>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6836D1"/>
    <w:multiLevelType w:val="hybridMultilevel"/>
    <w:tmpl w:val="70E6817E"/>
    <w:lvl w:ilvl="0" w:tplc="04090001">
      <w:start w:val="1"/>
      <w:numFmt w:val="bullet"/>
      <w:lvlText w:val=""/>
      <w:lvlJc w:val="left"/>
      <w:pPr>
        <w:ind w:left="360" w:hanging="360"/>
      </w:pPr>
      <w:rPr>
        <w:rFonts w:ascii="Symbol" w:hAnsi="Symbol" w:hint="default"/>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nsid w:val="059F5E6D"/>
    <w:multiLevelType w:val="hybridMultilevel"/>
    <w:tmpl w:val="57303D78"/>
    <w:lvl w:ilvl="0" w:tplc="6362282A">
      <w:numFmt w:val="bullet"/>
      <w:lvlText w:val="-"/>
      <w:lvlJc w:val="left"/>
      <w:pPr>
        <w:ind w:left="360" w:hanging="360"/>
      </w:pPr>
      <w:rPr>
        <w:rFonts w:ascii="Palatino Linotype" w:eastAsiaTheme="minorEastAsia" w:hAnsi="Palatino Linotype"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3B06B9"/>
    <w:multiLevelType w:val="hybridMultilevel"/>
    <w:tmpl w:val="19147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992E45"/>
    <w:multiLevelType w:val="multilevel"/>
    <w:tmpl w:val="DA207548"/>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D2A2654"/>
    <w:multiLevelType w:val="hybridMultilevel"/>
    <w:tmpl w:val="35067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B3083D"/>
    <w:multiLevelType w:val="hybridMultilevel"/>
    <w:tmpl w:val="9FC25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11143C"/>
    <w:multiLevelType w:val="hybridMultilevel"/>
    <w:tmpl w:val="F82C4362"/>
    <w:lvl w:ilvl="0" w:tplc="04090001">
      <w:start w:val="1"/>
      <w:numFmt w:val="bullet"/>
      <w:lvlText w:val=""/>
      <w:lvlJc w:val="left"/>
      <w:pPr>
        <w:ind w:left="360" w:hanging="360"/>
      </w:pPr>
      <w:rPr>
        <w:rFonts w:ascii="Symbol" w:hAnsi="Symbol" w:hint="default"/>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9">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B01092"/>
    <w:multiLevelType w:val="hybridMultilevel"/>
    <w:tmpl w:val="D78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360"/>
        </w:tabs>
        <w:ind w:left="36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3">
    <w:nsid w:val="21ED3117"/>
    <w:multiLevelType w:val="hybridMultilevel"/>
    <w:tmpl w:val="DCEA9E7E"/>
    <w:lvl w:ilvl="0" w:tplc="F9281274">
      <w:start w:val="1"/>
      <w:numFmt w:val="bullet"/>
      <w:lvlText w:val=""/>
      <w:lvlJc w:val="left"/>
      <w:pPr>
        <w:ind w:left="906" w:hanging="480"/>
      </w:pPr>
      <w:rPr>
        <w:rFonts w:ascii="Symbol" w:hAnsi="Symbol" w:hint="default"/>
        <w:color w:val="auto"/>
        <w:sz w:val="24"/>
        <w:u w:val="none"/>
      </w:rPr>
    </w:lvl>
    <w:lvl w:ilvl="1" w:tplc="0409000B" w:tentative="1">
      <w:start w:val="1"/>
      <w:numFmt w:val="bullet"/>
      <w:lvlText w:val=""/>
      <w:lvlJc w:val="left"/>
      <w:pPr>
        <w:ind w:left="1386" w:hanging="480"/>
      </w:pPr>
      <w:rPr>
        <w:rFonts w:ascii="Wingdings" w:hAnsi="Wingdings" w:hint="default"/>
      </w:rPr>
    </w:lvl>
    <w:lvl w:ilvl="2" w:tplc="0409000D"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B" w:tentative="1">
      <w:start w:val="1"/>
      <w:numFmt w:val="bullet"/>
      <w:lvlText w:val=""/>
      <w:lvlJc w:val="left"/>
      <w:pPr>
        <w:ind w:left="2826" w:hanging="480"/>
      </w:pPr>
      <w:rPr>
        <w:rFonts w:ascii="Wingdings" w:hAnsi="Wingdings" w:hint="default"/>
      </w:rPr>
    </w:lvl>
    <w:lvl w:ilvl="5" w:tplc="0409000D"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B" w:tentative="1">
      <w:start w:val="1"/>
      <w:numFmt w:val="bullet"/>
      <w:lvlText w:val=""/>
      <w:lvlJc w:val="left"/>
      <w:pPr>
        <w:ind w:left="4266" w:hanging="480"/>
      </w:pPr>
      <w:rPr>
        <w:rFonts w:ascii="Wingdings" w:hAnsi="Wingdings" w:hint="default"/>
      </w:rPr>
    </w:lvl>
    <w:lvl w:ilvl="8" w:tplc="0409000D" w:tentative="1">
      <w:start w:val="1"/>
      <w:numFmt w:val="bullet"/>
      <w:lvlText w:val=""/>
      <w:lvlJc w:val="left"/>
      <w:pPr>
        <w:ind w:left="4746" w:hanging="480"/>
      </w:pPr>
      <w:rPr>
        <w:rFonts w:ascii="Wingdings" w:hAnsi="Wingdings" w:hint="default"/>
      </w:rPr>
    </w:lvl>
  </w:abstractNum>
  <w:abstractNum w:abstractNumId="14">
    <w:nsid w:val="257F27B5"/>
    <w:multiLevelType w:val="hybridMultilevel"/>
    <w:tmpl w:val="E926DB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7E1CA5"/>
    <w:multiLevelType w:val="hybridMultilevel"/>
    <w:tmpl w:val="190AE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B306C5"/>
    <w:multiLevelType w:val="hybridMultilevel"/>
    <w:tmpl w:val="E11EF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BD07E4A"/>
    <w:multiLevelType w:val="hybridMultilevel"/>
    <w:tmpl w:val="6AF48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CB4261B"/>
    <w:multiLevelType w:val="hybridMultilevel"/>
    <w:tmpl w:val="2AB0ED9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97228C"/>
    <w:multiLevelType w:val="hybridMultilevel"/>
    <w:tmpl w:val="0D223A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1E548B"/>
    <w:multiLevelType w:val="hybridMultilevel"/>
    <w:tmpl w:val="5CD49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DA934B9"/>
    <w:multiLevelType w:val="hybridMultilevel"/>
    <w:tmpl w:val="B5C4AA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AE20EA"/>
    <w:multiLevelType w:val="hybridMultilevel"/>
    <w:tmpl w:val="F7DC6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1620022"/>
    <w:multiLevelType w:val="hybridMultilevel"/>
    <w:tmpl w:val="DA207548"/>
    <w:lvl w:ilvl="0" w:tplc="000F0409">
      <w:start w:val="1"/>
      <w:numFmt w:val="decimal"/>
      <w:lvlText w:val="%1."/>
      <w:lvlJc w:val="left"/>
      <w:pPr>
        <w:tabs>
          <w:tab w:val="num" w:pos="360"/>
        </w:tabs>
        <w:ind w:left="360" w:hanging="360"/>
      </w:pPr>
    </w:lvl>
    <w:lvl w:ilvl="1" w:tplc="0409000F">
      <w:start w:val="1"/>
      <w:numFmt w:val="decimal"/>
      <w:lvlText w:val="%2."/>
      <w:lvlJc w:val="left"/>
      <w:pPr>
        <w:ind w:left="1080" w:hanging="360"/>
      </w:pPr>
      <w:rPr>
        <w:rFonts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6">
    <w:nsid w:val="42144488"/>
    <w:multiLevelType w:val="multilevel"/>
    <w:tmpl w:val="DA207548"/>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610A91"/>
    <w:multiLevelType w:val="hybridMultilevel"/>
    <w:tmpl w:val="2C52A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70E2290"/>
    <w:multiLevelType w:val="hybridMultilevel"/>
    <w:tmpl w:val="409AC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E00289C"/>
    <w:multiLevelType w:val="hybridMultilevel"/>
    <w:tmpl w:val="3A203B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12567D"/>
    <w:multiLevelType w:val="hybridMultilevel"/>
    <w:tmpl w:val="6706D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1965F3"/>
    <w:multiLevelType w:val="hybridMultilevel"/>
    <w:tmpl w:val="AEC2CC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9D3FBD"/>
    <w:multiLevelType w:val="multilevel"/>
    <w:tmpl w:val="DA207548"/>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24658AD"/>
    <w:multiLevelType w:val="multilevel"/>
    <w:tmpl w:val="DA207548"/>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6264677B"/>
    <w:multiLevelType w:val="multilevel"/>
    <w:tmpl w:val="DA207548"/>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635325E2"/>
    <w:multiLevelType w:val="hybridMultilevel"/>
    <w:tmpl w:val="068A3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36735F9"/>
    <w:multiLevelType w:val="multilevel"/>
    <w:tmpl w:val="DA207548"/>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E8656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nsid w:val="780A6286"/>
    <w:multiLevelType w:val="hybridMultilevel"/>
    <w:tmpl w:val="59628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A2D6946"/>
    <w:multiLevelType w:val="hybridMultilevel"/>
    <w:tmpl w:val="DBE6BC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5"/>
  </w:num>
  <w:num w:numId="3">
    <w:abstractNumId w:val="1"/>
  </w:num>
  <w:num w:numId="4">
    <w:abstractNumId w:val="8"/>
  </w:num>
  <w:num w:numId="5">
    <w:abstractNumId w:val="21"/>
  </w:num>
  <w:num w:numId="6">
    <w:abstractNumId w:val="42"/>
  </w:num>
  <w:num w:numId="7">
    <w:abstractNumId w:val="30"/>
  </w:num>
  <w:num w:numId="8">
    <w:abstractNumId w:val="27"/>
  </w:num>
  <w:num w:numId="9">
    <w:abstractNumId w:val="3"/>
  </w:num>
  <w:num w:numId="10">
    <w:abstractNumId w:val="20"/>
  </w:num>
  <w:num w:numId="11">
    <w:abstractNumId w:val="11"/>
  </w:num>
  <w:num w:numId="12">
    <w:abstractNumId w:val="33"/>
  </w:num>
  <w:num w:numId="13">
    <w:abstractNumId w:val="12"/>
  </w:num>
  <w:num w:numId="14">
    <w:abstractNumId w:val="22"/>
  </w:num>
  <w:num w:numId="15">
    <w:abstractNumId w:val="9"/>
  </w:num>
  <w:num w:numId="16">
    <w:abstractNumId w:val="40"/>
  </w:num>
  <w:num w:numId="17">
    <w:abstractNumId w:val="2"/>
  </w:num>
  <w:num w:numId="18">
    <w:abstractNumId w:val="17"/>
  </w:num>
  <w:num w:numId="19">
    <w:abstractNumId w:val="4"/>
  </w:num>
  <w:num w:numId="20">
    <w:abstractNumId w:val="7"/>
  </w:num>
  <w:num w:numId="21">
    <w:abstractNumId w:val="10"/>
  </w:num>
  <w:num w:numId="22">
    <w:abstractNumId w:val="37"/>
  </w:num>
  <w:num w:numId="23">
    <w:abstractNumId w:val="14"/>
  </w:num>
  <w:num w:numId="24">
    <w:abstractNumId w:val="39"/>
  </w:num>
  <w:num w:numId="25">
    <w:abstractNumId w:val="28"/>
  </w:num>
  <w:num w:numId="26">
    <w:abstractNumId w:val="36"/>
  </w:num>
  <w:num w:numId="27">
    <w:abstractNumId w:val="18"/>
  </w:num>
  <w:num w:numId="28">
    <w:abstractNumId w:val="35"/>
  </w:num>
  <w:num w:numId="29">
    <w:abstractNumId w:val="43"/>
  </w:num>
  <w:num w:numId="30">
    <w:abstractNumId w:val="26"/>
  </w:num>
  <w:num w:numId="31">
    <w:abstractNumId w:val="31"/>
  </w:num>
  <w:num w:numId="32">
    <w:abstractNumId w:val="5"/>
  </w:num>
  <w:num w:numId="33">
    <w:abstractNumId w:val="34"/>
  </w:num>
  <w:num w:numId="34">
    <w:abstractNumId w:val="0"/>
  </w:num>
  <w:num w:numId="35">
    <w:abstractNumId w:val="19"/>
  </w:num>
  <w:num w:numId="36">
    <w:abstractNumId w:val="13"/>
  </w:num>
  <w:num w:numId="37">
    <w:abstractNumId w:val="32"/>
  </w:num>
  <w:num w:numId="38">
    <w:abstractNumId w:val="29"/>
  </w:num>
  <w:num w:numId="39">
    <w:abstractNumId w:val="38"/>
  </w:num>
  <w:num w:numId="40">
    <w:abstractNumId w:val="24"/>
  </w:num>
  <w:num w:numId="41">
    <w:abstractNumId w:val="23"/>
  </w:num>
  <w:num w:numId="42">
    <w:abstractNumId w:val="6"/>
  </w:num>
  <w:num w:numId="43">
    <w:abstractNumId w:val="16"/>
  </w:num>
  <w:num w:numId="4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A2"/>
    <w:rsid w:val="000004BD"/>
    <w:rsid w:val="00000F3A"/>
    <w:rsid w:val="00004A57"/>
    <w:rsid w:val="000074AE"/>
    <w:rsid w:val="00012678"/>
    <w:rsid w:val="000131D8"/>
    <w:rsid w:val="00015604"/>
    <w:rsid w:val="00015945"/>
    <w:rsid w:val="00015B0C"/>
    <w:rsid w:val="00015BA1"/>
    <w:rsid w:val="00015E0B"/>
    <w:rsid w:val="00016F6B"/>
    <w:rsid w:val="00017BB2"/>
    <w:rsid w:val="00020091"/>
    <w:rsid w:val="00020AED"/>
    <w:rsid w:val="00021D7D"/>
    <w:rsid w:val="0002222D"/>
    <w:rsid w:val="00022891"/>
    <w:rsid w:val="00022D85"/>
    <w:rsid w:val="00022E2A"/>
    <w:rsid w:val="000233D7"/>
    <w:rsid w:val="00023C1D"/>
    <w:rsid w:val="00023FDF"/>
    <w:rsid w:val="000240AE"/>
    <w:rsid w:val="0002435C"/>
    <w:rsid w:val="00024F34"/>
    <w:rsid w:val="000268D0"/>
    <w:rsid w:val="00027594"/>
    <w:rsid w:val="00027CB8"/>
    <w:rsid w:val="00030AB9"/>
    <w:rsid w:val="00031924"/>
    <w:rsid w:val="00032969"/>
    <w:rsid w:val="00032A7C"/>
    <w:rsid w:val="00035212"/>
    <w:rsid w:val="00035946"/>
    <w:rsid w:val="00036185"/>
    <w:rsid w:val="0003624C"/>
    <w:rsid w:val="00037CF1"/>
    <w:rsid w:val="000404EB"/>
    <w:rsid w:val="00041226"/>
    <w:rsid w:val="00041958"/>
    <w:rsid w:val="00041C50"/>
    <w:rsid w:val="000429F6"/>
    <w:rsid w:val="00042EF6"/>
    <w:rsid w:val="00043682"/>
    <w:rsid w:val="00043B69"/>
    <w:rsid w:val="00043B81"/>
    <w:rsid w:val="00046635"/>
    <w:rsid w:val="000467F3"/>
    <w:rsid w:val="00046CA8"/>
    <w:rsid w:val="00046DAA"/>
    <w:rsid w:val="0005015E"/>
    <w:rsid w:val="00050410"/>
    <w:rsid w:val="00050B14"/>
    <w:rsid w:val="00050C58"/>
    <w:rsid w:val="000511CD"/>
    <w:rsid w:val="0005284D"/>
    <w:rsid w:val="00052A12"/>
    <w:rsid w:val="00055261"/>
    <w:rsid w:val="000572D5"/>
    <w:rsid w:val="000600F7"/>
    <w:rsid w:val="00060F71"/>
    <w:rsid w:val="00061149"/>
    <w:rsid w:val="00061DAB"/>
    <w:rsid w:val="00062E71"/>
    <w:rsid w:val="00063F9B"/>
    <w:rsid w:val="000640F9"/>
    <w:rsid w:val="0006469E"/>
    <w:rsid w:val="00064758"/>
    <w:rsid w:val="000655CF"/>
    <w:rsid w:val="00065A96"/>
    <w:rsid w:val="00065E29"/>
    <w:rsid w:val="000707DD"/>
    <w:rsid w:val="000722DD"/>
    <w:rsid w:val="00072736"/>
    <w:rsid w:val="000730F7"/>
    <w:rsid w:val="000745A3"/>
    <w:rsid w:val="00075847"/>
    <w:rsid w:val="00076F75"/>
    <w:rsid w:val="00080316"/>
    <w:rsid w:val="00081EC0"/>
    <w:rsid w:val="00082415"/>
    <w:rsid w:val="00083810"/>
    <w:rsid w:val="000850D9"/>
    <w:rsid w:val="00090EDD"/>
    <w:rsid w:val="00091829"/>
    <w:rsid w:val="00091B19"/>
    <w:rsid w:val="00091C33"/>
    <w:rsid w:val="00091CD6"/>
    <w:rsid w:val="00092BC7"/>
    <w:rsid w:val="00092E0B"/>
    <w:rsid w:val="000948E4"/>
    <w:rsid w:val="00096088"/>
    <w:rsid w:val="00097090"/>
    <w:rsid w:val="00097CB6"/>
    <w:rsid w:val="00097EF1"/>
    <w:rsid w:val="000A1033"/>
    <w:rsid w:val="000A2DE8"/>
    <w:rsid w:val="000A3C3E"/>
    <w:rsid w:val="000A3D70"/>
    <w:rsid w:val="000A440E"/>
    <w:rsid w:val="000A7C5D"/>
    <w:rsid w:val="000B0695"/>
    <w:rsid w:val="000B07CB"/>
    <w:rsid w:val="000B1148"/>
    <w:rsid w:val="000B1B09"/>
    <w:rsid w:val="000B1D26"/>
    <w:rsid w:val="000B33F7"/>
    <w:rsid w:val="000B3405"/>
    <w:rsid w:val="000B41EE"/>
    <w:rsid w:val="000B4E64"/>
    <w:rsid w:val="000B6BF2"/>
    <w:rsid w:val="000B6E5E"/>
    <w:rsid w:val="000B6EF2"/>
    <w:rsid w:val="000B7699"/>
    <w:rsid w:val="000B7884"/>
    <w:rsid w:val="000B7D4F"/>
    <w:rsid w:val="000C0A7D"/>
    <w:rsid w:val="000C1F7B"/>
    <w:rsid w:val="000C23E9"/>
    <w:rsid w:val="000C2F83"/>
    <w:rsid w:val="000C4522"/>
    <w:rsid w:val="000C4CFF"/>
    <w:rsid w:val="000C584C"/>
    <w:rsid w:val="000C6AE8"/>
    <w:rsid w:val="000D1A80"/>
    <w:rsid w:val="000D21A3"/>
    <w:rsid w:val="000D22A0"/>
    <w:rsid w:val="000D356A"/>
    <w:rsid w:val="000D3831"/>
    <w:rsid w:val="000D3EEE"/>
    <w:rsid w:val="000D4072"/>
    <w:rsid w:val="000D499E"/>
    <w:rsid w:val="000D529E"/>
    <w:rsid w:val="000D55A8"/>
    <w:rsid w:val="000D7891"/>
    <w:rsid w:val="000D7D2D"/>
    <w:rsid w:val="000E0840"/>
    <w:rsid w:val="000E0DFD"/>
    <w:rsid w:val="000E10AD"/>
    <w:rsid w:val="000E10C6"/>
    <w:rsid w:val="000E29CD"/>
    <w:rsid w:val="000E2AB7"/>
    <w:rsid w:val="000E560D"/>
    <w:rsid w:val="000E639E"/>
    <w:rsid w:val="000E6566"/>
    <w:rsid w:val="000E67B0"/>
    <w:rsid w:val="000E73C9"/>
    <w:rsid w:val="000F17C6"/>
    <w:rsid w:val="000F1E5A"/>
    <w:rsid w:val="000F1EA9"/>
    <w:rsid w:val="000F237D"/>
    <w:rsid w:val="000F40E2"/>
    <w:rsid w:val="000F4F7A"/>
    <w:rsid w:val="000F5DB8"/>
    <w:rsid w:val="000F619D"/>
    <w:rsid w:val="000F672F"/>
    <w:rsid w:val="000F754A"/>
    <w:rsid w:val="000F766B"/>
    <w:rsid w:val="000F7C24"/>
    <w:rsid w:val="000F7C3A"/>
    <w:rsid w:val="000F7E1B"/>
    <w:rsid w:val="000F7F8A"/>
    <w:rsid w:val="00100365"/>
    <w:rsid w:val="00102163"/>
    <w:rsid w:val="001022CD"/>
    <w:rsid w:val="001029C6"/>
    <w:rsid w:val="00102A51"/>
    <w:rsid w:val="00104153"/>
    <w:rsid w:val="00105D26"/>
    <w:rsid w:val="00105EB8"/>
    <w:rsid w:val="001060EB"/>
    <w:rsid w:val="00106644"/>
    <w:rsid w:val="001078D7"/>
    <w:rsid w:val="00110EAB"/>
    <w:rsid w:val="00111FA0"/>
    <w:rsid w:val="00113777"/>
    <w:rsid w:val="001137ED"/>
    <w:rsid w:val="00113CDE"/>
    <w:rsid w:val="00114662"/>
    <w:rsid w:val="00115228"/>
    <w:rsid w:val="00115FAD"/>
    <w:rsid w:val="0011616A"/>
    <w:rsid w:val="00116504"/>
    <w:rsid w:val="00116800"/>
    <w:rsid w:val="00117665"/>
    <w:rsid w:val="001202D4"/>
    <w:rsid w:val="001215B0"/>
    <w:rsid w:val="00121BCC"/>
    <w:rsid w:val="00122055"/>
    <w:rsid w:val="0012333D"/>
    <w:rsid w:val="00123AEA"/>
    <w:rsid w:val="001255FA"/>
    <w:rsid w:val="00126CA0"/>
    <w:rsid w:val="00127A55"/>
    <w:rsid w:val="001302BA"/>
    <w:rsid w:val="001304ED"/>
    <w:rsid w:val="00130742"/>
    <w:rsid w:val="00130E41"/>
    <w:rsid w:val="00130FAB"/>
    <w:rsid w:val="001319EE"/>
    <w:rsid w:val="00132240"/>
    <w:rsid w:val="00132E65"/>
    <w:rsid w:val="0013320E"/>
    <w:rsid w:val="0013331D"/>
    <w:rsid w:val="00133444"/>
    <w:rsid w:val="00133764"/>
    <w:rsid w:val="001338AA"/>
    <w:rsid w:val="00134B87"/>
    <w:rsid w:val="00135049"/>
    <w:rsid w:val="00135050"/>
    <w:rsid w:val="0013505F"/>
    <w:rsid w:val="00135C4E"/>
    <w:rsid w:val="0013658F"/>
    <w:rsid w:val="00136A23"/>
    <w:rsid w:val="00137105"/>
    <w:rsid w:val="00137B79"/>
    <w:rsid w:val="00137E40"/>
    <w:rsid w:val="00140F84"/>
    <w:rsid w:val="00141093"/>
    <w:rsid w:val="00142FF3"/>
    <w:rsid w:val="001463E5"/>
    <w:rsid w:val="001468F3"/>
    <w:rsid w:val="001478C2"/>
    <w:rsid w:val="00150D28"/>
    <w:rsid w:val="00150D75"/>
    <w:rsid w:val="00151400"/>
    <w:rsid w:val="00151A5B"/>
    <w:rsid w:val="00152986"/>
    <w:rsid w:val="00152C9C"/>
    <w:rsid w:val="00154776"/>
    <w:rsid w:val="001549AB"/>
    <w:rsid w:val="00154F9A"/>
    <w:rsid w:val="00155161"/>
    <w:rsid w:val="00155A19"/>
    <w:rsid w:val="0015653B"/>
    <w:rsid w:val="001569E1"/>
    <w:rsid w:val="00156A70"/>
    <w:rsid w:val="001576F7"/>
    <w:rsid w:val="00157A78"/>
    <w:rsid w:val="00160314"/>
    <w:rsid w:val="00161FFF"/>
    <w:rsid w:val="00162BE2"/>
    <w:rsid w:val="001632DD"/>
    <w:rsid w:val="00163F67"/>
    <w:rsid w:val="0016446A"/>
    <w:rsid w:val="00164FC0"/>
    <w:rsid w:val="001653D1"/>
    <w:rsid w:val="00165453"/>
    <w:rsid w:val="00165B71"/>
    <w:rsid w:val="00166EF9"/>
    <w:rsid w:val="00166FF3"/>
    <w:rsid w:val="00167FBA"/>
    <w:rsid w:val="00171DBD"/>
    <w:rsid w:val="0017224B"/>
    <w:rsid w:val="001734F6"/>
    <w:rsid w:val="0017495F"/>
    <w:rsid w:val="00176B53"/>
    <w:rsid w:val="00177037"/>
    <w:rsid w:val="001807EF"/>
    <w:rsid w:val="00181388"/>
    <w:rsid w:val="0018229C"/>
    <w:rsid w:val="0018237A"/>
    <w:rsid w:val="00182C01"/>
    <w:rsid w:val="00184DFE"/>
    <w:rsid w:val="00185F02"/>
    <w:rsid w:val="00186D0B"/>
    <w:rsid w:val="001903DC"/>
    <w:rsid w:val="00190598"/>
    <w:rsid w:val="0019171D"/>
    <w:rsid w:val="00192CC2"/>
    <w:rsid w:val="00193EE5"/>
    <w:rsid w:val="00193FCD"/>
    <w:rsid w:val="00194463"/>
    <w:rsid w:val="00195661"/>
    <w:rsid w:val="00195813"/>
    <w:rsid w:val="00195CF6"/>
    <w:rsid w:val="001A04AB"/>
    <w:rsid w:val="001A067E"/>
    <w:rsid w:val="001A09F0"/>
    <w:rsid w:val="001A0E94"/>
    <w:rsid w:val="001A0FCC"/>
    <w:rsid w:val="001A112D"/>
    <w:rsid w:val="001A33F0"/>
    <w:rsid w:val="001A36D0"/>
    <w:rsid w:val="001A41F4"/>
    <w:rsid w:val="001A50F4"/>
    <w:rsid w:val="001A5B7B"/>
    <w:rsid w:val="001A5D2D"/>
    <w:rsid w:val="001A616E"/>
    <w:rsid w:val="001A646F"/>
    <w:rsid w:val="001A6969"/>
    <w:rsid w:val="001A6B09"/>
    <w:rsid w:val="001B038D"/>
    <w:rsid w:val="001B0A61"/>
    <w:rsid w:val="001B0DB2"/>
    <w:rsid w:val="001B1CDD"/>
    <w:rsid w:val="001B263B"/>
    <w:rsid w:val="001B2E54"/>
    <w:rsid w:val="001B2F88"/>
    <w:rsid w:val="001B38F5"/>
    <w:rsid w:val="001B397E"/>
    <w:rsid w:val="001B4B0B"/>
    <w:rsid w:val="001B5736"/>
    <w:rsid w:val="001B5B16"/>
    <w:rsid w:val="001B5E6E"/>
    <w:rsid w:val="001B64AC"/>
    <w:rsid w:val="001B65A1"/>
    <w:rsid w:val="001B71A8"/>
    <w:rsid w:val="001B7B44"/>
    <w:rsid w:val="001C0307"/>
    <w:rsid w:val="001C1094"/>
    <w:rsid w:val="001C2F34"/>
    <w:rsid w:val="001C3A3C"/>
    <w:rsid w:val="001C3B10"/>
    <w:rsid w:val="001C495D"/>
    <w:rsid w:val="001C61D5"/>
    <w:rsid w:val="001C670B"/>
    <w:rsid w:val="001D052F"/>
    <w:rsid w:val="001D21E5"/>
    <w:rsid w:val="001D2201"/>
    <w:rsid w:val="001D26A2"/>
    <w:rsid w:val="001D2799"/>
    <w:rsid w:val="001D27D1"/>
    <w:rsid w:val="001D27F5"/>
    <w:rsid w:val="001D31DD"/>
    <w:rsid w:val="001D47DC"/>
    <w:rsid w:val="001D4AE2"/>
    <w:rsid w:val="001D5172"/>
    <w:rsid w:val="001D541E"/>
    <w:rsid w:val="001E0447"/>
    <w:rsid w:val="001E05A7"/>
    <w:rsid w:val="001E10DE"/>
    <w:rsid w:val="001E1C6A"/>
    <w:rsid w:val="001E4E47"/>
    <w:rsid w:val="001E4E7C"/>
    <w:rsid w:val="001E60CB"/>
    <w:rsid w:val="001E6654"/>
    <w:rsid w:val="001E66D7"/>
    <w:rsid w:val="001E7EE5"/>
    <w:rsid w:val="001F2049"/>
    <w:rsid w:val="001F5055"/>
    <w:rsid w:val="001F5869"/>
    <w:rsid w:val="001F72A9"/>
    <w:rsid w:val="00200DD4"/>
    <w:rsid w:val="002025C5"/>
    <w:rsid w:val="00203D97"/>
    <w:rsid w:val="00204613"/>
    <w:rsid w:val="00204B68"/>
    <w:rsid w:val="00205D7B"/>
    <w:rsid w:val="002060FE"/>
    <w:rsid w:val="00206A3B"/>
    <w:rsid w:val="00206A50"/>
    <w:rsid w:val="002105EC"/>
    <w:rsid w:val="00213854"/>
    <w:rsid w:val="002144DF"/>
    <w:rsid w:val="00215A1C"/>
    <w:rsid w:val="00215C62"/>
    <w:rsid w:val="002163CB"/>
    <w:rsid w:val="00216571"/>
    <w:rsid w:val="00216C70"/>
    <w:rsid w:val="00216FD4"/>
    <w:rsid w:val="0022081B"/>
    <w:rsid w:val="00221A58"/>
    <w:rsid w:val="002227CD"/>
    <w:rsid w:val="00223BF1"/>
    <w:rsid w:val="00225AD0"/>
    <w:rsid w:val="002261FB"/>
    <w:rsid w:val="00227803"/>
    <w:rsid w:val="002306A7"/>
    <w:rsid w:val="002306AB"/>
    <w:rsid w:val="002313B0"/>
    <w:rsid w:val="00231954"/>
    <w:rsid w:val="0023259B"/>
    <w:rsid w:val="002327C7"/>
    <w:rsid w:val="00233D56"/>
    <w:rsid w:val="00234385"/>
    <w:rsid w:val="002345E9"/>
    <w:rsid w:val="0023479A"/>
    <w:rsid w:val="00236CD9"/>
    <w:rsid w:val="00236F1B"/>
    <w:rsid w:val="00237919"/>
    <w:rsid w:val="00237C95"/>
    <w:rsid w:val="00237CAF"/>
    <w:rsid w:val="0024124B"/>
    <w:rsid w:val="00242A65"/>
    <w:rsid w:val="002437FD"/>
    <w:rsid w:val="002450A2"/>
    <w:rsid w:val="00245A61"/>
    <w:rsid w:val="0024766C"/>
    <w:rsid w:val="00252138"/>
    <w:rsid w:val="00252F69"/>
    <w:rsid w:val="00254197"/>
    <w:rsid w:val="0025460D"/>
    <w:rsid w:val="00254776"/>
    <w:rsid w:val="00254D32"/>
    <w:rsid w:val="00255192"/>
    <w:rsid w:val="002553C0"/>
    <w:rsid w:val="00256632"/>
    <w:rsid w:val="00257AAD"/>
    <w:rsid w:val="00260546"/>
    <w:rsid w:val="002609C4"/>
    <w:rsid w:val="00261799"/>
    <w:rsid w:val="00261F20"/>
    <w:rsid w:val="0026237C"/>
    <w:rsid w:val="00264A37"/>
    <w:rsid w:val="00264AFC"/>
    <w:rsid w:val="00264DD0"/>
    <w:rsid w:val="0026578E"/>
    <w:rsid w:val="0026585A"/>
    <w:rsid w:val="00265A1C"/>
    <w:rsid w:val="00266528"/>
    <w:rsid w:val="0027024D"/>
    <w:rsid w:val="00270E5E"/>
    <w:rsid w:val="00271F26"/>
    <w:rsid w:val="002736E0"/>
    <w:rsid w:val="00274722"/>
    <w:rsid w:val="00275C03"/>
    <w:rsid w:val="0027776C"/>
    <w:rsid w:val="00277B50"/>
    <w:rsid w:val="00277B8A"/>
    <w:rsid w:val="00277EB1"/>
    <w:rsid w:val="00280656"/>
    <w:rsid w:val="00281AB7"/>
    <w:rsid w:val="00281D31"/>
    <w:rsid w:val="002823DE"/>
    <w:rsid w:val="002823F4"/>
    <w:rsid w:val="00283EFD"/>
    <w:rsid w:val="002843E4"/>
    <w:rsid w:val="00284846"/>
    <w:rsid w:val="00285973"/>
    <w:rsid w:val="0028630E"/>
    <w:rsid w:val="00286921"/>
    <w:rsid w:val="00287433"/>
    <w:rsid w:val="0029209D"/>
    <w:rsid w:val="00292337"/>
    <w:rsid w:val="00292E3C"/>
    <w:rsid w:val="00295C3B"/>
    <w:rsid w:val="00296C25"/>
    <w:rsid w:val="002A0149"/>
    <w:rsid w:val="002A29FB"/>
    <w:rsid w:val="002A3653"/>
    <w:rsid w:val="002A379C"/>
    <w:rsid w:val="002A3AF7"/>
    <w:rsid w:val="002A48F7"/>
    <w:rsid w:val="002A4FB3"/>
    <w:rsid w:val="002A51E7"/>
    <w:rsid w:val="002A5C15"/>
    <w:rsid w:val="002A5F97"/>
    <w:rsid w:val="002A6A2C"/>
    <w:rsid w:val="002B0760"/>
    <w:rsid w:val="002B1651"/>
    <w:rsid w:val="002B22FE"/>
    <w:rsid w:val="002B24A0"/>
    <w:rsid w:val="002B30FA"/>
    <w:rsid w:val="002B3389"/>
    <w:rsid w:val="002B3645"/>
    <w:rsid w:val="002B4448"/>
    <w:rsid w:val="002B5744"/>
    <w:rsid w:val="002B5B93"/>
    <w:rsid w:val="002B60F5"/>
    <w:rsid w:val="002B6664"/>
    <w:rsid w:val="002B768C"/>
    <w:rsid w:val="002B7DFE"/>
    <w:rsid w:val="002C0325"/>
    <w:rsid w:val="002C0A37"/>
    <w:rsid w:val="002C0F86"/>
    <w:rsid w:val="002C1054"/>
    <w:rsid w:val="002C1754"/>
    <w:rsid w:val="002C1EF5"/>
    <w:rsid w:val="002C2652"/>
    <w:rsid w:val="002C3220"/>
    <w:rsid w:val="002C36FB"/>
    <w:rsid w:val="002C3DF3"/>
    <w:rsid w:val="002C43DD"/>
    <w:rsid w:val="002C47C7"/>
    <w:rsid w:val="002C4C80"/>
    <w:rsid w:val="002D068F"/>
    <w:rsid w:val="002D0725"/>
    <w:rsid w:val="002D0DCF"/>
    <w:rsid w:val="002D1032"/>
    <w:rsid w:val="002D1DC9"/>
    <w:rsid w:val="002D2424"/>
    <w:rsid w:val="002D2798"/>
    <w:rsid w:val="002D63A8"/>
    <w:rsid w:val="002E28FA"/>
    <w:rsid w:val="002E6C67"/>
    <w:rsid w:val="002E799A"/>
    <w:rsid w:val="002E7D1B"/>
    <w:rsid w:val="002F0557"/>
    <w:rsid w:val="002F14A5"/>
    <w:rsid w:val="002F3CCF"/>
    <w:rsid w:val="002F476F"/>
    <w:rsid w:val="002F4DB2"/>
    <w:rsid w:val="002F508C"/>
    <w:rsid w:val="002F51B7"/>
    <w:rsid w:val="002F5289"/>
    <w:rsid w:val="002F5291"/>
    <w:rsid w:val="002F52CF"/>
    <w:rsid w:val="002F588D"/>
    <w:rsid w:val="002F6465"/>
    <w:rsid w:val="002F6803"/>
    <w:rsid w:val="002F78DE"/>
    <w:rsid w:val="0030056C"/>
    <w:rsid w:val="003008AA"/>
    <w:rsid w:val="0030126D"/>
    <w:rsid w:val="00301966"/>
    <w:rsid w:val="00301C69"/>
    <w:rsid w:val="00302008"/>
    <w:rsid w:val="003020A2"/>
    <w:rsid w:val="003024A3"/>
    <w:rsid w:val="003036EC"/>
    <w:rsid w:val="00303FD0"/>
    <w:rsid w:val="0030410D"/>
    <w:rsid w:val="003045F7"/>
    <w:rsid w:val="00305DC4"/>
    <w:rsid w:val="0030613D"/>
    <w:rsid w:val="0031068B"/>
    <w:rsid w:val="0031104F"/>
    <w:rsid w:val="0031222A"/>
    <w:rsid w:val="00312788"/>
    <w:rsid w:val="00312C35"/>
    <w:rsid w:val="003138DF"/>
    <w:rsid w:val="003148B3"/>
    <w:rsid w:val="00317599"/>
    <w:rsid w:val="00317D89"/>
    <w:rsid w:val="00320B18"/>
    <w:rsid w:val="00320C5B"/>
    <w:rsid w:val="0032146A"/>
    <w:rsid w:val="00321985"/>
    <w:rsid w:val="00321A32"/>
    <w:rsid w:val="00324825"/>
    <w:rsid w:val="00324DFA"/>
    <w:rsid w:val="00325C61"/>
    <w:rsid w:val="00327522"/>
    <w:rsid w:val="003278D8"/>
    <w:rsid w:val="00327D36"/>
    <w:rsid w:val="003307A3"/>
    <w:rsid w:val="003308E1"/>
    <w:rsid w:val="00330E65"/>
    <w:rsid w:val="00331A8E"/>
    <w:rsid w:val="00331AF5"/>
    <w:rsid w:val="00331E7B"/>
    <w:rsid w:val="00332AA0"/>
    <w:rsid w:val="00332FBB"/>
    <w:rsid w:val="00333456"/>
    <w:rsid w:val="00333A5B"/>
    <w:rsid w:val="00334292"/>
    <w:rsid w:val="00335311"/>
    <w:rsid w:val="00335900"/>
    <w:rsid w:val="00335E20"/>
    <w:rsid w:val="00336432"/>
    <w:rsid w:val="00336683"/>
    <w:rsid w:val="00336F7E"/>
    <w:rsid w:val="003408F7"/>
    <w:rsid w:val="00341E7B"/>
    <w:rsid w:val="003425B4"/>
    <w:rsid w:val="00342D39"/>
    <w:rsid w:val="00344A11"/>
    <w:rsid w:val="003457C2"/>
    <w:rsid w:val="0034595B"/>
    <w:rsid w:val="00345F07"/>
    <w:rsid w:val="003460D6"/>
    <w:rsid w:val="003471FD"/>
    <w:rsid w:val="0034736B"/>
    <w:rsid w:val="00350715"/>
    <w:rsid w:val="00351DC0"/>
    <w:rsid w:val="003532DC"/>
    <w:rsid w:val="00353593"/>
    <w:rsid w:val="00353E73"/>
    <w:rsid w:val="003547B7"/>
    <w:rsid w:val="0035483F"/>
    <w:rsid w:val="00354B39"/>
    <w:rsid w:val="00356174"/>
    <w:rsid w:val="003604F2"/>
    <w:rsid w:val="00360716"/>
    <w:rsid w:val="00360C8A"/>
    <w:rsid w:val="003613C2"/>
    <w:rsid w:val="00362157"/>
    <w:rsid w:val="0036420C"/>
    <w:rsid w:val="00364C2F"/>
    <w:rsid w:val="003667B8"/>
    <w:rsid w:val="0036737A"/>
    <w:rsid w:val="003676FD"/>
    <w:rsid w:val="0037195B"/>
    <w:rsid w:val="003720E4"/>
    <w:rsid w:val="003722F5"/>
    <w:rsid w:val="003727D4"/>
    <w:rsid w:val="003730F4"/>
    <w:rsid w:val="00374C6A"/>
    <w:rsid w:val="00377930"/>
    <w:rsid w:val="00381096"/>
    <w:rsid w:val="00381FF0"/>
    <w:rsid w:val="00382A55"/>
    <w:rsid w:val="00382BBA"/>
    <w:rsid w:val="00383281"/>
    <w:rsid w:val="00383B17"/>
    <w:rsid w:val="00383F0B"/>
    <w:rsid w:val="003847D3"/>
    <w:rsid w:val="00384B5C"/>
    <w:rsid w:val="00384EB9"/>
    <w:rsid w:val="00387379"/>
    <w:rsid w:val="00390C98"/>
    <w:rsid w:val="00390D63"/>
    <w:rsid w:val="003916DC"/>
    <w:rsid w:val="00392415"/>
    <w:rsid w:val="0039419D"/>
    <w:rsid w:val="003950E9"/>
    <w:rsid w:val="00395B1D"/>
    <w:rsid w:val="00395C26"/>
    <w:rsid w:val="003962A7"/>
    <w:rsid w:val="0039653C"/>
    <w:rsid w:val="00396BC5"/>
    <w:rsid w:val="0039785A"/>
    <w:rsid w:val="00397CB6"/>
    <w:rsid w:val="003A02EB"/>
    <w:rsid w:val="003A09E0"/>
    <w:rsid w:val="003A0A2F"/>
    <w:rsid w:val="003A0C8A"/>
    <w:rsid w:val="003A12A6"/>
    <w:rsid w:val="003A1651"/>
    <w:rsid w:val="003A1786"/>
    <w:rsid w:val="003A204B"/>
    <w:rsid w:val="003A25D9"/>
    <w:rsid w:val="003A3C61"/>
    <w:rsid w:val="003A3FB6"/>
    <w:rsid w:val="003A43FF"/>
    <w:rsid w:val="003A4E4A"/>
    <w:rsid w:val="003A545D"/>
    <w:rsid w:val="003A7057"/>
    <w:rsid w:val="003A7970"/>
    <w:rsid w:val="003B047F"/>
    <w:rsid w:val="003B052E"/>
    <w:rsid w:val="003B0B1A"/>
    <w:rsid w:val="003B111C"/>
    <w:rsid w:val="003B16BE"/>
    <w:rsid w:val="003B1DF5"/>
    <w:rsid w:val="003B26EE"/>
    <w:rsid w:val="003B4EBB"/>
    <w:rsid w:val="003B5245"/>
    <w:rsid w:val="003B65A0"/>
    <w:rsid w:val="003B6C46"/>
    <w:rsid w:val="003B6ED7"/>
    <w:rsid w:val="003B702B"/>
    <w:rsid w:val="003B728B"/>
    <w:rsid w:val="003C33F8"/>
    <w:rsid w:val="003C5B39"/>
    <w:rsid w:val="003C75EF"/>
    <w:rsid w:val="003C771B"/>
    <w:rsid w:val="003C7732"/>
    <w:rsid w:val="003D06B1"/>
    <w:rsid w:val="003D0D27"/>
    <w:rsid w:val="003D1BC1"/>
    <w:rsid w:val="003D23C7"/>
    <w:rsid w:val="003D2419"/>
    <w:rsid w:val="003D2435"/>
    <w:rsid w:val="003D25E3"/>
    <w:rsid w:val="003D29E6"/>
    <w:rsid w:val="003D3EEE"/>
    <w:rsid w:val="003D4DB1"/>
    <w:rsid w:val="003D73A2"/>
    <w:rsid w:val="003D795F"/>
    <w:rsid w:val="003D7989"/>
    <w:rsid w:val="003E0C64"/>
    <w:rsid w:val="003E1635"/>
    <w:rsid w:val="003E21B2"/>
    <w:rsid w:val="003E3FC7"/>
    <w:rsid w:val="003E47BA"/>
    <w:rsid w:val="003E4C78"/>
    <w:rsid w:val="003E4F66"/>
    <w:rsid w:val="003E573B"/>
    <w:rsid w:val="003E5A50"/>
    <w:rsid w:val="003E5EEE"/>
    <w:rsid w:val="003E6F0E"/>
    <w:rsid w:val="003E7341"/>
    <w:rsid w:val="003E7815"/>
    <w:rsid w:val="003E7C3D"/>
    <w:rsid w:val="003F0959"/>
    <w:rsid w:val="003F153B"/>
    <w:rsid w:val="003F19D7"/>
    <w:rsid w:val="003F1AA9"/>
    <w:rsid w:val="003F28C1"/>
    <w:rsid w:val="003F3478"/>
    <w:rsid w:val="003F378D"/>
    <w:rsid w:val="003F4935"/>
    <w:rsid w:val="003F4D87"/>
    <w:rsid w:val="003F518F"/>
    <w:rsid w:val="003F5311"/>
    <w:rsid w:val="003F55FF"/>
    <w:rsid w:val="003F7132"/>
    <w:rsid w:val="004007A2"/>
    <w:rsid w:val="00400C01"/>
    <w:rsid w:val="0040122F"/>
    <w:rsid w:val="0040159C"/>
    <w:rsid w:val="00401697"/>
    <w:rsid w:val="00401F51"/>
    <w:rsid w:val="00401FE0"/>
    <w:rsid w:val="0040291E"/>
    <w:rsid w:val="00403619"/>
    <w:rsid w:val="00403E8A"/>
    <w:rsid w:val="00404AE1"/>
    <w:rsid w:val="00404E4C"/>
    <w:rsid w:val="0040517F"/>
    <w:rsid w:val="004053B6"/>
    <w:rsid w:val="00406B44"/>
    <w:rsid w:val="0041019F"/>
    <w:rsid w:val="00410CD3"/>
    <w:rsid w:val="00412270"/>
    <w:rsid w:val="00412858"/>
    <w:rsid w:val="00412A26"/>
    <w:rsid w:val="00413943"/>
    <w:rsid w:val="00413A34"/>
    <w:rsid w:val="00413BBC"/>
    <w:rsid w:val="00414289"/>
    <w:rsid w:val="00414A4C"/>
    <w:rsid w:val="004150F8"/>
    <w:rsid w:val="004162F9"/>
    <w:rsid w:val="00416C2B"/>
    <w:rsid w:val="00417397"/>
    <w:rsid w:val="00417E07"/>
    <w:rsid w:val="00417EEC"/>
    <w:rsid w:val="004201B5"/>
    <w:rsid w:val="00421051"/>
    <w:rsid w:val="00421A20"/>
    <w:rsid w:val="00421E02"/>
    <w:rsid w:val="00422104"/>
    <w:rsid w:val="00422501"/>
    <w:rsid w:val="0042262D"/>
    <w:rsid w:val="00422A67"/>
    <w:rsid w:val="00422B59"/>
    <w:rsid w:val="00422C7D"/>
    <w:rsid w:val="004231CD"/>
    <w:rsid w:val="00423226"/>
    <w:rsid w:val="0042412C"/>
    <w:rsid w:val="00424572"/>
    <w:rsid w:val="00424D47"/>
    <w:rsid w:val="00425910"/>
    <w:rsid w:val="00425C4A"/>
    <w:rsid w:val="004273A6"/>
    <w:rsid w:val="00430E0A"/>
    <w:rsid w:val="0043125F"/>
    <w:rsid w:val="00431C0C"/>
    <w:rsid w:val="00432396"/>
    <w:rsid w:val="004323DB"/>
    <w:rsid w:val="00433191"/>
    <w:rsid w:val="00433445"/>
    <w:rsid w:val="00434D45"/>
    <w:rsid w:val="00437CAD"/>
    <w:rsid w:val="00437EB5"/>
    <w:rsid w:val="0044069C"/>
    <w:rsid w:val="00441129"/>
    <w:rsid w:val="00441C09"/>
    <w:rsid w:val="00442224"/>
    <w:rsid w:val="00442F5B"/>
    <w:rsid w:val="0044474D"/>
    <w:rsid w:val="00444C8D"/>
    <w:rsid w:val="00444DBE"/>
    <w:rsid w:val="00445A27"/>
    <w:rsid w:val="00446151"/>
    <w:rsid w:val="0044684B"/>
    <w:rsid w:val="00446EE7"/>
    <w:rsid w:val="00447FC3"/>
    <w:rsid w:val="004523D5"/>
    <w:rsid w:val="00455375"/>
    <w:rsid w:val="004555D9"/>
    <w:rsid w:val="00455AA2"/>
    <w:rsid w:val="00456721"/>
    <w:rsid w:val="004568B0"/>
    <w:rsid w:val="00457CAD"/>
    <w:rsid w:val="0046203C"/>
    <w:rsid w:val="00463ED7"/>
    <w:rsid w:val="0046450F"/>
    <w:rsid w:val="0046490F"/>
    <w:rsid w:val="0046496D"/>
    <w:rsid w:val="00466679"/>
    <w:rsid w:val="00466D17"/>
    <w:rsid w:val="004670B7"/>
    <w:rsid w:val="00467326"/>
    <w:rsid w:val="00467631"/>
    <w:rsid w:val="004677FC"/>
    <w:rsid w:val="00470791"/>
    <w:rsid w:val="00471715"/>
    <w:rsid w:val="004724D0"/>
    <w:rsid w:val="004725EB"/>
    <w:rsid w:val="00473000"/>
    <w:rsid w:val="0047401C"/>
    <w:rsid w:val="004749F8"/>
    <w:rsid w:val="00475D33"/>
    <w:rsid w:val="0047711D"/>
    <w:rsid w:val="004771FC"/>
    <w:rsid w:val="0047751F"/>
    <w:rsid w:val="00477C65"/>
    <w:rsid w:val="00477C79"/>
    <w:rsid w:val="00480B2B"/>
    <w:rsid w:val="00482893"/>
    <w:rsid w:val="00483AA0"/>
    <w:rsid w:val="004855D7"/>
    <w:rsid w:val="0048622F"/>
    <w:rsid w:val="00486E35"/>
    <w:rsid w:val="00487B04"/>
    <w:rsid w:val="0049048F"/>
    <w:rsid w:val="0049089F"/>
    <w:rsid w:val="00490D28"/>
    <w:rsid w:val="00490D49"/>
    <w:rsid w:val="004924E9"/>
    <w:rsid w:val="004939C3"/>
    <w:rsid w:val="0049536B"/>
    <w:rsid w:val="0049769F"/>
    <w:rsid w:val="004A0C35"/>
    <w:rsid w:val="004A17DC"/>
    <w:rsid w:val="004A2150"/>
    <w:rsid w:val="004A2E2C"/>
    <w:rsid w:val="004A3BD0"/>
    <w:rsid w:val="004A3D8E"/>
    <w:rsid w:val="004A4492"/>
    <w:rsid w:val="004A61E5"/>
    <w:rsid w:val="004B00A7"/>
    <w:rsid w:val="004B0CF3"/>
    <w:rsid w:val="004B0D96"/>
    <w:rsid w:val="004B12A0"/>
    <w:rsid w:val="004B1ACB"/>
    <w:rsid w:val="004B344C"/>
    <w:rsid w:val="004B3625"/>
    <w:rsid w:val="004B37EB"/>
    <w:rsid w:val="004B3B88"/>
    <w:rsid w:val="004B45AE"/>
    <w:rsid w:val="004B5F70"/>
    <w:rsid w:val="004B6C74"/>
    <w:rsid w:val="004B6E77"/>
    <w:rsid w:val="004C1449"/>
    <w:rsid w:val="004C167F"/>
    <w:rsid w:val="004C1FD9"/>
    <w:rsid w:val="004C2807"/>
    <w:rsid w:val="004C3721"/>
    <w:rsid w:val="004C6891"/>
    <w:rsid w:val="004C6934"/>
    <w:rsid w:val="004C6A59"/>
    <w:rsid w:val="004D1AC4"/>
    <w:rsid w:val="004D1BF9"/>
    <w:rsid w:val="004D228E"/>
    <w:rsid w:val="004D2E55"/>
    <w:rsid w:val="004D39B4"/>
    <w:rsid w:val="004D6025"/>
    <w:rsid w:val="004D60A3"/>
    <w:rsid w:val="004D63D5"/>
    <w:rsid w:val="004D6910"/>
    <w:rsid w:val="004E09D0"/>
    <w:rsid w:val="004E0A8B"/>
    <w:rsid w:val="004E113A"/>
    <w:rsid w:val="004E1D08"/>
    <w:rsid w:val="004E25D2"/>
    <w:rsid w:val="004E2EF3"/>
    <w:rsid w:val="004E3154"/>
    <w:rsid w:val="004E389F"/>
    <w:rsid w:val="004E38D3"/>
    <w:rsid w:val="004E3E3C"/>
    <w:rsid w:val="004E4D7C"/>
    <w:rsid w:val="004E4DE2"/>
    <w:rsid w:val="004E5987"/>
    <w:rsid w:val="004E5FC6"/>
    <w:rsid w:val="004E6721"/>
    <w:rsid w:val="004E785E"/>
    <w:rsid w:val="004F0454"/>
    <w:rsid w:val="004F2C86"/>
    <w:rsid w:val="004F3057"/>
    <w:rsid w:val="004F47DD"/>
    <w:rsid w:val="004F482A"/>
    <w:rsid w:val="004F526C"/>
    <w:rsid w:val="004F5B62"/>
    <w:rsid w:val="004F716C"/>
    <w:rsid w:val="004F7E6C"/>
    <w:rsid w:val="005014BD"/>
    <w:rsid w:val="00501FCF"/>
    <w:rsid w:val="0050212B"/>
    <w:rsid w:val="005021A1"/>
    <w:rsid w:val="005025CC"/>
    <w:rsid w:val="00502753"/>
    <w:rsid w:val="00502812"/>
    <w:rsid w:val="00503EA4"/>
    <w:rsid w:val="00504222"/>
    <w:rsid w:val="005053F6"/>
    <w:rsid w:val="00505EBA"/>
    <w:rsid w:val="005069EA"/>
    <w:rsid w:val="005072A2"/>
    <w:rsid w:val="00507D13"/>
    <w:rsid w:val="005106F2"/>
    <w:rsid w:val="0051156A"/>
    <w:rsid w:val="00511B3A"/>
    <w:rsid w:val="00511F9D"/>
    <w:rsid w:val="00512131"/>
    <w:rsid w:val="00512761"/>
    <w:rsid w:val="00513F2A"/>
    <w:rsid w:val="00514C31"/>
    <w:rsid w:val="00514CFF"/>
    <w:rsid w:val="005152E7"/>
    <w:rsid w:val="00516656"/>
    <w:rsid w:val="00516C3B"/>
    <w:rsid w:val="00516E0A"/>
    <w:rsid w:val="00517407"/>
    <w:rsid w:val="005177C4"/>
    <w:rsid w:val="00520CDC"/>
    <w:rsid w:val="00520FBD"/>
    <w:rsid w:val="005218F5"/>
    <w:rsid w:val="005219DD"/>
    <w:rsid w:val="00522170"/>
    <w:rsid w:val="005224A3"/>
    <w:rsid w:val="00524617"/>
    <w:rsid w:val="00524CEA"/>
    <w:rsid w:val="00524D8D"/>
    <w:rsid w:val="005253B9"/>
    <w:rsid w:val="005253E7"/>
    <w:rsid w:val="005267D9"/>
    <w:rsid w:val="00530313"/>
    <w:rsid w:val="005309C3"/>
    <w:rsid w:val="00532471"/>
    <w:rsid w:val="005342D2"/>
    <w:rsid w:val="0053481E"/>
    <w:rsid w:val="00534AAF"/>
    <w:rsid w:val="00534EE1"/>
    <w:rsid w:val="005354E1"/>
    <w:rsid w:val="0053629F"/>
    <w:rsid w:val="00537005"/>
    <w:rsid w:val="00540F7C"/>
    <w:rsid w:val="0054293F"/>
    <w:rsid w:val="00542EBC"/>
    <w:rsid w:val="005475FF"/>
    <w:rsid w:val="00547D0E"/>
    <w:rsid w:val="005510DC"/>
    <w:rsid w:val="005524EB"/>
    <w:rsid w:val="00552642"/>
    <w:rsid w:val="00552D01"/>
    <w:rsid w:val="00552FF3"/>
    <w:rsid w:val="005536F4"/>
    <w:rsid w:val="00554712"/>
    <w:rsid w:val="0055529E"/>
    <w:rsid w:val="00555672"/>
    <w:rsid w:val="00555914"/>
    <w:rsid w:val="00556909"/>
    <w:rsid w:val="00556B16"/>
    <w:rsid w:val="00557937"/>
    <w:rsid w:val="00557A8D"/>
    <w:rsid w:val="00561801"/>
    <w:rsid w:val="005628FF"/>
    <w:rsid w:val="00563826"/>
    <w:rsid w:val="00563A1F"/>
    <w:rsid w:val="0056516D"/>
    <w:rsid w:val="00570604"/>
    <w:rsid w:val="00570E2F"/>
    <w:rsid w:val="00571EBC"/>
    <w:rsid w:val="005725E0"/>
    <w:rsid w:val="00573353"/>
    <w:rsid w:val="00573425"/>
    <w:rsid w:val="005741BA"/>
    <w:rsid w:val="00574B95"/>
    <w:rsid w:val="00576965"/>
    <w:rsid w:val="00576E87"/>
    <w:rsid w:val="00576F02"/>
    <w:rsid w:val="0057706A"/>
    <w:rsid w:val="00577E85"/>
    <w:rsid w:val="005812B2"/>
    <w:rsid w:val="00581998"/>
    <w:rsid w:val="00581E79"/>
    <w:rsid w:val="005825C9"/>
    <w:rsid w:val="005829EA"/>
    <w:rsid w:val="005834C0"/>
    <w:rsid w:val="005835CA"/>
    <w:rsid w:val="00584441"/>
    <w:rsid w:val="005845EE"/>
    <w:rsid w:val="00584826"/>
    <w:rsid w:val="005850EA"/>
    <w:rsid w:val="00585684"/>
    <w:rsid w:val="0058642D"/>
    <w:rsid w:val="00586611"/>
    <w:rsid w:val="0058756A"/>
    <w:rsid w:val="0058757B"/>
    <w:rsid w:val="0058773D"/>
    <w:rsid w:val="00587CD8"/>
    <w:rsid w:val="0059060D"/>
    <w:rsid w:val="00591769"/>
    <w:rsid w:val="00592251"/>
    <w:rsid w:val="00592977"/>
    <w:rsid w:val="005944F0"/>
    <w:rsid w:val="00594759"/>
    <w:rsid w:val="005947C4"/>
    <w:rsid w:val="00594A37"/>
    <w:rsid w:val="00594E29"/>
    <w:rsid w:val="00594E6D"/>
    <w:rsid w:val="0059567D"/>
    <w:rsid w:val="00596884"/>
    <w:rsid w:val="00597719"/>
    <w:rsid w:val="0059792E"/>
    <w:rsid w:val="005A087A"/>
    <w:rsid w:val="005A13C3"/>
    <w:rsid w:val="005A16F8"/>
    <w:rsid w:val="005A27EB"/>
    <w:rsid w:val="005A2CA0"/>
    <w:rsid w:val="005A3DF2"/>
    <w:rsid w:val="005A48C5"/>
    <w:rsid w:val="005A4CD2"/>
    <w:rsid w:val="005A57FE"/>
    <w:rsid w:val="005A5D36"/>
    <w:rsid w:val="005B10F4"/>
    <w:rsid w:val="005B162B"/>
    <w:rsid w:val="005B16FA"/>
    <w:rsid w:val="005B24EF"/>
    <w:rsid w:val="005B6FDC"/>
    <w:rsid w:val="005B7DC3"/>
    <w:rsid w:val="005C0960"/>
    <w:rsid w:val="005C27B1"/>
    <w:rsid w:val="005C471A"/>
    <w:rsid w:val="005C6637"/>
    <w:rsid w:val="005C6E6C"/>
    <w:rsid w:val="005D012E"/>
    <w:rsid w:val="005D0839"/>
    <w:rsid w:val="005D0A21"/>
    <w:rsid w:val="005D1630"/>
    <w:rsid w:val="005D223D"/>
    <w:rsid w:val="005D2B5A"/>
    <w:rsid w:val="005D3097"/>
    <w:rsid w:val="005D32E6"/>
    <w:rsid w:val="005D335A"/>
    <w:rsid w:val="005D34E2"/>
    <w:rsid w:val="005D44D9"/>
    <w:rsid w:val="005D49D9"/>
    <w:rsid w:val="005D5812"/>
    <w:rsid w:val="005D582D"/>
    <w:rsid w:val="005D5FBA"/>
    <w:rsid w:val="005D64FA"/>
    <w:rsid w:val="005D7DBC"/>
    <w:rsid w:val="005E13F5"/>
    <w:rsid w:val="005E3899"/>
    <w:rsid w:val="005E40AA"/>
    <w:rsid w:val="005E476E"/>
    <w:rsid w:val="005E4884"/>
    <w:rsid w:val="005E4DA3"/>
    <w:rsid w:val="005E4EBB"/>
    <w:rsid w:val="005E6084"/>
    <w:rsid w:val="005E612F"/>
    <w:rsid w:val="005E6466"/>
    <w:rsid w:val="005E6616"/>
    <w:rsid w:val="005F1BC4"/>
    <w:rsid w:val="005F45F2"/>
    <w:rsid w:val="005F4F5F"/>
    <w:rsid w:val="005F521D"/>
    <w:rsid w:val="005F579F"/>
    <w:rsid w:val="005F74E9"/>
    <w:rsid w:val="00600BC1"/>
    <w:rsid w:val="006043DC"/>
    <w:rsid w:val="00605D42"/>
    <w:rsid w:val="006061AA"/>
    <w:rsid w:val="0060644E"/>
    <w:rsid w:val="00607665"/>
    <w:rsid w:val="00610DA1"/>
    <w:rsid w:val="00614E59"/>
    <w:rsid w:val="0061526E"/>
    <w:rsid w:val="00616DFF"/>
    <w:rsid w:val="00617A90"/>
    <w:rsid w:val="00620252"/>
    <w:rsid w:val="00620FE3"/>
    <w:rsid w:val="006217F6"/>
    <w:rsid w:val="0062195B"/>
    <w:rsid w:val="00622292"/>
    <w:rsid w:val="00623AE6"/>
    <w:rsid w:val="00624E3B"/>
    <w:rsid w:val="00624FDC"/>
    <w:rsid w:val="0062704E"/>
    <w:rsid w:val="006320D3"/>
    <w:rsid w:val="00632ABA"/>
    <w:rsid w:val="0063367B"/>
    <w:rsid w:val="0063406A"/>
    <w:rsid w:val="006348D3"/>
    <w:rsid w:val="006358E4"/>
    <w:rsid w:val="00635D25"/>
    <w:rsid w:val="00636234"/>
    <w:rsid w:val="00636582"/>
    <w:rsid w:val="00636804"/>
    <w:rsid w:val="00636957"/>
    <w:rsid w:val="00636F82"/>
    <w:rsid w:val="0063726F"/>
    <w:rsid w:val="0063779D"/>
    <w:rsid w:val="00637D2D"/>
    <w:rsid w:val="00641255"/>
    <w:rsid w:val="00641EA5"/>
    <w:rsid w:val="00642AB6"/>
    <w:rsid w:val="00642E9E"/>
    <w:rsid w:val="0064458B"/>
    <w:rsid w:val="0064687C"/>
    <w:rsid w:val="00650B1A"/>
    <w:rsid w:val="0065155F"/>
    <w:rsid w:val="006537F2"/>
    <w:rsid w:val="00653F38"/>
    <w:rsid w:val="00654CEA"/>
    <w:rsid w:val="00657633"/>
    <w:rsid w:val="00657A2A"/>
    <w:rsid w:val="00657B18"/>
    <w:rsid w:val="00660AAA"/>
    <w:rsid w:val="00660D28"/>
    <w:rsid w:val="00662071"/>
    <w:rsid w:val="006636FD"/>
    <w:rsid w:val="00663B1B"/>
    <w:rsid w:val="006642B1"/>
    <w:rsid w:val="00664799"/>
    <w:rsid w:val="00665B72"/>
    <w:rsid w:val="00665C81"/>
    <w:rsid w:val="00667D76"/>
    <w:rsid w:val="00670E7F"/>
    <w:rsid w:val="006712E8"/>
    <w:rsid w:val="006712F6"/>
    <w:rsid w:val="00671791"/>
    <w:rsid w:val="00672302"/>
    <w:rsid w:val="00674CD7"/>
    <w:rsid w:val="00674F2A"/>
    <w:rsid w:val="006753BA"/>
    <w:rsid w:val="00675A33"/>
    <w:rsid w:val="00676705"/>
    <w:rsid w:val="00676DA5"/>
    <w:rsid w:val="006800CB"/>
    <w:rsid w:val="00680AE5"/>
    <w:rsid w:val="00683205"/>
    <w:rsid w:val="0068325A"/>
    <w:rsid w:val="00684076"/>
    <w:rsid w:val="006869CD"/>
    <w:rsid w:val="0068775D"/>
    <w:rsid w:val="00690C40"/>
    <w:rsid w:val="00691476"/>
    <w:rsid w:val="00691C56"/>
    <w:rsid w:val="00692212"/>
    <w:rsid w:val="00694112"/>
    <w:rsid w:val="00694235"/>
    <w:rsid w:val="006942F8"/>
    <w:rsid w:val="006943C3"/>
    <w:rsid w:val="00694980"/>
    <w:rsid w:val="006970A8"/>
    <w:rsid w:val="006A0836"/>
    <w:rsid w:val="006A08E7"/>
    <w:rsid w:val="006A0A5E"/>
    <w:rsid w:val="006A0BF2"/>
    <w:rsid w:val="006A0D4E"/>
    <w:rsid w:val="006A0D96"/>
    <w:rsid w:val="006A19C5"/>
    <w:rsid w:val="006A2790"/>
    <w:rsid w:val="006A3051"/>
    <w:rsid w:val="006A3523"/>
    <w:rsid w:val="006A367D"/>
    <w:rsid w:val="006A454B"/>
    <w:rsid w:val="006A4727"/>
    <w:rsid w:val="006A4BF8"/>
    <w:rsid w:val="006A54C1"/>
    <w:rsid w:val="006B0551"/>
    <w:rsid w:val="006B1326"/>
    <w:rsid w:val="006B158E"/>
    <w:rsid w:val="006B2866"/>
    <w:rsid w:val="006B294C"/>
    <w:rsid w:val="006B2999"/>
    <w:rsid w:val="006B2A06"/>
    <w:rsid w:val="006B2CFA"/>
    <w:rsid w:val="006B2F49"/>
    <w:rsid w:val="006B5617"/>
    <w:rsid w:val="006B6D16"/>
    <w:rsid w:val="006C0450"/>
    <w:rsid w:val="006C2767"/>
    <w:rsid w:val="006C3041"/>
    <w:rsid w:val="006C50D8"/>
    <w:rsid w:val="006C55A6"/>
    <w:rsid w:val="006D1208"/>
    <w:rsid w:val="006D1917"/>
    <w:rsid w:val="006D2501"/>
    <w:rsid w:val="006D29EA"/>
    <w:rsid w:val="006D2ED4"/>
    <w:rsid w:val="006D37D3"/>
    <w:rsid w:val="006D3C2E"/>
    <w:rsid w:val="006D5D56"/>
    <w:rsid w:val="006D6157"/>
    <w:rsid w:val="006D767A"/>
    <w:rsid w:val="006D7F4A"/>
    <w:rsid w:val="006D7F4B"/>
    <w:rsid w:val="006E08FC"/>
    <w:rsid w:val="006E0CB1"/>
    <w:rsid w:val="006E0E1B"/>
    <w:rsid w:val="006E16D2"/>
    <w:rsid w:val="006E1CE9"/>
    <w:rsid w:val="006E1FBF"/>
    <w:rsid w:val="006E36F5"/>
    <w:rsid w:val="006E4341"/>
    <w:rsid w:val="006E4432"/>
    <w:rsid w:val="006E51F1"/>
    <w:rsid w:val="006E6556"/>
    <w:rsid w:val="006F10DE"/>
    <w:rsid w:val="006F1BD2"/>
    <w:rsid w:val="006F1C59"/>
    <w:rsid w:val="006F2F52"/>
    <w:rsid w:val="006F30D4"/>
    <w:rsid w:val="006F376C"/>
    <w:rsid w:val="006F3BA1"/>
    <w:rsid w:val="006F4218"/>
    <w:rsid w:val="006F4937"/>
    <w:rsid w:val="006F5C78"/>
    <w:rsid w:val="006F60DE"/>
    <w:rsid w:val="006F696F"/>
    <w:rsid w:val="006F6A39"/>
    <w:rsid w:val="006F6CCF"/>
    <w:rsid w:val="006F7A68"/>
    <w:rsid w:val="00701FF7"/>
    <w:rsid w:val="007040BF"/>
    <w:rsid w:val="00705885"/>
    <w:rsid w:val="0070588C"/>
    <w:rsid w:val="00710956"/>
    <w:rsid w:val="00710E17"/>
    <w:rsid w:val="00711203"/>
    <w:rsid w:val="007117BA"/>
    <w:rsid w:val="00712253"/>
    <w:rsid w:val="007129A6"/>
    <w:rsid w:val="007130C3"/>
    <w:rsid w:val="00714D05"/>
    <w:rsid w:val="007150D1"/>
    <w:rsid w:val="00716D93"/>
    <w:rsid w:val="0072073A"/>
    <w:rsid w:val="00721466"/>
    <w:rsid w:val="0072161C"/>
    <w:rsid w:val="0072168F"/>
    <w:rsid w:val="00721C4A"/>
    <w:rsid w:val="00724DEF"/>
    <w:rsid w:val="00726E4B"/>
    <w:rsid w:val="007318E0"/>
    <w:rsid w:val="00731B7B"/>
    <w:rsid w:val="00735553"/>
    <w:rsid w:val="007358D2"/>
    <w:rsid w:val="00735AF6"/>
    <w:rsid w:val="00736B2A"/>
    <w:rsid w:val="007378B4"/>
    <w:rsid w:val="00737AA0"/>
    <w:rsid w:val="00737F35"/>
    <w:rsid w:val="007401BF"/>
    <w:rsid w:val="007425AC"/>
    <w:rsid w:val="00742825"/>
    <w:rsid w:val="00742A4B"/>
    <w:rsid w:val="00745A40"/>
    <w:rsid w:val="00746138"/>
    <w:rsid w:val="00746827"/>
    <w:rsid w:val="00746DB8"/>
    <w:rsid w:val="007477E2"/>
    <w:rsid w:val="0075008D"/>
    <w:rsid w:val="00750D3A"/>
    <w:rsid w:val="00751125"/>
    <w:rsid w:val="007520EB"/>
    <w:rsid w:val="00752C97"/>
    <w:rsid w:val="00754555"/>
    <w:rsid w:val="00754D8A"/>
    <w:rsid w:val="007557BC"/>
    <w:rsid w:val="00755A29"/>
    <w:rsid w:val="00755A5B"/>
    <w:rsid w:val="00755E54"/>
    <w:rsid w:val="00756F6E"/>
    <w:rsid w:val="00760058"/>
    <w:rsid w:val="00760801"/>
    <w:rsid w:val="007616AB"/>
    <w:rsid w:val="007618B7"/>
    <w:rsid w:val="0076275C"/>
    <w:rsid w:val="007635EA"/>
    <w:rsid w:val="00764E90"/>
    <w:rsid w:val="007653BB"/>
    <w:rsid w:val="007657E3"/>
    <w:rsid w:val="00765C8D"/>
    <w:rsid w:val="0076630F"/>
    <w:rsid w:val="00766DBD"/>
    <w:rsid w:val="007716E7"/>
    <w:rsid w:val="0077272D"/>
    <w:rsid w:val="0077366B"/>
    <w:rsid w:val="007746EF"/>
    <w:rsid w:val="00775143"/>
    <w:rsid w:val="00775975"/>
    <w:rsid w:val="007769EC"/>
    <w:rsid w:val="00777BDB"/>
    <w:rsid w:val="00780DFB"/>
    <w:rsid w:val="00781444"/>
    <w:rsid w:val="00783C6F"/>
    <w:rsid w:val="007841D0"/>
    <w:rsid w:val="00786216"/>
    <w:rsid w:val="0079127E"/>
    <w:rsid w:val="007942C8"/>
    <w:rsid w:val="007943AC"/>
    <w:rsid w:val="00794EFB"/>
    <w:rsid w:val="00796876"/>
    <w:rsid w:val="00796DA5"/>
    <w:rsid w:val="00796FA9"/>
    <w:rsid w:val="00797BC9"/>
    <w:rsid w:val="007A0983"/>
    <w:rsid w:val="007A23C5"/>
    <w:rsid w:val="007A275C"/>
    <w:rsid w:val="007A2D0E"/>
    <w:rsid w:val="007A30BA"/>
    <w:rsid w:val="007A74AA"/>
    <w:rsid w:val="007A7CAE"/>
    <w:rsid w:val="007B01F3"/>
    <w:rsid w:val="007B1120"/>
    <w:rsid w:val="007B1439"/>
    <w:rsid w:val="007B211A"/>
    <w:rsid w:val="007B22E4"/>
    <w:rsid w:val="007B31A9"/>
    <w:rsid w:val="007B3934"/>
    <w:rsid w:val="007B4A9E"/>
    <w:rsid w:val="007B4E65"/>
    <w:rsid w:val="007B5487"/>
    <w:rsid w:val="007B6A2F"/>
    <w:rsid w:val="007B7035"/>
    <w:rsid w:val="007B78F2"/>
    <w:rsid w:val="007B7C63"/>
    <w:rsid w:val="007C0405"/>
    <w:rsid w:val="007C17DB"/>
    <w:rsid w:val="007C1A63"/>
    <w:rsid w:val="007C2A39"/>
    <w:rsid w:val="007C2EFE"/>
    <w:rsid w:val="007C3794"/>
    <w:rsid w:val="007C41D5"/>
    <w:rsid w:val="007C4811"/>
    <w:rsid w:val="007C4FBA"/>
    <w:rsid w:val="007C523A"/>
    <w:rsid w:val="007C6181"/>
    <w:rsid w:val="007C66B5"/>
    <w:rsid w:val="007C6E30"/>
    <w:rsid w:val="007C733D"/>
    <w:rsid w:val="007C7771"/>
    <w:rsid w:val="007D0720"/>
    <w:rsid w:val="007D0933"/>
    <w:rsid w:val="007D0ADD"/>
    <w:rsid w:val="007D0ED5"/>
    <w:rsid w:val="007D296A"/>
    <w:rsid w:val="007D298F"/>
    <w:rsid w:val="007D2B4D"/>
    <w:rsid w:val="007D2CA6"/>
    <w:rsid w:val="007D419F"/>
    <w:rsid w:val="007D59CA"/>
    <w:rsid w:val="007D5B49"/>
    <w:rsid w:val="007D683D"/>
    <w:rsid w:val="007D6BCC"/>
    <w:rsid w:val="007D77BA"/>
    <w:rsid w:val="007E018C"/>
    <w:rsid w:val="007E022F"/>
    <w:rsid w:val="007E051F"/>
    <w:rsid w:val="007E0C29"/>
    <w:rsid w:val="007E16F4"/>
    <w:rsid w:val="007E175C"/>
    <w:rsid w:val="007E24D1"/>
    <w:rsid w:val="007E397B"/>
    <w:rsid w:val="007E3C42"/>
    <w:rsid w:val="007E3CD7"/>
    <w:rsid w:val="007E4AC7"/>
    <w:rsid w:val="007E5744"/>
    <w:rsid w:val="007E6A50"/>
    <w:rsid w:val="007E7F78"/>
    <w:rsid w:val="007F0163"/>
    <w:rsid w:val="007F0421"/>
    <w:rsid w:val="007F0664"/>
    <w:rsid w:val="007F0F39"/>
    <w:rsid w:val="007F2AA7"/>
    <w:rsid w:val="007F4AEB"/>
    <w:rsid w:val="007F4BE9"/>
    <w:rsid w:val="007F5946"/>
    <w:rsid w:val="007F7CFD"/>
    <w:rsid w:val="008009D4"/>
    <w:rsid w:val="00800C38"/>
    <w:rsid w:val="00802688"/>
    <w:rsid w:val="00802AF1"/>
    <w:rsid w:val="0080475D"/>
    <w:rsid w:val="00804E21"/>
    <w:rsid w:val="00804E87"/>
    <w:rsid w:val="00805F92"/>
    <w:rsid w:val="00806622"/>
    <w:rsid w:val="00807CC5"/>
    <w:rsid w:val="008126B7"/>
    <w:rsid w:val="008140AE"/>
    <w:rsid w:val="0081506D"/>
    <w:rsid w:val="008167F7"/>
    <w:rsid w:val="00816B34"/>
    <w:rsid w:val="0081778F"/>
    <w:rsid w:val="008221D0"/>
    <w:rsid w:val="0082488E"/>
    <w:rsid w:val="008251EF"/>
    <w:rsid w:val="0082684C"/>
    <w:rsid w:val="008275DF"/>
    <w:rsid w:val="0083004E"/>
    <w:rsid w:val="008309E1"/>
    <w:rsid w:val="00830CBE"/>
    <w:rsid w:val="00831967"/>
    <w:rsid w:val="0083241A"/>
    <w:rsid w:val="0083253E"/>
    <w:rsid w:val="00833859"/>
    <w:rsid w:val="00834475"/>
    <w:rsid w:val="00835054"/>
    <w:rsid w:val="0083528D"/>
    <w:rsid w:val="008353B7"/>
    <w:rsid w:val="00837819"/>
    <w:rsid w:val="00837E81"/>
    <w:rsid w:val="00840214"/>
    <w:rsid w:val="00842091"/>
    <w:rsid w:val="008429EA"/>
    <w:rsid w:val="00842C98"/>
    <w:rsid w:val="00842D95"/>
    <w:rsid w:val="00843922"/>
    <w:rsid w:val="00844B0A"/>
    <w:rsid w:val="00844B97"/>
    <w:rsid w:val="0084509B"/>
    <w:rsid w:val="0084519F"/>
    <w:rsid w:val="00845CD8"/>
    <w:rsid w:val="00845D60"/>
    <w:rsid w:val="0084771C"/>
    <w:rsid w:val="00847E9B"/>
    <w:rsid w:val="0085083E"/>
    <w:rsid w:val="0085411A"/>
    <w:rsid w:val="008544C4"/>
    <w:rsid w:val="00854563"/>
    <w:rsid w:val="00854957"/>
    <w:rsid w:val="00854EB4"/>
    <w:rsid w:val="008559B9"/>
    <w:rsid w:val="00855A7C"/>
    <w:rsid w:val="00855F9F"/>
    <w:rsid w:val="00856423"/>
    <w:rsid w:val="008565C6"/>
    <w:rsid w:val="0085680C"/>
    <w:rsid w:val="008571A7"/>
    <w:rsid w:val="008602C4"/>
    <w:rsid w:val="00860345"/>
    <w:rsid w:val="0086132E"/>
    <w:rsid w:val="00861477"/>
    <w:rsid w:val="00863C35"/>
    <w:rsid w:val="00863D4B"/>
    <w:rsid w:val="00865454"/>
    <w:rsid w:val="00865D14"/>
    <w:rsid w:val="008662E6"/>
    <w:rsid w:val="0086642E"/>
    <w:rsid w:val="008671BE"/>
    <w:rsid w:val="00867635"/>
    <w:rsid w:val="00867747"/>
    <w:rsid w:val="0087145E"/>
    <w:rsid w:val="00872F2C"/>
    <w:rsid w:val="00873ACC"/>
    <w:rsid w:val="00873D44"/>
    <w:rsid w:val="00874564"/>
    <w:rsid w:val="00874914"/>
    <w:rsid w:val="008749D4"/>
    <w:rsid w:val="00876884"/>
    <w:rsid w:val="00876A23"/>
    <w:rsid w:val="00876AD4"/>
    <w:rsid w:val="00880A64"/>
    <w:rsid w:val="00880C6F"/>
    <w:rsid w:val="00880CF6"/>
    <w:rsid w:val="00881144"/>
    <w:rsid w:val="0088176F"/>
    <w:rsid w:val="00883D87"/>
    <w:rsid w:val="008845E9"/>
    <w:rsid w:val="00884D35"/>
    <w:rsid w:val="00885F36"/>
    <w:rsid w:val="00886290"/>
    <w:rsid w:val="00886A2A"/>
    <w:rsid w:val="00887486"/>
    <w:rsid w:val="00887536"/>
    <w:rsid w:val="00890C16"/>
    <w:rsid w:val="0089162D"/>
    <w:rsid w:val="00892E78"/>
    <w:rsid w:val="00894B2D"/>
    <w:rsid w:val="00894BE6"/>
    <w:rsid w:val="008950D7"/>
    <w:rsid w:val="008972A8"/>
    <w:rsid w:val="008973FD"/>
    <w:rsid w:val="0089754E"/>
    <w:rsid w:val="008A1366"/>
    <w:rsid w:val="008A2227"/>
    <w:rsid w:val="008A279B"/>
    <w:rsid w:val="008A53DE"/>
    <w:rsid w:val="008A57EE"/>
    <w:rsid w:val="008A593E"/>
    <w:rsid w:val="008A601A"/>
    <w:rsid w:val="008A604D"/>
    <w:rsid w:val="008A6533"/>
    <w:rsid w:val="008A703D"/>
    <w:rsid w:val="008A7F45"/>
    <w:rsid w:val="008A7FC2"/>
    <w:rsid w:val="008B15F6"/>
    <w:rsid w:val="008B1A89"/>
    <w:rsid w:val="008B335D"/>
    <w:rsid w:val="008B4190"/>
    <w:rsid w:val="008B4AF6"/>
    <w:rsid w:val="008B4B14"/>
    <w:rsid w:val="008B5955"/>
    <w:rsid w:val="008B676C"/>
    <w:rsid w:val="008C05DA"/>
    <w:rsid w:val="008C0EF5"/>
    <w:rsid w:val="008C0F2E"/>
    <w:rsid w:val="008C132F"/>
    <w:rsid w:val="008C2346"/>
    <w:rsid w:val="008C234B"/>
    <w:rsid w:val="008C3FC3"/>
    <w:rsid w:val="008C4D75"/>
    <w:rsid w:val="008C53A7"/>
    <w:rsid w:val="008C71AF"/>
    <w:rsid w:val="008C7AA2"/>
    <w:rsid w:val="008C7C60"/>
    <w:rsid w:val="008D0143"/>
    <w:rsid w:val="008D07C5"/>
    <w:rsid w:val="008D16EC"/>
    <w:rsid w:val="008D1A52"/>
    <w:rsid w:val="008D1AB5"/>
    <w:rsid w:val="008D2C60"/>
    <w:rsid w:val="008D2FA3"/>
    <w:rsid w:val="008D3B4E"/>
    <w:rsid w:val="008D4FFB"/>
    <w:rsid w:val="008D516B"/>
    <w:rsid w:val="008D5673"/>
    <w:rsid w:val="008D7204"/>
    <w:rsid w:val="008E025B"/>
    <w:rsid w:val="008E201C"/>
    <w:rsid w:val="008E217B"/>
    <w:rsid w:val="008E2997"/>
    <w:rsid w:val="008E3608"/>
    <w:rsid w:val="008E38A0"/>
    <w:rsid w:val="008E4042"/>
    <w:rsid w:val="008E4189"/>
    <w:rsid w:val="008E60DC"/>
    <w:rsid w:val="008E7374"/>
    <w:rsid w:val="008E763F"/>
    <w:rsid w:val="008E7CF7"/>
    <w:rsid w:val="008F0DD1"/>
    <w:rsid w:val="008F300C"/>
    <w:rsid w:val="008F4788"/>
    <w:rsid w:val="008F4A9C"/>
    <w:rsid w:val="008F4BC2"/>
    <w:rsid w:val="008F4DB4"/>
    <w:rsid w:val="008F52E3"/>
    <w:rsid w:val="008F53C4"/>
    <w:rsid w:val="008F6F4E"/>
    <w:rsid w:val="008F7AAB"/>
    <w:rsid w:val="009007A2"/>
    <w:rsid w:val="0090134D"/>
    <w:rsid w:val="00901439"/>
    <w:rsid w:val="00901B30"/>
    <w:rsid w:val="00901B42"/>
    <w:rsid w:val="009020A1"/>
    <w:rsid w:val="00902E10"/>
    <w:rsid w:val="00904B49"/>
    <w:rsid w:val="0090581F"/>
    <w:rsid w:val="00906EC4"/>
    <w:rsid w:val="009072A5"/>
    <w:rsid w:val="009074CD"/>
    <w:rsid w:val="00907BC5"/>
    <w:rsid w:val="00907E67"/>
    <w:rsid w:val="00910BCB"/>
    <w:rsid w:val="00911AD1"/>
    <w:rsid w:val="009123AC"/>
    <w:rsid w:val="00912C84"/>
    <w:rsid w:val="00913666"/>
    <w:rsid w:val="009139DA"/>
    <w:rsid w:val="00913D2F"/>
    <w:rsid w:val="00913FB7"/>
    <w:rsid w:val="00914323"/>
    <w:rsid w:val="009152FB"/>
    <w:rsid w:val="009155B3"/>
    <w:rsid w:val="00916BCC"/>
    <w:rsid w:val="00916C99"/>
    <w:rsid w:val="00917F29"/>
    <w:rsid w:val="00921F52"/>
    <w:rsid w:val="00922171"/>
    <w:rsid w:val="009223C9"/>
    <w:rsid w:val="00923644"/>
    <w:rsid w:val="00924962"/>
    <w:rsid w:val="00924F48"/>
    <w:rsid w:val="00926274"/>
    <w:rsid w:val="00926C56"/>
    <w:rsid w:val="0092749F"/>
    <w:rsid w:val="00927DF0"/>
    <w:rsid w:val="00930501"/>
    <w:rsid w:val="00931C21"/>
    <w:rsid w:val="009345D4"/>
    <w:rsid w:val="00934B6E"/>
    <w:rsid w:val="00934D03"/>
    <w:rsid w:val="00936295"/>
    <w:rsid w:val="00937F1F"/>
    <w:rsid w:val="00940D42"/>
    <w:rsid w:val="00942482"/>
    <w:rsid w:val="009435E1"/>
    <w:rsid w:val="0094373C"/>
    <w:rsid w:val="00943F75"/>
    <w:rsid w:val="009443D9"/>
    <w:rsid w:val="00944B77"/>
    <w:rsid w:val="00945A3A"/>
    <w:rsid w:val="00945E56"/>
    <w:rsid w:val="00946699"/>
    <w:rsid w:val="009467E6"/>
    <w:rsid w:val="009471C9"/>
    <w:rsid w:val="00947D04"/>
    <w:rsid w:val="00947F50"/>
    <w:rsid w:val="009501F3"/>
    <w:rsid w:val="0095060C"/>
    <w:rsid w:val="00950948"/>
    <w:rsid w:val="00950DB0"/>
    <w:rsid w:val="00951452"/>
    <w:rsid w:val="00951714"/>
    <w:rsid w:val="009525BE"/>
    <w:rsid w:val="00952E5C"/>
    <w:rsid w:val="0095422B"/>
    <w:rsid w:val="00954BBE"/>
    <w:rsid w:val="00955D27"/>
    <w:rsid w:val="00955EC2"/>
    <w:rsid w:val="00956325"/>
    <w:rsid w:val="0095636D"/>
    <w:rsid w:val="00956F30"/>
    <w:rsid w:val="00957D10"/>
    <w:rsid w:val="009602A8"/>
    <w:rsid w:val="00960BB1"/>
    <w:rsid w:val="00960C97"/>
    <w:rsid w:val="009618F0"/>
    <w:rsid w:val="009619FD"/>
    <w:rsid w:val="009620B7"/>
    <w:rsid w:val="00963732"/>
    <w:rsid w:val="00963F51"/>
    <w:rsid w:val="00964651"/>
    <w:rsid w:val="0096594F"/>
    <w:rsid w:val="00965B7C"/>
    <w:rsid w:val="00965F33"/>
    <w:rsid w:val="00966554"/>
    <w:rsid w:val="00966DF4"/>
    <w:rsid w:val="009724AD"/>
    <w:rsid w:val="009733C4"/>
    <w:rsid w:val="0097400E"/>
    <w:rsid w:val="00974345"/>
    <w:rsid w:val="00977281"/>
    <w:rsid w:val="009775B5"/>
    <w:rsid w:val="00977B4F"/>
    <w:rsid w:val="00977D47"/>
    <w:rsid w:val="00980EED"/>
    <w:rsid w:val="00981304"/>
    <w:rsid w:val="00981794"/>
    <w:rsid w:val="00981940"/>
    <w:rsid w:val="00981A2E"/>
    <w:rsid w:val="00982265"/>
    <w:rsid w:val="00982535"/>
    <w:rsid w:val="009835F5"/>
    <w:rsid w:val="0098416B"/>
    <w:rsid w:val="00985A6F"/>
    <w:rsid w:val="00985CC0"/>
    <w:rsid w:val="00985DB8"/>
    <w:rsid w:val="00987E27"/>
    <w:rsid w:val="00990A79"/>
    <w:rsid w:val="009910A2"/>
    <w:rsid w:val="00992900"/>
    <w:rsid w:val="00992E3C"/>
    <w:rsid w:val="0099492E"/>
    <w:rsid w:val="009951C4"/>
    <w:rsid w:val="00997BC5"/>
    <w:rsid w:val="009A1CC9"/>
    <w:rsid w:val="009A370B"/>
    <w:rsid w:val="009A4D26"/>
    <w:rsid w:val="009A5783"/>
    <w:rsid w:val="009A6387"/>
    <w:rsid w:val="009A6DAE"/>
    <w:rsid w:val="009A7EF6"/>
    <w:rsid w:val="009B22C4"/>
    <w:rsid w:val="009B2A78"/>
    <w:rsid w:val="009B3603"/>
    <w:rsid w:val="009B5047"/>
    <w:rsid w:val="009B50D3"/>
    <w:rsid w:val="009B71E3"/>
    <w:rsid w:val="009B7EA9"/>
    <w:rsid w:val="009C07F4"/>
    <w:rsid w:val="009C12A8"/>
    <w:rsid w:val="009C222B"/>
    <w:rsid w:val="009C5655"/>
    <w:rsid w:val="009C6963"/>
    <w:rsid w:val="009C6C45"/>
    <w:rsid w:val="009C7D35"/>
    <w:rsid w:val="009D0096"/>
    <w:rsid w:val="009D2429"/>
    <w:rsid w:val="009D289B"/>
    <w:rsid w:val="009D35A4"/>
    <w:rsid w:val="009D3850"/>
    <w:rsid w:val="009D3F6F"/>
    <w:rsid w:val="009D4C35"/>
    <w:rsid w:val="009D5569"/>
    <w:rsid w:val="009D6B85"/>
    <w:rsid w:val="009D7231"/>
    <w:rsid w:val="009D78BA"/>
    <w:rsid w:val="009D78F1"/>
    <w:rsid w:val="009D7C7A"/>
    <w:rsid w:val="009E0058"/>
    <w:rsid w:val="009E2D6C"/>
    <w:rsid w:val="009E34CF"/>
    <w:rsid w:val="009E3902"/>
    <w:rsid w:val="009E48D0"/>
    <w:rsid w:val="009E6040"/>
    <w:rsid w:val="009E64B6"/>
    <w:rsid w:val="009E683F"/>
    <w:rsid w:val="009E6F57"/>
    <w:rsid w:val="009E773F"/>
    <w:rsid w:val="009F1099"/>
    <w:rsid w:val="009F1965"/>
    <w:rsid w:val="009F2A16"/>
    <w:rsid w:val="009F2FE0"/>
    <w:rsid w:val="009F3426"/>
    <w:rsid w:val="009F3825"/>
    <w:rsid w:val="009F5FD0"/>
    <w:rsid w:val="009F601B"/>
    <w:rsid w:val="009F643C"/>
    <w:rsid w:val="009F77B7"/>
    <w:rsid w:val="009F797B"/>
    <w:rsid w:val="00A00266"/>
    <w:rsid w:val="00A0121F"/>
    <w:rsid w:val="00A01C92"/>
    <w:rsid w:val="00A02EDE"/>
    <w:rsid w:val="00A03BF3"/>
    <w:rsid w:val="00A04182"/>
    <w:rsid w:val="00A04F3E"/>
    <w:rsid w:val="00A0521D"/>
    <w:rsid w:val="00A053BD"/>
    <w:rsid w:val="00A05A4D"/>
    <w:rsid w:val="00A05C77"/>
    <w:rsid w:val="00A061A8"/>
    <w:rsid w:val="00A06432"/>
    <w:rsid w:val="00A06689"/>
    <w:rsid w:val="00A117D5"/>
    <w:rsid w:val="00A12E40"/>
    <w:rsid w:val="00A12F08"/>
    <w:rsid w:val="00A14255"/>
    <w:rsid w:val="00A14DFE"/>
    <w:rsid w:val="00A150EA"/>
    <w:rsid w:val="00A15451"/>
    <w:rsid w:val="00A157D3"/>
    <w:rsid w:val="00A162F7"/>
    <w:rsid w:val="00A20419"/>
    <w:rsid w:val="00A204C5"/>
    <w:rsid w:val="00A214C3"/>
    <w:rsid w:val="00A228BD"/>
    <w:rsid w:val="00A2308D"/>
    <w:rsid w:val="00A249D1"/>
    <w:rsid w:val="00A25806"/>
    <w:rsid w:val="00A268DA"/>
    <w:rsid w:val="00A26B03"/>
    <w:rsid w:val="00A30172"/>
    <w:rsid w:val="00A31167"/>
    <w:rsid w:val="00A3238A"/>
    <w:rsid w:val="00A32FF7"/>
    <w:rsid w:val="00A3312C"/>
    <w:rsid w:val="00A3351A"/>
    <w:rsid w:val="00A34249"/>
    <w:rsid w:val="00A34B48"/>
    <w:rsid w:val="00A37016"/>
    <w:rsid w:val="00A37DE5"/>
    <w:rsid w:val="00A4026F"/>
    <w:rsid w:val="00A405BC"/>
    <w:rsid w:val="00A41D06"/>
    <w:rsid w:val="00A41ED4"/>
    <w:rsid w:val="00A424E6"/>
    <w:rsid w:val="00A42CEE"/>
    <w:rsid w:val="00A42F9D"/>
    <w:rsid w:val="00A43855"/>
    <w:rsid w:val="00A44E9A"/>
    <w:rsid w:val="00A45CB9"/>
    <w:rsid w:val="00A45DE6"/>
    <w:rsid w:val="00A47DCE"/>
    <w:rsid w:val="00A50427"/>
    <w:rsid w:val="00A5177F"/>
    <w:rsid w:val="00A52E9A"/>
    <w:rsid w:val="00A52FCC"/>
    <w:rsid w:val="00A5342C"/>
    <w:rsid w:val="00A53A15"/>
    <w:rsid w:val="00A5426B"/>
    <w:rsid w:val="00A55616"/>
    <w:rsid w:val="00A56B79"/>
    <w:rsid w:val="00A56DAB"/>
    <w:rsid w:val="00A57CC3"/>
    <w:rsid w:val="00A61AF0"/>
    <w:rsid w:val="00A620B3"/>
    <w:rsid w:val="00A62487"/>
    <w:rsid w:val="00A6344D"/>
    <w:rsid w:val="00A63524"/>
    <w:rsid w:val="00A6355A"/>
    <w:rsid w:val="00A63662"/>
    <w:rsid w:val="00A63E20"/>
    <w:rsid w:val="00A653D7"/>
    <w:rsid w:val="00A66229"/>
    <w:rsid w:val="00A669FD"/>
    <w:rsid w:val="00A6737E"/>
    <w:rsid w:val="00A70E2D"/>
    <w:rsid w:val="00A71216"/>
    <w:rsid w:val="00A71E45"/>
    <w:rsid w:val="00A7362C"/>
    <w:rsid w:val="00A74EF5"/>
    <w:rsid w:val="00A753D8"/>
    <w:rsid w:val="00A76E73"/>
    <w:rsid w:val="00A77395"/>
    <w:rsid w:val="00A77660"/>
    <w:rsid w:val="00A77A0E"/>
    <w:rsid w:val="00A80343"/>
    <w:rsid w:val="00A805D3"/>
    <w:rsid w:val="00A81119"/>
    <w:rsid w:val="00A82342"/>
    <w:rsid w:val="00A826B2"/>
    <w:rsid w:val="00A84FC8"/>
    <w:rsid w:val="00A8564E"/>
    <w:rsid w:val="00A85937"/>
    <w:rsid w:val="00A85AED"/>
    <w:rsid w:val="00A85DE2"/>
    <w:rsid w:val="00A8720F"/>
    <w:rsid w:val="00A87BEE"/>
    <w:rsid w:val="00A91344"/>
    <w:rsid w:val="00A91832"/>
    <w:rsid w:val="00A91FFE"/>
    <w:rsid w:val="00A937B4"/>
    <w:rsid w:val="00A94A6A"/>
    <w:rsid w:val="00A94D1B"/>
    <w:rsid w:val="00A95BAD"/>
    <w:rsid w:val="00A965F4"/>
    <w:rsid w:val="00A96845"/>
    <w:rsid w:val="00A96C3C"/>
    <w:rsid w:val="00AA0595"/>
    <w:rsid w:val="00AA0B9A"/>
    <w:rsid w:val="00AA1A2D"/>
    <w:rsid w:val="00AA205B"/>
    <w:rsid w:val="00AA2093"/>
    <w:rsid w:val="00AA29F2"/>
    <w:rsid w:val="00AA2FB8"/>
    <w:rsid w:val="00AA300A"/>
    <w:rsid w:val="00AA522E"/>
    <w:rsid w:val="00AA5321"/>
    <w:rsid w:val="00AA6569"/>
    <w:rsid w:val="00AB0532"/>
    <w:rsid w:val="00AB0E37"/>
    <w:rsid w:val="00AB219A"/>
    <w:rsid w:val="00AB349E"/>
    <w:rsid w:val="00AB3EF4"/>
    <w:rsid w:val="00AB4607"/>
    <w:rsid w:val="00AB576C"/>
    <w:rsid w:val="00AB602D"/>
    <w:rsid w:val="00AB6C6D"/>
    <w:rsid w:val="00AB7A00"/>
    <w:rsid w:val="00AC197C"/>
    <w:rsid w:val="00AC40F5"/>
    <w:rsid w:val="00AC4A00"/>
    <w:rsid w:val="00AC5AEE"/>
    <w:rsid w:val="00AC5B36"/>
    <w:rsid w:val="00AC60B8"/>
    <w:rsid w:val="00AC72ED"/>
    <w:rsid w:val="00AC7393"/>
    <w:rsid w:val="00AC7D95"/>
    <w:rsid w:val="00AD0696"/>
    <w:rsid w:val="00AD0C23"/>
    <w:rsid w:val="00AD0FFB"/>
    <w:rsid w:val="00AD3642"/>
    <w:rsid w:val="00AD3776"/>
    <w:rsid w:val="00AD3846"/>
    <w:rsid w:val="00AD4EBF"/>
    <w:rsid w:val="00AD523C"/>
    <w:rsid w:val="00AD55D2"/>
    <w:rsid w:val="00AD5ABE"/>
    <w:rsid w:val="00AD6FC2"/>
    <w:rsid w:val="00AD7AA6"/>
    <w:rsid w:val="00AE0BE0"/>
    <w:rsid w:val="00AE126B"/>
    <w:rsid w:val="00AE2002"/>
    <w:rsid w:val="00AE3E6D"/>
    <w:rsid w:val="00AE3FF4"/>
    <w:rsid w:val="00AE4107"/>
    <w:rsid w:val="00AE7A89"/>
    <w:rsid w:val="00AF1217"/>
    <w:rsid w:val="00AF12BA"/>
    <w:rsid w:val="00AF39E9"/>
    <w:rsid w:val="00AF3FF1"/>
    <w:rsid w:val="00AF40D4"/>
    <w:rsid w:val="00AF5F5E"/>
    <w:rsid w:val="00AF6204"/>
    <w:rsid w:val="00AF7E2C"/>
    <w:rsid w:val="00B0038A"/>
    <w:rsid w:val="00B02079"/>
    <w:rsid w:val="00B0245F"/>
    <w:rsid w:val="00B0399D"/>
    <w:rsid w:val="00B041B5"/>
    <w:rsid w:val="00B042C3"/>
    <w:rsid w:val="00B04B8A"/>
    <w:rsid w:val="00B04D1D"/>
    <w:rsid w:val="00B05033"/>
    <w:rsid w:val="00B05EC4"/>
    <w:rsid w:val="00B06B49"/>
    <w:rsid w:val="00B06D68"/>
    <w:rsid w:val="00B07D2F"/>
    <w:rsid w:val="00B109CD"/>
    <w:rsid w:val="00B11206"/>
    <w:rsid w:val="00B11527"/>
    <w:rsid w:val="00B13D3E"/>
    <w:rsid w:val="00B142EA"/>
    <w:rsid w:val="00B15407"/>
    <w:rsid w:val="00B1548D"/>
    <w:rsid w:val="00B1623D"/>
    <w:rsid w:val="00B17427"/>
    <w:rsid w:val="00B20235"/>
    <w:rsid w:val="00B20716"/>
    <w:rsid w:val="00B22623"/>
    <w:rsid w:val="00B227B4"/>
    <w:rsid w:val="00B22B86"/>
    <w:rsid w:val="00B231B4"/>
    <w:rsid w:val="00B258AB"/>
    <w:rsid w:val="00B25962"/>
    <w:rsid w:val="00B25B89"/>
    <w:rsid w:val="00B260F5"/>
    <w:rsid w:val="00B26EAB"/>
    <w:rsid w:val="00B27B24"/>
    <w:rsid w:val="00B27BD3"/>
    <w:rsid w:val="00B309B3"/>
    <w:rsid w:val="00B30CFC"/>
    <w:rsid w:val="00B31623"/>
    <w:rsid w:val="00B3208C"/>
    <w:rsid w:val="00B321BC"/>
    <w:rsid w:val="00B321F0"/>
    <w:rsid w:val="00B32BC4"/>
    <w:rsid w:val="00B33A55"/>
    <w:rsid w:val="00B34C7F"/>
    <w:rsid w:val="00B34E2E"/>
    <w:rsid w:val="00B3662E"/>
    <w:rsid w:val="00B37666"/>
    <w:rsid w:val="00B37674"/>
    <w:rsid w:val="00B377D2"/>
    <w:rsid w:val="00B3780D"/>
    <w:rsid w:val="00B40663"/>
    <w:rsid w:val="00B40852"/>
    <w:rsid w:val="00B4276B"/>
    <w:rsid w:val="00B42862"/>
    <w:rsid w:val="00B42B94"/>
    <w:rsid w:val="00B42F23"/>
    <w:rsid w:val="00B43049"/>
    <w:rsid w:val="00B43108"/>
    <w:rsid w:val="00B44A82"/>
    <w:rsid w:val="00B44F40"/>
    <w:rsid w:val="00B44F8D"/>
    <w:rsid w:val="00B4587E"/>
    <w:rsid w:val="00B460DF"/>
    <w:rsid w:val="00B4716B"/>
    <w:rsid w:val="00B47F18"/>
    <w:rsid w:val="00B5078E"/>
    <w:rsid w:val="00B5150A"/>
    <w:rsid w:val="00B52CF7"/>
    <w:rsid w:val="00B55477"/>
    <w:rsid w:val="00B55C4D"/>
    <w:rsid w:val="00B56708"/>
    <w:rsid w:val="00B57043"/>
    <w:rsid w:val="00B6039F"/>
    <w:rsid w:val="00B61813"/>
    <w:rsid w:val="00B624C1"/>
    <w:rsid w:val="00B63711"/>
    <w:rsid w:val="00B655BB"/>
    <w:rsid w:val="00B70686"/>
    <w:rsid w:val="00B71110"/>
    <w:rsid w:val="00B7111F"/>
    <w:rsid w:val="00B71274"/>
    <w:rsid w:val="00B7145A"/>
    <w:rsid w:val="00B72B27"/>
    <w:rsid w:val="00B74FF6"/>
    <w:rsid w:val="00B75759"/>
    <w:rsid w:val="00B75D46"/>
    <w:rsid w:val="00B760FB"/>
    <w:rsid w:val="00B7729F"/>
    <w:rsid w:val="00B77FD4"/>
    <w:rsid w:val="00B800A2"/>
    <w:rsid w:val="00B802A5"/>
    <w:rsid w:val="00B806FB"/>
    <w:rsid w:val="00B80C03"/>
    <w:rsid w:val="00B81755"/>
    <w:rsid w:val="00B82077"/>
    <w:rsid w:val="00B82433"/>
    <w:rsid w:val="00B835A0"/>
    <w:rsid w:val="00B840A3"/>
    <w:rsid w:val="00B86520"/>
    <w:rsid w:val="00B86B70"/>
    <w:rsid w:val="00B86FBC"/>
    <w:rsid w:val="00B87044"/>
    <w:rsid w:val="00B87531"/>
    <w:rsid w:val="00B90546"/>
    <w:rsid w:val="00B913DE"/>
    <w:rsid w:val="00B91FC3"/>
    <w:rsid w:val="00B92F54"/>
    <w:rsid w:val="00B930BE"/>
    <w:rsid w:val="00B944B0"/>
    <w:rsid w:val="00B94B72"/>
    <w:rsid w:val="00B94CD0"/>
    <w:rsid w:val="00B94FD1"/>
    <w:rsid w:val="00B9515B"/>
    <w:rsid w:val="00B95775"/>
    <w:rsid w:val="00B96716"/>
    <w:rsid w:val="00B969BE"/>
    <w:rsid w:val="00B96B71"/>
    <w:rsid w:val="00B96EE7"/>
    <w:rsid w:val="00B97902"/>
    <w:rsid w:val="00BA0DE0"/>
    <w:rsid w:val="00BA2AD7"/>
    <w:rsid w:val="00BA3C15"/>
    <w:rsid w:val="00BA412C"/>
    <w:rsid w:val="00BA4260"/>
    <w:rsid w:val="00BA43BF"/>
    <w:rsid w:val="00BA7202"/>
    <w:rsid w:val="00BA7251"/>
    <w:rsid w:val="00BA729D"/>
    <w:rsid w:val="00BA741D"/>
    <w:rsid w:val="00BB01A7"/>
    <w:rsid w:val="00BB082F"/>
    <w:rsid w:val="00BB109F"/>
    <w:rsid w:val="00BB1710"/>
    <w:rsid w:val="00BB43A2"/>
    <w:rsid w:val="00BB517B"/>
    <w:rsid w:val="00BB5868"/>
    <w:rsid w:val="00BB58EA"/>
    <w:rsid w:val="00BB6470"/>
    <w:rsid w:val="00BB66D8"/>
    <w:rsid w:val="00BB67AE"/>
    <w:rsid w:val="00BB750B"/>
    <w:rsid w:val="00BB7609"/>
    <w:rsid w:val="00BB7D60"/>
    <w:rsid w:val="00BC0700"/>
    <w:rsid w:val="00BC08A8"/>
    <w:rsid w:val="00BC0F22"/>
    <w:rsid w:val="00BC31CE"/>
    <w:rsid w:val="00BC3690"/>
    <w:rsid w:val="00BC5CC0"/>
    <w:rsid w:val="00BC73AE"/>
    <w:rsid w:val="00BC793F"/>
    <w:rsid w:val="00BC7A3F"/>
    <w:rsid w:val="00BD045E"/>
    <w:rsid w:val="00BD0B7C"/>
    <w:rsid w:val="00BD0E2E"/>
    <w:rsid w:val="00BD1DFD"/>
    <w:rsid w:val="00BD5A5E"/>
    <w:rsid w:val="00BD5E2F"/>
    <w:rsid w:val="00BD6834"/>
    <w:rsid w:val="00BD68A6"/>
    <w:rsid w:val="00BD70DE"/>
    <w:rsid w:val="00BE2262"/>
    <w:rsid w:val="00BE2E22"/>
    <w:rsid w:val="00BE3D08"/>
    <w:rsid w:val="00BE568F"/>
    <w:rsid w:val="00BE69BC"/>
    <w:rsid w:val="00BE6BBC"/>
    <w:rsid w:val="00BE6F44"/>
    <w:rsid w:val="00BF067C"/>
    <w:rsid w:val="00BF1A8E"/>
    <w:rsid w:val="00BF1B28"/>
    <w:rsid w:val="00BF3493"/>
    <w:rsid w:val="00BF3E1E"/>
    <w:rsid w:val="00BF5223"/>
    <w:rsid w:val="00BF5BEC"/>
    <w:rsid w:val="00BF5CD2"/>
    <w:rsid w:val="00BF64E2"/>
    <w:rsid w:val="00BF6B1F"/>
    <w:rsid w:val="00C01296"/>
    <w:rsid w:val="00C02C9B"/>
    <w:rsid w:val="00C02CF8"/>
    <w:rsid w:val="00C03372"/>
    <w:rsid w:val="00C054EE"/>
    <w:rsid w:val="00C073B1"/>
    <w:rsid w:val="00C076F5"/>
    <w:rsid w:val="00C07956"/>
    <w:rsid w:val="00C07B43"/>
    <w:rsid w:val="00C07C8E"/>
    <w:rsid w:val="00C07EBD"/>
    <w:rsid w:val="00C1060D"/>
    <w:rsid w:val="00C113CB"/>
    <w:rsid w:val="00C12804"/>
    <w:rsid w:val="00C12E74"/>
    <w:rsid w:val="00C13672"/>
    <w:rsid w:val="00C139ED"/>
    <w:rsid w:val="00C14E28"/>
    <w:rsid w:val="00C15196"/>
    <w:rsid w:val="00C16F70"/>
    <w:rsid w:val="00C1701A"/>
    <w:rsid w:val="00C17E31"/>
    <w:rsid w:val="00C2236B"/>
    <w:rsid w:val="00C244E5"/>
    <w:rsid w:val="00C274CF"/>
    <w:rsid w:val="00C3209F"/>
    <w:rsid w:val="00C320E4"/>
    <w:rsid w:val="00C335E5"/>
    <w:rsid w:val="00C340FD"/>
    <w:rsid w:val="00C34250"/>
    <w:rsid w:val="00C34CE4"/>
    <w:rsid w:val="00C34EE3"/>
    <w:rsid w:val="00C3622B"/>
    <w:rsid w:val="00C36864"/>
    <w:rsid w:val="00C375DD"/>
    <w:rsid w:val="00C37977"/>
    <w:rsid w:val="00C405C6"/>
    <w:rsid w:val="00C40B87"/>
    <w:rsid w:val="00C4136C"/>
    <w:rsid w:val="00C4149E"/>
    <w:rsid w:val="00C428A3"/>
    <w:rsid w:val="00C431B2"/>
    <w:rsid w:val="00C43879"/>
    <w:rsid w:val="00C438BD"/>
    <w:rsid w:val="00C43F7F"/>
    <w:rsid w:val="00C442CA"/>
    <w:rsid w:val="00C44E40"/>
    <w:rsid w:val="00C4506D"/>
    <w:rsid w:val="00C45F26"/>
    <w:rsid w:val="00C5156D"/>
    <w:rsid w:val="00C51909"/>
    <w:rsid w:val="00C530DB"/>
    <w:rsid w:val="00C547C3"/>
    <w:rsid w:val="00C54FCB"/>
    <w:rsid w:val="00C54FE1"/>
    <w:rsid w:val="00C559E6"/>
    <w:rsid w:val="00C55B92"/>
    <w:rsid w:val="00C55C79"/>
    <w:rsid w:val="00C56654"/>
    <w:rsid w:val="00C56EFC"/>
    <w:rsid w:val="00C606A9"/>
    <w:rsid w:val="00C60FA6"/>
    <w:rsid w:val="00C6191D"/>
    <w:rsid w:val="00C63760"/>
    <w:rsid w:val="00C643B5"/>
    <w:rsid w:val="00C649CA"/>
    <w:rsid w:val="00C64A90"/>
    <w:rsid w:val="00C64EAF"/>
    <w:rsid w:val="00C655FA"/>
    <w:rsid w:val="00C65B6E"/>
    <w:rsid w:val="00C664FE"/>
    <w:rsid w:val="00C665AD"/>
    <w:rsid w:val="00C66C88"/>
    <w:rsid w:val="00C67341"/>
    <w:rsid w:val="00C673DB"/>
    <w:rsid w:val="00C67479"/>
    <w:rsid w:val="00C70388"/>
    <w:rsid w:val="00C703FD"/>
    <w:rsid w:val="00C7075E"/>
    <w:rsid w:val="00C70889"/>
    <w:rsid w:val="00C70C10"/>
    <w:rsid w:val="00C72F59"/>
    <w:rsid w:val="00C73BAC"/>
    <w:rsid w:val="00C74E38"/>
    <w:rsid w:val="00C74FA8"/>
    <w:rsid w:val="00C756FA"/>
    <w:rsid w:val="00C75B6D"/>
    <w:rsid w:val="00C805F9"/>
    <w:rsid w:val="00C8082A"/>
    <w:rsid w:val="00C83879"/>
    <w:rsid w:val="00C83EDD"/>
    <w:rsid w:val="00C8403F"/>
    <w:rsid w:val="00C8521C"/>
    <w:rsid w:val="00C85AC1"/>
    <w:rsid w:val="00C86A5E"/>
    <w:rsid w:val="00C87240"/>
    <w:rsid w:val="00C901AA"/>
    <w:rsid w:val="00C90FE9"/>
    <w:rsid w:val="00C93635"/>
    <w:rsid w:val="00C945BC"/>
    <w:rsid w:val="00C949A6"/>
    <w:rsid w:val="00C94E49"/>
    <w:rsid w:val="00C952F3"/>
    <w:rsid w:val="00C96B86"/>
    <w:rsid w:val="00C96BA5"/>
    <w:rsid w:val="00C979CD"/>
    <w:rsid w:val="00CA2615"/>
    <w:rsid w:val="00CA2B9A"/>
    <w:rsid w:val="00CA3235"/>
    <w:rsid w:val="00CA34AE"/>
    <w:rsid w:val="00CA4989"/>
    <w:rsid w:val="00CA4F13"/>
    <w:rsid w:val="00CA7116"/>
    <w:rsid w:val="00CA7C8D"/>
    <w:rsid w:val="00CB0308"/>
    <w:rsid w:val="00CB0916"/>
    <w:rsid w:val="00CB09A1"/>
    <w:rsid w:val="00CB0B48"/>
    <w:rsid w:val="00CB18C6"/>
    <w:rsid w:val="00CB1D09"/>
    <w:rsid w:val="00CB2545"/>
    <w:rsid w:val="00CB258E"/>
    <w:rsid w:val="00CB2C9E"/>
    <w:rsid w:val="00CB3C12"/>
    <w:rsid w:val="00CB4317"/>
    <w:rsid w:val="00CB48D2"/>
    <w:rsid w:val="00CB4C4C"/>
    <w:rsid w:val="00CB533C"/>
    <w:rsid w:val="00CB5E1F"/>
    <w:rsid w:val="00CB668F"/>
    <w:rsid w:val="00CB66FC"/>
    <w:rsid w:val="00CB79F4"/>
    <w:rsid w:val="00CC0CBE"/>
    <w:rsid w:val="00CC1291"/>
    <w:rsid w:val="00CC1895"/>
    <w:rsid w:val="00CC2564"/>
    <w:rsid w:val="00CC268A"/>
    <w:rsid w:val="00CC27F3"/>
    <w:rsid w:val="00CC3988"/>
    <w:rsid w:val="00CC3C0B"/>
    <w:rsid w:val="00CC4435"/>
    <w:rsid w:val="00CC4BFE"/>
    <w:rsid w:val="00CC5263"/>
    <w:rsid w:val="00CC63BB"/>
    <w:rsid w:val="00CC679F"/>
    <w:rsid w:val="00CC693D"/>
    <w:rsid w:val="00CD03CD"/>
    <w:rsid w:val="00CD0CDD"/>
    <w:rsid w:val="00CD1E95"/>
    <w:rsid w:val="00CD1F14"/>
    <w:rsid w:val="00CD254D"/>
    <w:rsid w:val="00CD29F4"/>
    <w:rsid w:val="00CD3405"/>
    <w:rsid w:val="00CD3F5B"/>
    <w:rsid w:val="00CD4032"/>
    <w:rsid w:val="00CD45E1"/>
    <w:rsid w:val="00CD525C"/>
    <w:rsid w:val="00CD5465"/>
    <w:rsid w:val="00CD5639"/>
    <w:rsid w:val="00CD5E76"/>
    <w:rsid w:val="00CD66D9"/>
    <w:rsid w:val="00CD6E09"/>
    <w:rsid w:val="00CD6F60"/>
    <w:rsid w:val="00CD714A"/>
    <w:rsid w:val="00CD719E"/>
    <w:rsid w:val="00CE329E"/>
    <w:rsid w:val="00CE4D11"/>
    <w:rsid w:val="00CE533F"/>
    <w:rsid w:val="00CE575A"/>
    <w:rsid w:val="00CE600E"/>
    <w:rsid w:val="00CE6E21"/>
    <w:rsid w:val="00CF0033"/>
    <w:rsid w:val="00CF1334"/>
    <w:rsid w:val="00CF2A0B"/>
    <w:rsid w:val="00CF477D"/>
    <w:rsid w:val="00CF4A59"/>
    <w:rsid w:val="00CF4C4A"/>
    <w:rsid w:val="00CF58D2"/>
    <w:rsid w:val="00CF5F46"/>
    <w:rsid w:val="00CF62BE"/>
    <w:rsid w:val="00CF6F35"/>
    <w:rsid w:val="00CF6FA8"/>
    <w:rsid w:val="00CF74FD"/>
    <w:rsid w:val="00D005B6"/>
    <w:rsid w:val="00D012E4"/>
    <w:rsid w:val="00D0146A"/>
    <w:rsid w:val="00D014D7"/>
    <w:rsid w:val="00D01506"/>
    <w:rsid w:val="00D0190A"/>
    <w:rsid w:val="00D0200C"/>
    <w:rsid w:val="00D02372"/>
    <w:rsid w:val="00D027DE"/>
    <w:rsid w:val="00D03263"/>
    <w:rsid w:val="00D04C56"/>
    <w:rsid w:val="00D058A9"/>
    <w:rsid w:val="00D05C45"/>
    <w:rsid w:val="00D07156"/>
    <w:rsid w:val="00D10544"/>
    <w:rsid w:val="00D10D59"/>
    <w:rsid w:val="00D12234"/>
    <w:rsid w:val="00D12E19"/>
    <w:rsid w:val="00D1379D"/>
    <w:rsid w:val="00D1452C"/>
    <w:rsid w:val="00D147B4"/>
    <w:rsid w:val="00D153B1"/>
    <w:rsid w:val="00D15760"/>
    <w:rsid w:val="00D158C4"/>
    <w:rsid w:val="00D15B09"/>
    <w:rsid w:val="00D160AE"/>
    <w:rsid w:val="00D168CD"/>
    <w:rsid w:val="00D16D93"/>
    <w:rsid w:val="00D1727A"/>
    <w:rsid w:val="00D205C9"/>
    <w:rsid w:val="00D20EA0"/>
    <w:rsid w:val="00D21FCB"/>
    <w:rsid w:val="00D223A6"/>
    <w:rsid w:val="00D22B74"/>
    <w:rsid w:val="00D231AE"/>
    <w:rsid w:val="00D23281"/>
    <w:rsid w:val="00D24506"/>
    <w:rsid w:val="00D251DC"/>
    <w:rsid w:val="00D256AC"/>
    <w:rsid w:val="00D25A46"/>
    <w:rsid w:val="00D26013"/>
    <w:rsid w:val="00D26089"/>
    <w:rsid w:val="00D2701D"/>
    <w:rsid w:val="00D272D0"/>
    <w:rsid w:val="00D32912"/>
    <w:rsid w:val="00D35EF9"/>
    <w:rsid w:val="00D36B5A"/>
    <w:rsid w:val="00D37194"/>
    <w:rsid w:val="00D402C8"/>
    <w:rsid w:val="00D4048B"/>
    <w:rsid w:val="00D40645"/>
    <w:rsid w:val="00D4073D"/>
    <w:rsid w:val="00D415E0"/>
    <w:rsid w:val="00D417D6"/>
    <w:rsid w:val="00D41800"/>
    <w:rsid w:val="00D423E2"/>
    <w:rsid w:val="00D42E43"/>
    <w:rsid w:val="00D42E70"/>
    <w:rsid w:val="00D4355B"/>
    <w:rsid w:val="00D4376D"/>
    <w:rsid w:val="00D44697"/>
    <w:rsid w:val="00D46284"/>
    <w:rsid w:val="00D4668B"/>
    <w:rsid w:val="00D468B1"/>
    <w:rsid w:val="00D46A3B"/>
    <w:rsid w:val="00D47BBC"/>
    <w:rsid w:val="00D47E1C"/>
    <w:rsid w:val="00D51B70"/>
    <w:rsid w:val="00D51BC7"/>
    <w:rsid w:val="00D51DBC"/>
    <w:rsid w:val="00D52098"/>
    <w:rsid w:val="00D52BA9"/>
    <w:rsid w:val="00D53091"/>
    <w:rsid w:val="00D5461E"/>
    <w:rsid w:val="00D54AB9"/>
    <w:rsid w:val="00D55014"/>
    <w:rsid w:val="00D55BE7"/>
    <w:rsid w:val="00D606EA"/>
    <w:rsid w:val="00D60ED6"/>
    <w:rsid w:val="00D61162"/>
    <w:rsid w:val="00D6353D"/>
    <w:rsid w:val="00D63A02"/>
    <w:rsid w:val="00D6642E"/>
    <w:rsid w:val="00D70B65"/>
    <w:rsid w:val="00D72496"/>
    <w:rsid w:val="00D73A5A"/>
    <w:rsid w:val="00D751C3"/>
    <w:rsid w:val="00D75935"/>
    <w:rsid w:val="00D75AFB"/>
    <w:rsid w:val="00D77AF3"/>
    <w:rsid w:val="00D8023D"/>
    <w:rsid w:val="00D80B54"/>
    <w:rsid w:val="00D81753"/>
    <w:rsid w:val="00D827ED"/>
    <w:rsid w:val="00D82BC7"/>
    <w:rsid w:val="00D833C6"/>
    <w:rsid w:val="00D84E0D"/>
    <w:rsid w:val="00D85683"/>
    <w:rsid w:val="00D864C0"/>
    <w:rsid w:val="00D864D2"/>
    <w:rsid w:val="00D8670C"/>
    <w:rsid w:val="00D8672B"/>
    <w:rsid w:val="00D874BD"/>
    <w:rsid w:val="00D8753E"/>
    <w:rsid w:val="00D87688"/>
    <w:rsid w:val="00D87E01"/>
    <w:rsid w:val="00D9090A"/>
    <w:rsid w:val="00D91CBD"/>
    <w:rsid w:val="00D9207A"/>
    <w:rsid w:val="00D938B2"/>
    <w:rsid w:val="00D93D33"/>
    <w:rsid w:val="00D940A2"/>
    <w:rsid w:val="00D94E90"/>
    <w:rsid w:val="00D95B09"/>
    <w:rsid w:val="00D95BCC"/>
    <w:rsid w:val="00D9649F"/>
    <w:rsid w:val="00D96A26"/>
    <w:rsid w:val="00D97A1B"/>
    <w:rsid w:val="00DA0A3C"/>
    <w:rsid w:val="00DA0D7D"/>
    <w:rsid w:val="00DA347E"/>
    <w:rsid w:val="00DA3D78"/>
    <w:rsid w:val="00DA48BC"/>
    <w:rsid w:val="00DA548E"/>
    <w:rsid w:val="00DA6405"/>
    <w:rsid w:val="00DA6A7B"/>
    <w:rsid w:val="00DA705C"/>
    <w:rsid w:val="00DA7C53"/>
    <w:rsid w:val="00DB0C59"/>
    <w:rsid w:val="00DB276C"/>
    <w:rsid w:val="00DB38A4"/>
    <w:rsid w:val="00DB39FF"/>
    <w:rsid w:val="00DB3D08"/>
    <w:rsid w:val="00DB40D9"/>
    <w:rsid w:val="00DB46AB"/>
    <w:rsid w:val="00DB46BF"/>
    <w:rsid w:val="00DB6B74"/>
    <w:rsid w:val="00DB7B0F"/>
    <w:rsid w:val="00DC0290"/>
    <w:rsid w:val="00DC1706"/>
    <w:rsid w:val="00DC19DD"/>
    <w:rsid w:val="00DC26E4"/>
    <w:rsid w:val="00DC2DBD"/>
    <w:rsid w:val="00DC3678"/>
    <w:rsid w:val="00DC3F6C"/>
    <w:rsid w:val="00DC499B"/>
    <w:rsid w:val="00DC4D39"/>
    <w:rsid w:val="00DC5046"/>
    <w:rsid w:val="00DC6474"/>
    <w:rsid w:val="00DD0DC7"/>
    <w:rsid w:val="00DD13DC"/>
    <w:rsid w:val="00DD175F"/>
    <w:rsid w:val="00DD1ACB"/>
    <w:rsid w:val="00DD2014"/>
    <w:rsid w:val="00DD211F"/>
    <w:rsid w:val="00DD2343"/>
    <w:rsid w:val="00DD26BD"/>
    <w:rsid w:val="00DD5EF8"/>
    <w:rsid w:val="00DD62DE"/>
    <w:rsid w:val="00DD691C"/>
    <w:rsid w:val="00DD76F0"/>
    <w:rsid w:val="00DE027B"/>
    <w:rsid w:val="00DE0471"/>
    <w:rsid w:val="00DE13A8"/>
    <w:rsid w:val="00DE253A"/>
    <w:rsid w:val="00DE2BB9"/>
    <w:rsid w:val="00DE3E6B"/>
    <w:rsid w:val="00DE622A"/>
    <w:rsid w:val="00DE6D79"/>
    <w:rsid w:val="00DE6EE4"/>
    <w:rsid w:val="00DE7004"/>
    <w:rsid w:val="00DF0164"/>
    <w:rsid w:val="00DF0869"/>
    <w:rsid w:val="00DF0B7F"/>
    <w:rsid w:val="00DF0F2C"/>
    <w:rsid w:val="00DF1880"/>
    <w:rsid w:val="00DF3F9C"/>
    <w:rsid w:val="00DF438A"/>
    <w:rsid w:val="00DF4506"/>
    <w:rsid w:val="00DF4CB6"/>
    <w:rsid w:val="00DF504F"/>
    <w:rsid w:val="00DF56BE"/>
    <w:rsid w:val="00DF59F1"/>
    <w:rsid w:val="00DF5B93"/>
    <w:rsid w:val="00DF611B"/>
    <w:rsid w:val="00DF73EB"/>
    <w:rsid w:val="00DF7939"/>
    <w:rsid w:val="00DF7A37"/>
    <w:rsid w:val="00DF7B88"/>
    <w:rsid w:val="00E00F9E"/>
    <w:rsid w:val="00E01774"/>
    <w:rsid w:val="00E0241A"/>
    <w:rsid w:val="00E02D6C"/>
    <w:rsid w:val="00E030C6"/>
    <w:rsid w:val="00E043F5"/>
    <w:rsid w:val="00E04A81"/>
    <w:rsid w:val="00E04BC7"/>
    <w:rsid w:val="00E05458"/>
    <w:rsid w:val="00E10DD1"/>
    <w:rsid w:val="00E123D3"/>
    <w:rsid w:val="00E12BAC"/>
    <w:rsid w:val="00E12BCA"/>
    <w:rsid w:val="00E13061"/>
    <w:rsid w:val="00E14C14"/>
    <w:rsid w:val="00E14CD1"/>
    <w:rsid w:val="00E15919"/>
    <w:rsid w:val="00E179EC"/>
    <w:rsid w:val="00E17C68"/>
    <w:rsid w:val="00E17D3F"/>
    <w:rsid w:val="00E20316"/>
    <w:rsid w:val="00E20F5B"/>
    <w:rsid w:val="00E21058"/>
    <w:rsid w:val="00E21C6A"/>
    <w:rsid w:val="00E230CF"/>
    <w:rsid w:val="00E252F7"/>
    <w:rsid w:val="00E2573E"/>
    <w:rsid w:val="00E25FFC"/>
    <w:rsid w:val="00E270D5"/>
    <w:rsid w:val="00E302D5"/>
    <w:rsid w:val="00E30DB7"/>
    <w:rsid w:val="00E31838"/>
    <w:rsid w:val="00E32B88"/>
    <w:rsid w:val="00E336C1"/>
    <w:rsid w:val="00E340FB"/>
    <w:rsid w:val="00E343FE"/>
    <w:rsid w:val="00E35524"/>
    <w:rsid w:val="00E35D43"/>
    <w:rsid w:val="00E375E9"/>
    <w:rsid w:val="00E37E09"/>
    <w:rsid w:val="00E407F9"/>
    <w:rsid w:val="00E40B48"/>
    <w:rsid w:val="00E417BD"/>
    <w:rsid w:val="00E41C88"/>
    <w:rsid w:val="00E4257F"/>
    <w:rsid w:val="00E42646"/>
    <w:rsid w:val="00E437ED"/>
    <w:rsid w:val="00E437F8"/>
    <w:rsid w:val="00E4449C"/>
    <w:rsid w:val="00E44C27"/>
    <w:rsid w:val="00E45544"/>
    <w:rsid w:val="00E47C92"/>
    <w:rsid w:val="00E47CCE"/>
    <w:rsid w:val="00E507E9"/>
    <w:rsid w:val="00E50D0A"/>
    <w:rsid w:val="00E510E2"/>
    <w:rsid w:val="00E51BEE"/>
    <w:rsid w:val="00E535DA"/>
    <w:rsid w:val="00E54F5D"/>
    <w:rsid w:val="00E5515F"/>
    <w:rsid w:val="00E55177"/>
    <w:rsid w:val="00E55A1C"/>
    <w:rsid w:val="00E56621"/>
    <w:rsid w:val="00E60480"/>
    <w:rsid w:val="00E61FBE"/>
    <w:rsid w:val="00E62B30"/>
    <w:rsid w:val="00E63D1F"/>
    <w:rsid w:val="00E64008"/>
    <w:rsid w:val="00E6443F"/>
    <w:rsid w:val="00E651C2"/>
    <w:rsid w:val="00E65B51"/>
    <w:rsid w:val="00E65DB8"/>
    <w:rsid w:val="00E65F2A"/>
    <w:rsid w:val="00E66F38"/>
    <w:rsid w:val="00E67A02"/>
    <w:rsid w:val="00E709D4"/>
    <w:rsid w:val="00E70AED"/>
    <w:rsid w:val="00E70B67"/>
    <w:rsid w:val="00E70F8D"/>
    <w:rsid w:val="00E70FE7"/>
    <w:rsid w:val="00E7116E"/>
    <w:rsid w:val="00E72F3A"/>
    <w:rsid w:val="00E73CCD"/>
    <w:rsid w:val="00E73D73"/>
    <w:rsid w:val="00E742FA"/>
    <w:rsid w:val="00E745E3"/>
    <w:rsid w:val="00E74EA1"/>
    <w:rsid w:val="00E76708"/>
    <w:rsid w:val="00E771AA"/>
    <w:rsid w:val="00E77A8F"/>
    <w:rsid w:val="00E77B6D"/>
    <w:rsid w:val="00E77C6D"/>
    <w:rsid w:val="00E80D00"/>
    <w:rsid w:val="00E8196F"/>
    <w:rsid w:val="00E82FA0"/>
    <w:rsid w:val="00E831D6"/>
    <w:rsid w:val="00E83307"/>
    <w:rsid w:val="00E8347A"/>
    <w:rsid w:val="00E84C09"/>
    <w:rsid w:val="00E84C70"/>
    <w:rsid w:val="00E8552A"/>
    <w:rsid w:val="00E8607C"/>
    <w:rsid w:val="00E8736E"/>
    <w:rsid w:val="00E8760E"/>
    <w:rsid w:val="00E9211D"/>
    <w:rsid w:val="00E92819"/>
    <w:rsid w:val="00E92E00"/>
    <w:rsid w:val="00E94552"/>
    <w:rsid w:val="00E949BB"/>
    <w:rsid w:val="00E95517"/>
    <w:rsid w:val="00EA0179"/>
    <w:rsid w:val="00EA051F"/>
    <w:rsid w:val="00EA0C69"/>
    <w:rsid w:val="00EA11E8"/>
    <w:rsid w:val="00EA170E"/>
    <w:rsid w:val="00EA1A72"/>
    <w:rsid w:val="00EA1EBC"/>
    <w:rsid w:val="00EA213F"/>
    <w:rsid w:val="00EA22DF"/>
    <w:rsid w:val="00EA22E6"/>
    <w:rsid w:val="00EA2AFA"/>
    <w:rsid w:val="00EA3475"/>
    <w:rsid w:val="00EA47F3"/>
    <w:rsid w:val="00EA5D41"/>
    <w:rsid w:val="00EA5E07"/>
    <w:rsid w:val="00EA5EAD"/>
    <w:rsid w:val="00EA7932"/>
    <w:rsid w:val="00EB030D"/>
    <w:rsid w:val="00EB0CC3"/>
    <w:rsid w:val="00EB2221"/>
    <w:rsid w:val="00EB2596"/>
    <w:rsid w:val="00EB26D1"/>
    <w:rsid w:val="00EB3538"/>
    <w:rsid w:val="00EB3E02"/>
    <w:rsid w:val="00EB4ACE"/>
    <w:rsid w:val="00EB5866"/>
    <w:rsid w:val="00EB58CD"/>
    <w:rsid w:val="00EB5C83"/>
    <w:rsid w:val="00EB5F28"/>
    <w:rsid w:val="00EB6089"/>
    <w:rsid w:val="00EB7F88"/>
    <w:rsid w:val="00EC0FB7"/>
    <w:rsid w:val="00EC23B6"/>
    <w:rsid w:val="00EC3359"/>
    <w:rsid w:val="00EC37A9"/>
    <w:rsid w:val="00EC3930"/>
    <w:rsid w:val="00EC40A6"/>
    <w:rsid w:val="00EC4A86"/>
    <w:rsid w:val="00EC5BDF"/>
    <w:rsid w:val="00EC60D2"/>
    <w:rsid w:val="00EC6148"/>
    <w:rsid w:val="00EC63A8"/>
    <w:rsid w:val="00EC68F1"/>
    <w:rsid w:val="00ED0515"/>
    <w:rsid w:val="00ED0FAF"/>
    <w:rsid w:val="00ED1328"/>
    <w:rsid w:val="00ED1E64"/>
    <w:rsid w:val="00ED2844"/>
    <w:rsid w:val="00ED391E"/>
    <w:rsid w:val="00ED3E25"/>
    <w:rsid w:val="00ED4AC8"/>
    <w:rsid w:val="00ED4B5E"/>
    <w:rsid w:val="00ED52D2"/>
    <w:rsid w:val="00ED55FB"/>
    <w:rsid w:val="00ED6377"/>
    <w:rsid w:val="00ED722E"/>
    <w:rsid w:val="00EE04D4"/>
    <w:rsid w:val="00EE11A2"/>
    <w:rsid w:val="00EE25E5"/>
    <w:rsid w:val="00EE2CCB"/>
    <w:rsid w:val="00EE37C4"/>
    <w:rsid w:val="00EE3A4E"/>
    <w:rsid w:val="00EE424D"/>
    <w:rsid w:val="00EE5276"/>
    <w:rsid w:val="00EE5F68"/>
    <w:rsid w:val="00EE61A4"/>
    <w:rsid w:val="00EE63B9"/>
    <w:rsid w:val="00EE6AB7"/>
    <w:rsid w:val="00EE7373"/>
    <w:rsid w:val="00EE7FE8"/>
    <w:rsid w:val="00EF06D6"/>
    <w:rsid w:val="00EF0A07"/>
    <w:rsid w:val="00EF26C7"/>
    <w:rsid w:val="00EF3CF9"/>
    <w:rsid w:val="00EF3FD0"/>
    <w:rsid w:val="00EF570B"/>
    <w:rsid w:val="00EF5B14"/>
    <w:rsid w:val="00EF65E8"/>
    <w:rsid w:val="00F013AE"/>
    <w:rsid w:val="00F025BF"/>
    <w:rsid w:val="00F03118"/>
    <w:rsid w:val="00F0311C"/>
    <w:rsid w:val="00F03E8B"/>
    <w:rsid w:val="00F04455"/>
    <w:rsid w:val="00F04F89"/>
    <w:rsid w:val="00F05EFF"/>
    <w:rsid w:val="00F06896"/>
    <w:rsid w:val="00F076FE"/>
    <w:rsid w:val="00F10112"/>
    <w:rsid w:val="00F1023D"/>
    <w:rsid w:val="00F11565"/>
    <w:rsid w:val="00F122E0"/>
    <w:rsid w:val="00F1290D"/>
    <w:rsid w:val="00F13D3F"/>
    <w:rsid w:val="00F150FD"/>
    <w:rsid w:val="00F17A3D"/>
    <w:rsid w:val="00F2011C"/>
    <w:rsid w:val="00F21223"/>
    <w:rsid w:val="00F2208D"/>
    <w:rsid w:val="00F2244B"/>
    <w:rsid w:val="00F22B05"/>
    <w:rsid w:val="00F22FFA"/>
    <w:rsid w:val="00F238AB"/>
    <w:rsid w:val="00F23BC2"/>
    <w:rsid w:val="00F24350"/>
    <w:rsid w:val="00F243CB"/>
    <w:rsid w:val="00F264CF"/>
    <w:rsid w:val="00F271C4"/>
    <w:rsid w:val="00F30D1F"/>
    <w:rsid w:val="00F316F3"/>
    <w:rsid w:val="00F31D3A"/>
    <w:rsid w:val="00F3270B"/>
    <w:rsid w:val="00F341FF"/>
    <w:rsid w:val="00F34790"/>
    <w:rsid w:val="00F34B12"/>
    <w:rsid w:val="00F350B6"/>
    <w:rsid w:val="00F350D5"/>
    <w:rsid w:val="00F35BB8"/>
    <w:rsid w:val="00F35BCD"/>
    <w:rsid w:val="00F36542"/>
    <w:rsid w:val="00F374D9"/>
    <w:rsid w:val="00F40760"/>
    <w:rsid w:val="00F408E9"/>
    <w:rsid w:val="00F41F18"/>
    <w:rsid w:val="00F431BB"/>
    <w:rsid w:val="00F432B7"/>
    <w:rsid w:val="00F44201"/>
    <w:rsid w:val="00F4576F"/>
    <w:rsid w:val="00F4707B"/>
    <w:rsid w:val="00F472D1"/>
    <w:rsid w:val="00F51102"/>
    <w:rsid w:val="00F51195"/>
    <w:rsid w:val="00F52215"/>
    <w:rsid w:val="00F523F0"/>
    <w:rsid w:val="00F5351A"/>
    <w:rsid w:val="00F551A4"/>
    <w:rsid w:val="00F55BE3"/>
    <w:rsid w:val="00F564D4"/>
    <w:rsid w:val="00F60439"/>
    <w:rsid w:val="00F608A4"/>
    <w:rsid w:val="00F60C1A"/>
    <w:rsid w:val="00F622B5"/>
    <w:rsid w:val="00F62E40"/>
    <w:rsid w:val="00F63117"/>
    <w:rsid w:val="00F64104"/>
    <w:rsid w:val="00F643B5"/>
    <w:rsid w:val="00F64F08"/>
    <w:rsid w:val="00F65853"/>
    <w:rsid w:val="00F65864"/>
    <w:rsid w:val="00F6636F"/>
    <w:rsid w:val="00F663A5"/>
    <w:rsid w:val="00F668EF"/>
    <w:rsid w:val="00F67BFB"/>
    <w:rsid w:val="00F70C09"/>
    <w:rsid w:val="00F71849"/>
    <w:rsid w:val="00F72812"/>
    <w:rsid w:val="00F72B06"/>
    <w:rsid w:val="00F72FD3"/>
    <w:rsid w:val="00F73FDB"/>
    <w:rsid w:val="00F74A17"/>
    <w:rsid w:val="00F75B5F"/>
    <w:rsid w:val="00F76E24"/>
    <w:rsid w:val="00F77890"/>
    <w:rsid w:val="00F778F5"/>
    <w:rsid w:val="00F807EE"/>
    <w:rsid w:val="00F8140C"/>
    <w:rsid w:val="00F82B68"/>
    <w:rsid w:val="00F830A5"/>
    <w:rsid w:val="00F85256"/>
    <w:rsid w:val="00F857F0"/>
    <w:rsid w:val="00F86624"/>
    <w:rsid w:val="00F87C73"/>
    <w:rsid w:val="00F87E1C"/>
    <w:rsid w:val="00F87FAF"/>
    <w:rsid w:val="00F91391"/>
    <w:rsid w:val="00F91974"/>
    <w:rsid w:val="00F91BB1"/>
    <w:rsid w:val="00F929FC"/>
    <w:rsid w:val="00F93165"/>
    <w:rsid w:val="00F93311"/>
    <w:rsid w:val="00F93DB6"/>
    <w:rsid w:val="00F945B6"/>
    <w:rsid w:val="00F94F0F"/>
    <w:rsid w:val="00F94F43"/>
    <w:rsid w:val="00F95527"/>
    <w:rsid w:val="00F96880"/>
    <w:rsid w:val="00F976EE"/>
    <w:rsid w:val="00FA0865"/>
    <w:rsid w:val="00FA0923"/>
    <w:rsid w:val="00FA09BB"/>
    <w:rsid w:val="00FA0BA4"/>
    <w:rsid w:val="00FA2154"/>
    <w:rsid w:val="00FA419F"/>
    <w:rsid w:val="00FA451A"/>
    <w:rsid w:val="00FA57CD"/>
    <w:rsid w:val="00FA586F"/>
    <w:rsid w:val="00FA5AB0"/>
    <w:rsid w:val="00FA6116"/>
    <w:rsid w:val="00FA67E4"/>
    <w:rsid w:val="00FA692F"/>
    <w:rsid w:val="00FA6F56"/>
    <w:rsid w:val="00FA73B7"/>
    <w:rsid w:val="00FA74C1"/>
    <w:rsid w:val="00FA7CDE"/>
    <w:rsid w:val="00FA7F34"/>
    <w:rsid w:val="00FB14F3"/>
    <w:rsid w:val="00FB30BF"/>
    <w:rsid w:val="00FB3D83"/>
    <w:rsid w:val="00FB540D"/>
    <w:rsid w:val="00FB5BE9"/>
    <w:rsid w:val="00FB69BD"/>
    <w:rsid w:val="00FB7036"/>
    <w:rsid w:val="00FC2904"/>
    <w:rsid w:val="00FC3227"/>
    <w:rsid w:val="00FC33B5"/>
    <w:rsid w:val="00FC4C61"/>
    <w:rsid w:val="00FC5695"/>
    <w:rsid w:val="00FC5A89"/>
    <w:rsid w:val="00FC5C84"/>
    <w:rsid w:val="00FC63A1"/>
    <w:rsid w:val="00FC6F8C"/>
    <w:rsid w:val="00FC762F"/>
    <w:rsid w:val="00FD0C0D"/>
    <w:rsid w:val="00FD11D3"/>
    <w:rsid w:val="00FD12C9"/>
    <w:rsid w:val="00FD192A"/>
    <w:rsid w:val="00FD2D3B"/>
    <w:rsid w:val="00FD494B"/>
    <w:rsid w:val="00FD77BA"/>
    <w:rsid w:val="00FE098D"/>
    <w:rsid w:val="00FE1498"/>
    <w:rsid w:val="00FE20C1"/>
    <w:rsid w:val="00FE2929"/>
    <w:rsid w:val="00FE2F44"/>
    <w:rsid w:val="00FE35AF"/>
    <w:rsid w:val="00FE4146"/>
    <w:rsid w:val="00FE50E4"/>
    <w:rsid w:val="00FE5175"/>
    <w:rsid w:val="00FE5E8B"/>
    <w:rsid w:val="00FE7241"/>
    <w:rsid w:val="00FE78C8"/>
    <w:rsid w:val="00FF0062"/>
    <w:rsid w:val="00FF1ED4"/>
    <w:rsid w:val="00FF28F2"/>
    <w:rsid w:val="00FF2BFC"/>
    <w:rsid w:val="00FF2CBD"/>
    <w:rsid w:val="00FF410F"/>
    <w:rsid w:val="00FF5A1C"/>
    <w:rsid w:val="00FF5EC3"/>
    <w:rsid w:val="00FF6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8ACC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67"/>
    <w:pPr>
      <w:spacing w:after="120"/>
    </w:pPr>
    <w:rPr>
      <w:rFonts w:ascii="Palatino Linotype" w:hAnsi="Palatino Linotype"/>
      <w:lang w:val="en-GB"/>
    </w:rPr>
  </w:style>
  <w:style w:type="paragraph" w:styleId="Heading1">
    <w:name w:val="heading 1"/>
    <w:basedOn w:val="Normal"/>
    <w:next w:val="Normal"/>
    <w:link w:val="Heading1Char"/>
    <w:uiPriority w:val="9"/>
    <w:qFormat/>
    <w:rsid w:val="00A00266"/>
    <w:pPr>
      <w:keepNext/>
      <w:keepLines/>
      <w:numPr>
        <w:numId w:val="1"/>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0026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320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320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320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320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320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320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8320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
    <w:basedOn w:val="Normal"/>
    <w:link w:val="ListParagraphChar"/>
    <w:uiPriority w:val="34"/>
    <w:qFormat/>
    <w:rsid w:val="00A00266"/>
    <w:pPr>
      <w:ind w:left="720"/>
      <w:contextualSpacing/>
    </w:pPr>
  </w:style>
  <w:style w:type="character" w:customStyle="1" w:styleId="Heading1Char">
    <w:name w:val="Heading 1 Char"/>
    <w:basedOn w:val="DefaultParagraphFont"/>
    <w:link w:val="Heading1"/>
    <w:uiPriority w:val="9"/>
    <w:rsid w:val="00A00266"/>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A00266"/>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683205"/>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683205"/>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683205"/>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683205"/>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683205"/>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8320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83205"/>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563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3A1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A1F"/>
    <w:rPr>
      <w:rFonts w:ascii="Lucida Grande" w:hAnsi="Lucida Grande" w:cs="Lucida Grande"/>
      <w:sz w:val="18"/>
      <w:szCs w:val="18"/>
      <w:lang w:val="en-GB"/>
    </w:rPr>
  </w:style>
  <w:style w:type="paragraph" w:styleId="TOC1">
    <w:name w:val="toc 1"/>
    <w:basedOn w:val="Normal"/>
    <w:next w:val="Normal"/>
    <w:autoRedefine/>
    <w:uiPriority w:val="39"/>
    <w:unhideWhenUsed/>
    <w:rsid w:val="006F30D4"/>
  </w:style>
  <w:style w:type="paragraph" w:styleId="TOC2">
    <w:name w:val="toc 2"/>
    <w:basedOn w:val="Normal"/>
    <w:next w:val="Normal"/>
    <w:autoRedefine/>
    <w:uiPriority w:val="39"/>
    <w:unhideWhenUsed/>
    <w:rsid w:val="006F30D4"/>
    <w:pPr>
      <w:ind w:left="240"/>
    </w:pPr>
  </w:style>
  <w:style w:type="paragraph" w:styleId="TOC3">
    <w:name w:val="toc 3"/>
    <w:basedOn w:val="Normal"/>
    <w:next w:val="Normal"/>
    <w:autoRedefine/>
    <w:uiPriority w:val="39"/>
    <w:unhideWhenUsed/>
    <w:rsid w:val="006F30D4"/>
    <w:pPr>
      <w:ind w:left="480"/>
    </w:pPr>
  </w:style>
  <w:style w:type="paragraph" w:styleId="TOC4">
    <w:name w:val="toc 4"/>
    <w:basedOn w:val="Normal"/>
    <w:next w:val="Normal"/>
    <w:autoRedefine/>
    <w:uiPriority w:val="39"/>
    <w:unhideWhenUsed/>
    <w:rsid w:val="006F30D4"/>
    <w:pPr>
      <w:ind w:left="720"/>
    </w:pPr>
  </w:style>
  <w:style w:type="paragraph" w:styleId="TOC5">
    <w:name w:val="toc 5"/>
    <w:basedOn w:val="Normal"/>
    <w:next w:val="Normal"/>
    <w:autoRedefine/>
    <w:uiPriority w:val="39"/>
    <w:unhideWhenUsed/>
    <w:rsid w:val="006F30D4"/>
    <w:pPr>
      <w:ind w:left="960"/>
    </w:pPr>
  </w:style>
  <w:style w:type="paragraph" w:styleId="TOC6">
    <w:name w:val="toc 6"/>
    <w:basedOn w:val="Normal"/>
    <w:next w:val="Normal"/>
    <w:autoRedefine/>
    <w:uiPriority w:val="39"/>
    <w:unhideWhenUsed/>
    <w:rsid w:val="006F30D4"/>
    <w:pPr>
      <w:ind w:left="1200"/>
    </w:pPr>
  </w:style>
  <w:style w:type="paragraph" w:styleId="TOC7">
    <w:name w:val="toc 7"/>
    <w:basedOn w:val="Normal"/>
    <w:next w:val="Normal"/>
    <w:autoRedefine/>
    <w:uiPriority w:val="39"/>
    <w:unhideWhenUsed/>
    <w:rsid w:val="006F30D4"/>
    <w:pPr>
      <w:ind w:left="1440"/>
    </w:pPr>
  </w:style>
  <w:style w:type="paragraph" w:styleId="TOC8">
    <w:name w:val="toc 8"/>
    <w:basedOn w:val="Normal"/>
    <w:next w:val="Normal"/>
    <w:autoRedefine/>
    <w:uiPriority w:val="39"/>
    <w:unhideWhenUsed/>
    <w:rsid w:val="006F30D4"/>
    <w:pPr>
      <w:ind w:left="1680"/>
    </w:pPr>
  </w:style>
  <w:style w:type="paragraph" w:styleId="TOC9">
    <w:name w:val="toc 9"/>
    <w:basedOn w:val="Normal"/>
    <w:next w:val="Normal"/>
    <w:autoRedefine/>
    <w:uiPriority w:val="39"/>
    <w:unhideWhenUsed/>
    <w:rsid w:val="006F30D4"/>
    <w:pPr>
      <w:ind w:left="1920"/>
    </w:pPr>
  </w:style>
  <w:style w:type="paragraph" w:styleId="Caption">
    <w:name w:val="caption"/>
    <w:basedOn w:val="Normal"/>
    <w:next w:val="Normal"/>
    <w:qFormat/>
    <w:rsid w:val="0084771C"/>
    <w:pPr>
      <w:spacing w:before="120"/>
    </w:pPr>
    <w:rPr>
      <w:rFonts w:eastAsia="Times New Roman" w:cs="Times New Roman"/>
      <w:b/>
    </w:rPr>
  </w:style>
  <w:style w:type="paragraph" w:styleId="Header">
    <w:name w:val="header"/>
    <w:basedOn w:val="Normal"/>
    <w:link w:val="HeaderChar"/>
    <w:uiPriority w:val="99"/>
    <w:unhideWhenUsed/>
    <w:rsid w:val="00DB46BF"/>
    <w:pPr>
      <w:tabs>
        <w:tab w:val="center" w:pos="4320"/>
        <w:tab w:val="right" w:pos="8640"/>
      </w:tabs>
      <w:spacing w:after="0"/>
    </w:pPr>
  </w:style>
  <w:style w:type="character" w:customStyle="1" w:styleId="HeaderChar">
    <w:name w:val="Header Char"/>
    <w:basedOn w:val="DefaultParagraphFont"/>
    <w:link w:val="Header"/>
    <w:uiPriority w:val="99"/>
    <w:rsid w:val="00DB46BF"/>
    <w:rPr>
      <w:rFonts w:ascii="Times New Roman" w:hAnsi="Times New Roman"/>
      <w:lang w:val="en-GB"/>
    </w:rPr>
  </w:style>
  <w:style w:type="paragraph" w:styleId="Footer">
    <w:name w:val="footer"/>
    <w:basedOn w:val="Normal"/>
    <w:link w:val="FooterChar"/>
    <w:uiPriority w:val="99"/>
    <w:unhideWhenUsed/>
    <w:rsid w:val="00DB46BF"/>
    <w:pPr>
      <w:tabs>
        <w:tab w:val="center" w:pos="4320"/>
        <w:tab w:val="right" w:pos="8640"/>
      </w:tabs>
      <w:spacing w:after="0"/>
    </w:pPr>
  </w:style>
  <w:style w:type="character" w:customStyle="1" w:styleId="FooterChar">
    <w:name w:val="Footer Char"/>
    <w:basedOn w:val="DefaultParagraphFont"/>
    <w:link w:val="Footer"/>
    <w:uiPriority w:val="99"/>
    <w:rsid w:val="00DB46BF"/>
    <w:rPr>
      <w:rFonts w:ascii="Times New Roman" w:hAnsi="Times New Roman"/>
      <w:lang w:val="en-GB"/>
    </w:rPr>
  </w:style>
  <w:style w:type="character" w:styleId="PageNumber">
    <w:name w:val="page number"/>
    <w:basedOn w:val="DefaultParagraphFont"/>
    <w:uiPriority w:val="99"/>
    <w:semiHidden/>
    <w:unhideWhenUsed/>
    <w:rsid w:val="00DB46BF"/>
  </w:style>
  <w:style w:type="paragraph" w:styleId="DocumentMap">
    <w:name w:val="Document Map"/>
    <w:basedOn w:val="Normal"/>
    <w:link w:val="DocumentMapChar"/>
    <w:uiPriority w:val="99"/>
    <w:semiHidden/>
    <w:unhideWhenUsed/>
    <w:rsid w:val="002E799A"/>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2E799A"/>
    <w:rPr>
      <w:rFonts w:ascii="Lucida Grande" w:hAnsi="Lucida Grande" w:cs="Lucida Grande"/>
      <w:lang w:val="en-GB"/>
    </w:rPr>
  </w:style>
  <w:style w:type="paragraph" w:styleId="FootnoteText">
    <w:name w:val="footnote text"/>
    <w:aliases w:val="Geneva 9,Font: Geneva 9,Boston 10,f,single space,Footnote,otnote Text,Testo nota a piè di pagina Carattere Carattere,Testo nota a piè di pagina Carattere,Testo nota a piè di pagina Carattere1 Carattere,ft,Char Char Char Char,Fußnote,fn"/>
    <w:basedOn w:val="Normal"/>
    <w:link w:val="FootnoteTextChar"/>
    <w:uiPriority w:val="99"/>
    <w:unhideWhenUsed/>
    <w:rsid w:val="00E179EC"/>
    <w:pPr>
      <w:spacing w:after="0"/>
    </w:pPr>
  </w:style>
  <w:style w:type="character" w:customStyle="1" w:styleId="FootnoteTextChar">
    <w:name w:val="Footnote Text Char"/>
    <w:aliases w:val="Geneva 9 Char,Font: Geneva 9 Char,Boston 10 Char,f Char,single space Char,Footnote Char,otnote Text Char,Testo nota a piè di pagina Carattere Carattere Char,Testo nota a piè di pagina Carattere Char,ft Char,Char Char Char Char Char"/>
    <w:basedOn w:val="DefaultParagraphFont"/>
    <w:link w:val="FootnoteText"/>
    <w:uiPriority w:val="99"/>
    <w:rsid w:val="00E179EC"/>
    <w:rPr>
      <w:rFonts w:ascii="Times New Roman" w:hAnsi="Times New Roman"/>
      <w:lang w:val="en-GB"/>
    </w:rPr>
  </w:style>
  <w:style w:type="character" w:styleId="FootnoteReference">
    <w:name w:val="footnote reference"/>
    <w:aliases w:val="16 Point,Superscript 6 Point,Superscript 6 Point + 11 pt,ftref,BVI fnr,fr,Footnote Ref in FtNote,SUPERS,Footnote Reference Superscript,Ref,de nota al pie,number,note bp,BVI fnr Car Car,BVI fnr Car,BVI fnr Car Car Car Car,Footnote text"/>
    <w:basedOn w:val="DefaultParagraphFont"/>
    <w:uiPriority w:val="99"/>
    <w:unhideWhenUsed/>
    <w:rsid w:val="00E179EC"/>
    <w:rPr>
      <w:vertAlign w:val="superscript"/>
    </w:rPr>
  </w:style>
  <w:style w:type="paragraph" w:styleId="CommentText">
    <w:name w:val="annotation text"/>
    <w:basedOn w:val="Normal"/>
    <w:link w:val="CommentTextChar"/>
    <w:uiPriority w:val="99"/>
    <w:unhideWhenUsed/>
    <w:rsid w:val="00746827"/>
  </w:style>
  <w:style w:type="character" w:customStyle="1" w:styleId="CommentTextChar">
    <w:name w:val="Comment Text Char"/>
    <w:basedOn w:val="DefaultParagraphFont"/>
    <w:link w:val="CommentText"/>
    <w:uiPriority w:val="99"/>
    <w:rsid w:val="00746827"/>
    <w:rPr>
      <w:rFonts w:ascii="Times New Roman" w:hAnsi="Times New Roman"/>
      <w:lang w:val="en-GB"/>
    </w:rPr>
  </w:style>
  <w:style w:type="paragraph" w:customStyle="1" w:styleId="CM7">
    <w:name w:val="CM7"/>
    <w:basedOn w:val="Normal"/>
    <w:next w:val="Normal"/>
    <w:uiPriority w:val="99"/>
    <w:rsid w:val="00B42B94"/>
    <w:pPr>
      <w:widowControl w:val="0"/>
      <w:autoSpaceDE w:val="0"/>
      <w:autoSpaceDN w:val="0"/>
      <w:adjustRightInd w:val="0"/>
      <w:spacing w:after="0"/>
    </w:pPr>
    <w:rPr>
      <w:rFonts w:ascii="Times New Roman PSMT" w:eastAsia="Times New Roman" w:hAnsi="Times New Roman PSMT" w:cs="Times New Roman"/>
      <w:lang w:val="en-US"/>
    </w:rPr>
  </w:style>
  <w:style w:type="paragraph" w:customStyle="1" w:styleId="Default">
    <w:name w:val="Default"/>
    <w:rsid w:val="00135049"/>
    <w:pPr>
      <w:widowControl w:val="0"/>
      <w:autoSpaceDE w:val="0"/>
      <w:autoSpaceDN w:val="0"/>
      <w:adjustRightInd w:val="0"/>
    </w:pPr>
    <w:rPr>
      <w:rFonts w:ascii="Times New Roman PSMT" w:eastAsia="Times New Roman" w:hAnsi="Times New Roman PSMT" w:cs="Times New Roman PSMT"/>
      <w:color w:val="000000"/>
    </w:rPr>
  </w:style>
  <w:style w:type="paragraph" w:customStyle="1" w:styleId="CM11">
    <w:name w:val="CM11"/>
    <w:basedOn w:val="Default"/>
    <w:next w:val="Default"/>
    <w:uiPriority w:val="99"/>
    <w:rsid w:val="00135049"/>
    <w:rPr>
      <w:rFonts w:cs="Times New Roman"/>
      <w:color w:val="auto"/>
    </w:rPr>
  </w:style>
  <w:style w:type="paragraph" w:customStyle="1" w:styleId="CM4">
    <w:name w:val="CM4"/>
    <w:basedOn w:val="Default"/>
    <w:next w:val="Default"/>
    <w:uiPriority w:val="99"/>
    <w:rsid w:val="00660D28"/>
    <w:pPr>
      <w:spacing w:line="278" w:lineRule="atLeast"/>
    </w:pPr>
    <w:rPr>
      <w:rFonts w:cs="Times New Roman"/>
      <w:color w:val="auto"/>
    </w:rPr>
  </w:style>
  <w:style w:type="paragraph" w:customStyle="1" w:styleId="CM1">
    <w:name w:val="CM1"/>
    <w:basedOn w:val="Default"/>
    <w:next w:val="Default"/>
    <w:uiPriority w:val="99"/>
    <w:rsid w:val="006E4432"/>
    <w:pPr>
      <w:spacing w:line="276" w:lineRule="atLeast"/>
    </w:pPr>
    <w:rPr>
      <w:rFonts w:cs="Times New Roman"/>
      <w:color w:val="auto"/>
    </w:rPr>
  </w:style>
  <w:style w:type="paragraph" w:customStyle="1" w:styleId="CM6">
    <w:name w:val="CM6"/>
    <w:basedOn w:val="Default"/>
    <w:next w:val="Default"/>
    <w:uiPriority w:val="99"/>
    <w:rsid w:val="006E4432"/>
    <w:rPr>
      <w:rFonts w:cs="Times New Roman"/>
      <w:color w:val="auto"/>
    </w:rPr>
  </w:style>
  <w:style w:type="paragraph" w:customStyle="1" w:styleId="CM8">
    <w:name w:val="CM8"/>
    <w:basedOn w:val="Default"/>
    <w:next w:val="Default"/>
    <w:uiPriority w:val="99"/>
    <w:rsid w:val="006E4432"/>
    <w:rPr>
      <w:rFonts w:ascii="Times New Roman" w:hAnsi="Times New Roman" w:cs="Times New Roman"/>
      <w:color w:val="auto"/>
    </w:rPr>
  </w:style>
  <w:style w:type="character" w:customStyle="1" w:styleId="FootnoteTextChar1">
    <w:name w:val="Footnote Text Char1"/>
    <w:aliases w:val="Geneva 9 Char1,Font: Geneva 9 Char1,Boston 10 Char1,f Char1,single space Char1,Footnote Char1,otnote Text Char1,Testo nota a piè di pagina Carattere Carattere Char1,Testo nota a piè di pagina Carattere Char1,ft Char1,Fußnote Char"/>
    <w:uiPriority w:val="99"/>
    <w:locked/>
    <w:rsid w:val="002C3220"/>
    <w:rPr>
      <w:rFonts w:ascii="Arial" w:hAnsi="Arial" w:cs="Times New Roman"/>
      <w:lang w:val="en-GB"/>
    </w:rPr>
  </w:style>
  <w:style w:type="paragraph" w:customStyle="1" w:styleId="Para">
    <w:name w:val="Para"/>
    <w:basedOn w:val="Normal"/>
    <w:uiPriority w:val="99"/>
    <w:rsid w:val="002C3220"/>
    <w:pPr>
      <w:spacing w:after="180"/>
      <w:ind w:firstLine="360"/>
    </w:pPr>
    <w:rPr>
      <w:rFonts w:ascii="Times New Roman" w:eastAsia="Times New Roman" w:hAnsi="Times New Roman" w:cs="Times New Roman"/>
      <w:sz w:val="22"/>
      <w:szCs w:val="22"/>
      <w:lang w:val="en-US"/>
    </w:rPr>
  </w:style>
  <w:style w:type="character" w:customStyle="1" w:styleId="ListParagraphChar">
    <w:name w:val="List Paragraph Char"/>
    <w:aliases w:val="Bullets Char,List Paragraph1 Char"/>
    <w:link w:val="ListParagraph"/>
    <w:uiPriority w:val="34"/>
    <w:rsid w:val="00EC3359"/>
    <w:rPr>
      <w:rFonts w:ascii="Palatino Linotype" w:hAnsi="Palatino Linotype"/>
      <w:lang w:val="en-GB"/>
    </w:rPr>
  </w:style>
  <w:style w:type="paragraph" w:customStyle="1" w:styleId="TableText">
    <w:name w:val="TableText"/>
    <w:link w:val="TableTextChar"/>
    <w:autoRedefine/>
    <w:rsid w:val="00F72B06"/>
    <w:pPr>
      <w:tabs>
        <w:tab w:val="left" w:pos="-720"/>
      </w:tabs>
      <w:suppressAutoHyphens/>
    </w:pPr>
    <w:rPr>
      <w:rFonts w:ascii="Times New Roman" w:eastAsia="Times New Roman" w:hAnsi="Times New Roman" w:cs="Times New Roman"/>
      <w:sz w:val="20"/>
      <w:szCs w:val="20"/>
      <w:lang w:eastAsia="ru-RU"/>
    </w:rPr>
  </w:style>
  <w:style w:type="character" w:customStyle="1" w:styleId="TableTextChar">
    <w:name w:val="TableText Char"/>
    <w:link w:val="TableText"/>
    <w:rsid w:val="00F72B06"/>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AA2FB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67"/>
    <w:pPr>
      <w:spacing w:after="120"/>
    </w:pPr>
    <w:rPr>
      <w:rFonts w:ascii="Palatino Linotype" w:hAnsi="Palatino Linotype"/>
      <w:lang w:val="en-GB"/>
    </w:rPr>
  </w:style>
  <w:style w:type="paragraph" w:styleId="Heading1">
    <w:name w:val="heading 1"/>
    <w:basedOn w:val="Normal"/>
    <w:next w:val="Normal"/>
    <w:link w:val="Heading1Char"/>
    <w:uiPriority w:val="9"/>
    <w:qFormat/>
    <w:rsid w:val="00A00266"/>
    <w:pPr>
      <w:keepNext/>
      <w:keepLines/>
      <w:numPr>
        <w:numId w:val="1"/>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0026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320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320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320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320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320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320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8320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
    <w:basedOn w:val="Normal"/>
    <w:link w:val="ListParagraphChar"/>
    <w:uiPriority w:val="34"/>
    <w:qFormat/>
    <w:rsid w:val="00A00266"/>
    <w:pPr>
      <w:ind w:left="720"/>
      <w:contextualSpacing/>
    </w:pPr>
  </w:style>
  <w:style w:type="character" w:customStyle="1" w:styleId="Heading1Char">
    <w:name w:val="Heading 1 Char"/>
    <w:basedOn w:val="DefaultParagraphFont"/>
    <w:link w:val="Heading1"/>
    <w:uiPriority w:val="9"/>
    <w:rsid w:val="00A00266"/>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A00266"/>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683205"/>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683205"/>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683205"/>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683205"/>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683205"/>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8320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83205"/>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563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3A1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A1F"/>
    <w:rPr>
      <w:rFonts w:ascii="Lucida Grande" w:hAnsi="Lucida Grande" w:cs="Lucida Grande"/>
      <w:sz w:val="18"/>
      <w:szCs w:val="18"/>
      <w:lang w:val="en-GB"/>
    </w:rPr>
  </w:style>
  <w:style w:type="paragraph" w:styleId="TOC1">
    <w:name w:val="toc 1"/>
    <w:basedOn w:val="Normal"/>
    <w:next w:val="Normal"/>
    <w:autoRedefine/>
    <w:uiPriority w:val="39"/>
    <w:unhideWhenUsed/>
    <w:rsid w:val="006F30D4"/>
  </w:style>
  <w:style w:type="paragraph" w:styleId="TOC2">
    <w:name w:val="toc 2"/>
    <w:basedOn w:val="Normal"/>
    <w:next w:val="Normal"/>
    <w:autoRedefine/>
    <w:uiPriority w:val="39"/>
    <w:unhideWhenUsed/>
    <w:rsid w:val="006F30D4"/>
    <w:pPr>
      <w:ind w:left="240"/>
    </w:pPr>
  </w:style>
  <w:style w:type="paragraph" w:styleId="TOC3">
    <w:name w:val="toc 3"/>
    <w:basedOn w:val="Normal"/>
    <w:next w:val="Normal"/>
    <w:autoRedefine/>
    <w:uiPriority w:val="39"/>
    <w:unhideWhenUsed/>
    <w:rsid w:val="006F30D4"/>
    <w:pPr>
      <w:ind w:left="480"/>
    </w:pPr>
  </w:style>
  <w:style w:type="paragraph" w:styleId="TOC4">
    <w:name w:val="toc 4"/>
    <w:basedOn w:val="Normal"/>
    <w:next w:val="Normal"/>
    <w:autoRedefine/>
    <w:uiPriority w:val="39"/>
    <w:unhideWhenUsed/>
    <w:rsid w:val="006F30D4"/>
    <w:pPr>
      <w:ind w:left="720"/>
    </w:pPr>
  </w:style>
  <w:style w:type="paragraph" w:styleId="TOC5">
    <w:name w:val="toc 5"/>
    <w:basedOn w:val="Normal"/>
    <w:next w:val="Normal"/>
    <w:autoRedefine/>
    <w:uiPriority w:val="39"/>
    <w:unhideWhenUsed/>
    <w:rsid w:val="006F30D4"/>
    <w:pPr>
      <w:ind w:left="960"/>
    </w:pPr>
  </w:style>
  <w:style w:type="paragraph" w:styleId="TOC6">
    <w:name w:val="toc 6"/>
    <w:basedOn w:val="Normal"/>
    <w:next w:val="Normal"/>
    <w:autoRedefine/>
    <w:uiPriority w:val="39"/>
    <w:unhideWhenUsed/>
    <w:rsid w:val="006F30D4"/>
    <w:pPr>
      <w:ind w:left="1200"/>
    </w:pPr>
  </w:style>
  <w:style w:type="paragraph" w:styleId="TOC7">
    <w:name w:val="toc 7"/>
    <w:basedOn w:val="Normal"/>
    <w:next w:val="Normal"/>
    <w:autoRedefine/>
    <w:uiPriority w:val="39"/>
    <w:unhideWhenUsed/>
    <w:rsid w:val="006F30D4"/>
    <w:pPr>
      <w:ind w:left="1440"/>
    </w:pPr>
  </w:style>
  <w:style w:type="paragraph" w:styleId="TOC8">
    <w:name w:val="toc 8"/>
    <w:basedOn w:val="Normal"/>
    <w:next w:val="Normal"/>
    <w:autoRedefine/>
    <w:uiPriority w:val="39"/>
    <w:unhideWhenUsed/>
    <w:rsid w:val="006F30D4"/>
    <w:pPr>
      <w:ind w:left="1680"/>
    </w:pPr>
  </w:style>
  <w:style w:type="paragraph" w:styleId="TOC9">
    <w:name w:val="toc 9"/>
    <w:basedOn w:val="Normal"/>
    <w:next w:val="Normal"/>
    <w:autoRedefine/>
    <w:uiPriority w:val="39"/>
    <w:unhideWhenUsed/>
    <w:rsid w:val="006F30D4"/>
    <w:pPr>
      <w:ind w:left="1920"/>
    </w:pPr>
  </w:style>
  <w:style w:type="paragraph" w:styleId="Caption">
    <w:name w:val="caption"/>
    <w:basedOn w:val="Normal"/>
    <w:next w:val="Normal"/>
    <w:qFormat/>
    <w:rsid w:val="0084771C"/>
    <w:pPr>
      <w:spacing w:before="120"/>
    </w:pPr>
    <w:rPr>
      <w:rFonts w:eastAsia="Times New Roman" w:cs="Times New Roman"/>
      <w:b/>
    </w:rPr>
  </w:style>
  <w:style w:type="paragraph" w:styleId="Header">
    <w:name w:val="header"/>
    <w:basedOn w:val="Normal"/>
    <w:link w:val="HeaderChar"/>
    <w:uiPriority w:val="99"/>
    <w:unhideWhenUsed/>
    <w:rsid w:val="00DB46BF"/>
    <w:pPr>
      <w:tabs>
        <w:tab w:val="center" w:pos="4320"/>
        <w:tab w:val="right" w:pos="8640"/>
      </w:tabs>
      <w:spacing w:after="0"/>
    </w:pPr>
  </w:style>
  <w:style w:type="character" w:customStyle="1" w:styleId="HeaderChar">
    <w:name w:val="Header Char"/>
    <w:basedOn w:val="DefaultParagraphFont"/>
    <w:link w:val="Header"/>
    <w:uiPriority w:val="99"/>
    <w:rsid w:val="00DB46BF"/>
    <w:rPr>
      <w:rFonts w:ascii="Times New Roman" w:hAnsi="Times New Roman"/>
      <w:lang w:val="en-GB"/>
    </w:rPr>
  </w:style>
  <w:style w:type="paragraph" w:styleId="Footer">
    <w:name w:val="footer"/>
    <w:basedOn w:val="Normal"/>
    <w:link w:val="FooterChar"/>
    <w:uiPriority w:val="99"/>
    <w:unhideWhenUsed/>
    <w:rsid w:val="00DB46BF"/>
    <w:pPr>
      <w:tabs>
        <w:tab w:val="center" w:pos="4320"/>
        <w:tab w:val="right" w:pos="8640"/>
      </w:tabs>
      <w:spacing w:after="0"/>
    </w:pPr>
  </w:style>
  <w:style w:type="character" w:customStyle="1" w:styleId="FooterChar">
    <w:name w:val="Footer Char"/>
    <w:basedOn w:val="DefaultParagraphFont"/>
    <w:link w:val="Footer"/>
    <w:uiPriority w:val="99"/>
    <w:rsid w:val="00DB46BF"/>
    <w:rPr>
      <w:rFonts w:ascii="Times New Roman" w:hAnsi="Times New Roman"/>
      <w:lang w:val="en-GB"/>
    </w:rPr>
  </w:style>
  <w:style w:type="character" w:styleId="PageNumber">
    <w:name w:val="page number"/>
    <w:basedOn w:val="DefaultParagraphFont"/>
    <w:uiPriority w:val="99"/>
    <w:semiHidden/>
    <w:unhideWhenUsed/>
    <w:rsid w:val="00DB46BF"/>
  </w:style>
  <w:style w:type="paragraph" w:styleId="DocumentMap">
    <w:name w:val="Document Map"/>
    <w:basedOn w:val="Normal"/>
    <w:link w:val="DocumentMapChar"/>
    <w:uiPriority w:val="99"/>
    <w:semiHidden/>
    <w:unhideWhenUsed/>
    <w:rsid w:val="002E799A"/>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2E799A"/>
    <w:rPr>
      <w:rFonts w:ascii="Lucida Grande" w:hAnsi="Lucida Grande" w:cs="Lucida Grande"/>
      <w:lang w:val="en-GB"/>
    </w:rPr>
  </w:style>
  <w:style w:type="paragraph" w:styleId="FootnoteText">
    <w:name w:val="footnote text"/>
    <w:aliases w:val="Geneva 9,Font: Geneva 9,Boston 10,f,single space,Footnote,otnote Text,Testo nota a piè di pagina Carattere Carattere,Testo nota a piè di pagina Carattere,Testo nota a piè di pagina Carattere1 Carattere,ft,Char Char Char Char,Fußnote,fn"/>
    <w:basedOn w:val="Normal"/>
    <w:link w:val="FootnoteTextChar"/>
    <w:uiPriority w:val="99"/>
    <w:unhideWhenUsed/>
    <w:rsid w:val="00E179EC"/>
    <w:pPr>
      <w:spacing w:after="0"/>
    </w:pPr>
  </w:style>
  <w:style w:type="character" w:customStyle="1" w:styleId="FootnoteTextChar">
    <w:name w:val="Footnote Text Char"/>
    <w:aliases w:val="Geneva 9 Char,Font: Geneva 9 Char,Boston 10 Char,f Char,single space Char,Footnote Char,otnote Text Char,Testo nota a piè di pagina Carattere Carattere Char,Testo nota a piè di pagina Carattere Char,ft Char,Char Char Char Char Char"/>
    <w:basedOn w:val="DefaultParagraphFont"/>
    <w:link w:val="FootnoteText"/>
    <w:uiPriority w:val="99"/>
    <w:rsid w:val="00E179EC"/>
    <w:rPr>
      <w:rFonts w:ascii="Times New Roman" w:hAnsi="Times New Roman"/>
      <w:lang w:val="en-GB"/>
    </w:rPr>
  </w:style>
  <w:style w:type="character" w:styleId="FootnoteReference">
    <w:name w:val="footnote reference"/>
    <w:aliases w:val="16 Point,Superscript 6 Point,Superscript 6 Point + 11 pt,ftref,BVI fnr,fr,Footnote Ref in FtNote,SUPERS,Footnote Reference Superscript,Ref,de nota al pie,number,note bp,BVI fnr Car Car,BVI fnr Car,BVI fnr Car Car Car Car,Footnote text"/>
    <w:basedOn w:val="DefaultParagraphFont"/>
    <w:uiPriority w:val="99"/>
    <w:unhideWhenUsed/>
    <w:rsid w:val="00E179EC"/>
    <w:rPr>
      <w:vertAlign w:val="superscript"/>
    </w:rPr>
  </w:style>
  <w:style w:type="paragraph" w:styleId="CommentText">
    <w:name w:val="annotation text"/>
    <w:basedOn w:val="Normal"/>
    <w:link w:val="CommentTextChar"/>
    <w:uiPriority w:val="99"/>
    <w:unhideWhenUsed/>
    <w:rsid w:val="00746827"/>
  </w:style>
  <w:style w:type="character" w:customStyle="1" w:styleId="CommentTextChar">
    <w:name w:val="Comment Text Char"/>
    <w:basedOn w:val="DefaultParagraphFont"/>
    <w:link w:val="CommentText"/>
    <w:uiPriority w:val="99"/>
    <w:rsid w:val="00746827"/>
    <w:rPr>
      <w:rFonts w:ascii="Times New Roman" w:hAnsi="Times New Roman"/>
      <w:lang w:val="en-GB"/>
    </w:rPr>
  </w:style>
  <w:style w:type="paragraph" w:customStyle="1" w:styleId="CM7">
    <w:name w:val="CM7"/>
    <w:basedOn w:val="Normal"/>
    <w:next w:val="Normal"/>
    <w:uiPriority w:val="99"/>
    <w:rsid w:val="00B42B94"/>
    <w:pPr>
      <w:widowControl w:val="0"/>
      <w:autoSpaceDE w:val="0"/>
      <w:autoSpaceDN w:val="0"/>
      <w:adjustRightInd w:val="0"/>
      <w:spacing w:after="0"/>
    </w:pPr>
    <w:rPr>
      <w:rFonts w:ascii="Times New Roman PSMT" w:eastAsia="Times New Roman" w:hAnsi="Times New Roman PSMT" w:cs="Times New Roman"/>
      <w:lang w:val="en-US"/>
    </w:rPr>
  </w:style>
  <w:style w:type="paragraph" w:customStyle="1" w:styleId="Default">
    <w:name w:val="Default"/>
    <w:rsid w:val="00135049"/>
    <w:pPr>
      <w:widowControl w:val="0"/>
      <w:autoSpaceDE w:val="0"/>
      <w:autoSpaceDN w:val="0"/>
      <w:adjustRightInd w:val="0"/>
    </w:pPr>
    <w:rPr>
      <w:rFonts w:ascii="Times New Roman PSMT" w:eastAsia="Times New Roman" w:hAnsi="Times New Roman PSMT" w:cs="Times New Roman PSMT"/>
      <w:color w:val="000000"/>
    </w:rPr>
  </w:style>
  <w:style w:type="paragraph" w:customStyle="1" w:styleId="CM11">
    <w:name w:val="CM11"/>
    <w:basedOn w:val="Default"/>
    <w:next w:val="Default"/>
    <w:uiPriority w:val="99"/>
    <w:rsid w:val="00135049"/>
    <w:rPr>
      <w:rFonts w:cs="Times New Roman"/>
      <w:color w:val="auto"/>
    </w:rPr>
  </w:style>
  <w:style w:type="paragraph" w:customStyle="1" w:styleId="CM4">
    <w:name w:val="CM4"/>
    <w:basedOn w:val="Default"/>
    <w:next w:val="Default"/>
    <w:uiPriority w:val="99"/>
    <w:rsid w:val="00660D28"/>
    <w:pPr>
      <w:spacing w:line="278" w:lineRule="atLeast"/>
    </w:pPr>
    <w:rPr>
      <w:rFonts w:cs="Times New Roman"/>
      <w:color w:val="auto"/>
    </w:rPr>
  </w:style>
  <w:style w:type="paragraph" w:customStyle="1" w:styleId="CM1">
    <w:name w:val="CM1"/>
    <w:basedOn w:val="Default"/>
    <w:next w:val="Default"/>
    <w:uiPriority w:val="99"/>
    <w:rsid w:val="006E4432"/>
    <w:pPr>
      <w:spacing w:line="276" w:lineRule="atLeast"/>
    </w:pPr>
    <w:rPr>
      <w:rFonts w:cs="Times New Roman"/>
      <w:color w:val="auto"/>
    </w:rPr>
  </w:style>
  <w:style w:type="paragraph" w:customStyle="1" w:styleId="CM6">
    <w:name w:val="CM6"/>
    <w:basedOn w:val="Default"/>
    <w:next w:val="Default"/>
    <w:uiPriority w:val="99"/>
    <w:rsid w:val="006E4432"/>
    <w:rPr>
      <w:rFonts w:cs="Times New Roman"/>
      <w:color w:val="auto"/>
    </w:rPr>
  </w:style>
  <w:style w:type="paragraph" w:customStyle="1" w:styleId="CM8">
    <w:name w:val="CM8"/>
    <w:basedOn w:val="Default"/>
    <w:next w:val="Default"/>
    <w:uiPriority w:val="99"/>
    <w:rsid w:val="006E4432"/>
    <w:rPr>
      <w:rFonts w:ascii="Times New Roman" w:hAnsi="Times New Roman" w:cs="Times New Roman"/>
      <w:color w:val="auto"/>
    </w:rPr>
  </w:style>
  <w:style w:type="character" w:customStyle="1" w:styleId="FootnoteTextChar1">
    <w:name w:val="Footnote Text Char1"/>
    <w:aliases w:val="Geneva 9 Char1,Font: Geneva 9 Char1,Boston 10 Char1,f Char1,single space Char1,Footnote Char1,otnote Text Char1,Testo nota a piè di pagina Carattere Carattere Char1,Testo nota a piè di pagina Carattere Char1,ft Char1,Fußnote Char"/>
    <w:uiPriority w:val="99"/>
    <w:locked/>
    <w:rsid w:val="002C3220"/>
    <w:rPr>
      <w:rFonts w:ascii="Arial" w:hAnsi="Arial" w:cs="Times New Roman"/>
      <w:lang w:val="en-GB"/>
    </w:rPr>
  </w:style>
  <w:style w:type="paragraph" w:customStyle="1" w:styleId="Para">
    <w:name w:val="Para"/>
    <w:basedOn w:val="Normal"/>
    <w:uiPriority w:val="99"/>
    <w:rsid w:val="002C3220"/>
    <w:pPr>
      <w:spacing w:after="180"/>
      <w:ind w:firstLine="360"/>
    </w:pPr>
    <w:rPr>
      <w:rFonts w:ascii="Times New Roman" w:eastAsia="Times New Roman" w:hAnsi="Times New Roman" w:cs="Times New Roman"/>
      <w:sz w:val="22"/>
      <w:szCs w:val="22"/>
      <w:lang w:val="en-US"/>
    </w:rPr>
  </w:style>
  <w:style w:type="character" w:customStyle="1" w:styleId="ListParagraphChar">
    <w:name w:val="List Paragraph Char"/>
    <w:aliases w:val="Bullets Char,List Paragraph1 Char"/>
    <w:link w:val="ListParagraph"/>
    <w:uiPriority w:val="34"/>
    <w:rsid w:val="00EC3359"/>
    <w:rPr>
      <w:rFonts w:ascii="Palatino Linotype" w:hAnsi="Palatino Linotype"/>
      <w:lang w:val="en-GB"/>
    </w:rPr>
  </w:style>
  <w:style w:type="paragraph" w:customStyle="1" w:styleId="TableText">
    <w:name w:val="TableText"/>
    <w:link w:val="TableTextChar"/>
    <w:autoRedefine/>
    <w:rsid w:val="00F72B06"/>
    <w:pPr>
      <w:tabs>
        <w:tab w:val="left" w:pos="-720"/>
      </w:tabs>
      <w:suppressAutoHyphens/>
    </w:pPr>
    <w:rPr>
      <w:rFonts w:ascii="Times New Roman" w:eastAsia="Times New Roman" w:hAnsi="Times New Roman" w:cs="Times New Roman"/>
      <w:sz w:val="20"/>
      <w:szCs w:val="20"/>
      <w:lang w:eastAsia="ru-RU"/>
    </w:rPr>
  </w:style>
  <w:style w:type="character" w:customStyle="1" w:styleId="TableTextChar">
    <w:name w:val="TableText Char"/>
    <w:link w:val="TableText"/>
    <w:rsid w:val="00F72B06"/>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AA2F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478">
      <w:bodyDiv w:val="1"/>
      <w:marLeft w:val="0"/>
      <w:marRight w:val="0"/>
      <w:marTop w:val="0"/>
      <w:marBottom w:val="0"/>
      <w:divBdr>
        <w:top w:val="none" w:sz="0" w:space="0" w:color="auto"/>
        <w:left w:val="none" w:sz="0" w:space="0" w:color="auto"/>
        <w:bottom w:val="none" w:sz="0" w:space="0" w:color="auto"/>
        <w:right w:val="none" w:sz="0" w:space="0" w:color="auto"/>
      </w:divBdr>
      <w:divsChild>
        <w:div w:id="1922135555">
          <w:marLeft w:val="547"/>
          <w:marRight w:val="0"/>
          <w:marTop w:val="154"/>
          <w:marBottom w:val="0"/>
          <w:divBdr>
            <w:top w:val="none" w:sz="0" w:space="0" w:color="auto"/>
            <w:left w:val="none" w:sz="0" w:space="0" w:color="auto"/>
            <w:bottom w:val="none" w:sz="0" w:space="0" w:color="auto"/>
            <w:right w:val="none" w:sz="0" w:space="0" w:color="auto"/>
          </w:divBdr>
        </w:div>
        <w:div w:id="1490293141">
          <w:marLeft w:val="547"/>
          <w:marRight w:val="0"/>
          <w:marTop w:val="154"/>
          <w:marBottom w:val="0"/>
          <w:divBdr>
            <w:top w:val="none" w:sz="0" w:space="0" w:color="auto"/>
            <w:left w:val="none" w:sz="0" w:space="0" w:color="auto"/>
            <w:bottom w:val="none" w:sz="0" w:space="0" w:color="auto"/>
            <w:right w:val="none" w:sz="0" w:space="0" w:color="auto"/>
          </w:divBdr>
        </w:div>
        <w:div w:id="258410683">
          <w:marLeft w:val="547"/>
          <w:marRight w:val="0"/>
          <w:marTop w:val="154"/>
          <w:marBottom w:val="0"/>
          <w:divBdr>
            <w:top w:val="none" w:sz="0" w:space="0" w:color="auto"/>
            <w:left w:val="none" w:sz="0" w:space="0" w:color="auto"/>
            <w:bottom w:val="none" w:sz="0" w:space="0" w:color="auto"/>
            <w:right w:val="none" w:sz="0" w:space="0" w:color="auto"/>
          </w:divBdr>
        </w:div>
      </w:divsChild>
    </w:div>
    <w:div w:id="55209645">
      <w:bodyDiv w:val="1"/>
      <w:marLeft w:val="0"/>
      <w:marRight w:val="0"/>
      <w:marTop w:val="0"/>
      <w:marBottom w:val="0"/>
      <w:divBdr>
        <w:top w:val="none" w:sz="0" w:space="0" w:color="auto"/>
        <w:left w:val="none" w:sz="0" w:space="0" w:color="auto"/>
        <w:bottom w:val="none" w:sz="0" w:space="0" w:color="auto"/>
        <w:right w:val="none" w:sz="0" w:space="0" w:color="auto"/>
      </w:divBdr>
    </w:div>
    <w:div w:id="437334320">
      <w:bodyDiv w:val="1"/>
      <w:marLeft w:val="0"/>
      <w:marRight w:val="0"/>
      <w:marTop w:val="0"/>
      <w:marBottom w:val="0"/>
      <w:divBdr>
        <w:top w:val="none" w:sz="0" w:space="0" w:color="auto"/>
        <w:left w:val="none" w:sz="0" w:space="0" w:color="auto"/>
        <w:bottom w:val="none" w:sz="0" w:space="0" w:color="auto"/>
        <w:right w:val="none" w:sz="0" w:space="0" w:color="auto"/>
      </w:divBdr>
      <w:divsChild>
        <w:div w:id="896891282">
          <w:marLeft w:val="547"/>
          <w:marRight w:val="0"/>
          <w:marTop w:val="115"/>
          <w:marBottom w:val="0"/>
          <w:divBdr>
            <w:top w:val="none" w:sz="0" w:space="0" w:color="auto"/>
            <w:left w:val="none" w:sz="0" w:space="0" w:color="auto"/>
            <w:bottom w:val="none" w:sz="0" w:space="0" w:color="auto"/>
            <w:right w:val="none" w:sz="0" w:space="0" w:color="auto"/>
          </w:divBdr>
        </w:div>
        <w:div w:id="1647275254">
          <w:marLeft w:val="547"/>
          <w:marRight w:val="0"/>
          <w:marTop w:val="115"/>
          <w:marBottom w:val="0"/>
          <w:divBdr>
            <w:top w:val="none" w:sz="0" w:space="0" w:color="auto"/>
            <w:left w:val="none" w:sz="0" w:space="0" w:color="auto"/>
            <w:bottom w:val="none" w:sz="0" w:space="0" w:color="auto"/>
            <w:right w:val="none" w:sz="0" w:space="0" w:color="auto"/>
          </w:divBdr>
        </w:div>
        <w:div w:id="1468938435">
          <w:marLeft w:val="547"/>
          <w:marRight w:val="0"/>
          <w:marTop w:val="115"/>
          <w:marBottom w:val="0"/>
          <w:divBdr>
            <w:top w:val="none" w:sz="0" w:space="0" w:color="auto"/>
            <w:left w:val="none" w:sz="0" w:space="0" w:color="auto"/>
            <w:bottom w:val="none" w:sz="0" w:space="0" w:color="auto"/>
            <w:right w:val="none" w:sz="0" w:space="0" w:color="auto"/>
          </w:divBdr>
        </w:div>
      </w:divsChild>
    </w:div>
    <w:div w:id="685444412">
      <w:bodyDiv w:val="1"/>
      <w:marLeft w:val="0"/>
      <w:marRight w:val="0"/>
      <w:marTop w:val="0"/>
      <w:marBottom w:val="0"/>
      <w:divBdr>
        <w:top w:val="none" w:sz="0" w:space="0" w:color="auto"/>
        <w:left w:val="none" w:sz="0" w:space="0" w:color="auto"/>
        <w:bottom w:val="none" w:sz="0" w:space="0" w:color="auto"/>
        <w:right w:val="none" w:sz="0" w:space="0" w:color="auto"/>
      </w:divBdr>
      <w:divsChild>
        <w:div w:id="1735473354">
          <w:marLeft w:val="1166"/>
          <w:marRight w:val="0"/>
          <w:marTop w:val="134"/>
          <w:marBottom w:val="0"/>
          <w:divBdr>
            <w:top w:val="none" w:sz="0" w:space="0" w:color="auto"/>
            <w:left w:val="none" w:sz="0" w:space="0" w:color="auto"/>
            <w:bottom w:val="none" w:sz="0" w:space="0" w:color="auto"/>
            <w:right w:val="none" w:sz="0" w:space="0" w:color="auto"/>
          </w:divBdr>
        </w:div>
      </w:divsChild>
    </w:div>
    <w:div w:id="717051424">
      <w:bodyDiv w:val="1"/>
      <w:marLeft w:val="0"/>
      <w:marRight w:val="0"/>
      <w:marTop w:val="0"/>
      <w:marBottom w:val="0"/>
      <w:divBdr>
        <w:top w:val="none" w:sz="0" w:space="0" w:color="auto"/>
        <w:left w:val="none" w:sz="0" w:space="0" w:color="auto"/>
        <w:bottom w:val="none" w:sz="0" w:space="0" w:color="auto"/>
        <w:right w:val="none" w:sz="0" w:space="0" w:color="auto"/>
      </w:divBdr>
      <w:divsChild>
        <w:div w:id="14691611">
          <w:marLeft w:val="547"/>
          <w:marRight w:val="0"/>
          <w:marTop w:val="154"/>
          <w:marBottom w:val="0"/>
          <w:divBdr>
            <w:top w:val="none" w:sz="0" w:space="0" w:color="auto"/>
            <w:left w:val="none" w:sz="0" w:space="0" w:color="auto"/>
            <w:bottom w:val="none" w:sz="0" w:space="0" w:color="auto"/>
            <w:right w:val="none" w:sz="0" w:space="0" w:color="auto"/>
          </w:divBdr>
        </w:div>
        <w:div w:id="190534846">
          <w:marLeft w:val="547"/>
          <w:marRight w:val="0"/>
          <w:marTop w:val="154"/>
          <w:marBottom w:val="0"/>
          <w:divBdr>
            <w:top w:val="none" w:sz="0" w:space="0" w:color="auto"/>
            <w:left w:val="none" w:sz="0" w:space="0" w:color="auto"/>
            <w:bottom w:val="none" w:sz="0" w:space="0" w:color="auto"/>
            <w:right w:val="none" w:sz="0" w:space="0" w:color="auto"/>
          </w:divBdr>
        </w:div>
      </w:divsChild>
    </w:div>
    <w:div w:id="852764273">
      <w:bodyDiv w:val="1"/>
      <w:marLeft w:val="0"/>
      <w:marRight w:val="0"/>
      <w:marTop w:val="0"/>
      <w:marBottom w:val="0"/>
      <w:divBdr>
        <w:top w:val="none" w:sz="0" w:space="0" w:color="auto"/>
        <w:left w:val="none" w:sz="0" w:space="0" w:color="auto"/>
        <w:bottom w:val="none" w:sz="0" w:space="0" w:color="auto"/>
        <w:right w:val="none" w:sz="0" w:space="0" w:color="auto"/>
      </w:divBdr>
      <w:divsChild>
        <w:div w:id="936984553">
          <w:marLeft w:val="547"/>
          <w:marRight w:val="0"/>
          <w:marTop w:val="115"/>
          <w:marBottom w:val="0"/>
          <w:divBdr>
            <w:top w:val="none" w:sz="0" w:space="0" w:color="auto"/>
            <w:left w:val="none" w:sz="0" w:space="0" w:color="auto"/>
            <w:bottom w:val="none" w:sz="0" w:space="0" w:color="auto"/>
            <w:right w:val="none" w:sz="0" w:space="0" w:color="auto"/>
          </w:divBdr>
        </w:div>
        <w:div w:id="1338772799">
          <w:marLeft w:val="547"/>
          <w:marRight w:val="0"/>
          <w:marTop w:val="115"/>
          <w:marBottom w:val="0"/>
          <w:divBdr>
            <w:top w:val="none" w:sz="0" w:space="0" w:color="auto"/>
            <w:left w:val="none" w:sz="0" w:space="0" w:color="auto"/>
            <w:bottom w:val="none" w:sz="0" w:space="0" w:color="auto"/>
            <w:right w:val="none" w:sz="0" w:space="0" w:color="auto"/>
          </w:divBdr>
        </w:div>
      </w:divsChild>
    </w:div>
    <w:div w:id="873661591">
      <w:bodyDiv w:val="1"/>
      <w:marLeft w:val="0"/>
      <w:marRight w:val="0"/>
      <w:marTop w:val="0"/>
      <w:marBottom w:val="0"/>
      <w:divBdr>
        <w:top w:val="none" w:sz="0" w:space="0" w:color="auto"/>
        <w:left w:val="none" w:sz="0" w:space="0" w:color="auto"/>
        <w:bottom w:val="none" w:sz="0" w:space="0" w:color="auto"/>
        <w:right w:val="none" w:sz="0" w:space="0" w:color="auto"/>
      </w:divBdr>
      <w:divsChild>
        <w:div w:id="785733257">
          <w:marLeft w:val="547"/>
          <w:marRight w:val="0"/>
          <w:marTop w:val="154"/>
          <w:marBottom w:val="0"/>
          <w:divBdr>
            <w:top w:val="none" w:sz="0" w:space="0" w:color="auto"/>
            <w:left w:val="none" w:sz="0" w:space="0" w:color="auto"/>
            <w:bottom w:val="none" w:sz="0" w:space="0" w:color="auto"/>
            <w:right w:val="none" w:sz="0" w:space="0" w:color="auto"/>
          </w:divBdr>
        </w:div>
        <w:div w:id="1464039427">
          <w:marLeft w:val="1166"/>
          <w:marRight w:val="0"/>
          <w:marTop w:val="134"/>
          <w:marBottom w:val="0"/>
          <w:divBdr>
            <w:top w:val="none" w:sz="0" w:space="0" w:color="auto"/>
            <w:left w:val="none" w:sz="0" w:space="0" w:color="auto"/>
            <w:bottom w:val="none" w:sz="0" w:space="0" w:color="auto"/>
            <w:right w:val="none" w:sz="0" w:space="0" w:color="auto"/>
          </w:divBdr>
        </w:div>
      </w:divsChild>
    </w:div>
    <w:div w:id="953906484">
      <w:bodyDiv w:val="1"/>
      <w:marLeft w:val="0"/>
      <w:marRight w:val="0"/>
      <w:marTop w:val="0"/>
      <w:marBottom w:val="0"/>
      <w:divBdr>
        <w:top w:val="none" w:sz="0" w:space="0" w:color="auto"/>
        <w:left w:val="none" w:sz="0" w:space="0" w:color="auto"/>
        <w:bottom w:val="none" w:sz="0" w:space="0" w:color="auto"/>
        <w:right w:val="none" w:sz="0" w:space="0" w:color="auto"/>
      </w:divBdr>
      <w:divsChild>
        <w:div w:id="409886234">
          <w:marLeft w:val="547"/>
          <w:marRight w:val="0"/>
          <w:marTop w:val="154"/>
          <w:marBottom w:val="0"/>
          <w:divBdr>
            <w:top w:val="none" w:sz="0" w:space="0" w:color="auto"/>
            <w:left w:val="none" w:sz="0" w:space="0" w:color="auto"/>
            <w:bottom w:val="none" w:sz="0" w:space="0" w:color="auto"/>
            <w:right w:val="none" w:sz="0" w:space="0" w:color="auto"/>
          </w:divBdr>
        </w:div>
      </w:divsChild>
    </w:div>
    <w:div w:id="1063413115">
      <w:bodyDiv w:val="1"/>
      <w:marLeft w:val="0"/>
      <w:marRight w:val="0"/>
      <w:marTop w:val="0"/>
      <w:marBottom w:val="0"/>
      <w:divBdr>
        <w:top w:val="none" w:sz="0" w:space="0" w:color="auto"/>
        <w:left w:val="none" w:sz="0" w:space="0" w:color="auto"/>
        <w:bottom w:val="none" w:sz="0" w:space="0" w:color="auto"/>
        <w:right w:val="none" w:sz="0" w:space="0" w:color="auto"/>
      </w:divBdr>
      <w:divsChild>
        <w:div w:id="1048191569">
          <w:marLeft w:val="547"/>
          <w:marRight w:val="0"/>
          <w:marTop w:val="154"/>
          <w:marBottom w:val="0"/>
          <w:divBdr>
            <w:top w:val="none" w:sz="0" w:space="0" w:color="auto"/>
            <w:left w:val="none" w:sz="0" w:space="0" w:color="auto"/>
            <w:bottom w:val="none" w:sz="0" w:space="0" w:color="auto"/>
            <w:right w:val="none" w:sz="0" w:space="0" w:color="auto"/>
          </w:divBdr>
        </w:div>
        <w:div w:id="327948942">
          <w:marLeft w:val="547"/>
          <w:marRight w:val="0"/>
          <w:marTop w:val="154"/>
          <w:marBottom w:val="0"/>
          <w:divBdr>
            <w:top w:val="none" w:sz="0" w:space="0" w:color="auto"/>
            <w:left w:val="none" w:sz="0" w:space="0" w:color="auto"/>
            <w:bottom w:val="none" w:sz="0" w:space="0" w:color="auto"/>
            <w:right w:val="none" w:sz="0" w:space="0" w:color="auto"/>
          </w:divBdr>
        </w:div>
      </w:divsChild>
    </w:div>
    <w:div w:id="1215578116">
      <w:bodyDiv w:val="1"/>
      <w:marLeft w:val="0"/>
      <w:marRight w:val="0"/>
      <w:marTop w:val="0"/>
      <w:marBottom w:val="0"/>
      <w:divBdr>
        <w:top w:val="none" w:sz="0" w:space="0" w:color="auto"/>
        <w:left w:val="none" w:sz="0" w:space="0" w:color="auto"/>
        <w:bottom w:val="none" w:sz="0" w:space="0" w:color="auto"/>
        <w:right w:val="none" w:sz="0" w:space="0" w:color="auto"/>
      </w:divBdr>
      <w:divsChild>
        <w:div w:id="844128055">
          <w:marLeft w:val="547"/>
          <w:marRight w:val="0"/>
          <w:marTop w:val="154"/>
          <w:marBottom w:val="0"/>
          <w:divBdr>
            <w:top w:val="none" w:sz="0" w:space="0" w:color="auto"/>
            <w:left w:val="none" w:sz="0" w:space="0" w:color="auto"/>
            <w:bottom w:val="none" w:sz="0" w:space="0" w:color="auto"/>
            <w:right w:val="none" w:sz="0" w:space="0" w:color="auto"/>
          </w:divBdr>
        </w:div>
        <w:div w:id="1099448690">
          <w:marLeft w:val="547"/>
          <w:marRight w:val="0"/>
          <w:marTop w:val="154"/>
          <w:marBottom w:val="0"/>
          <w:divBdr>
            <w:top w:val="none" w:sz="0" w:space="0" w:color="auto"/>
            <w:left w:val="none" w:sz="0" w:space="0" w:color="auto"/>
            <w:bottom w:val="none" w:sz="0" w:space="0" w:color="auto"/>
            <w:right w:val="none" w:sz="0" w:space="0" w:color="auto"/>
          </w:divBdr>
        </w:div>
      </w:divsChild>
    </w:div>
    <w:div w:id="1859585070">
      <w:bodyDiv w:val="1"/>
      <w:marLeft w:val="0"/>
      <w:marRight w:val="0"/>
      <w:marTop w:val="0"/>
      <w:marBottom w:val="0"/>
      <w:divBdr>
        <w:top w:val="none" w:sz="0" w:space="0" w:color="auto"/>
        <w:left w:val="none" w:sz="0" w:space="0" w:color="auto"/>
        <w:bottom w:val="none" w:sz="0" w:space="0" w:color="auto"/>
        <w:right w:val="none" w:sz="0" w:space="0" w:color="auto"/>
      </w:divBdr>
    </w:div>
    <w:div w:id="20975580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chart" Target="charts/chart1.xml"/><Relationship Id="rId18" Type="http://schemas.openxmlformats.org/officeDocument/2006/relationships/chart" Target="charts/chart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nrt-kenya.org/enterprises/" TargetMode="External"/><Relationship Id="rId4" Type="http://schemas.openxmlformats.org/officeDocument/2006/relationships/hyperlink" Target="http://www.nrt-kenya.org/enterprises/" TargetMode="External"/><Relationship Id="rId5" Type="http://schemas.openxmlformats.org/officeDocument/2006/relationships/hyperlink" Target="http://www.baitushum.kg/en/" TargetMode="External"/><Relationship Id="rId6" Type="http://schemas.openxmlformats.org/officeDocument/2006/relationships/hyperlink" Target="http://www.smartconservationsoftware.org" TargetMode="External"/><Relationship Id="rId1" Type="http://schemas.openxmlformats.org/officeDocument/2006/relationships/hyperlink" Target="http://www.smartconservationsoftware.org" TargetMode="External"/><Relationship Id="rId2" Type="http://schemas.openxmlformats.org/officeDocument/2006/relationships/hyperlink" Target="http://www.tesfatours.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tuartwilliams:Documents:Jobs:UNDP-Kyrgyzstan:outputs:financ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stuartwilliams:Documents:Jobs:UNDP-Kyrgyzstan:outputs:financ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Sheet1!$B$9</c:f>
              <c:strCache>
                <c:ptCount val="1"/>
                <c:pt idx="0">
                  <c:v>Budgeted</c:v>
                </c:pt>
              </c:strCache>
            </c:strRef>
          </c:tx>
          <c:invertIfNegative val="0"/>
          <c:cat>
            <c:strRef>
              <c:f>Sheet1!$A$10:$A$12</c:f>
              <c:strCache>
                <c:ptCount val="3"/>
                <c:pt idx="0">
                  <c:v>1</c:v>
                </c:pt>
                <c:pt idx="1">
                  <c:v>2</c:v>
                </c:pt>
                <c:pt idx="2">
                  <c:v>ProjMgt</c:v>
                </c:pt>
              </c:strCache>
            </c:strRef>
          </c:cat>
          <c:val>
            <c:numRef>
              <c:f>Sheet1!$B$10:$B$12</c:f>
              <c:numCache>
                <c:formatCode>General</c:formatCode>
                <c:ptCount val="3"/>
                <c:pt idx="0">
                  <c:v>326104.0</c:v>
                </c:pt>
                <c:pt idx="1">
                  <c:v>393974.0</c:v>
                </c:pt>
                <c:pt idx="2">
                  <c:v>66043.06</c:v>
                </c:pt>
              </c:numCache>
            </c:numRef>
          </c:val>
        </c:ser>
        <c:ser>
          <c:idx val="1"/>
          <c:order val="1"/>
          <c:tx>
            <c:strRef>
              <c:f>Sheet1!$C$9</c:f>
              <c:strCache>
                <c:ptCount val="1"/>
                <c:pt idx="0">
                  <c:v>Actual</c:v>
                </c:pt>
              </c:strCache>
            </c:strRef>
          </c:tx>
          <c:invertIfNegative val="0"/>
          <c:cat>
            <c:strRef>
              <c:f>Sheet1!$A$10:$A$12</c:f>
              <c:strCache>
                <c:ptCount val="3"/>
                <c:pt idx="0">
                  <c:v>1</c:v>
                </c:pt>
                <c:pt idx="1">
                  <c:v>2</c:v>
                </c:pt>
                <c:pt idx="2">
                  <c:v>ProjMgt</c:v>
                </c:pt>
              </c:strCache>
            </c:strRef>
          </c:cat>
          <c:val>
            <c:numRef>
              <c:f>Sheet1!$C$10:$C$12</c:f>
              <c:numCache>
                <c:formatCode>General</c:formatCode>
                <c:ptCount val="3"/>
                <c:pt idx="0">
                  <c:v>192898.03</c:v>
                </c:pt>
                <c:pt idx="1">
                  <c:v>93309.43999999999</c:v>
                </c:pt>
                <c:pt idx="2">
                  <c:v>51172.43</c:v>
                </c:pt>
              </c:numCache>
            </c:numRef>
          </c:val>
        </c:ser>
        <c:dLbls>
          <c:showLegendKey val="0"/>
          <c:showVal val="0"/>
          <c:showCatName val="0"/>
          <c:showSerName val="0"/>
          <c:showPercent val="0"/>
          <c:showBubbleSize val="0"/>
        </c:dLbls>
        <c:gapWidth val="150"/>
        <c:axId val="2091437784"/>
        <c:axId val="2055779224"/>
      </c:barChart>
      <c:catAx>
        <c:axId val="2091437784"/>
        <c:scaling>
          <c:orientation val="minMax"/>
        </c:scaling>
        <c:delete val="0"/>
        <c:axPos val="b"/>
        <c:title>
          <c:tx>
            <c:rich>
              <a:bodyPr/>
              <a:lstStyle/>
              <a:p>
                <a:pPr>
                  <a:defRPr/>
                </a:pPr>
                <a:r>
                  <a:rPr lang="en-US"/>
                  <a:t>Outcome</a:t>
                </a:r>
              </a:p>
            </c:rich>
          </c:tx>
          <c:layout/>
          <c:overlay val="0"/>
        </c:title>
        <c:majorTickMark val="out"/>
        <c:minorTickMark val="none"/>
        <c:tickLblPos val="nextTo"/>
        <c:crossAx val="2055779224"/>
        <c:crosses val="autoZero"/>
        <c:auto val="1"/>
        <c:lblAlgn val="ctr"/>
        <c:lblOffset val="100"/>
        <c:noMultiLvlLbl val="0"/>
      </c:catAx>
      <c:valAx>
        <c:axId val="2055779224"/>
        <c:scaling>
          <c:orientation val="minMax"/>
        </c:scaling>
        <c:delete val="0"/>
        <c:axPos val="l"/>
        <c:majorGridlines>
          <c:spPr>
            <a:ln>
              <a:noFill/>
            </a:ln>
          </c:spPr>
        </c:majorGridlines>
        <c:title>
          <c:tx>
            <c:rich>
              <a:bodyPr rot="-5400000" vert="horz"/>
              <a:lstStyle/>
              <a:p>
                <a:pPr>
                  <a:defRPr/>
                </a:pPr>
                <a:r>
                  <a:rPr lang="en-US"/>
                  <a:t>Amount</a:t>
                </a:r>
                <a:r>
                  <a:rPr lang="en-US" baseline="0"/>
                  <a:t> (USD)</a:t>
                </a:r>
                <a:endParaRPr lang="en-US"/>
              </a:p>
            </c:rich>
          </c:tx>
          <c:layout/>
          <c:overlay val="0"/>
        </c:title>
        <c:numFmt formatCode="General" sourceLinked="1"/>
        <c:majorTickMark val="out"/>
        <c:minorTickMark val="none"/>
        <c:tickLblPos val="nextTo"/>
        <c:crossAx val="2091437784"/>
        <c:crosses val="autoZero"/>
        <c:crossBetween val="between"/>
      </c:valAx>
      <c:spPr>
        <a:ln>
          <a:solidFill>
            <a:schemeClr val="tx1"/>
          </a:solidFill>
        </a:ln>
      </c:spPr>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Sheet1!$H$23</c:f>
              <c:strCache>
                <c:ptCount val="1"/>
                <c:pt idx="0">
                  <c:v>Outcome 1 - Budgeted</c:v>
                </c:pt>
              </c:strCache>
            </c:strRef>
          </c:tx>
          <c:marker>
            <c:symbol val="none"/>
          </c:marker>
          <c:cat>
            <c:numRef>
              <c:f>Sheet1!$I$22:$K$22</c:f>
              <c:numCache>
                <c:formatCode>General</c:formatCode>
                <c:ptCount val="3"/>
                <c:pt idx="0">
                  <c:v>2013.0</c:v>
                </c:pt>
                <c:pt idx="1">
                  <c:v>2014.0</c:v>
                </c:pt>
                <c:pt idx="2">
                  <c:v>2015.0</c:v>
                </c:pt>
              </c:numCache>
            </c:numRef>
          </c:cat>
          <c:val>
            <c:numRef>
              <c:f>Sheet1!$I$23:$K$23</c:f>
              <c:numCache>
                <c:formatCode>General</c:formatCode>
                <c:ptCount val="3"/>
                <c:pt idx="0">
                  <c:v>37210.0</c:v>
                </c:pt>
                <c:pt idx="1">
                  <c:v>200710.0</c:v>
                </c:pt>
                <c:pt idx="2">
                  <c:v>326104.0</c:v>
                </c:pt>
              </c:numCache>
            </c:numRef>
          </c:val>
          <c:smooth val="0"/>
        </c:ser>
        <c:ser>
          <c:idx val="1"/>
          <c:order val="1"/>
          <c:tx>
            <c:strRef>
              <c:f>Sheet1!$H$24</c:f>
              <c:strCache>
                <c:ptCount val="1"/>
                <c:pt idx="0">
                  <c:v>Outcome 1 - Actual</c:v>
                </c:pt>
              </c:strCache>
            </c:strRef>
          </c:tx>
          <c:spPr>
            <a:ln>
              <a:solidFill>
                <a:schemeClr val="tx2">
                  <a:lumMod val="60000"/>
                  <a:lumOff val="40000"/>
                </a:schemeClr>
              </a:solidFill>
              <a:prstDash val="dash"/>
            </a:ln>
          </c:spPr>
          <c:marker>
            <c:symbol val="none"/>
          </c:marker>
          <c:cat>
            <c:numRef>
              <c:f>Sheet1!$I$22:$K$22</c:f>
              <c:numCache>
                <c:formatCode>General</c:formatCode>
                <c:ptCount val="3"/>
                <c:pt idx="0">
                  <c:v>2013.0</c:v>
                </c:pt>
                <c:pt idx="1">
                  <c:v>2014.0</c:v>
                </c:pt>
                <c:pt idx="2">
                  <c:v>2015.0</c:v>
                </c:pt>
              </c:numCache>
            </c:numRef>
          </c:cat>
          <c:val>
            <c:numRef>
              <c:f>Sheet1!$I$24:$K$24</c:f>
              <c:numCache>
                <c:formatCode>General</c:formatCode>
                <c:ptCount val="3"/>
                <c:pt idx="0">
                  <c:v>37295.39</c:v>
                </c:pt>
                <c:pt idx="1">
                  <c:v>163217.7</c:v>
                </c:pt>
                <c:pt idx="2">
                  <c:v>192898.03</c:v>
                </c:pt>
              </c:numCache>
            </c:numRef>
          </c:val>
          <c:smooth val="0"/>
        </c:ser>
        <c:ser>
          <c:idx val="2"/>
          <c:order val="2"/>
          <c:tx>
            <c:strRef>
              <c:f>Sheet1!$H$25</c:f>
              <c:strCache>
                <c:ptCount val="1"/>
                <c:pt idx="0">
                  <c:v>Outcome 2 - Budgeted</c:v>
                </c:pt>
              </c:strCache>
            </c:strRef>
          </c:tx>
          <c:marker>
            <c:symbol val="none"/>
          </c:marker>
          <c:cat>
            <c:numRef>
              <c:f>Sheet1!$I$22:$K$22</c:f>
              <c:numCache>
                <c:formatCode>General</c:formatCode>
                <c:ptCount val="3"/>
                <c:pt idx="0">
                  <c:v>2013.0</c:v>
                </c:pt>
                <c:pt idx="1">
                  <c:v>2014.0</c:v>
                </c:pt>
                <c:pt idx="2">
                  <c:v>2015.0</c:v>
                </c:pt>
              </c:numCache>
            </c:numRef>
          </c:cat>
          <c:val>
            <c:numRef>
              <c:f>Sheet1!$I$25:$K$25</c:f>
              <c:numCache>
                <c:formatCode>General</c:formatCode>
                <c:ptCount val="3"/>
                <c:pt idx="0">
                  <c:v>6621.0</c:v>
                </c:pt>
                <c:pt idx="1">
                  <c:v>145649.0</c:v>
                </c:pt>
                <c:pt idx="2">
                  <c:v>393974.0</c:v>
                </c:pt>
              </c:numCache>
            </c:numRef>
          </c:val>
          <c:smooth val="0"/>
        </c:ser>
        <c:ser>
          <c:idx val="3"/>
          <c:order val="3"/>
          <c:tx>
            <c:strRef>
              <c:f>Sheet1!$H$26</c:f>
              <c:strCache>
                <c:ptCount val="1"/>
                <c:pt idx="0">
                  <c:v>Outcome 2 - Actual</c:v>
                </c:pt>
              </c:strCache>
            </c:strRef>
          </c:tx>
          <c:spPr>
            <a:ln>
              <a:solidFill>
                <a:schemeClr val="accent3">
                  <a:lumMod val="75000"/>
                </a:schemeClr>
              </a:solidFill>
              <a:prstDash val="dash"/>
            </a:ln>
          </c:spPr>
          <c:marker>
            <c:symbol val="none"/>
          </c:marker>
          <c:cat>
            <c:numRef>
              <c:f>Sheet1!$I$22:$K$22</c:f>
              <c:numCache>
                <c:formatCode>General</c:formatCode>
                <c:ptCount val="3"/>
                <c:pt idx="0">
                  <c:v>2013.0</c:v>
                </c:pt>
                <c:pt idx="1">
                  <c:v>2014.0</c:v>
                </c:pt>
                <c:pt idx="2">
                  <c:v>2015.0</c:v>
                </c:pt>
              </c:numCache>
            </c:numRef>
          </c:cat>
          <c:val>
            <c:numRef>
              <c:f>Sheet1!$I$26:$K$26</c:f>
              <c:numCache>
                <c:formatCode>General</c:formatCode>
                <c:ptCount val="3"/>
                <c:pt idx="0">
                  <c:v>5953.52</c:v>
                </c:pt>
                <c:pt idx="1">
                  <c:v>67527.93000000001</c:v>
                </c:pt>
                <c:pt idx="2">
                  <c:v>93309.43999999999</c:v>
                </c:pt>
              </c:numCache>
            </c:numRef>
          </c:val>
          <c:smooth val="0"/>
        </c:ser>
        <c:ser>
          <c:idx val="4"/>
          <c:order val="4"/>
          <c:tx>
            <c:strRef>
              <c:f>Sheet1!$H$27</c:f>
              <c:strCache>
                <c:ptCount val="1"/>
                <c:pt idx="0">
                  <c:v>ProjMgt - Budgeted</c:v>
                </c:pt>
              </c:strCache>
            </c:strRef>
          </c:tx>
          <c:spPr>
            <a:ln>
              <a:solidFill>
                <a:schemeClr val="accent2">
                  <a:lumMod val="75000"/>
                </a:schemeClr>
              </a:solidFill>
            </a:ln>
          </c:spPr>
          <c:marker>
            <c:symbol val="none"/>
          </c:marker>
          <c:cat>
            <c:numRef>
              <c:f>Sheet1!$I$22:$K$22</c:f>
              <c:numCache>
                <c:formatCode>General</c:formatCode>
                <c:ptCount val="3"/>
                <c:pt idx="0">
                  <c:v>2013.0</c:v>
                </c:pt>
                <c:pt idx="1">
                  <c:v>2014.0</c:v>
                </c:pt>
                <c:pt idx="2">
                  <c:v>2015.0</c:v>
                </c:pt>
              </c:numCache>
            </c:numRef>
          </c:cat>
          <c:val>
            <c:numRef>
              <c:f>Sheet1!$I$27:$K$27</c:f>
              <c:numCache>
                <c:formatCode>General</c:formatCode>
                <c:ptCount val="3"/>
                <c:pt idx="0">
                  <c:v>8889.41</c:v>
                </c:pt>
                <c:pt idx="1">
                  <c:v>40345.41</c:v>
                </c:pt>
                <c:pt idx="2">
                  <c:v>66043.06</c:v>
                </c:pt>
              </c:numCache>
            </c:numRef>
          </c:val>
          <c:smooth val="0"/>
        </c:ser>
        <c:ser>
          <c:idx val="5"/>
          <c:order val="5"/>
          <c:tx>
            <c:strRef>
              <c:f>Sheet1!$H$28</c:f>
              <c:strCache>
                <c:ptCount val="1"/>
                <c:pt idx="0">
                  <c:v>ProjMgt - Actual</c:v>
                </c:pt>
              </c:strCache>
            </c:strRef>
          </c:tx>
          <c:spPr>
            <a:ln>
              <a:solidFill>
                <a:schemeClr val="accent2">
                  <a:lumMod val="75000"/>
                </a:schemeClr>
              </a:solidFill>
              <a:prstDash val="dash"/>
            </a:ln>
          </c:spPr>
          <c:marker>
            <c:symbol val="none"/>
          </c:marker>
          <c:cat>
            <c:numRef>
              <c:f>Sheet1!$I$22:$K$22</c:f>
              <c:numCache>
                <c:formatCode>General</c:formatCode>
                <c:ptCount val="3"/>
                <c:pt idx="0">
                  <c:v>2013.0</c:v>
                </c:pt>
                <c:pt idx="1">
                  <c:v>2014.0</c:v>
                </c:pt>
                <c:pt idx="2">
                  <c:v>2015.0</c:v>
                </c:pt>
              </c:numCache>
            </c:numRef>
          </c:cat>
          <c:val>
            <c:numRef>
              <c:f>Sheet1!$I$28:$K$28</c:f>
              <c:numCache>
                <c:formatCode>General</c:formatCode>
                <c:ptCount val="3"/>
                <c:pt idx="0">
                  <c:v>9475.92</c:v>
                </c:pt>
                <c:pt idx="1">
                  <c:v>40784.54</c:v>
                </c:pt>
                <c:pt idx="2">
                  <c:v>51172.43</c:v>
                </c:pt>
              </c:numCache>
            </c:numRef>
          </c:val>
          <c:smooth val="0"/>
        </c:ser>
        <c:dLbls>
          <c:showLegendKey val="0"/>
          <c:showVal val="0"/>
          <c:showCatName val="0"/>
          <c:showSerName val="0"/>
          <c:showPercent val="0"/>
          <c:showBubbleSize val="0"/>
        </c:dLbls>
        <c:marker val="1"/>
        <c:smooth val="0"/>
        <c:axId val="2089865080"/>
        <c:axId val="2090098712"/>
      </c:lineChart>
      <c:catAx>
        <c:axId val="2089865080"/>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crossAx val="2090098712"/>
        <c:crosses val="autoZero"/>
        <c:auto val="1"/>
        <c:lblAlgn val="ctr"/>
        <c:lblOffset val="100"/>
        <c:noMultiLvlLbl val="0"/>
      </c:catAx>
      <c:valAx>
        <c:axId val="2090098712"/>
        <c:scaling>
          <c:orientation val="minMax"/>
        </c:scaling>
        <c:delete val="0"/>
        <c:axPos val="l"/>
        <c:majorGridlines/>
        <c:title>
          <c:tx>
            <c:rich>
              <a:bodyPr rot="-5400000" vert="horz"/>
              <a:lstStyle/>
              <a:p>
                <a:pPr>
                  <a:defRPr/>
                </a:pPr>
                <a:r>
                  <a:rPr lang="en-US"/>
                  <a:t>Amount</a:t>
                </a:r>
                <a:r>
                  <a:rPr lang="en-US" baseline="0"/>
                  <a:t> (USD)</a:t>
                </a:r>
                <a:endParaRPr lang="en-US"/>
              </a:p>
            </c:rich>
          </c:tx>
          <c:layout/>
          <c:overlay val="0"/>
        </c:title>
        <c:numFmt formatCode="General" sourceLinked="1"/>
        <c:majorTickMark val="out"/>
        <c:minorTickMark val="none"/>
        <c:tickLblPos val="nextTo"/>
        <c:crossAx val="2089865080"/>
        <c:crosses val="autoZero"/>
        <c:crossBetween val="between"/>
      </c:valAx>
      <c:spPr>
        <a:ln>
          <a:solidFill>
            <a:schemeClr val="tx1"/>
          </a:solidFill>
        </a:ln>
      </c:spPr>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72B63-ABDE-0B48-BEA4-ED82DF0E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75</Pages>
  <Words>22697</Words>
  <Characters>129378</Characters>
  <Application>Microsoft Macintosh Word</Application>
  <DocSecurity>0</DocSecurity>
  <Lines>1078</Lines>
  <Paragraphs>303</Paragraphs>
  <ScaleCrop>false</ScaleCrop>
  <Company/>
  <LinksUpToDate>false</LinksUpToDate>
  <CharactersWithSpaces>151772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Williams</dc:creator>
  <cp:keywords/>
  <dc:description/>
  <cp:lastModifiedBy>Stuart Williams</cp:lastModifiedBy>
  <cp:revision>75</cp:revision>
  <dcterms:created xsi:type="dcterms:W3CDTF">2015-11-27T05:05:00Z</dcterms:created>
  <dcterms:modified xsi:type="dcterms:W3CDTF">2015-12-11T08:32:00Z</dcterms:modified>
</cp:coreProperties>
</file>