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val="en-GB" w:eastAsia="en-US"/>
        </w:rPr>
        <w:id w:val="-1725208442"/>
        <w:docPartObj>
          <w:docPartGallery w:val="Cover Pages"/>
          <w:docPartUnique/>
        </w:docPartObj>
      </w:sdtPr>
      <w:sdtEndPr>
        <w:rPr>
          <w:rFonts w:asciiTheme="minorHAnsi" w:eastAsiaTheme="minorHAnsi" w:hAnsiTheme="minorHAnsi" w:cstheme="minorBidi"/>
          <w:b/>
          <w:caps w:val="0"/>
          <w:sz w:val="32"/>
          <w:szCs w:val="32"/>
        </w:rPr>
      </w:sdtEndPr>
      <w:sdtContent>
        <w:bookmarkStart w:id="0" w:name="_GoBack" w:displacedByCustomXml="prev"/>
        <w:bookmarkEnd w:id="0" w:displacedByCustomXml="prev"/>
        <w:tbl>
          <w:tblPr>
            <w:tblW w:w="5000" w:type="pct"/>
            <w:jc w:val="center"/>
            <w:tblLook w:val="04A0" w:firstRow="1" w:lastRow="0" w:firstColumn="1" w:lastColumn="0" w:noHBand="0" w:noVBand="1"/>
          </w:tblPr>
          <w:tblGrid>
            <w:gridCol w:w="9360"/>
          </w:tblGrid>
          <w:tr w:rsidR="00AD07DE">
            <w:trPr>
              <w:trHeight w:val="2880"/>
              <w:jc w:val="center"/>
            </w:trPr>
            <w:tc>
              <w:tcPr>
                <w:tcW w:w="5000" w:type="pct"/>
              </w:tcPr>
              <w:p w:rsidR="00AD07DE" w:rsidRDefault="00AD07DE" w:rsidP="00AD07DE">
                <w:pPr>
                  <w:pStyle w:val="NoSpacing"/>
                  <w:rPr>
                    <w:rFonts w:asciiTheme="majorHAnsi" w:eastAsiaTheme="majorEastAsia" w:hAnsiTheme="majorHAnsi" w:cstheme="majorBidi"/>
                    <w:caps/>
                  </w:rPr>
                </w:pPr>
              </w:p>
            </w:tc>
          </w:tr>
          <w:tr w:rsidR="00AD07DE">
            <w:trPr>
              <w:trHeight w:val="1440"/>
              <w:jc w:val="center"/>
            </w:trPr>
            <w:sdt>
              <w:sdtPr>
                <w:rPr>
                  <w:b/>
                  <w:sz w:val="32"/>
                  <w:szCs w:val="3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AD07DE" w:rsidRDefault="00AD07DE">
                    <w:pPr>
                      <w:pStyle w:val="NoSpacing"/>
                      <w:jc w:val="center"/>
                      <w:rPr>
                        <w:rFonts w:asciiTheme="majorHAnsi" w:eastAsiaTheme="majorEastAsia" w:hAnsiTheme="majorHAnsi" w:cstheme="majorBidi"/>
                        <w:sz w:val="80"/>
                        <w:szCs w:val="80"/>
                      </w:rPr>
                    </w:pPr>
                    <w:r w:rsidRPr="00AD07DE">
                      <w:rPr>
                        <w:b/>
                        <w:sz w:val="32"/>
                        <w:szCs w:val="32"/>
                      </w:rPr>
                      <w:t>Evaluation of UNDP Support to M</w:t>
                    </w:r>
                    <w:r w:rsidR="002410F7">
                      <w:rPr>
                        <w:b/>
                        <w:sz w:val="32"/>
                        <w:szCs w:val="32"/>
                      </w:rPr>
                      <w:t>ine Action in Lao PDR, 2013-2016</w:t>
                    </w:r>
                  </w:p>
                </w:tc>
              </w:sdtContent>
            </w:sdt>
          </w:tr>
          <w:tr w:rsidR="00AD07DE">
            <w:trPr>
              <w:trHeight w:val="720"/>
              <w:jc w:val="center"/>
            </w:trPr>
            <w:tc>
              <w:tcPr>
                <w:tcW w:w="5000" w:type="pct"/>
                <w:tcBorders>
                  <w:top w:val="single" w:sz="4" w:space="0" w:color="5B9BD5" w:themeColor="accent1"/>
                </w:tcBorders>
                <w:vAlign w:val="center"/>
              </w:tcPr>
              <w:p w:rsidR="00AD07DE" w:rsidRDefault="00AD07DE" w:rsidP="00AD07DE">
                <w:pPr>
                  <w:pStyle w:val="NoSpacing"/>
                  <w:rPr>
                    <w:rFonts w:asciiTheme="majorHAnsi" w:eastAsiaTheme="majorEastAsia" w:hAnsiTheme="majorHAnsi" w:cstheme="majorBidi"/>
                    <w:sz w:val="44"/>
                    <w:szCs w:val="44"/>
                  </w:rPr>
                </w:pPr>
              </w:p>
            </w:tc>
          </w:tr>
          <w:tr w:rsidR="00AD07DE">
            <w:trPr>
              <w:trHeight w:val="360"/>
              <w:jc w:val="center"/>
            </w:trPr>
            <w:tc>
              <w:tcPr>
                <w:tcW w:w="5000" w:type="pct"/>
                <w:vAlign w:val="center"/>
              </w:tcPr>
              <w:p w:rsidR="00AD07DE" w:rsidRDefault="00AD07DE">
                <w:pPr>
                  <w:pStyle w:val="NoSpacing"/>
                  <w:jc w:val="center"/>
                </w:pPr>
              </w:p>
            </w:tc>
          </w:tr>
          <w:tr w:rsidR="00AD07DE">
            <w:trPr>
              <w:trHeight w:val="360"/>
              <w:jc w:val="center"/>
            </w:trPr>
            <w:sdt>
              <w:sdtPr>
                <w:rPr>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AD07DE" w:rsidRDefault="00FA26BE" w:rsidP="000E5852">
                    <w:pPr>
                      <w:pStyle w:val="NoSpacing"/>
                      <w:jc w:val="center"/>
                      <w:rPr>
                        <w:b/>
                        <w:bCs/>
                      </w:rPr>
                    </w:pPr>
                    <w:r w:rsidRPr="00FA26BE">
                      <w:rPr>
                        <w:bCs/>
                      </w:rPr>
                      <w:t xml:space="preserve">Prepared by </w:t>
                    </w:r>
                    <w:r w:rsidR="000E5852" w:rsidRPr="00FA26BE">
                      <w:rPr>
                        <w:bCs/>
                      </w:rPr>
                      <w:t>Jo Durham</w:t>
                    </w:r>
                  </w:p>
                </w:tc>
              </w:sdtContent>
            </w:sdt>
          </w:tr>
          <w:tr w:rsidR="00AD07DE">
            <w:trPr>
              <w:trHeight w:val="360"/>
              <w:jc w:val="center"/>
            </w:trPr>
            <w:sdt>
              <w:sdtPr>
                <w:rPr>
                  <w:bCs/>
                </w:rPr>
                <w:alias w:val="Date"/>
                <w:id w:val="516659546"/>
                <w:dataBinding w:prefixMappings="xmlns:ns0='http://schemas.microsoft.com/office/2006/coverPageProps'" w:xpath="/ns0:CoverPageProperties[1]/ns0:PublishDate[1]" w:storeItemID="{55AF091B-3C7A-41E3-B477-F2FDAA23CFDA}"/>
                <w:date w:fullDate="2016-01-26T00:00:00Z">
                  <w:dateFormat w:val="M/d/yyyy"/>
                  <w:lid w:val="en-US"/>
                  <w:storeMappedDataAs w:val="dateTime"/>
                  <w:calendar w:val="gregorian"/>
                </w:date>
              </w:sdtPr>
              <w:sdtEndPr/>
              <w:sdtContent>
                <w:tc>
                  <w:tcPr>
                    <w:tcW w:w="5000" w:type="pct"/>
                    <w:vAlign w:val="center"/>
                  </w:tcPr>
                  <w:p w:rsidR="00AD07DE" w:rsidRDefault="00F913F0" w:rsidP="00C63AD8">
                    <w:pPr>
                      <w:pStyle w:val="NoSpacing"/>
                      <w:jc w:val="center"/>
                      <w:rPr>
                        <w:b/>
                        <w:bCs/>
                      </w:rPr>
                    </w:pPr>
                    <w:r>
                      <w:rPr>
                        <w:bCs/>
                      </w:rPr>
                      <w:t>1/26/2016</w:t>
                    </w:r>
                  </w:p>
                </w:tc>
              </w:sdtContent>
            </w:sdt>
          </w:tr>
        </w:tbl>
        <w:p w:rsidR="00AD07DE" w:rsidRDefault="00AD07DE"/>
        <w:p w:rsidR="00AD07DE" w:rsidRDefault="00AD07DE"/>
        <w:p w:rsidR="00AD07DE" w:rsidRDefault="00AD07DE"/>
        <w:p w:rsidR="00C5275C" w:rsidRDefault="00242988" w:rsidP="000B61D1">
          <w:pPr>
            <w:spacing w:line="259" w:lineRule="auto"/>
            <w:rPr>
              <w:b/>
              <w:sz w:val="32"/>
              <w:szCs w:val="32"/>
            </w:rPr>
            <w:sectPr w:rsidR="00C5275C">
              <w:footerReference w:type="default" r:id="rId9"/>
              <w:pgSz w:w="12240" w:h="15840"/>
              <w:pgMar w:top="1440" w:right="1440" w:bottom="1440" w:left="1440" w:header="720" w:footer="720" w:gutter="0"/>
              <w:pgNumType w:start="0"/>
              <w:cols w:space="720"/>
              <w:titlePg/>
              <w:docGrid w:linePitch="360"/>
            </w:sectPr>
          </w:pPr>
        </w:p>
      </w:sdtContent>
    </w:sdt>
    <w:p w:rsidR="000E5852" w:rsidRDefault="000E5852" w:rsidP="000B61D1">
      <w:pPr>
        <w:jc w:val="center"/>
        <w:rPr>
          <w:b/>
          <w:sz w:val="32"/>
          <w:szCs w:val="32"/>
        </w:rPr>
      </w:pPr>
      <w:r>
        <w:rPr>
          <w:b/>
          <w:sz w:val="32"/>
          <w:szCs w:val="32"/>
        </w:rPr>
        <w:lastRenderedPageBreak/>
        <w:t>Acknowledgements</w:t>
      </w:r>
    </w:p>
    <w:p w:rsidR="000E5852" w:rsidRPr="00DB63A6" w:rsidRDefault="000E5852" w:rsidP="000E5852">
      <w:pPr>
        <w:rPr>
          <w:b/>
          <w:szCs w:val="32"/>
        </w:rPr>
        <w:sectPr w:rsidR="000E5852" w:rsidRPr="00DB63A6">
          <w:pgSz w:w="12240" w:h="15840"/>
          <w:pgMar w:top="1440" w:right="1440" w:bottom="1440" w:left="1440" w:header="720" w:footer="720" w:gutter="0"/>
          <w:cols w:space="720"/>
          <w:docGrid w:linePitch="360"/>
        </w:sectPr>
      </w:pPr>
      <w:r w:rsidRPr="00DB63A6">
        <w:rPr>
          <w:rFonts w:cs="Segoe UI"/>
          <w:color w:val="000000"/>
          <w:szCs w:val="20"/>
          <w:shd w:val="clear" w:color="auto" w:fill="FFFFFF"/>
        </w:rPr>
        <w:t xml:space="preserve">This work was partly based on </w:t>
      </w:r>
      <w:r w:rsidR="00DB63A6" w:rsidRPr="00DB63A6">
        <w:rPr>
          <w:rFonts w:cs="Segoe UI"/>
          <w:color w:val="000000"/>
          <w:szCs w:val="20"/>
          <w:shd w:val="clear" w:color="auto" w:fill="FFFFFF"/>
        </w:rPr>
        <w:t>field-based</w:t>
      </w:r>
      <w:r w:rsidRPr="00DB63A6">
        <w:rPr>
          <w:rFonts w:cs="Segoe UI"/>
          <w:color w:val="000000"/>
          <w:szCs w:val="20"/>
          <w:shd w:val="clear" w:color="auto" w:fill="FFFFFF"/>
        </w:rPr>
        <w:t xml:space="preserve"> research conducted by </w:t>
      </w:r>
      <w:r w:rsidR="007B0567" w:rsidRPr="00DB63A6">
        <w:rPr>
          <w:rFonts w:cs="Segoe UI"/>
          <w:color w:val="000000"/>
          <w:szCs w:val="20"/>
          <w:shd w:val="clear" w:color="auto" w:fill="FFFFFF"/>
        </w:rPr>
        <w:t xml:space="preserve">a </w:t>
      </w:r>
      <w:r w:rsidRPr="00DB63A6">
        <w:rPr>
          <w:rFonts w:cs="Segoe UI"/>
          <w:color w:val="000000"/>
          <w:szCs w:val="20"/>
          <w:shd w:val="clear" w:color="auto" w:fill="FFFFFF"/>
        </w:rPr>
        <w:t>team member of the IEO impact evaluation</w:t>
      </w:r>
      <w:r w:rsidR="007B0567" w:rsidRPr="00DB63A6">
        <w:rPr>
          <w:rFonts w:cs="Segoe UI"/>
          <w:color w:val="000000"/>
          <w:szCs w:val="20"/>
          <w:shd w:val="clear" w:color="auto" w:fill="FFFFFF"/>
        </w:rPr>
        <w:t>,</w:t>
      </w:r>
      <w:r w:rsidRPr="00DB63A6">
        <w:rPr>
          <w:rFonts w:cs="Segoe UI"/>
          <w:color w:val="000000"/>
          <w:szCs w:val="20"/>
          <w:shd w:val="clear" w:color="auto" w:fill="FFFFFF"/>
        </w:rPr>
        <w:t xml:space="preserve"> Paul Davies. I would also like to acknowledge the support provided by the UNDP Lao Country Office, the Independent Evaluation Office and all </w:t>
      </w:r>
      <w:r w:rsidR="007B0567" w:rsidRPr="00DB63A6">
        <w:rPr>
          <w:rFonts w:cs="Segoe UI"/>
          <w:color w:val="000000"/>
          <w:szCs w:val="20"/>
          <w:shd w:val="clear" w:color="auto" w:fill="FFFFFF"/>
        </w:rPr>
        <w:t xml:space="preserve">of </w:t>
      </w:r>
      <w:r w:rsidRPr="00DB63A6">
        <w:rPr>
          <w:rFonts w:cs="Segoe UI"/>
          <w:color w:val="000000"/>
          <w:szCs w:val="20"/>
          <w:shd w:val="clear" w:color="auto" w:fill="FFFFFF"/>
        </w:rPr>
        <w:t xml:space="preserve">the respondents who so kindly gave up their time. </w:t>
      </w:r>
    </w:p>
    <w:p w:rsidR="00C5275C" w:rsidRPr="00C5275C" w:rsidRDefault="00C5275C" w:rsidP="00C5275C">
      <w:pPr>
        <w:jc w:val="center"/>
        <w:rPr>
          <w:b/>
          <w:sz w:val="32"/>
          <w:szCs w:val="32"/>
        </w:rPr>
      </w:pPr>
      <w:r w:rsidRPr="00C5275C">
        <w:rPr>
          <w:b/>
          <w:sz w:val="32"/>
          <w:szCs w:val="32"/>
        </w:rPr>
        <w:lastRenderedPageBreak/>
        <w:t>Evaluation of UNDP Support to M</w:t>
      </w:r>
      <w:r w:rsidR="002410F7">
        <w:rPr>
          <w:b/>
          <w:sz w:val="32"/>
          <w:szCs w:val="32"/>
        </w:rPr>
        <w:t>ine Action in Lao PDR, 2013-2016</w:t>
      </w:r>
    </w:p>
    <w:sdt>
      <w:sdtPr>
        <w:rPr>
          <w:rFonts w:asciiTheme="minorHAnsi" w:eastAsiaTheme="minorHAnsi" w:hAnsiTheme="minorHAnsi" w:cstheme="minorBidi"/>
          <w:b w:val="0"/>
          <w:bCs w:val="0"/>
          <w:color w:val="auto"/>
          <w:sz w:val="22"/>
          <w:szCs w:val="22"/>
          <w:lang w:val="en-GB" w:eastAsia="en-US"/>
        </w:rPr>
        <w:id w:val="1517502291"/>
        <w:docPartObj>
          <w:docPartGallery w:val="Table of Contents"/>
          <w:docPartUnique/>
        </w:docPartObj>
      </w:sdtPr>
      <w:sdtEndPr>
        <w:rPr>
          <w:noProof/>
        </w:rPr>
      </w:sdtEndPr>
      <w:sdtContent>
        <w:p w:rsidR="00AE01A7" w:rsidRDefault="00AE01A7">
          <w:pPr>
            <w:pStyle w:val="TOCHeading"/>
          </w:pPr>
          <w:r>
            <w:t>Contents</w:t>
          </w:r>
        </w:p>
        <w:p w:rsidR="00C36263" w:rsidRDefault="00690D54">
          <w:pPr>
            <w:pStyle w:val="TOC1"/>
            <w:rPr>
              <w:rFonts w:eastAsiaTheme="minorEastAsia"/>
              <w:noProof/>
              <w:lang w:eastAsia="en-GB"/>
            </w:rPr>
          </w:pPr>
          <w:r>
            <w:fldChar w:fldCharType="begin"/>
          </w:r>
          <w:r w:rsidR="00AE01A7">
            <w:instrText xml:space="preserve"> TOC \o "1-3" \h \z \u </w:instrText>
          </w:r>
          <w:r>
            <w:fldChar w:fldCharType="separate"/>
          </w:r>
          <w:hyperlink w:anchor="_Toc441609309" w:history="1">
            <w:r w:rsidR="00C36263" w:rsidRPr="0043424A">
              <w:rPr>
                <w:rStyle w:val="Hyperlink"/>
                <w:noProof/>
              </w:rPr>
              <w:t>Executive Summary</w:t>
            </w:r>
            <w:r w:rsidR="00C36263">
              <w:rPr>
                <w:noProof/>
                <w:webHidden/>
              </w:rPr>
              <w:tab/>
            </w:r>
            <w:r w:rsidR="00C36263">
              <w:rPr>
                <w:noProof/>
                <w:webHidden/>
              </w:rPr>
              <w:fldChar w:fldCharType="begin"/>
            </w:r>
            <w:r w:rsidR="00C36263">
              <w:rPr>
                <w:noProof/>
                <w:webHidden/>
              </w:rPr>
              <w:instrText xml:space="preserve"> PAGEREF _Toc441609309 \h </w:instrText>
            </w:r>
            <w:r w:rsidR="00C36263">
              <w:rPr>
                <w:noProof/>
                <w:webHidden/>
              </w:rPr>
            </w:r>
            <w:r w:rsidR="00C36263">
              <w:rPr>
                <w:noProof/>
                <w:webHidden/>
              </w:rPr>
              <w:fldChar w:fldCharType="separate"/>
            </w:r>
            <w:r w:rsidR="001F2335">
              <w:rPr>
                <w:noProof/>
                <w:webHidden/>
              </w:rPr>
              <w:t>4</w:t>
            </w:r>
            <w:r w:rsidR="00C36263">
              <w:rPr>
                <w:noProof/>
                <w:webHidden/>
              </w:rPr>
              <w:fldChar w:fldCharType="end"/>
            </w:r>
          </w:hyperlink>
        </w:p>
        <w:p w:rsidR="00C36263" w:rsidRDefault="00242988">
          <w:pPr>
            <w:pStyle w:val="TOC2"/>
            <w:rPr>
              <w:rFonts w:eastAsiaTheme="minorEastAsia"/>
              <w:noProof/>
              <w:lang w:eastAsia="en-GB"/>
            </w:rPr>
          </w:pPr>
          <w:hyperlink w:anchor="_Toc441609310" w:history="1">
            <w:r w:rsidR="00C36263" w:rsidRPr="0043424A">
              <w:rPr>
                <w:rStyle w:val="Hyperlink"/>
                <w:noProof/>
              </w:rPr>
              <w:t>Summary of findings</w:t>
            </w:r>
            <w:r w:rsidR="00C36263">
              <w:rPr>
                <w:noProof/>
                <w:webHidden/>
              </w:rPr>
              <w:tab/>
            </w:r>
            <w:r w:rsidR="00C36263">
              <w:rPr>
                <w:noProof/>
                <w:webHidden/>
              </w:rPr>
              <w:fldChar w:fldCharType="begin"/>
            </w:r>
            <w:r w:rsidR="00C36263">
              <w:rPr>
                <w:noProof/>
                <w:webHidden/>
              </w:rPr>
              <w:instrText xml:space="preserve"> PAGEREF _Toc441609310 \h </w:instrText>
            </w:r>
            <w:r w:rsidR="00C36263">
              <w:rPr>
                <w:noProof/>
                <w:webHidden/>
              </w:rPr>
            </w:r>
            <w:r w:rsidR="00C36263">
              <w:rPr>
                <w:noProof/>
                <w:webHidden/>
              </w:rPr>
              <w:fldChar w:fldCharType="separate"/>
            </w:r>
            <w:r w:rsidR="001F2335">
              <w:rPr>
                <w:noProof/>
                <w:webHidden/>
              </w:rPr>
              <w:t>5</w:t>
            </w:r>
            <w:r w:rsidR="00C36263">
              <w:rPr>
                <w:noProof/>
                <w:webHidden/>
              </w:rPr>
              <w:fldChar w:fldCharType="end"/>
            </w:r>
          </w:hyperlink>
        </w:p>
        <w:p w:rsidR="00C36263" w:rsidRDefault="00242988">
          <w:pPr>
            <w:pStyle w:val="TOC2"/>
            <w:rPr>
              <w:rFonts w:eastAsiaTheme="minorEastAsia"/>
              <w:noProof/>
              <w:lang w:eastAsia="en-GB"/>
            </w:rPr>
          </w:pPr>
          <w:hyperlink w:anchor="_Toc441609311" w:history="1">
            <w:r w:rsidR="00C36263" w:rsidRPr="0043424A">
              <w:rPr>
                <w:rStyle w:val="Hyperlink"/>
                <w:noProof/>
              </w:rPr>
              <w:t>Recommendations</w:t>
            </w:r>
            <w:r w:rsidR="00C36263">
              <w:rPr>
                <w:noProof/>
                <w:webHidden/>
              </w:rPr>
              <w:tab/>
            </w:r>
            <w:r w:rsidR="00C36263">
              <w:rPr>
                <w:noProof/>
                <w:webHidden/>
              </w:rPr>
              <w:fldChar w:fldCharType="begin"/>
            </w:r>
            <w:r w:rsidR="00C36263">
              <w:rPr>
                <w:noProof/>
                <w:webHidden/>
              </w:rPr>
              <w:instrText xml:space="preserve"> PAGEREF _Toc441609311 \h </w:instrText>
            </w:r>
            <w:r w:rsidR="00C36263">
              <w:rPr>
                <w:noProof/>
                <w:webHidden/>
              </w:rPr>
            </w:r>
            <w:r w:rsidR="00C36263">
              <w:rPr>
                <w:noProof/>
                <w:webHidden/>
              </w:rPr>
              <w:fldChar w:fldCharType="separate"/>
            </w:r>
            <w:r w:rsidR="001F2335">
              <w:rPr>
                <w:noProof/>
                <w:webHidden/>
              </w:rPr>
              <w:t>6</w:t>
            </w:r>
            <w:r w:rsidR="00C36263">
              <w:rPr>
                <w:noProof/>
                <w:webHidden/>
              </w:rPr>
              <w:fldChar w:fldCharType="end"/>
            </w:r>
          </w:hyperlink>
        </w:p>
        <w:p w:rsidR="00C36263" w:rsidRDefault="00242988">
          <w:pPr>
            <w:pStyle w:val="TOC1"/>
            <w:rPr>
              <w:rFonts w:eastAsiaTheme="minorEastAsia"/>
              <w:noProof/>
              <w:lang w:eastAsia="en-GB"/>
            </w:rPr>
          </w:pPr>
          <w:hyperlink w:anchor="_Toc441609312" w:history="1">
            <w:r w:rsidR="00C36263" w:rsidRPr="0043424A">
              <w:rPr>
                <w:rStyle w:val="Hyperlink"/>
                <w:noProof/>
              </w:rPr>
              <w:t>1.</w:t>
            </w:r>
            <w:r w:rsidR="00C36263">
              <w:rPr>
                <w:rFonts w:eastAsiaTheme="minorEastAsia"/>
                <w:noProof/>
                <w:lang w:eastAsia="en-GB"/>
              </w:rPr>
              <w:tab/>
            </w:r>
            <w:r w:rsidR="00C36263" w:rsidRPr="0043424A">
              <w:rPr>
                <w:rStyle w:val="Hyperlink"/>
                <w:noProof/>
              </w:rPr>
              <w:t>Introduction</w:t>
            </w:r>
            <w:r w:rsidR="00C36263">
              <w:rPr>
                <w:noProof/>
                <w:webHidden/>
              </w:rPr>
              <w:tab/>
            </w:r>
            <w:r w:rsidR="00C36263">
              <w:rPr>
                <w:noProof/>
                <w:webHidden/>
              </w:rPr>
              <w:fldChar w:fldCharType="begin"/>
            </w:r>
            <w:r w:rsidR="00C36263">
              <w:rPr>
                <w:noProof/>
                <w:webHidden/>
              </w:rPr>
              <w:instrText xml:space="preserve"> PAGEREF _Toc441609312 \h </w:instrText>
            </w:r>
            <w:r w:rsidR="00C36263">
              <w:rPr>
                <w:noProof/>
                <w:webHidden/>
              </w:rPr>
            </w:r>
            <w:r w:rsidR="00C36263">
              <w:rPr>
                <w:noProof/>
                <w:webHidden/>
              </w:rPr>
              <w:fldChar w:fldCharType="separate"/>
            </w:r>
            <w:r w:rsidR="001F2335">
              <w:rPr>
                <w:noProof/>
                <w:webHidden/>
              </w:rPr>
              <w:t>8</w:t>
            </w:r>
            <w:r w:rsidR="00C36263">
              <w:rPr>
                <w:noProof/>
                <w:webHidden/>
              </w:rPr>
              <w:fldChar w:fldCharType="end"/>
            </w:r>
          </w:hyperlink>
        </w:p>
        <w:p w:rsidR="00C36263" w:rsidRDefault="00242988">
          <w:pPr>
            <w:pStyle w:val="TOC2"/>
            <w:rPr>
              <w:rFonts w:eastAsiaTheme="minorEastAsia"/>
              <w:noProof/>
              <w:lang w:eastAsia="en-GB"/>
            </w:rPr>
          </w:pPr>
          <w:hyperlink w:anchor="_Toc441609313" w:history="1">
            <w:r w:rsidR="00C36263" w:rsidRPr="0043424A">
              <w:rPr>
                <w:rStyle w:val="Hyperlink"/>
                <w:noProof/>
              </w:rPr>
              <w:t>1.1</w:t>
            </w:r>
            <w:r w:rsidR="00C36263">
              <w:rPr>
                <w:rFonts w:eastAsiaTheme="minorEastAsia"/>
                <w:noProof/>
                <w:lang w:eastAsia="en-GB"/>
              </w:rPr>
              <w:tab/>
            </w:r>
            <w:r w:rsidR="00C36263" w:rsidRPr="0043424A">
              <w:rPr>
                <w:rStyle w:val="Hyperlink"/>
                <w:noProof/>
              </w:rPr>
              <w:t>Evaluation background</w:t>
            </w:r>
            <w:r w:rsidR="00C36263">
              <w:rPr>
                <w:noProof/>
                <w:webHidden/>
              </w:rPr>
              <w:tab/>
            </w:r>
            <w:r w:rsidR="00C36263">
              <w:rPr>
                <w:noProof/>
                <w:webHidden/>
              </w:rPr>
              <w:fldChar w:fldCharType="begin"/>
            </w:r>
            <w:r w:rsidR="00C36263">
              <w:rPr>
                <w:noProof/>
                <w:webHidden/>
              </w:rPr>
              <w:instrText xml:space="preserve"> PAGEREF _Toc441609313 \h </w:instrText>
            </w:r>
            <w:r w:rsidR="00C36263">
              <w:rPr>
                <w:noProof/>
                <w:webHidden/>
              </w:rPr>
            </w:r>
            <w:r w:rsidR="00C36263">
              <w:rPr>
                <w:noProof/>
                <w:webHidden/>
              </w:rPr>
              <w:fldChar w:fldCharType="separate"/>
            </w:r>
            <w:r w:rsidR="001F2335">
              <w:rPr>
                <w:noProof/>
                <w:webHidden/>
              </w:rPr>
              <w:t>8</w:t>
            </w:r>
            <w:r w:rsidR="00C36263">
              <w:rPr>
                <w:noProof/>
                <w:webHidden/>
              </w:rPr>
              <w:fldChar w:fldCharType="end"/>
            </w:r>
          </w:hyperlink>
        </w:p>
        <w:p w:rsidR="00C36263" w:rsidRDefault="00242988">
          <w:pPr>
            <w:pStyle w:val="TOC2"/>
            <w:rPr>
              <w:rFonts w:eastAsiaTheme="minorEastAsia"/>
              <w:noProof/>
              <w:lang w:eastAsia="en-GB"/>
            </w:rPr>
          </w:pPr>
          <w:hyperlink w:anchor="_Toc441609314" w:history="1">
            <w:r w:rsidR="00C36263" w:rsidRPr="0043424A">
              <w:rPr>
                <w:rStyle w:val="Hyperlink"/>
                <w:noProof/>
              </w:rPr>
              <w:t>1.2</w:t>
            </w:r>
            <w:r w:rsidR="00C36263">
              <w:rPr>
                <w:rFonts w:eastAsiaTheme="minorEastAsia"/>
                <w:noProof/>
                <w:lang w:eastAsia="en-GB"/>
              </w:rPr>
              <w:tab/>
            </w:r>
            <w:r w:rsidR="00C36263" w:rsidRPr="0043424A">
              <w:rPr>
                <w:rStyle w:val="Hyperlink"/>
                <w:noProof/>
              </w:rPr>
              <w:t>Evaluation purpose</w:t>
            </w:r>
            <w:r w:rsidR="00C36263">
              <w:rPr>
                <w:noProof/>
                <w:webHidden/>
              </w:rPr>
              <w:tab/>
            </w:r>
            <w:r w:rsidR="00C36263">
              <w:rPr>
                <w:noProof/>
                <w:webHidden/>
              </w:rPr>
              <w:fldChar w:fldCharType="begin"/>
            </w:r>
            <w:r w:rsidR="00C36263">
              <w:rPr>
                <w:noProof/>
                <w:webHidden/>
              </w:rPr>
              <w:instrText xml:space="preserve"> PAGEREF _Toc441609314 \h </w:instrText>
            </w:r>
            <w:r w:rsidR="00C36263">
              <w:rPr>
                <w:noProof/>
                <w:webHidden/>
              </w:rPr>
            </w:r>
            <w:r w:rsidR="00C36263">
              <w:rPr>
                <w:noProof/>
                <w:webHidden/>
              </w:rPr>
              <w:fldChar w:fldCharType="separate"/>
            </w:r>
            <w:r w:rsidR="001F2335">
              <w:rPr>
                <w:noProof/>
                <w:webHidden/>
              </w:rPr>
              <w:t>9</w:t>
            </w:r>
            <w:r w:rsidR="00C36263">
              <w:rPr>
                <w:noProof/>
                <w:webHidden/>
              </w:rPr>
              <w:fldChar w:fldCharType="end"/>
            </w:r>
          </w:hyperlink>
        </w:p>
        <w:p w:rsidR="00C36263" w:rsidRDefault="00242988">
          <w:pPr>
            <w:pStyle w:val="TOC2"/>
            <w:rPr>
              <w:rFonts w:eastAsiaTheme="minorEastAsia"/>
              <w:noProof/>
              <w:lang w:eastAsia="en-GB"/>
            </w:rPr>
          </w:pPr>
          <w:hyperlink w:anchor="_Toc441609315" w:history="1">
            <w:r w:rsidR="00C36263" w:rsidRPr="0043424A">
              <w:rPr>
                <w:rStyle w:val="Hyperlink"/>
                <w:noProof/>
              </w:rPr>
              <w:t>1.3</w:t>
            </w:r>
            <w:r w:rsidR="00C36263">
              <w:rPr>
                <w:rFonts w:eastAsiaTheme="minorEastAsia"/>
                <w:noProof/>
                <w:lang w:eastAsia="en-GB"/>
              </w:rPr>
              <w:tab/>
            </w:r>
            <w:r w:rsidR="00C36263" w:rsidRPr="0043424A">
              <w:rPr>
                <w:rStyle w:val="Hyperlink"/>
                <w:noProof/>
              </w:rPr>
              <w:t>Evaluation methods</w:t>
            </w:r>
            <w:r w:rsidR="00C36263">
              <w:rPr>
                <w:noProof/>
                <w:webHidden/>
              </w:rPr>
              <w:tab/>
            </w:r>
            <w:r w:rsidR="00C36263">
              <w:rPr>
                <w:noProof/>
                <w:webHidden/>
              </w:rPr>
              <w:fldChar w:fldCharType="begin"/>
            </w:r>
            <w:r w:rsidR="00C36263">
              <w:rPr>
                <w:noProof/>
                <w:webHidden/>
              </w:rPr>
              <w:instrText xml:space="preserve"> PAGEREF _Toc441609315 \h </w:instrText>
            </w:r>
            <w:r w:rsidR="00C36263">
              <w:rPr>
                <w:noProof/>
                <w:webHidden/>
              </w:rPr>
            </w:r>
            <w:r w:rsidR="00C36263">
              <w:rPr>
                <w:noProof/>
                <w:webHidden/>
              </w:rPr>
              <w:fldChar w:fldCharType="separate"/>
            </w:r>
            <w:r w:rsidR="001F2335">
              <w:rPr>
                <w:noProof/>
                <w:webHidden/>
              </w:rPr>
              <w:t>10</w:t>
            </w:r>
            <w:r w:rsidR="00C36263">
              <w:rPr>
                <w:noProof/>
                <w:webHidden/>
              </w:rPr>
              <w:fldChar w:fldCharType="end"/>
            </w:r>
          </w:hyperlink>
        </w:p>
        <w:p w:rsidR="00C36263" w:rsidRDefault="00242988">
          <w:pPr>
            <w:pStyle w:val="TOC2"/>
            <w:rPr>
              <w:rFonts w:eastAsiaTheme="minorEastAsia"/>
              <w:noProof/>
              <w:lang w:eastAsia="en-GB"/>
            </w:rPr>
          </w:pPr>
          <w:hyperlink w:anchor="_Toc441609316" w:history="1">
            <w:r w:rsidR="00C36263" w:rsidRPr="0043424A">
              <w:rPr>
                <w:rStyle w:val="Hyperlink"/>
                <w:noProof/>
              </w:rPr>
              <w:t>1.4</w:t>
            </w:r>
            <w:r w:rsidR="00C36263">
              <w:rPr>
                <w:rFonts w:eastAsiaTheme="minorEastAsia"/>
                <w:noProof/>
                <w:lang w:eastAsia="en-GB"/>
              </w:rPr>
              <w:tab/>
            </w:r>
            <w:r w:rsidR="00C36263" w:rsidRPr="0043424A">
              <w:rPr>
                <w:rStyle w:val="Hyperlink"/>
                <w:noProof/>
              </w:rPr>
              <w:t>Evaluation limitations and constraints</w:t>
            </w:r>
            <w:r w:rsidR="00C36263">
              <w:rPr>
                <w:noProof/>
                <w:webHidden/>
              </w:rPr>
              <w:tab/>
            </w:r>
            <w:r w:rsidR="00C36263">
              <w:rPr>
                <w:noProof/>
                <w:webHidden/>
              </w:rPr>
              <w:fldChar w:fldCharType="begin"/>
            </w:r>
            <w:r w:rsidR="00C36263">
              <w:rPr>
                <w:noProof/>
                <w:webHidden/>
              </w:rPr>
              <w:instrText xml:space="preserve"> PAGEREF _Toc441609316 \h </w:instrText>
            </w:r>
            <w:r w:rsidR="00C36263">
              <w:rPr>
                <w:noProof/>
                <w:webHidden/>
              </w:rPr>
            </w:r>
            <w:r w:rsidR="00C36263">
              <w:rPr>
                <w:noProof/>
                <w:webHidden/>
              </w:rPr>
              <w:fldChar w:fldCharType="separate"/>
            </w:r>
            <w:r w:rsidR="001F2335">
              <w:rPr>
                <w:noProof/>
                <w:webHidden/>
              </w:rPr>
              <w:t>10</w:t>
            </w:r>
            <w:r w:rsidR="00C36263">
              <w:rPr>
                <w:noProof/>
                <w:webHidden/>
              </w:rPr>
              <w:fldChar w:fldCharType="end"/>
            </w:r>
          </w:hyperlink>
        </w:p>
        <w:p w:rsidR="00C36263" w:rsidRDefault="00242988">
          <w:pPr>
            <w:pStyle w:val="TOC1"/>
            <w:rPr>
              <w:rFonts w:eastAsiaTheme="minorEastAsia"/>
              <w:noProof/>
              <w:lang w:eastAsia="en-GB"/>
            </w:rPr>
          </w:pPr>
          <w:hyperlink w:anchor="_Toc441609317" w:history="1">
            <w:r w:rsidR="00C36263" w:rsidRPr="0043424A">
              <w:rPr>
                <w:rStyle w:val="Hyperlink"/>
                <w:noProof/>
              </w:rPr>
              <w:t>2.</w:t>
            </w:r>
            <w:r w:rsidR="00C36263">
              <w:rPr>
                <w:rFonts w:eastAsiaTheme="minorEastAsia"/>
                <w:noProof/>
                <w:lang w:eastAsia="en-GB"/>
              </w:rPr>
              <w:tab/>
            </w:r>
            <w:r w:rsidR="00C36263" w:rsidRPr="0043424A">
              <w:rPr>
                <w:rStyle w:val="Hyperlink"/>
                <w:noProof/>
              </w:rPr>
              <w:t>Country Context</w:t>
            </w:r>
            <w:r w:rsidR="00C36263">
              <w:rPr>
                <w:noProof/>
                <w:webHidden/>
              </w:rPr>
              <w:tab/>
            </w:r>
            <w:r w:rsidR="00C36263">
              <w:rPr>
                <w:noProof/>
                <w:webHidden/>
              </w:rPr>
              <w:fldChar w:fldCharType="begin"/>
            </w:r>
            <w:r w:rsidR="00C36263">
              <w:rPr>
                <w:noProof/>
                <w:webHidden/>
              </w:rPr>
              <w:instrText xml:space="preserve"> PAGEREF _Toc441609317 \h </w:instrText>
            </w:r>
            <w:r w:rsidR="00C36263">
              <w:rPr>
                <w:noProof/>
                <w:webHidden/>
              </w:rPr>
            </w:r>
            <w:r w:rsidR="00C36263">
              <w:rPr>
                <w:noProof/>
                <w:webHidden/>
              </w:rPr>
              <w:fldChar w:fldCharType="separate"/>
            </w:r>
            <w:r w:rsidR="001F2335">
              <w:rPr>
                <w:noProof/>
                <w:webHidden/>
              </w:rPr>
              <w:t>11</w:t>
            </w:r>
            <w:r w:rsidR="00C36263">
              <w:rPr>
                <w:noProof/>
                <w:webHidden/>
              </w:rPr>
              <w:fldChar w:fldCharType="end"/>
            </w:r>
          </w:hyperlink>
        </w:p>
        <w:p w:rsidR="00C36263" w:rsidRDefault="00242988">
          <w:pPr>
            <w:pStyle w:val="TOC2"/>
            <w:rPr>
              <w:rFonts w:eastAsiaTheme="minorEastAsia"/>
              <w:noProof/>
              <w:lang w:eastAsia="en-GB"/>
            </w:rPr>
          </w:pPr>
          <w:hyperlink w:anchor="_Toc441609318" w:history="1">
            <w:r w:rsidR="00C36263" w:rsidRPr="0043424A">
              <w:rPr>
                <w:rStyle w:val="Hyperlink"/>
                <w:noProof/>
              </w:rPr>
              <w:t>2.1</w:t>
            </w:r>
            <w:r w:rsidR="00C36263">
              <w:rPr>
                <w:rFonts w:eastAsiaTheme="minorEastAsia"/>
                <w:noProof/>
                <w:lang w:eastAsia="en-GB"/>
              </w:rPr>
              <w:tab/>
            </w:r>
            <w:r w:rsidR="00C36263" w:rsidRPr="0043424A">
              <w:rPr>
                <w:rStyle w:val="Hyperlink"/>
                <w:noProof/>
              </w:rPr>
              <w:t>Origin and extent of national mine/UXO problem</w:t>
            </w:r>
            <w:r w:rsidR="00C36263">
              <w:rPr>
                <w:noProof/>
                <w:webHidden/>
              </w:rPr>
              <w:tab/>
            </w:r>
            <w:r w:rsidR="00C36263">
              <w:rPr>
                <w:noProof/>
                <w:webHidden/>
              </w:rPr>
              <w:fldChar w:fldCharType="begin"/>
            </w:r>
            <w:r w:rsidR="00C36263">
              <w:rPr>
                <w:noProof/>
                <w:webHidden/>
              </w:rPr>
              <w:instrText xml:space="preserve"> PAGEREF _Toc441609318 \h </w:instrText>
            </w:r>
            <w:r w:rsidR="00C36263">
              <w:rPr>
                <w:noProof/>
                <w:webHidden/>
              </w:rPr>
            </w:r>
            <w:r w:rsidR="00C36263">
              <w:rPr>
                <w:noProof/>
                <w:webHidden/>
              </w:rPr>
              <w:fldChar w:fldCharType="separate"/>
            </w:r>
            <w:r w:rsidR="001F2335">
              <w:rPr>
                <w:noProof/>
                <w:webHidden/>
              </w:rPr>
              <w:t>12</w:t>
            </w:r>
            <w:r w:rsidR="00C36263">
              <w:rPr>
                <w:noProof/>
                <w:webHidden/>
              </w:rPr>
              <w:fldChar w:fldCharType="end"/>
            </w:r>
          </w:hyperlink>
        </w:p>
        <w:p w:rsidR="00C36263" w:rsidRDefault="00242988">
          <w:pPr>
            <w:pStyle w:val="TOC2"/>
            <w:rPr>
              <w:rFonts w:eastAsiaTheme="minorEastAsia"/>
              <w:noProof/>
              <w:lang w:eastAsia="en-GB"/>
            </w:rPr>
          </w:pPr>
          <w:hyperlink w:anchor="_Toc441609319" w:history="1">
            <w:r w:rsidR="00C36263" w:rsidRPr="0043424A">
              <w:rPr>
                <w:rStyle w:val="Hyperlink"/>
                <w:noProof/>
              </w:rPr>
              <w:t>2.2 UNDP support to mine/UXO action in the Lao PDR 1995-2012</w:t>
            </w:r>
            <w:r w:rsidR="00C36263">
              <w:rPr>
                <w:noProof/>
                <w:webHidden/>
              </w:rPr>
              <w:tab/>
            </w:r>
            <w:r w:rsidR="00C36263">
              <w:rPr>
                <w:noProof/>
                <w:webHidden/>
              </w:rPr>
              <w:fldChar w:fldCharType="begin"/>
            </w:r>
            <w:r w:rsidR="00C36263">
              <w:rPr>
                <w:noProof/>
                <w:webHidden/>
              </w:rPr>
              <w:instrText xml:space="preserve"> PAGEREF _Toc441609319 \h </w:instrText>
            </w:r>
            <w:r w:rsidR="00C36263">
              <w:rPr>
                <w:noProof/>
                <w:webHidden/>
              </w:rPr>
            </w:r>
            <w:r w:rsidR="00C36263">
              <w:rPr>
                <w:noProof/>
                <w:webHidden/>
              </w:rPr>
              <w:fldChar w:fldCharType="separate"/>
            </w:r>
            <w:r w:rsidR="001F2335">
              <w:rPr>
                <w:noProof/>
                <w:webHidden/>
              </w:rPr>
              <w:t>12</w:t>
            </w:r>
            <w:r w:rsidR="00C36263">
              <w:rPr>
                <w:noProof/>
                <w:webHidden/>
              </w:rPr>
              <w:fldChar w:fldCharType="end"/>
            </w:r>
          </w:hyperlink>
        </w:p>
        <w:p w:rsidR="00C36263" w:rsidRDefault="00242988">
          <w:pPr>
            <w:pStyle w:val="TOC2"/>
            <w:rPr>
              <w:rFonts w:eastAsiaTheme="minorEastAsia"/>
              <w:noProof/>
              <w:lang w:eastAsia="en-GB"/>
            </w:rPr>
          </w:pPr>
          <w:hyperlink w:anchor="_Toc441609320" w:history="1">
            <w:r w:rsidR="00C36263" w:rsidRPr="0043424A">
              <w:rPr>
                <w:rStyle w:val="Hyperlink"/>
                <w:noProof/>
              </w:rPr>
              <w:t>2.3 Other international stakeholders in mine/UXO action in Lao PDR</w:t>
            </w:r>
            <w:r w:rsidR="00C36263">
              <w:rPr>
                <w:noProof/>
                <w:webHidden/>
              </w:rPr>
              <w:tab/>
            </w:r>
            <w:r w:rsidR="00C36263">
              <w:rPr>
                <w:noProof/>
                <w:webHidden/>
              </w:rPr>
              <w:fldChar w:fldCharType="begin"/>
            </w:r>
            <w:r w:rsidR="00C36263">
              <w:rPr>
                <w:noProof/>
                <w:webHidden/>
              </w:rPr>
              <w:instrText xml:space="preserve"> PAGEREF _Toc441609320 \h </w:instrText>
            </w:r>
            <w:r w:rsidR="00C36263">
              <w:rPr>
                <w:noProof/>
                <w:webHidden/>
              </w:rPr>
            </w:r>
            <w:r w:rsidR="00C36263">
              <w:rPr>
                <w:noProof/>
                <w:webHidden/>
              </w:rPr>
              <w:fldChar w:fldCharType="separate"/>
            </w:r>
            <w:r w:rsidR="001F2335">
              <w:rPr>
                <w:noProof/>
                <w:webHidden/>
              </w:rPr>
              <w:t>15</w:t>
            </w:r>
            <w:r w:rsidR="00C36263">
              <w:rPr>
                <w:noProof/>
                <w:webHidden/>
              </w:rPr>
              <w:fldChar w:fldCharType="end"/>
            </w:r>
          </w:hyperlink>
        </w:p>
        <w:p w:rsidR="00C36263" w:rsidRDefault="00242988">
          <w:pPr>
            <w:pStyle w:val="TOC1"/>
            <w:rPr>
              <w:rFonts w:eastAsiaTheme="minorEastAsia"/>
              <w:noProof/>
              <w:lang w:eastAsia="en-GB"/>
            </w:rPr>
          </w:pPr>
          <w:hyperlink w:anchor="_Toc441609321" w:history="1">
            <w:r w:rsidR="00C36263" w:rsidRPr="0043424A">
              <w:rPr>
                <w:rStyle w:val="Hyperlink"/>
                <w:noProof/>
              </w:rPr>
              <w:t>3. Situation at beginning of UNDP UXO support project 2013-2016</w:t>
            </w:r>
            <w:r w:rsidR="00C36263">
              <w:rPr>
                <w:noProof/>
                <w:webHidden/>
              </w:rPr>
              <w:tab/>
            </w:r>
            <w:r w:rsidR="00C36263">
              <w:rPr>
                <w:noProof/>
                <w:webHidden/>
              </w:rPr>
              <w:fldChar w:fldCharType="begin"/>
            </w:r>
            <w:r w:rsidR="00C36263">
              <w:rPr>
                <w:noProof/>
                <w:webHidden/>
              </w:rPr>
              <w:instrText xml:space="preserve"> PAGEREF _Toc441609321 \h </w:instrText>
            </w:r>
            <w:r w:rsidR="00C36263">
              <w:rPr>
                <w:noProof/>
                <w:webHidden/>
              </w:rPr>
            </w:r>
            <w:r w:rsidR="00C36263">
              <w:rPr>
                <w:noProof/>
                <w:webHidden/>
              </w:rPr>
              <w:fldChar w:fldCharType="separate"/>
            </w:r>
            <w:r w:rsidR="001F2335">
              <w:rPr>
                <w:noProof/>
                <w:webHidden/>
              </w:rPr>
              <w:t>16</w:t>
            </w:r>
            <w:r w:rsidR="00C36263">
              <w:rPr>
                <w:noProof/>
                <w:webHidden/>
              </w:rPr>
              <w:fldChar w:fldCharType="end"/>
            </w:r>
          </w:hyperlink>
        </w:p>
        <w:p w:rsidR="00C36263" w:rsidRDefault="00242988">
          <w:pPr>
            <w:pStyle w:val="TOC2"/>
            <w:rPr>
              <w:rFonts w:eastAsiaTheme="minorEastAsia"/>
              <w:noProof/>
              <w:lang w:eastAsia="en-GB"/>
            </w:rPr>
          </w:pPr>
          <w:hyperlink w:anchor="_Toc441609322" w:history="1">
            <w:r w:rsidR="00C36263" w:rsidRPr="0043424A">
              <w:rPr>
                <w:rStyle w:val="Hyperlink"/>
                <w:noProof/>
              </w:rPr>
              <w:t>3.1</w:t>
            </w:r>
            <w:r w:rsidR="00C36263">
              <w:rPr>
                <w:rFonts w:eastAsiaTheme="minorEastAsia"/>
                <w:noProof/>
                <w:lang w:eastAsia="en-GB"/>
              </w:rPr>
              <w:tab/>
            </w:r>
            <w:r w:rsidR="00C36263" w:rsidRPr="0043424A">
              <w:rPr>
                <w:rStyle w:val="Hyperlink"/>
                <w:noProof/>
              </w:rPr>
              <w:t>Programme Organisation</w:t>
            </w:r>
            <w:r w:rsidR="00C36263">
              <w:rPr>
                <w:noProof/>
                <w:webHidden/>
              </w:rPr>
              <w:tab/>
            </w:r>
            <w:r w:rsidR="00C36263">
              <w:rPr>
                <w:noProof/>
                <w:webHidden/>
              </w:rPr>
              <w:fldChar w:fldCharType="begin"/>
            </w:r>
            <w:r w:rsidR="00C36263">
              <w:rPr>
                <w:noProof/>
                <w:webHidden/>
              </w:rPr>
              <w:instrText xml:space="preserve"> PAGEREF _Toc441609322 \h </w:instrText>
            </w:r>
            <w:r w:rsidR="00C36263">
              <w:rPr>
                <w:noProof/>
                <w:webHidden/>
              </w:rPr>
            </w:r>
            <w:r w:rsidR="00C36263">
              <w:rPr>
                <w:noProof/>
                <w:webHidden/>
              </w:rPr>
              <w:fldChar w:fldCharType="separate"/>
            </w:r>
            <w:r w:rsidR="001F2335">
              <w:rPr>
                <w:noProof/>
                <w:webHidden/>
              </w:rPr>
              <w:t>16</w:t>
            </w:r>
            <w:r w:rsidR="00C36263">
              <w:rPr>
                <w:noProof/>
                <w:webHidden/>
              </w:rPr>
              <w:fldChar w:fldCharType="end"/>
            </w:r>
          </w:hyperlink>
        </w:p>
        <w:p w:rsidR="00C36263" w:rsidRDefault="00242988">
          <w:pPr>
            <w:pStyle w:val="TOC3"/>
            <w:tabs>
              <w:tab w:val="right" w:leader="dot" w:pos="9350"/>
            </w:tabs>
            <w:rPr>
              <w:rFonts w:eastAsiaTheme="minorEastAsia"/>
              <w:noProof/>
              <w:lang w:eastAsia="en-GB"/>
            </w:rPr>
          </w:pPr>
          <w:hyperlink w:anchor="_Toc441609323" w:history="1">
            <w:r w:rsidR="00C36263" w:rsidRPr="0043424A">
              <w:rPr>
                <w:rStyle w:val="Hyperlink"/>
                <w:noProof/>
              </w:rPr>
              <w:t>3.1.1 UNDP support</w:t>
            </w:r>
            <w:r w:rsidR="00C36263">
              <w:rPr>
                <w:noProof/>
                <w:webHidden/>
              </w:rPr>
              <w:tab/>
            </w:r>
            <w:r w:rsidR="00C36263">
              <w:rPr>
                <w:noProof/>
                <w:webHidden/>
              </w:rPr>
              <w:fldChar w:fldCharType="begin"/>
            </w:r>
            <w:r w:rsidR="00C36263">
              <w:rPr>
                <w:noProof/>
                <w:webHidden/>
              </w:rPr>
              <w:instrText xml:space="preserve"> PAGEREF _Toc441609323 \h </w:instrText>
            </w:r>
            <w:r w:rsidR="00C36263">
              <w:rPr>
                <w:noProof/>
                <w:webHidden/>
              </w:rPr>
            </w:r>
            <w:r w:rsidR="00C36263">
              <w:rPr>
                <w:noProof/>
                <w:webHidden/>
              </w:rPr>
              <w:fldChar w:fldCharType="separate"/>
            </w:r>
            <w:r w:rsidR="001F2335">
              <w:rPr>
                <w:noProof/>
                <w:webHidden/>
              </w:rPr>
              <w:t>16</w:t>
            </w:r>
            <w:r w:rsidR="00C36263">
              <w:rPr>
                <w:noProof/>
                <w:webHidden/>
              </w:rPr>
              <w:fldChar w:fldCharType="end"/>
            </w:r>
          </w:hyperlink>
        </w:p>
        <w:p w:rsidR="00C36263" w:rsidRDefault="00242988">
          <w:pPr>
            <w:pStyle w:val="TOC3"/>
            <w:tabs>
              <w:tab w:val="right" w:leader="dot" w:pos="9350"/>
            </w:tabs>
            <w:rPr>
              <w:rFonts w:eastAsiaTheme="minorEastAsia"/>
              <w:noProof/>
              <w:lang w:eastAsia="en-GB"/>
            </w:rPr>
          </w:pPr>
          <w:hyperlink w:anchor="_Toc441609324" w:history="1">
            <w:r w:rsidR="00C36263" w:rsidRPr="0043424A">
              <w:rPr>
                <w:rStyle w:val="Hyperlink"/>
                <w:noProof/>
              </w:rPr>
              <w:t>3.1.2 The National Regulatory Authority for the UXO sector in the Lao PDR (NRA)</w:t>
            </w:r>
            <w:r w:rsidR="00C36263">
              <w:rPr>
                <w:noProof/>
                <w:webHidden/>
              </w:rPr>
              <w:tab/>
            </w:r>
            <w:r w:rsidR="00C36263">
              <w:rPr>
                <w:noProof/>
                <w:webHidden/>
              </w:rPr>
              <w:fldChar w:fldCharType="begin"/>
            </w:r>
            <w:r w:rsidR="00C36263">
              <w:rPr>
                <w:noProof/>
                <w:webHidden/>
              </w:rPr>
              <w:instrText xml:space="preserve"> PAGEREF _Toc441609324 \h </w:instrText>
            </w:r>
            <w:r w:rsidR="00C36263">
              <w:rPr>
                <w:noProof/>
                <w:webHidden/>
              </w:rPr>
            </w:r>
            <w:r w:rsidR="00C36263">
              <w:rPr>
                <w:noProof/>
                <w:webHidden/>
              </w:rPr>
              <w:fldChar w:fldCharType="separate"/>
            </w:r>
            <w:r w:rsidR="001F2335">
              <w:rPr>
                <w:noProof/>
                <w:webHidden/>
              </w:rPr>
              <w:t>16</w:t>
            </w:r>
            <w:r w:rsidR="00C36263">
              <w:rPr>
                <w:noProof/>
                <w:webHidden/>
              </w:rPr>
              <w:fldChar w:fldCharType="end"/>
            </w:r>
          </w:hyperlink>
        </w:p>
        <w:p w:rsidR="00C36263" w:rsidRDefault="00242988">
          <w:pPr>
            <w:pStyle w:val="TOC3"/>
            <w:tabs>
              <w:tab w:val="right" w:leader="dot" w:pos="9350"/>
            </w:tabs>
            <w:rPr>
              <w:rFonts w:eastAsiaTheme="minorEastAsia"/>
              <w:noProof/>
              <w:lang w:eastAsia="en-GB"/>
            </w:rPr>
          </w:pPr>
          <w:hyperlink w:anchor="_Toc441609325" w:history="1">
            <w:r w:rsidR="00C36263" w:rsidRPr="0043424A">
              <w:rPr>
                <w:rStyle w:val="Hyperlink"/>
                <w:rFonts w:cs="Calibri,BoldItalic"/>
                <w:bCs/>
                <w:iCs/>
                <w:noProof/>
              </w:rPr>
              <w:t>3.1.3 UXO</w:t>
            </w:r>
            <w:r w:rsidR="00C36263" w:rsidRPr="0043424A">
              <w:rPr>
                <w:rStyle w:val="Hyperlink"/>
                <w:noProof/>
              </w:rPr>
              <w:t xml:space="preserve"> Lao</w:t>
            </w:r>
            <w:r w:rsidR="00C36263">
              <w:rPr>
                <w:noProof/>
                <w:webHidden/>
              </w:rPr>
              <w:tab/>
            </w:r>
            <w:r w:rsidR="00C36263">
              <w:rPr>
                <w:noProof/>
                <w:webHidden/>
              </w:rPr>
              <w:fldChar w:fldCharType="begin"/>
            </w:r>
            <w:r w:rsidR="00C36263">
              <w:rPr>
                <w:noProof/>
                <w:webHidden/>
              </w:rPr>
              <w:instrText xml:space="preserve"> PAGEREF _Toc441609325 \h </w:instrText>
            </w:r>
            <w:r w:rsidR="00C36263">
              <w:rPr>
                <w:noProof/>
                <w:webHidden/>
              </w:rPr>
            </w:r>
            <w:r w:rsidR="00C36263">
              <w:rPr>
                <w:noProof/>
                <w:webHidden/>
              </w:rPr>
              <w:fldChar w:fldCharType="separate"/>
            </w:r>
            <w:r w:rsidR="001F2335">
              <w:rPr>
                <w:noProof/>
                <w:webHidden/>
              </w:rPr>
              <w:t>17</w:t>
            </w:r>
            <w:r w:rsidR="00C36263">
              <w:rPr>
                <w:noProof/>
                <w:webHidden/>
              </w:rPr>
              <w:fldChar w:fldCharType="end"/>
            </w:r>
          </w:hyperlink>
        </w:p>
        <w:p w:rsidR="00C36263" w:rsidRDefault="00242988">
          <w:pPr>
            <w:pStyle w:val="TOC3"/>
            <w:tabs>
              <w:tab w:val="right" w:leader="dot" w:pos="9350"/>
            </w:tabs>
            <w:rPr>
              <w:rFonts w:eastAsiaTheme="minorEastAsia"/>
              <w:noProof/>
              <w:lang w:eastAsia="en-GB"/>
            </w:rPr>
          </w:pPr>
          <w:hyperlink w:anchor="_Toc441609326" w:history="1">
            <w:r w:rsidR="00C36263" w:rsidRPr="0043424A">
              <w:rPr>
                <w:rStyle w:val="Hyperlink"/>
                <w:noProof/>
              </w:rPr>
              <w:t>3.1.4 Sector working groups</w:t>
            </w:r>
            <w:r w:rsidR="00C36263">
              <w:rPr>
                <w:noProof/>
                <w:webHidden/>
              </w:rPr>
              <w:tab/>
            </w:r>
            <w:r w:rsidR="00C36263">
              <w:rPr>
                <w:noProof/>
                <w:webHidden/>
              </w:rPr>
              <w:fldChar w:fldCharType="begin"/>
            </w:r>
            <w:r w:rsidR="00C36263">
              <w:rPr>
                <w:noProof/>
                <w:webHidden/>
              </w:rPr>
              <w:instrText xml:space="preserve"> PAGEREF _Toc441609326 \h </w:instrText>
            </w:r>
            <w:r w:rsidR="00C36263">
              <w:rPr>
                <w:noProof/>
                <w:webHidden/>
              </w:rPr>
            </w:r>
            <w:r w:rsidR="00C36263">
              <w:rPr>
                <w:noProof/>
                <w:webHidden/>
              </w:rPr>
              <w:fldChar w:fldCharType="separate"/>
            </w:r>
            <w:r w:rsidR="001F2335">
              <w:rPr>
                <w:noProof/>
                <w:webHidden/>
              </w:rPr>
              <w:t>18</w:t>
            </w:r>
            <w:r w:rsidR="00C36263">
              <w:rPr>
                <w:noProof/>
                <w:webHidden/>
              </w:rPr>
              <w:fldChar w:fldCharType="end"/>
            </w:r>
          </w:hyperlink>
        </w:p>
        <w:p w:rsidR="00C36263" w:rsidRDefault="00242988">
          <w:pPr>
            <w:pStyle w:val="TOC2"/>
            <w:rPr>
              <w:rFonts w:eastAsiaTheme="minorEastAsia"/>
              <w:noProof/>
              <w:lang w:eastAsia="en-GB"/>
            </w:rPr>
          </w:pPr>
          <w:hyperlink w:anchor="_Toc441609327" w:history="1">
            <w:r w:rsidR="00C36263" w:rsidRPr="0043424A">
              <w:rPr>
                <w:rStyle w:val="Hyperlink"/>
                <w:noProof/>
              </w:rPr>
              <w:t>3.2</w:t>
            </w:r>
            <w:r w:rsidR="00C36263">
              <w:rPr>
                <w:rFonts w:eastAsiaTheme="minorEastAsia"/>
                <w:noProof/>
                <w:lang w:eastAsia="en-GB"/>
              </w:rPr>
              <w:tab/>
            </w:r>
            <w:r w:rsidR="00C36263" w:rsidRPr="0043424A">
              <w:rPr>
                <w:rStyle w:val="Hyperlink"/>
                <w:noProof/>
              </w:rPr>
              <w:t>Issues to be addressed at beginning of project (2012)</w:t>
            </w:r>
            <w:r w:rsidR="00C36263">
              <w:rPr>
                <w:noProof/>
                <w:webHidden/>
              </w:rPr>
              <w:tab/>
            </w:r>
            <w:r w:rsidR="00C36263">
              <w:rPr>
                <w:noProof/>
                <w:webHidden/>
              </w:rPr>
              <w:fldChar w:fldCharType="begin"/>
            </w:r>
            <w:r w:rsidR="00C36263">
              <w:rPr>
                <w:noProof/>
                <w:webHidden/>
              </w:rPr>
              <w:instrText xml:space="preserve"> PAGEREF _Toc441609327 \h </w:instrText>
            </w:r>
            <w:r w:rsidR="00C36263">
              <w:rPr>
                <w:noProof/>
                <w:webHidden/>
              </w:rPr>
            </w:r>
            <w:r w:rsidR="00C36263">
              <w:rPr>
                <w:noProof/>
                <w:webHidden/>
              </w:rPr>
              <w:fldChar w:fldCharType="separate"/>
            </w:r>
            <w:r w:rsidR="001F2335">
              <w:rPr>
                <w:noProof/>
                <w:webHidden/>
              </w:rPr>
              <w:t>19</w:t>
            </w:r>
            <w:r w:rsidR="00C36263">
              <w:rPr>
                <w:noProof/>
                <w:webHidden/>
              </w:rPr>
              <w:fldChar w:fldCharType="end"/>
            </w:r>
          </w:hyperlink>
        </w:p>
        <w:p w:rsidR="00C36263" w:rsidRDefault="00242988">
          <w:pPr>
            <w:pStyle w:val="TOC2"/>
            <w:rPr>
              <w:rFonts w:eastAsiaTheme="minorEastAsia"/>
              <w:noProof/>
              <w:lang w:eastAsia="en-GB"/>
            </w:rPr>
          </w:pPr>
          <w:hyperlink w:anchor="_Toc441609328" w:history="1">
            <w:r w:rsidR="00C36263" w:rsidRPr="0043424A">
              <w:rPr>
                <w:rStyle w:val="Hyperlink"/>
                <w:noProof/>
              </w:rPr>
              <w:t>3.3 Expected end-of-project situation</w:t>
            </w:r>
            <w:r w:rsidR="00C36263">
              <w:rPr>
                <w:noProof/>
                <w:webHidden/>
              </w:rPr>
              <w:tab/>
            </w:r>
            <w:r w:rsidR="00C36263">
              <w:rPr>
                <w:noProof/>
                <w:webHidden/>
              </w:rPr>
              <w:fldChar w:fldCharType="begin"/>
            </w:r>
            <w:r w:rsidR="00C36263">
              <w:rPr>
                <w:noProof/>
                <w:webHidden/>
              </w:rPr>
              <w:instrText xml:space="preserve"> PAGEREF _Toc441609328 \h </w:instrText>
            </w:r>
            <w:r w:rsidR="00C36263">
              <w:rPr>
                <w:noProof/>
                <w:webHidden/>
              </w:rPr>
            </w:r>
            <w:r w:rsidR="00C36263">
              <w:rPr>
                <w:noProof/>
                <w:webHidden/>
              </w:rPr>
              <w:fldChar w:fldCharType="separate"/>
            </w:r>
            <w:r w:rsidR="001F2335">
              <w:rPr>
                <w:noProof/>
                <w:webHidden/>
              </w:rPr>
              <w:t>20</w:t>
            </w:r>
            <w:r w:rsidR="00C36263">
              <w:rPr>
                <w:noProof/>
                <w:webHidden/>
              </w:rPr>
              <w:fldChar w:fldCharType="end"/>
            </w:r>
          </w:hyperlink>
        </w:p>
        <w:p w:rsidR="00C36263" w:rsidRDefault="00242988">
          <w:pPr>
            <w:pStyle w:val="TOC1"/>
            <w:rPr>
              <w:rFonts w:eastAsiaTheme="minorEastAsia"/>
              <w:noProof/>
              <w:lang w:eastAsia="en-GB"/>
            </w:rPr>
          </w:pPr>
          <w:hyperlink w:anchor="_Toc441609329" w:history="1">
            <w:r w:rsidR="00C36263" w:rsidRPr="0043424A">
              <w:rPr>
                <w:rStyle w:val="Hyperlink"/>
                <w:noProof/>
              </w:rPr>
              <w:t>4</w:t>
            </w:r>
            <w:r w:rsidR="00C36263">
              <w:rPr>
                <w:rFonts w:eastAsiaTheme="minorEastAsia"/>
                <w:noProof/>
                <w:lang w:eastAsia="en-GB"/>
              </w:rPr>
              <w:tab/>
            </w:r>
            <w:r w:rsidR="00C36263" w:rsidRPr="0043424A">
              <w:rPr>
                <w:rStyle w:val="Hyperlink"/>
                <w:noProof/>
              </w:rPr>
              <w:t>UNDP program support 2013-2015</w:t>
            </w:r>
            <w:r w:rsidR="00C36263">
              <w:rPr>
                <w:noProof/>
                <w:webHidden/>
              </w:rPr>
              <w:tab/>
            </w:r>
            <w:r w:rsidR="00C36263">
              <w:rPr>
                <w:noProof/>
                <w:webHidden/>
              </w:rPr>
              <w:fldChar w:fldCharType="begin"/>
            </w:r>
            <w:r w:rsidR="00C36263">
              <w:rPr>
                <w:noProof/>
                <w:webHidden/>
              </w:rPr>
              <w:instrText xml:space="preserve"> PAGEREF _Toc441609329 \h </w:instrText>
            </w:r>
            <w:r w:rsidR="00C36263">
              <w:rPr>
                <w:noProof/>
                <w:webHidden/>
              </w:rPr>
            </w:r>
            <w:r w:rsidR="00C36263">
              <w:rPr>
                <w:noProof/>
                <w:webHidden/>
              </w:rPr>
              <w:fldChar w:fldCharType="separate"/>
            </w:r>
            <w:r w:rsidR="001F2335">
              <w:rPr>
                <w:noProof/>
                <w:webHidden/>
              </w:rPr>
              <w:t>21</w:t>
            </w:r>
            <w:r w:rsidR="00C36263">
              <w:rPr>
                <w:noProof/>
                <w:webHidden/>
              </w:rPr>
              <w:fldChar w:fldCharType="end"/>
            </w:r>
          </w:hyperlink>
        </w:p>
        <w:p w:rsidR="00C36263" w:rsidRDefault="00242988">
          <w:pPr>
            <w:pStyle w:val="TOC2"/>
            <w:rPr>
              <w:rFonts w:eastAsiaTheme="minorEastAsia"/>
              <w:noProof/>
              <w:lang w:eastAsia="en-GB"/>
            </w:rPr>
          </w:pPr>
          <w:hyperlink w:anchor="_Toc441609330" w:history="1">
            <w:r w:rsidR="00C36263" w:rsidRPr="0043424A">
              <w:rPr>
                <w:rStyle w:val="Hyperlink"/>
                <w:noProof/>
              </w:rPr>
              <w:t>4.1</w:t>
            </w:r>
            <w:r w:rsidR="00C36263">
              <w:rPr>
                <w:rFonts w:eastAsiaTheme="minorEastAsia"/>
                <w:noProof/>
                <w:lang w:eastAsia="en-GB"/>
              </w:rPr>
              <w:tab/>
            </w:r>
            <w:r w:rsidR="00C36263" w:rsidRPr="0043424A">
              <w:rPr>
                <w:rStyle w:val="Hyperlink"/>
                <w:noProof/>
              </w:rPr>
              <w:t>Summary of support provided during this period</w:t>
            </w:r>
            <w:r w:rsidR="00C36263">
              <w:rPr>
                <w:noProof/>
                <w:webHidden/>
              </w:rPr>
              <w:tab/>
            </w:r>
            <w:r w:rsidR="00C36263">
              <w:rPr>
                <w:noProof/>
                <w:webHidden/>
              </w:rPr>
              <w:fldChar w:fldCharType="begin"/>
            </w:r>
            <w:r w:rsidR="00C36263">
              <w:rPr>
                <w:noProof/>
                <w:webHidden/>
              </w:rPr>
              <w:instrText xml:space="preserve"> PAGEREF _Toc441609330 \h </w:instrText>
            </w:r>
            <w:r w:rsidR="00C36263">
              <w:rPr>
                <w:noProof/>
                <w:webHidden/>
              </w:rPr>
            </w:r>
            <w:r w:rsidR="00C36263">
              <w:rPr>
                <w:noProof/>
                <w:webHidden/>
              </w:rPr>
              <w:fldChar w:fldCharType="separate"/>
            </w:r>
            <w:r w:rsidR="001F2335">
              <w:rPr>
                <w:noProof/>
                <w:webHidden/>
              </w:rPr>
              <w:t>21</w:t>
            </w:r>
            <w:r w:rsidR="00C36263">
              <w:rPr>
                <w:noProof/>
                <w:webHidden/>
              </w:rPr>
              <w:fldChar w:fldCharType="end"/>
            </w:r>
          </w:hyperlink>
        </w:p>
        <w:p w:rsidR="00C36263" w:rsidRDefault="00242988">
          <w:pPr>
            <w:pStyle w:val="TOC3"/>
            <w:tabs>
              <w:tab w:val="right" w:leader="dot" w:pos="9350"/>
            </w:tabs>
            <w:rPr>
              <w:rFonts w:eastAsiaTheme="minorEastAsia"/>
              <w:noProof/>
              <w:lang w:eastAsia="en-GB"/>
            </w:rPr>
          </w:pPr>
          <w:hyperlink w:anchor="_Toc441609331" w:history="1">
            <w:r w:rsidR="00C36263" w:rsidRPr="0043424A">
              <w:rPr>
                <w:rStyle w:val="Hyperlink"/>
                <w:noProof/>
              </w:rPr>
              <w:t>4.1.1 Strategic Positioning, Concept and Design</w:t>
            </w:r>
            <w:r w:rsidR="00C36263">
              <w:rPr>
                <w:noProof/>
                <w:webHidden/>
              </w:rPr>
              <w:tab/>
            </w:r>
            <w:r w:rsidR="00C36263">
              <w:rPr>
                <w:noProof/>
                <w:webHidden/>
              </w:rPr>
              <w:fldChar w:fldCharType="begin"/>
            </w:r>
            <w:r w:rsidR="00C36263">
              <w:rPr>
                <w:noProof/>
                <w:webHidden/>
              </w:rPr>
              <w:instrText xml:space="preserve"> PAGEREF _Toc441609331 \h </w:instrText>
            </w:r>
            <w:r w:rsidR="00C36263">
              <w:rPr>
                <w:noProof/>
                <w:webHidden/>
              </w:rPr>
            </w:r>
            <w:r w:rsidR="00C36263">
              <w:rPr>
                <w:noProof/>
                <w:webHidden/>
              </w:rPr>
              <w:fldChar w:fldCharType="separate"/>
            </w:r>
            <w:r w:rsidR="001F2335">
              <w:rPr>
                <w:noProof/>
                <w:webHidden/>
              </w:rPr>
              <w:t>21</w:t>
            </w:r>
            <w:r w:rsidR="00C36263">
              <w:rPr>
                <w:noProof/>
                <w:webHidden/>
              </w:rPr>
              <w:fldChar w:fldCharType="end"/>
            </w:r>
          </w:hyperlink>
        </w:p>
        <w:p w:rsidR="00C36263" w:rsidRDefault="00242988">
          <w:pPr>
            <w:pStyle w:val="TOC3"/>
            <w:tabs>
              <w:tab w:val="right" w:leader="dot" w:pos="9350"/>
            </w:tabs>
            <w:rPr>
              <w:rFonts w:eastAsiaTheme="minorEastAsia"/>
              <w:noProof/>
              <w:lang w:eastAsia="en-GB"/>
            </w:rPr>
          </w:pPr>
          <w:hyperlink w:anchor="_Toc441609332" w:history="1">
            <w:r w:rsidR="00C36263" w:rsidRPr="0043424A">
              <w:rPr>
                <w:rStyle w:val="Hyperlink"/>
                <w:noProof/>
              </w:rPr>
              <w:t>4.1.2 Implementation</w:t>
            </w:r>
            <w:r w:rsidR="00C36263">
              <w:rPr>
                <w:noProof/>
                <w:webHidden/>
              </w:rPr>
              <w:tab/>
            </w:r>
            <w:r w:rsidR="00C36263">
              <w:rPr>
                <w:noProof/>
                <w:webHidden/>
              </w:rPr>
              <w:fldChar w:fldCharType="begin"/>
            </w:r>
            <w:r w:rsidR="00C36263">
              <w:rPr>
                <w:noProof/>
                <w:webHidden/>
              </w:rPr>
              <w:instrText xml:space="preserve"> PAGEREF _Toc441609332 \h </w:instrText>
            </w:r>
            <w:r w:rsidR="00C36263">
              <w:rPr>
                <w:noProof/>
                <w:webHidden/>
              </w:rPr>
            </w:r>
            <w:r w:rsidR="00C36263">
              <w:rPr>
                <w:noProof/>
                <w:webHidden/>
              </w:rPr>
              <w:fldChar w:fldCharType="separate"/>
            </w:r>
            <w:r w:rsidR="001F2335">
              <w:rPr>
                <w:noProof/>
                <w:webHidden/>
              </w:rPr>
              <w:t>22</w:t>
            </w:r>
            <w:r w:rsidR="00C36263">
              <w:rPr>
                <w:noProof/>
                <w:webHidden/>
              </w:rPr>
              <w:fldChar w:fldCharType="end"/>
            </w:r>
          </w:hyperlink>
        </w:p>
        <w:p w:rsidR="00C36263" w:rsidRDefault="00242988">
          <w:pPr>
            <w:pStyle w:val="TOC3"/>
            <w:tabs>
              <w:tab w:val="right" w:leader="dot" w:pos="9350"/>
            </w:tabs>
            <w:rPr>
              <w:rFonts w:eastAsiaTheme="minorEastAsia"/>
              <w:noProof/>
              <w:lang w:eastAsia="en-GB"/>
            </w:rPr>
          </w:pPr>
          <w:hyperlink w:anchor="_Toc441609333" w:history="1">
            <w:r w:rsidR="00C36263" w:rsidRPr="0043424A">
              <w:rPr>
                <w:rStyle w:val="Hyperlink"/>
                <w:noProof/>
              </w:rPr>
              <w:t>4.1.3 Partnership and Coordination</w:t>
            </w:r>
            <w:r w:rsidR="00C36263">
              <w:rPr>
                <w:noProof/>
                <w:webHidden/>
              </w:rPr>
              <w:tab/>
            </w:r>
            <w:r w:rsidR="00C36263">
              <w:rPr>
                <w:noProof/>
                <w:webHidden/>
              </w:rPr>
              <w:fldChar w:fldCharType="begin"/>
            </w:r>
            <w:r w:rsidR="00C36263">
              <w:rPr>
                <w:noProof/>
                <w:webHidden/>
              </w:rPr>
              <w:instrText xml:space="preserve"> PAGEREF _Toc441609333 \h </w:instrText>
            </w:r>
            <w:r w:rsidR="00C36263">
              <w:rPr>
                <w:noProof/>
                <w:webHidden/>
              </w:rPr>
            </w:r>
            <w:r w:rsidR="00C36263">
              <w:rPr>
                <w:noProof/>
                <w:webHidden/>
              </w:rPr>
              <w:fldChar w:fldCharType="separate"/>
            </w:r>
            <w:r w:rsidR="001F2335">
              <w:rPr>
                <w:noProof/>
                <w:webHidden/>
              </w:rPr>
              <w:t>24</w:t>
            </w:r>
            <w:r w:rsidR="00C36263">
              <w:rPr>
                <w:noProof/>
                <w:webHidden/>
              </w:rPr>
              <w:fldChar w:fldCharType="end"/>
            </w:r>
          </w:hyperlink>
        </w:p>
        <w:p w:rsidR="00C36263" w:rsidRDefault="00242988">
          <w:pPr>
            <w:pStyle w:val="TOC3"/>
            <w:tabs>
              <w:tab w:val="right" w:leader="dot" w:pos="9350"/>
            </w:tabs>
            <w:rPr>
              <w:rFonts w:eastAsiaTheme="minorEastAsia"/>
              <w:noProof/>
              <w:lang w:eastAsia="en-GB"/>
            </w:rPr>
          </w:pPr>
          <w:hyperlink w:anchor="_Toc441609334" w:history="1">
            <w:r w:rsidR="00C36263" w:rsidRPr="0043424A">
              <w:rPr>
                <w:rStyle w:val="Hyperlink"/>
                <w:noProof/>
              </w:rPr>
              <w:t>4.1.4 Monitoring, Evaluation and Risk Management</w:t>
            </w:r>
            <w:r w:rsidR="00C36263">
              <w:rPr>
                <w:noProof/>
                <w:webHidden/>
              </w:rPr>
              <w:tab/>
            </w:r>
            <w:r w:rsidR="00C36263">
              <w:rPr>
                <w:noProof/>
                <w:webHidden/>
              </w:rPr>
              <w:fldChar w:fldCharType="begin"/>
            </w:r>
            <w:r w:rsidR="00C36263">
              <w:rPr>
                <w:noProof/>
                <w:webHidden/>
              </w:rPr>
              <w:instrText xml:space="preserve"> PAGEREF _Toc441609334 \h </w:instrText>
            </w:r>
            <w:r w:rsidR="00C36263">
              <w:rPr>
                <w:noProof/>
                <w:webHidden/>
              </w:rPr>
            </w:r>
            <w:r w:rsidR="00C36263">
              <w:rPr>
                <w:noProof/>
                <w:webHidden/>
              </w:rPr>
              <w:fldChar w:fldCharType="separate"/>
            </w:r>
            <w:r w:rsidR="001F2335">
              <w:rPr>
                <w:noProof/>
                <w:webHidden/>
              </w:rPr>
              <w:t>25</w:t>
            </w:r>
            <w:r w:rsidR="00C36263">
              <w:rPr>
                <w:noProof/>
                <w:webHidden/>
              </w:rPr>
              <w:fldChar w:fldCharType="end"/>
            </w:r>
          </w:hyperlink>
        </w:p>
        <w:p w:rsidR="00C36263" w:rsidRDefault="00242988">
          <w:pPr>
            <w:pStyle w:val="TOC3"/>
            <w:tabs>
              <w:tab w:val="right" w:leader="dot" w:pos="9350"/>
            </w:tabs>
            <w:rPr>
              <w:rFonts w:eastAsiaTheme="minorEastAsia"/>
              <w:noProof/>
              <w:lang w:eastAsia="en-GB"/>
            </w:rPr>
          </w:pPr>
          <w:hyperlink w:anchor="_Toc441609335" w:history="1">
            <w:r w:rsidR="00C36263" w:rsidRPr="0043424A">
              <w:rPr>
                <w:rStyle w:val="Hyperlink"/>
                <w:noProof/>
              </w:rPr>
              <w:t>4.1.5 Gender and Human Rights-Based Approach</w:t>
            </w:r>
            <w:r w:rsidR="00C36263">
              <w:rPr>
                <w:noProof/>
                <w:webHidden/>
              </w:rPr>
              <w:tab/>
            </w:r>
            <w:r w:rsidR="00C36263">
              <w:rPr>
                <w:noProof/>
                <w:webHidden/>
              </w:rPr>
              <w:fldChar w:fldCharType="begin"/>
            </w:r>
            <w:r w:rsidR="00C36263">
              <w:rPr>
                <w:noProof/>
                <w:webHidden/>
              </w:rPr>
              <w:instrText xml:space="preserve"> PAGEREF _Toc441609335 \h </w:instrText>
            </w:r>
            <w:r w:rsidR="00C36263">
              <w:rPr>
                <w:noProof/>
                <w:webHidden/>
              </w:rPr>
            </w:r>
            <w:r w:rsidR="00C36263">
              <w:rPr>
                <w:noProof/>
                <w:webHidden/>
              </w:rPr>
              <w:fldChar w:fldCharType="separate"/>
            </w:r>
            <w:r w:rsidR="001F2335">
              <w:rPr>
                <w:noProof/>
                <w:webHidden/>
              </w:rPr>
              <w:t>26</w:t>
            </w:r>
            <w:r w:rsidR="00C36263">
              <w:rPr>
                <w:noProof/>
                <w:webHidden/>
              </w:rPr>
              <w:fldChar w:fldCharType="end"/>
            </w:r>
          </w:hyperlink>
        </w:p>
        <w:p w:rsidR="00C36263" w:rsidRDefault="00242988">
          <w:pPr>
            <w:pStyle w:val="TOC2"/>
            <w:rPr>
              <w:rFonts w:eastAsiaTheme="minorEastAsia"/>
              <w:noProof/>
              <w:lang w:eastAsia="en-GB"/>
            </w:rPr>
          </w:pPr>
          <w:hyperlink w:anchor="_Toc441609336" w:history="1">
            <w:r w:rsidR="00C36263" w:rsidRPr="0043424A">
              <w:rPr>
                <w:rStyle w:val="Hyperlink"/>
                <w:noProof/>
              </w:rPr>
              <w:t>4.2</w:t>
            </w:r>
            <w:r w:rsidR="00C36263">
              <w:rPr>
                <w:rFonts w:eastAsiaTheme="minorEastAsia"/>
                <w:noProof/>
                <w:lang w:eastAsia="en-GB"/>
              </w:rPr>
              <w:tab/>
            </w:r>
            <w:r w:rsidR="00C36263" w:rsidRPr="0043424A">
              <w:rPr>
                <w:rStyle w:val="Hyperlink"/>
                <w:noProof/>
              </w:rPr>
              <w:t>Efforts to address issues “to be addressed” at beginning of project</w:t>
            </w:r>
            <w:r w:rsidR="00C36263">
              <w:rPr>
                <w:noProof/>
                <w:webHidden/>
              </w:rPr>
              <w:tab/>
            </w:r>
            <w:r w:rsidR="00C36263">
              <w:rPr>
                <w:noProof/>
                <w:webHidden/>
              </w:rPr>
              <w:fldChar w:fldCharType="begin"/>
            </w:r>
            <w:r w:rsidR="00C36263">
              <w:rPr>
                <w:noProof/>
                <w:webHidden/>
              </w:rPr>
              <w:instrText xml:space="preserve"> PAGEREF _Toc441609336 \h </w:instrText>
            </w:r>
            <w:r w:rsidR="00C36263">
              <w:rPr>
                <w:noProof/>
                <w:webHidden/>
              </w:rPr>
            </w:r>
            <w:r w:rsidR="00C36263">
              <w:rPr>
                <w:noProof/>
                <w:webHidden/>
              </w:rPr>
              <w:fldChar w:fldCharType="separate"/>
            </w:r>
            <w:r w:rsidR="001F2335">
              <w:rPr>
                <w:noProof/>
                <w:webHidden/>
              </w:rPr>
              <w:t>26</w:t>
            </w:r>
            <w:r w:rsidR="00C36263">
              <w:rPr>
                <w:noProof/>
                <w:webHidden/>
              </w:rPr>
              <w:fldChar w:fldCharType="end"/>
            </w:r>
          </w:hyperlink>
        </w:p>
        <w:p w:rsidR="00C36263" w:rsidRDefault="00242988">
          <w:pPr>
            <w:pStyle w:val="TOC2"/>
            <w:rPr>
              <w:rFonts w:eastAsiaTheme="minorEastAsia"/>
              <w:noProof/>
              <w:lang w:eastAsia="en-GB"/>
            </w:rPr>
          </w:pPr>
          <w:hyperlink w:anchor="_Toc441609337" w:history="1">
            <w:r w:rsidR="00C36263" w:rsidRPr="0043424A">
              <w:rPr>
                <w:rStyle w:val="Hyperlink"/>
                <w:noProof/>
              </w:rPr>
              <w:t>4.3</w:t>
            </w:r>
            <w:r w:rsidR="00C36263">
              <w:rPr>
                <w:rFonts w:eastAsiaTheme="minorEastAsia"/>
                <w:noProof/>
                <w:lang w:eastAsia="en-GB"/>
              </w:rPr>
              <w:tab/>
            </w:r>
            <w:r w:rsidR="00C36263" w:rsidRPr="0043424A">
              <w:rPr>
                <w:rStyle w:val="Hyperlink"/>
                <w:noProof/>
              </w:rPr>
              <w:t>Financial support and management of Trust Fund</w:t>
            </w:r>
            <w:r w:rsidR="00C36263">
              <w:rPr>
                <w:noProof/>
                <w:webHidden/>
              </w:rPr>
              <w:tab/>
            </w:r>
            <w:r w:rsidR="00C36263">
              <w:rPr>
                <w:noProof/>
                <w:webHidden/>
              </w:rPr>
              <w:fldChar w:fldCharType="begin"/>
            </w:r>
            <w:r w:rsidR="00C36263">
              <w:rPr>
                <w:noProof/>
                <w:webHidden/>
              </w:rPr>
              <w:instrText xml:space="preserve"> PAGEREF _Toc441609337 \h </w:instrText>
            </w:r>
            <w:r w:rsidR="00C36263">
              <w:rPr>
                <w:noProof/>
                <w:webHidden/>
              </w:rPr>
            </w:r>
            <w:r w:rsidR="00C36263">
              <w:rPr>
                <w:noProof/>
                <w:webHidden/>
              </w:rPr>
              <w:fldChar w:fldCharType="separate"/>
            </w:r>
            <w:r w:rsidR="001F2335">
              <w:rPr>
                <w:noProof/>
                <w:webHidden/>
              </w:rPr>
              <w:t>26</w:t>
            </w:r>
            <w:r w:rsidR="00C36263">
              <w:rPr>
                <w:noProof/>
                <w:webHidden/>
              </w:rPr>
              <w:fldChar w:fldCharType="end"/>
            </w:r>
          </w:hyperlink>
        </w:p>
        <w:p w:rsidR="00C36263" w:rsidRDefault="00242988">
          <w:pPr>
            <w:pStyle w:val="TOC1"/>
            <w:rPr>
              <w:rFonts w:eastAsiaTheme="minorEastAsia"/>
              <w:noProof/>
              <w:lang w:eastAsia="en-GB"/>
            </w:rPr>
          </w:pPr>
          <w:hyperlink w:anchor="_Toc441609338" w:history="1">
            <w:r w:rsidR="00C36263" w:rsidRPr="0043424A">
              <w:rPr>
                <w:rStyle w:val="Hyperlink"/>
                <w:noProof/>
              </w:rPr>
              <w:t>5</w:t>
            </w:r>
            <w:r w:rsidR="00C36263">
              <w:rPr>
                <w:rFonts w:eastAsiaTheme="minorEastAsia"/>
                <w:noProof/>
                <w:lang w:eastAsia="en-GB"/>
              </w:rPr>
              <w:tab/>
            </w:r>
            <w:r w:rsidR="00C36263" w:rsidRPr="0043424A">
              <w:rPr>
                <w:rStyle w:val="Hyperlink"/>
                <w:noProof/>
              </w:rPr>
              <w:t>Key evaluation questions and results</w:t>
            </w:r>
            <w:r w:rsidR="00C36263">
              <w:rPr>
                <w:noProof/>
                <w:webHidden/>
              </w:rPr>
              <w:tab/>
            </w:r>
            <w:r w:rsidR="00C36263">
              <w:rPr>
                <w:noProof/>
                <w:webHidden/>
              </w:rPr>
              <w:fldChar w:fldCharType="begin"/>
            </w:r>
            <w:r w:rsidR="00C36263">
              <w:rPr>
                <w:noProof/>
                <w:webHidden/>
              </w:rPr>
              <w:instrText xml:space="preserve"> PAGEREF _Toc441609338 \h </w:instrText>
            </w:r>
            <w:r w:rsidR="00C36263">
              <w:rPr>
                <w:noProof/>
                <w:webHidden/>
              </w:rPr>
            </w:r>
            <w:r w:rsidR="00C36263">
              <w:rPr>
                <w:noProof/>
                <w:webHidden/>
              </w:rPr>
              <w:fldChar w:fldCharType="separate"/>
            </w:r>
            <w:r w:rsidR="001F2335">
              <w:rPr>
                <w:noProof/>
                <w:webHidden/>
              </w:rPr>
              <w:t>29</w:t>
            </w:r>
            <w:r w:rsidR="00C36263">
              <w:rPr>
                <w:noProof/>
                <w:webHidden/>
              </w:rPr>
              <w:fldChar w:fldCharType="end"/>
            </w:r>
          </w:hyperlink>
        </w:p>
        <w:p w:rsidR="00C36263" w:rsidRDefault="00242988">
          <w:pPr>
            <w:pStyle w:val="TOC2"/>
            <w:rPr>
              <w:rFonts w:eastAsiaTheme="minorEastAsia"/>
              <w:noProof/>
              <w:lang w:eastAsia="en-GB"/>
            </w:rPr>
          </w:pPr>
          <w:hyperlink w:anchor="_Toc441609339" w:history="1">
            <w:r w:rsidR="00C36263" w:rsidRPr="0043424A">
              <w:rPr>
                <w:rStyle w:val="Hyperlink"/>
                <w:noProof/>
              </w:rPr>
              <w:t>5.1 Relevance of UNDP support</w:t>
            </w:r>
            <w:r w:rsidR="00C36263">
              <w:rPr>
                <w:noProof/>
                <w:webHidden/>
              </w:rPr>
              <w:tab/>
            </w:r>
            <w:r w:rsidR="00C36263">
              <w:rPr>
                <w:noProof/>
                <w:webHidden/>
              </w:rPr>
              <w:fldChar w:fldCharType="begin"/>
            </w:r>
            <w:r w:rsidR="00C36263">
              <w:rPr>
                <w:noProof/>
                <w:webHidden/>
              </w:rPr>
              <w:instrText xml:space="preserve"> PAGEREF _Toc441609339 \h </w:instrText>
            </w:r>
            <w:r w:rsidR="00C36263">
              <w:rPr>
                <w:noProof/>
                <w:webHidden/>
              </w:rPr>
            </w:r>
            <w:r w:rsidR="00C36263">
              <w:rPr>
                <w:noProof/>
                <w:webHidden/>
              </w:rPr>
              <w:fldChar w:fldCharType="separate"/>
            </w:r>
            <w:r w:rsidR="001F2335">
              <w:rPr>
                <w:noProof/>
                <w:webHidden/>
              </w:rPr>
              <w:t>29</w:t>
            </w:r>
            <w:r w:rsidR="00C36263">
              <w:rPr>
                <w:noProof/>
                <w:webHidden/>
              </w:rPr>
              <w:fldChar w:fldCharType="end"/>
            </w:r>
          </w:hyperlink>
        </w:p>
        <w:p w:rsidR="00C36263" w:rsidRDefault="00242988">
          <w:pPr>
            <w:pStyle w:val="TOC2"/>
            <w:rPr>
              <w:rFonts w:eastAsiaTheme="minorEastAsia"/>
              <w:noProof/>
              <w:lang w:eastAsia="en-GB"/>
            </w:rPr>
          </w:pPr>
          <w:hyperlink w:anchor="_Toc441609340" w:history="1">
            <w:r w:rsidR="00C36263" w:rsidRPr="0043424A">
              <w:rPr>
                <w:rStyle w:val="Hyperlink"/>
                <w:noProof/>
              </w:rPr>
              <w:t>5.2 Effectiveness of UNDP support</w:t>
            </w:r>
            <w:r w:rsidR="00C36263">
              <w:rPr>
                <w:noProof/>
                <w:webHidden/>
              </w:rPr>
              <w:tab/>
            </w:r>
            <w:r w:rsidR="00C36263">
              <w:rPr>
                <w:noProof/>
                <w:webHidden/>
              </w:rPr>
              <w:fldChar w:fldCharType="begin"/>
            </w:r>
            <w:r w:rsidR="00C36263">
              <w:rPr>
                <w:noProof/>
                <w:webHidden/>
              </w:rPr>
              <w:instrText xml:space="preserve"> PAGEREF _Toc441609340 \h </w:instrText>
            </w:r>
            <w:r w:rsidR="00C36263">
              <w:rPr>
                <w:noProof/>
                <w:webHidden/>
              </w:rPr>
            </w:r>
            <w:r w:rsidR="00C36263">
              <w:rPr>
                <w:noProof/>
                <w:webHidden/>
              </w:rPr>
              <w:fldChar w:fldCharType="separate"/>
            </w:r>
            <w:r w:rsidR="001F2335">
              <w:rPr>
                <w:noProof/>
                <w:webHidden/>
              </w:rPr>
              <w:t>30</w:t>
            </w:r>
            <w:r w:rsidR="00C36263">
              <w:rPr>
                <w:noProof/>
                <w:webHidden/>
              </w:rPr>
              <w:fldChar w:fldCharType="end"/>
            </w:r>
          </w:hyperlink>
        </w:p>
        <w:p w:rsidR="00C36263" w:rsidRDefault="00242988">
          <w:pPr>
            <w:pStyle w:val="TOC2"/>
            <w:rPr>
              <w:rFonts w:eastAsiaTheme="minorEastAsia"/>
              <w:noProof/>
              <w:lang w:eastAsia="en-GB"/>
            </w:rPr>
          </w:pPr>
          <w:hyperlink w:anchor="_Toc441609341" w:history="1">
            <w:r w:rsidR="00C36263" w:rsidRPr="0043424A">
              <w:rPr>
                <w:rStyle w:val="Hyperlink"/>
                <w:noProof/>
              </w:rPr>
              <w:t>5.3 Partnership and coordination</w:t>
            </w:r>
            <w:r w:rsidR="00C36263">
              <w:rPr>
                <w:noProof/>
                <w:webHidden/>
              </w:rPr>
              <w:tab/>
            </w:r>
            <w:r w:rsidR="00C36263">
              <w:rPr>
                <w:noProof/>
                <w:webHidden/>
              </w:rPr>
              <w:fldChar w:fldCharType="begin"/>
            </w:r>
            <w:r w:rsidR="00C36263">
              <w:rPr>
                <w:noProof/>
                <w:webHidden/>
              </w:rPr>
              <w:instrText xml:space="preserve"> PAGEREF _Toc441609341 \h </w:instrText>
            </w:r>
            <w:r w:rsidR="00C36263">
              <w:rPr>
                <w:noProof/>
                <w:webHidden/>
              </w:rPr>
            </w:r>
            <w:r w:rsidR="00C36263">
              <w:rPr>
                <w:noProof/>
                <w:webHidden/>
              </w:rPr>
              <w:fldChar w:fldCharType="separate"/>
            </w:r>
            <w:r w:rsidR="001F2335">
              <w:rPr>
                <w:noProof/>
                <w:webHidden/>
              </w:rPr>
              <w:t>31</w:t>
            </w:r>
            <w:r w:rsidR="00C36263">
              <w:rPr>
                <w:noProof/>
                <w:webHidden/>
              </w:rPr>
              <w:fldChar w:fldCharType="end"/>
            </w:r>
          </w:hyperlink>
        </w:p>
        <w:p w:rsidR="00C36263" w:rsidRDefault="00242988">
          <w:pPr>
            <w:pStyle w:val="TOC2"/>
            <w:rPr>
              <w:rFonts w:eastAsiaTheme="minorEastAsia"/>
              <w:noProof/>
              <w:lang w:eastAsia="en-GB"/>
            </w:rPr>
          </w:pPr>
          <w:hyperlink w:anchor="_Toc441609342" w:history="1">
            <w:r w:rsidR="00C36263" w:rsidRPr="0043424A">
              <w:rPr>
                <w:rStyle w:val="Hyperlink"/>
                <w:noProof/>
              </w:rPr>
              <w:t>5.4 Efficiency of UNDP support</w:t>
            </w:r>
            <w:r w:rsidR="00C36263">
              <w:rPr>
                <w:noProof/>
                <w:webHidden/>
              </w:rPr>
              <w:tab/>
            </w:r>
            <w:r w:rsidR="00C36263">
              <w:rPr>
                <w:noProof/>
                <w:webHidden/>
              </w:rPr>
              <w:fldChar w:fldCharType="begin"/>
            </w:r>
            <w:r w:rsidR="00C36263">
              <w:rPr>
                <w:noProof/>
                <w:webHidden/>
              </w:rPr>
              <w:instrText xml:space="preserve"> PAGEREF _Toc441609342 \h </w:instrText>
            </w:r>
            <w:r w:rsidR="00C36263">
              <w:rPr>
                <w:noProof/>
                <w:webHidden/>
              </w:rPr>
            </w:r>
            <w:r w:rsidR="00C36263">
              <w:rPr>
                <w:noProof/>
                <w:webHidden/>
              </w:rPr>
              <w:fldChar w:fldCharType="separate"/>
            </w:r>
            <w:r w:rsidR="001F2335">
              <w:rPr>
                <w:noProof/>
                <w:webHidden/>
              </w:rPr>
              <w:t>32</w:t>
            </w:r>
            <w:r w:rsidR="00C36263">
              <w:rPr>
                <w:noProof/>
                <w:webHidden/>
              </w:rPr>
              <w:fldChar w:fldCharType="end"/>
            </w:r>
          </w:hyperlink>
        </w:p>
        <w:p w:rsidR="00C36263" w:rsidRDefault="00242988">
          <w:pPr>
            <w:pStyle w:val="TOC2"/>
            <w:rPr>
              <w:rFonts w:eastAsiaTheme="minorEastAsia"/>
              <w:noProof/>
              <w:lang w:eastAsia="en-GB"/>
            </w:rPr>
          </w:pPr>
          <w:hyperlink w:anchor="_Toc441609343" w:history="1">
            <w:r w:rsidR="00C36263" w:rsidRPr="0043424A">
              <w:rPr>
                <w:rStyle w:val="Hyperlink"/>
                <w:noProof/>
              </w:rPr>
              <w:t>5.5 Sustainability</w:t>
            </w:r>
            <w:r w:rsidR="00C36263">
              <w:rPr>
                <w:noProof/>
                <w:webHidden/>
              </w:rPr>
              <w:tab/>
            </w:r>
            <w:r w:rsidR="00C36263">
              <w:rPr>
                <w:noProof/>
                <w:webHidden/>
              </w:rPr>
              <w:fldChar w:fldCharType="begin"/>
            </w:r>
            <w:r w:rsidR="00C36263">
              <w:rPr>
                <w:noProof/>
                <w:webHidden/>
              </w:rPr>
              <w:instrText xml:space="preserve"> PAGEREF _Toc441609343 \h </w:instrText>
            </w:r>
            <w:r w:rsidR="00C36263">
              <w:rPr>
                <w:noProof/>
                <w:webHidden/>
              </w:rPr>
            </w:r>
            <w:r w:rsidR="00C36263">
              <w:rPr>
                <w:noProof/>
                <w:webHidden/>
              </w:rPr>
              <w:fldChar w:fldCharType="separate"/>
            </w:r>
            <w:r w:rsidR="001F2335">
              <w:rPr>
                <w:noProof/>
                <w:webHidden/>
              </w:rPr>
              <w:t>34</w:t>
            </w:r>
            <w:r w:rsidR="00C36263">
              <w:rPr>
                <w:noProof/>
                <w:webHidden/>
              </w:rPr>
              <w:fldChar w:fldCharType="end"/>
            </w:r>
          </w:hyperlink>
        </w:p>
        <w:p w:rsidR="00C36263" w:rsidRDefault="00242988">
          <w:pPr>
            <w:pStyle w:val="TOC2"/>
            <w:rPr>
              <w:rFonts w:eastAsiaTheme="minorEastAsia"/>
              <w:noProof/>
              <w:lang w:eastAsia="en-GB"/>
            </w:rPr>
          </w:pPr>
          <w:hyperlink w:anchor="_Toc441609344" w:history="1">
            <w:r w:rsidR="00C36263" w:rsidRPr="0043424A">
              <w:rPr>
                <w:rStyle w:val="Hyperlink"/>
                <w:noProof/>
              </w:rPr>
              <w:t>5.6 Monitoring, evaluation and risk management</w:t>
            </w:r>
            <w:r w:rsidR="00C36263">
              <w:rPr>
                <w:noProof/>
                <w:webHidden/>
              </w:rPr>
              <w:tab/>
            </w:r>
            <w:r w:rsidR="00C36263">
              <w:rPr>
                <w:noProof/>
                <w:webHidden/>
              </w:rPr>
              <w:fldChar w:fldCharType="begin"/>
            </w:r>
            <w:r w:rsidR="00C36263">
              <w:rPr>
                <w:noProof/>
                <w:webHidden/>
              </w:rPr>
              <w:instrText xml:space="preserve"> PAGEREF _Toc441609344 \h </w:instrText>
            </w:r>
            <w:r w:rsidR="00C36263">
              <w:rPr>
                <w:noProof/>
                <w:webHidden/>
              </w:rPr>
            </w:r>
            <w:r w:rsidR="00C36263">
              <w:rPr>
                <w:noProof/>
                <w:webHidden/>
              </w:rPr>
              <w:fldChar w:fldCharType="separate"/>
            </w:r>
            <w:r w:rsidR="001F2335">
              <w:rPr>
                <w:noProof/>
                <w:webHidden/>
              </w:rPr>
              <w:t>34</w:t>
            </w:r>
            <w:r w:rsidR="00C36263">
              <w:rPr>
                <w:noProof/>
                <w:webHidden/>
              </w:rPr>
              <w:fldChar w:fldCharType="end"/>
            </w:r>
          </w:hyperlink>
        </w:p>
        <w:p w:rsidR="00C36263" w:rsidRDefault="00242988">
          <w:pPr>
            <w:pStyle w:val="TOC1"/>
            <w:rPr>
              <w:rFonts w:eastAsiaTheme="minorEastAsia"/>
              <w:noProof/>
              <w:lang w:eastAsia="en-GB"/>
            </w:rPr>
          </w:pPr>
          <w:hyperlink w:anchor="_Toc441609345" w:history="1">
            <w:r w:rsidR="00C36263" w:rsidRPr="0043424A">
              <w:rPr>
                <w:rStyle w:val="Hyperlink"/>
                <w:noProof/>
              </w:rPr>
              <w:t>6</w:t>
            </w:r>
            <w:r w:rsidR="00C36263">
              <w:rPr>
                <w:rFonts w:eastAsiaTheme="minorEastAsia"/>
                <w:noProof/>
                <w:lang w:eastAsia="en-GB"/>
              </w:rPr>
              <w:tab/>
            </w:r>
            <w:r w:rsidR="00C36263" w:rsidRPr="0043424A">
              <w:rPr>
                <w:rStyle w:val="Hyperlink"/>
                <w:noProof/>
              </w:rPr>
              <w:t>Conclusions and Recommendations for further UNDP support</w:t>
            </w:r>
            <w:r w:rsidR="00C36263">
              <w:rPr>
                <w:noProof/>
                <w:webHidden/>
              </w:rPr>
              <w:tab/>
            </w:r>
            <w:r w:rsidR="00C36263">
              <w:rPr>
                <w:noProof/>
                <w:webHidden/>
              </w:rPr>
              <w:fldChar w:fldCharType="begin"/>
            </w:r>
            <w:r w:rsidR="00C36263">
              <w:rPr>
                <w:noProof/>
                <w:webHidden/>
              </w:rPr>
              <w:instrText xml:space="preserve"> PAGEREF _Toc441609345 \h </w:instrText>
            </w:r>
            <w:r w:rsidR="00C36263">
              <w:rPr>
                <w:noProof/>
                <w:webHidden/>
              </w:rPr>
            </w:r>
            <w:r w:rsidR="00C36263">
              <w:rPr>
                <w:noProof/>
                <w:webHidden/>
              </w:rPr>
              <w:fldChar w:fldCharType="separate"/>
            </w:r>
            <w:r w:rsidR="001F2335">
              <w:rPr>
                <w:noProof/>
                <w:webHidden/>
              </w:rPr>
              <w:t>35</w:t>
            </w:r>
            <w:r w:rsidR="00C36263">
              <w:rPr>
                <w:noProof/>
                <w:webHidden/>
              </w:rPr>
              <w:fldChar w:fldCharType="end"/>
            </w:r>
          </w:hyperlink>
        </w:p>
        <w:p w:rsidR="00C36263" w:rsidRDefault="00242988">
          <w:pPr>
            <w:pStyle w:val="TOC2"/>
            <w:rPr>
              <w:rFonts w:eastAsiaTheme="minorEastAsia"/>
              <w:noProof/>
              <w:lang w:eastAsia="en-GB"/>
            </w:rPr>
          </w:pPr>
          <w:hyperlink w:anchor="_Toc441609346" w:history="1">
            <w:r w:rsidR="00C36263" w:rsidRPr="0043424A">
              <w:rPr>
                <w:rStyle w:val="Hyperlink"/>
                <w:noProof/>
              </w:rPr>
              <w:t>Programme design</w:t>
            </w:r>
            <w:r w:rsidR="00C36263">
              <w:rPr>
                <w:noProof/>
                <w:webHidden/>
              </w:rPr>
              <w:tab/>
            </w:r>
            <w:r w:rsidR="00C36263">
              <w:rPr>
                <w:noProof/>
                <w:webHidden/>
              </w:rPr>
              <w:fldChar w:fldCharType="begin"/>
            </w:r>
            <w:r w:rsidR="00C36263">
              <w:rPr>
                <w:noProof/>
                <w:webHidden/>
              </w:rPr>
              <w:instrText xml:space="preserve"> PAGEREF _Toc441609346 \h </w:instrText>
            </w:r>
            <w:r w:rsidR="00C36263">
              <w:rPr>
                <w:noProof/>
                <w:webHidden/>
              </w:rPr>
            </w:r>
            <w:r w:rsidR="00C36263">
              <w:rPr>
                <w:noProof/>
                <w:webHidden/>
              </w:rPr>
              <w:fldChar w:fldCharType="separate"/>
            </w:r>
            <w:r w:rsidR="001F2335">
              <w:rPr>
                <w:noProof/>
                <w:webHidden/>
              </w:rPr>
              <w:t>36</w:t>
            </w:r>
            <w:r w:rsidR="00C36263">
              <w:rPr>
                <w:noProof/>
                <w:webHidden/>
              </w:rPr>
              <w:fldChar w:fldCharType="end"/>
            </w:r>
          </w:hyperlink>
        </w:p>
        <w:p w:rsidR="00C36263" w:rsidRDefault="00242988">
          <w:pPr>
            <w:pStyle w:val="TOC2"/>
            <w:rPr>
              <w:rFonts w:eastAsiaTheme="minorEastAsia"/>
              <w:noProof/>
              <w:lang w:eastAsia="en-GB"/>
            </w:rPr>
          </w:pPr>
          <w:hyperlink w:anchor="_Toc441609347" w:history="1">
            <w:r w:rsidR="00C36263" w:rsidRPr="0043424A">
              <w:rPr>
                <w:rStyle w:val="Hyperlink"/>
                <w:noProof/>
              </w:rPr>
              <w:t>Outputs, outcomes, impact and relevance</w:t>
            </w:r>
            <w:r w:rsidR="00C36263">
              <w:rPr>
                <w:noProof/>
                <w:webHidden/>
              </w:rPr>
              <w:tab/>
            </w:r>
            <w:r w:rsidR="00C36263">
              <w:rPr>
                <w:noProof/>
                <w:webHidden/>
              </w:rPr>
              <w:fldChar w:fldCharType="begin"/>
            </w:r>
            <w:r w:rsidR="00C36263">
              <w:rPr>
                <w:noProof/>
                <w:webHidden/>
              </w:rPr>
              <w:instrText xml:space="preserve"> PAGEREF _Toc441609347 \h </w:instrText>
            </w:r>
            <w:r w:rsidR="00C36263">
              <w:rPr>
                <w:noProof/>
                <w:webHidden/>
              </w:rPr>
            </w:r>
            <w:r w:rsidR="00C36263">
              <w:rPr>
                <w:noProof/>
                <w:webHidden/>
              </w:rPr>
              <w:fldChar w:fldCharType="separate"/>
            </w:r>
            <w:r w:rsidR="001F2335">
              <w:rPr>
                <w:noProof/>
                <w:webHidden/>
              </w:rPr>
              <w:t>36</w:t>
            </w:r>
            <w:r w:rsidR="00C36263">
              <w:rPr>
                <w:noProof/>
                <w:webHidden/>
              </w:rPr>
              <w:fldChar w:fldCharType="end"/>
            </w:r>
          </w:hyperlink>
        </w:p>
        <w:p w:rsidR="00C36263" w:rsidRDefault="00242988">
          <w:pPr>
            <w:pStyle w:val="TOC2"/>
            <w:rPr>
              <w:rFonts w:eastAsiaTheme="minorEastAsia"/>
              <w:noProof/>
              <w:lang w:eastAsia="en-GB"/>
            </w:rPr>
          </w:pPr>
          <w:hyperlink w:anchor="_Toc441609348" w:history="1">
            <w:r w:rsidR="00C36263" w:rsidRPr="0043424A">
              <w:rPr>
                <w:rStyle w:val="Hyperlink"/>
                <w:noProof/>
              </w:rPr>
              <w:t>Effectiveness and efficiency of implementation</w:t>
            </w:r>
            <w:r w:rsidR="00C36263">
              <w:rPr>
                <w:noProof/>
                <w:webHidden/>
              </w:rPr>
              <w:tab/>
            </w:r>
            <w:r w:rsidR="00C36263">
              <w:rPr>
                <w:noProof/>
                <w:webHidden/>
              </w:rPr>
              <w:fldChar w:fldCharType="begin"/>
            </w:r>
            <w:r w:rsidR="00C36263">
              <w:rPr>
                <w:noProof/>
                <w:webHidden/>
              </w:rPr>
              <w:instrText xml:space="preserve"> PAGEREF _Toc441609348 \h </w:instrText>
            </w:r>
            <w:r w:rsidR="00C36263">
              <w:rPr>
                <w:noProof/>
                <w:webHidden/>
              </w:rPr>
            </w:r>
            <w:r w:rsidR="00C36263">
              <w:rPr>
                <w:noProof/>
                <w:webHidden/>
              </w:rPr>
              <w:fldChar w:fldCharType="separate"/>
            </w:r>
            <w:r w:rsidR="001F2335">
              <w:rPr>
                <w:noProof/>
                <w:webHidden/>
              </w:rPr>
              <w:t>36</w:t>
            </w:r>
            <w:r w:rsidR="00C36263">
              <w:rPr>
                <w:noProof/>
                <w:webHidden/>
              </w:rPr>
              <w:fldChar w:fldCharType="end"/>
            </w:r>
          </w:hyperlink>
        </w:p>
        <w:p w:rsidR="00C36263" w:rsidRDefault="00242988">
          <w:pPr>
            <w:pStyle w:val="TOC2"/>
            <w:rPr>
              <w:rFonts w:eastAsiaTheme="minorEastAsia"/>
              <w:noProof/>
              <w:lang w:eastAsia="en-GB"/>
            </w:rPr>
          </w:pPr>
          <w:hyperlink w:anchor="_Toc441609349" w:history="1">
            <w:r w:rsidR="00C36263" w:rsidRPr="0043424A">
              <w:rPr>
                <w:rStyle w:val="Hyperlink"/>
                <w:noProof/>
              </w:rPr>
              <w:t>Partnerships and coordination</w:t>
            </w:r>
            <w:r w:rsidR="00C36263">
              <w:rPr>
                <w:noProof/>
                <w:webHidden/>
              </w:rPr>
              <w:tab/>
            </w:r>
            <w:r w:rsidR="00C36263">
              <w:rPr>
                <w:noProof/>
                <w:webHidden/>
              </w:rPr>
              <w:fldChar w:fldCharType="begin"/>
            </w:r>
            <w:r w:rsidR="00C36263">
              <w:rPr>
                <w:noProof/>
                <w:webHidden/>
              </w:rPr>
              <w:instrText xml:space="preserve"> PAGEREF _Toc441609349 \h </w:instrText>
            </w:r>
            <w:r w:rsidR="00C36263">
              <w:rPr>
                <w:noProof/>
                <w:webHidden/>
              </w:rPr>
            </w:r>
            <w:r w:rsidR="00C36263">
              <w:rPr>
                <w:noProof/>
                <w:webHidden/>
              </w:rPr>
              <w:fldChar w:fldCharType="separate"/>
            </w:r>
            <w:r w:rsidR="001F2335">
              <w:rPr>
                <w:noProof/>
                <w:webHidden/>
              </w:rPr>
              <w:t>37</w:t>
            </w:r>
            <w:r w:rsidR="00C36263">
              <w:rPr>
                <w:noProof/>
                <w:webHidden/>
              </w:rPr>
              <w:fldChar w:fldCharType="end"/>
            </w:r>
          </w:hyperlink>
        </w:p>
        <w:p w:rsidR="00C36263" w:rsidRDefault="00242988">
          <w:pPr>
            <w:pStyle w:val="TOC2"/>
            <w:rPr>
              <w:rFonts w:eastAsiaTheme="minorEastAsia"/>
              <w:noProof/>
              <w:lang w:eastAsia="en-GB"/>
            </w:rPr>
          </w:pPr>
          <w:hyperlink w:anchor="_Toc441609350" w:history="1">
            <w:r w:rsidR="00C36263" w:rsidRPr="0043424A">
              <w:rPr>
                <w:rStyle w:val="Hyperlink"/>
                <w:noProof/>
              </w:rPr>
              <w:t>Gender and Human Rights-Based Approach (HRBA)</w:t>
            </w:r>
            <w:r w:rsidR="00C36263">
              <w:rPr>
                <w:noProof/>
                <w:webHidden/>
              </w:rPr>
              <w:tab/>
            </w:r>
            <w:r w:rsidR="00C36263">
              <w:rPr>
                <w:noProof/>
                <w:webHidden/>
              </w:rPr>
              <w:fldChar w:fldCharType="begin"/>
            </w:r>
            <w:r w:rsidR="00C36263">
              <w:rPr>
                <w:noProof/>
                <w:webHidden/>
              </w:rPr>
              <w:instrText xml:space="preserve"> PAGEREF _Toc441609350 \h </w:instrText>
            </w:r>
            <w:r w:rsidR="00C36263">
              <w:rPr>
                <w:noProof/>
                <w:webHidden/>
              </w:rPr>
            </w:r>
            <w:r w:rsidR="00C36263">
              <w:rPr>
                <w:noProof/>
                <w:webHidden/>
              </w:rPr>
              <w:fldChar w:fldCharType="separate"/>
            </w:r>
            <w:r w:rsidR="001F2335">
              <w:rPr>
                <w:noProof/>
                <w:webHidden/>
              </w:rPr>
              <w:t>37</w:t>
            </w:r>
            <w:r w:rsidR="00C36263">
              <w:rPr>
                <w:noProof/>
                <w:webHidden/>
              </w:rPr>
              <w:fldChar w:fldCharType="end"/>
            </w:r>
          </w:hyperlink>
        </w:p>
        <w:p w:rsidR="00C36263" w:rsidRDefault="00242988">
          <w:pPr>
            <w:pStyle w:val="TOC2"/>
            <w:rPr>
              <w:rFonts w:eastAsiaTheme="minorEastAsia"/>
              <w:noProof/>
              <w:lang w:eastAsia="en-GB"/>
            </w:rPr>
          </w:pPr>
          <w:hyperlink w:anchor="_Toc441609351" w:history="1">
            <w:r w:rsidR="00C36263" w:rsidRPr="0043424A">
              <w:rPr>
                <w:rStyle w:val="Hyperlink"/>
                <w:noProof/>
              </w:rPr>
              <w:t>Monitoring, evaluation and risk management</w:t>
            </w:r>
            <w:r w:rsidR="00C36263">
              <w:rPr>
                <w:noProof/>
                <w:webHidden/>
              </w:rPr>
              <w:tab/>
            </w:r>
            <w:r w:rsidR="00C36263">
              <w:rPr>
                <w:noProof/>
                <w:webHidden/>
              </w:rPr>
              <w:fldChar w:fldCharType="begin"/>
            </w:r>
            <w:r w:rsidR="00C36263">
              <w:rPr>
                <w:noProof/>
                <w:webHidden/>
              </w:rPr>
              <w:instrText xml:space="preserve"> PAGEREF _Toc441609351 \h </w:instrText>
            </w:r>
            <w:r w:rsidR="00C36263">
              <w:rPr>
                <w:noProof/>
                <w:webHidden/>
              </w:rPr>
            </w:r>
            <w:r w:rsidR="00C36263">
              <w:rPr>
                <w:noProof/>
                <w:webHidden/>
              </w:rPr>
              <w:fldChar w:fldCharType="separate"/>
            </w:r>
            <w:r w:rsidR="001F2335">
              <w:rPr>
                <w:noProof/>
                <w:webHidden/>
              </w:rPr>
              <w:t>37</w:t>
            </w:r>
            <w:r w:rsidR="00C36263">
              <w:rPr>
                <w:noProof/>
                <w:webHidden/>
              </w:rPr>
              <w:fldChar w:fldCharType="end"/>
            </w:r>
          </w:hyperlink>
        </w:p>
        <w:p w:rsidR="00C36263" w:rsidRDefault="00242988">
          <w:pPr>
            <w:pStyle w:val="TOC2"/>
            <w:rPr>
              <w:rFonts w:eastAsiaTheme="minorEastAsia"/>
              <w:noProof/>
              <w:lang w:eastAsia="en-GB"/>
            </w:rPr>
          </w:pPr>
          <w:hyperlink w:anchor="_Toc441609352" w:history="1">
            <w:r w:rsidR="00C36263" w:rsidRPr="0043424A">
              <w:rPr>
                <w:rStyle w:val="Hyperlink"/>
                <w:noProof/>
              </w:rPr>
              <w:t>Sustainability</w:t>
            </w:r>
            <w:r w:rsidR="00C36263">
              <w:rPr>
                <w:noProof/>
                <w:webHidden/>
              </w:rPr>
              <w:tab/>
            </w:r>
            <w:r w:rsidR="00C36263">
              <w:rPr>
                <w:noProof/>
                <w:webHidden/>
              </w:rPr>
              <w:fldChar w:fldCharType="begin"/>
            </w:r>
            <w:r w:rsidR="00C36263">
              <w:rPr>
                <w:noProof/>
                <w:webHidden/>
              </w:rPr>
              <w:instrText xml:space="preserve"> PAGEREF _Toc441609352 \h </w:instrText>
            </w:r>
            <w:r w:rsidR="00C36263">
              <w:rPr>
                <w:noProof/>
                <w:webHidden/>
              </w:rPr>
            </w:r>
            <w:r w:rsidR="00C36263">
              <w:rPr>
                <w:noProof/>
                <w:webHidden/>
              </w:rPr>
              <w:fldChar w:fldCharType="separate"/>
            </w:r>
            <w:r w:rsidR="001F2335">
              <w:rPr>
                <w:noProof/>
                <w:webHidden/>
              </w:rPr>
              <w:t>38</w:t>
            </w:r>
            <w:r w:rsidR="00C36263">
              <w:rPr>
                <w:noProof/>
                <w:webHidden/>
              </w:rPr>
              <w:fldChar w:fldCharType="end"/>
            </w:r>
          </w:hyperlink>
        </w:p>
        <w:p w:rsidR="00C36263" w:rsidRDefault="00242988">
          <w:pPr>
            <w:pStyle w:val="TOC1"/>
            <w:rPr>
              <w:rFonts w:eastAsiaTheme="minorEastAsia"/>
              <w:noProof/>
              <w:lang w:eastAsia="en-GB"/>
            </w:rPr>
          </w:pPr>
          <w:hyperlink w:anchor="_Toc441609353" w:history="1">
            <w:r w:rsidR="00C36263" w:rsidRPr="0043424A">
              <w:rPr>
                <w:rStyle w:val="Hyperlink"/>
                <w:noProof/>
              </w:rPr>
              <w:t>15.</w:t>
            </w:r>
            <w:r w:rsidR="00C36263">
              <w:rPr>
                <w:rFonts w:eastAsiaTheme="minorEastAsia"/>
                <w:noProof/>
                <w:lang w:eastAsia="en-GB"/>
              </w:rPr>
              <w:tab/>
            </w:r>
            <w:r w:rsidR="00C36263" w:rsidRPr="0043424A">
              <w:rPr>
                <w:rStyle w:val="Hyperlink"/>
                <w:noProof/>
              </w:rPr>
              <w:t>Appendices</w:t>
            </w:r>
            <w:r w:rsidR="00C36263">
              <w:rPr>
                <w:noProof/>
                <w:webHidden/>
              </w:rPr>
              <w:tab/>
            </w:r>
            <w:r w:rsidR="00C36263">
              <w:rPr>
                <w:noProof/>
                <w:webHidden/>
              </w:rPr>
              <w:fldChar w:fldCharType="begin"/>
            </w:r>
            <w:r w:rsidR="00C36263">
              <w:rPr>
                <w:noProof/>
                <w:webHidden/>
              </w:rPr>
              <w:instrText xml:space="preserve"> PAGEREF _Toc441609353 \h </w:instrText>
            </w:r>
            <w:r w:rsidR="00C36263">
              <w:rPr>
                <w:noProof/>
                <w:webHidden/>
              </w:rPr>
            </w:r>
            <w:r w:rsidR="00C36263">
              <w:rPr>
                <w:noProof/>
                <w:webHidden/>
              </w:rPr>
              <w:fldChar w:fldCharType="separate"/>
            </w:r>
            <w:r w:rsidR="001F2335">
              <w:rPr>
                <w:noProof/>
                <w:webHidden/>
              </w:rPr>
              <w:t>39</w:t>
            </w:r>
            <w:r w:rsidR="00C36263">
              <w:rPr>
                <w:noProof/>
                <w:webHidden/>
              </w:rPr>
              <w:fldChar w:fldCharType="end"/>
            </w:r>
          </w:hyperlink>
        </w:p>
        <w:p w:rsidR="00C36263" w:rsidRDefault="00242988">
          <w:pPr>
            <w:pStyle w:val="TOC1"/>
            <w:rPr>
              <w:rFonts w:eastAsiaTheme="minorEastAsia"/>
              <w:noProof/>
              <w:lang w:eastAsia="en-GB"/>
            </w:rPr>
          </w:pPr>
          <w:hyperlink w:anchor="_Toc441609354" w:history="1">
            <w:r w:rsidR="00C36263" w:rsidRPr="0043424A">
              <w:rPr>
                <w:rStyle w:val="Hyperlink"/>
                <w:noProof/>
              </w:rPr>
              <w:t>Appendix 1: Terms of reference</w:t>
            </w:r>
            <w:r w:rsidR="00C36263">
              <w:rPr>
                <w:noProof/>
                <w:webHidden/>
              </w:rPr>
              <w:tab/>
            </w:r>
            <w:r w:rsidR="00C36263">
              <w:rPr>
                <w:noProof/>
                <w:webHidden/>
              </w:rPr>
              <w:fldChar w:fldCharType="begin"/>
            </w:r>
            <w:r w:rsidR="00C36263">
              <w:rPr>
                <w:noProof/>
                <w:webHidden/>
              </w:rPr>
              <w:instrText xml:space="preserve"> PAGEREF _Toc441609354 \h </w:instrText>
            </w:r>
            <w:r w:rsidR="00C36263">
              <w:rPr>
                <w:noProof/>
                <w:webHidden/>
              </w:rPr>
            </w:r>
            <w:r w:rsidR="00C36263">
              <w:rPr>
                <w:noProof/>
                <w:webHidden/>
              </w:rPr>
              <w:fldChar w:fldCharType="separate"/>
            </w:r>
            <w:r w:rsidR="001F2335">
              <w:rPr>
                <w:noProof/>
                <w:webHidden/>
              </w:rPr>
              <w:t>39</w:t>
            </w:r>
            <w:r w:rsidR="00C36263">
              <w:rPr>
                <w:noProof/>
                <w:webHidden/>
              </w:rPr>
              <w:fldChar w:fldCharType="end"/>
            </w:r>
          </w:hyperlink>
        </w:p>
        <w:p w:rsidR="00C36263" w:rsidRDefault="00242988">
          <w:pPr>
            <w:pStyle w:val="TOC1"/>
            <w:rPr>
              <w:rFonts w:eastAsiaTheme="minorEastAsia"/>
              <w:noProof/>
              <w:lang w:eastAsia="en-GB"/>
            </w:rPr>
          </w:pPr>
          <w:hyperlink w:anchor="_Toc441609355" w:history="1">
            <w:r w:rsidR="00C36263" w:rsidRPr="0043424A">
              <w:rPr>
                <w:rStyle w:val="Hyperlink"/>
                <w:noProof/>
              </w:rPr>
              <w:t>Appendix 2: Documents reviewed</w:t>
            </w:r>
            <w:r w:rsidR="00C36263">
              <w:rPr>
                <w:noProof/>
                <w:webHidden/>
              </w:rPr>
              <w:tab/>
            </w:r>
            <w:r w:rsidR="00C36263">
              <w:rPr>
                <w:noProof/>
                <w:webHidden/>
              </w:rPr>
              <w:fldChar w:fldCharType="begin"/>
            </w:r>
            <w:r w:rsidR="00C36263">
              <w:rPr>
                <w:noProof/>
                <w:webHidden/>
              </w:rPr>
              <w:instrText xml:space="preserve"> PAGEREF _Toc441609355 \h </w:instrText>
            </w:r>
            <w:r w:rsidR="00C36263">
              <w:rPr>
                <w:noProof/>
                <w:webHidden/>
              </w:rPr>
            </w:r>
            <w:r w:rsidR="00C36263">
              <w:rPr>
                <w:noProof/>
                <w:webHidden/>
              </w:rPr>
              <w:fldChar w:fldCharType="separate"/>
            </w:r>
            <w:r w:rsidR="001F2335">
              <w:rPr>
                <w:noProof/>
                <w:webHidden/>
              </w:rPr>
              <w:t>47</w:t>
            </w:r>
            <w:r w:rsidR="00C36263">
              <w:rPr>
                <w:noProof/>
                <w:webHidden/>
              </w:rPr>
              <w:fldChar w:fldCharType="end"/>
            </w:r>
          </w:hyperlink>
        </w:p>
        <w:p w:rsidR="00C36263" w:rsidRDefault="00242988">
          <w:pPr>
            <w:pStyle w:val="TOC1"/>
            <w:rPr>
              <w:rFonts w:eastAsiaTheme="minorEastAsia"/>
              <w:noProof/>
              <w:lang w:eastAsia="en-GB"/>
            </w:rPr>
          </w:pPr>
          <w:hyperlink w:anchor="_Toc441609356" w:history="1">
            <w:r w:rsidR="00C36263" w:rsidRPr="0043424A">
              <w:rPr>
                <w:rStyle w:val="Hyperlink"/>
                <w:noProof/>
              </w:rPr>
              <w:t>Appendix 3: People met</w:t>
            </w:r>
            <w:r w:rsidR="00C36263">
              <w:rPr>
                <w:noProof/>
                <w:webHidden/>
              </w:rPr>
              <w:tab/>
            </w:r>
            <w:r w:rsidR="00C36263">
              <w:rPr>
                <w:noProof/>
                <w:webHidden/>
              </w:rPr>
              <w:fldChar w:fldCharType="begin"/>
            </w:r>
            <w:r w:rsidR="00C36263">
              <w:rPr>
                <w:noProof/>
                <w:webHidden/>
              </w:rPr>
              <w:instrText xml:space="preserve"> PAGEREF _Toc441609356 \h </w:instrText>
            </w:r>
            <w:r w:rsidR="00C36263">
              <w:rPr>
                <w:noProof/>
                <w:webHidden/>
              </w:rPr>
            </w:r>
            <w:r w:rsidR="00C36263">
              <w:rPr>
                <w:noProof/>
                <w:webHidden/>
              </w:rPr>
              <w:fldChar w:fldCharType="separate"/>
            </w:r>
            <w:r w:rsidR="001F2335">
              <w:rPr>
                <w:noProof/>
                <w:webHidden/>
              </w:rPr>
              <w:t>50</w:t>
            </w:r>
            <w:r w:rsidR="00C36263">
              <w:rPr>
                <w:noProof/>
                <w:webHidden/>
              </w:rPr>
              <w:fldChar w:fldCharType="end"/>
            </w:r>
          </w:hyperlink>
        </w:p>
        <w:p w:rsidR="00C36263" w:rsidRDefault="00242988">
          <w:pPr>
            <w:pStyle w:val="TOC1"/>
            <w:rPr>
              <w:rFonts w:eastAsiaTheme="minorEastAsia"/>
              <w:noProof/>
              <w:lang w:eastAsia="en-GB"/>
            </w:rPr>
          </w:pPr>
          <w:hyperlink w:anchor="_Toc441609357" w:history="1">
            <w:r w:rsidR="00C36263" w:rsidRPr="0043424A">
              <w:rPr>
                <w:rStyle w:val="Hyperlink"/>
                <w:noProof/>
              </w:rPr>
              <w:t>Appendix 4: Achievements against the program document</w:t>
            </w:r>
            <w:r w:rsidR="00C36263">
              <w:rPr>
                <w:noProof/>
                <w:webHidden/>
              </w:rPr>
              <w:tab/>
            </w:r>
            <w:r w:rsidR="00C36263">
              <w:rPr>
                <w:noProof/>
                <w:webHidden/>
              </w:rPr>
              <w:fldChar w:fldCharType="begin"/>
            </w:r>
            <w:r w:rsidR="00C36263">
              <w:rPr>
                <w:noProof/>
                <w:webHidden/>
              </w:rPr>
              <w:instrText xml:space="preserve"> PAGEREF _Toc441609357 \h </w:instrText>
            </w:r>
            <w:r w:rsidR="00C36263">
              <w:rPr>
                <w:noProof/>
                <w:webHidden/>
              </w:rPr>
            </w:r>
            <w:r w:rsidR="00C36263">
              <w:rPr>
                <w:noProof/>
                <w:webHidden/>
              </w:rPr>
              <w:fldChar w:fldCharType="separate"/>
            </w:r>
            <w:r w:rsidR="001F2335">
              <w:rPr>
                <w:noProof/>
                <w:webHidden/>
              </w:rPr>
              <w:t>52</w:t>
            </w:r>
            <w:r w:rsidR="00C36263">
              <w:rPr>
                <w:noProof/>
                <w:webHidden/>
              </w:rPr>
              <w:fldChar w:fldCharType="end"/>
            </w:r>
          </w:hyperlink>
        </w:p>
        <w:p w:rsidR="00C36263" w:rsidRDefault="00242988">
          <w:pPr>
            <w:pStyle w:val="TOC1"/>
            <w:rPr>
              <w:rFonts w:eastAsiaTheme="minorEastAsia"/>
              <w:noProof/>
              <w:lang w:eastAsia="en-GB"/>
            </w:rPr>
          </w:pPr>
          <w:hyperlink w:anchor="_Toc441609358" w:history="1">
            <w:r w:rsidR="00C36263" w:rsidRPr="0043424A">
              <w:rPr>
                <w:rStyle w:val="Hyperlink"/>
                <w:noProof/>
              </w:rPr>
              <w:t>Appendix 5: Summary of recommendations</w:t>
            </w:r>
            <w:r w:rsidR="00C36263">
              <w:rPr>
                <w:noProof/>
                <w:webHidden/>
              </w:rPr>
              <w:tab/>
            </w:r>
            <w:r w:rsidR="00C36263">
              <w:rPr>
                <w:noProof/>
                <w:webHidden/>
              </w:rPr>
              <w:fldChar w:fldCharType="begin"/>
            </w:r>
            <w:r w:rsidR="00C36263">
              <w:rPr>
                <w:noProof/>
                <w:webHidden/>
              </w:rPr>
              <w:instrText xml:space="preserve"> PAGEREF _Toc441609358 \h </w:instrText>
            </w:r>
            <w:r w:rsidR="00C36263">
              <w:rPr>
                <w:noProof/>
                <w:webHidden/>
              </w:rPr>
            </w:r>
            <w:r w:rsidR="00C36263">
              <w:rPr>
                <w:noProof/>
                <w:webHidden/>
              </w:rPr>
              <w:fldChar w:fldCharType="separate"/>
            </w:r>
            <w:r w:rsidR="001F2335">
              <w:rPr>
                <w:noProof/>
                <w:webHidden/>
              </w:rPr>
              <w:t>56</w:t>
            </w:r>
            <w:r w:rsidR="00C36263">
              <w:rPr>
                <w:noProof/>
                <w:webHidden/>
              </w:rPr>
              <w:fldChar w:fldCharType="end"/>
            </w:r>
          </w:hyperlink>
        </w:p>
        <w:p w:rsidR="00C36263" w:rsidRDefault="00242988">
          <w:pPr>
            <w:pStyle w:val="TOC1"/>
            <w:rPr>
              <w:rFonts w:eastAsiaTheme="minorEastAsia"/>
              <w:noProof/>
              <w:lang w:eastAsia="en-GB"/>
            </w:rPr>
          </w:pPr>
          <w:hyperlink w:anchor="_Toc441609359" w:history="1">
            <w:r w:rsidR="00C36263" w:rsidRPr="0043424A">
              <w:rPr>
                <w:rStyle w:val="Hyperlink"/>
                <w:noProof/>
              </w:rPr>
              <w:t>Appendix 6: Acronyms used</w:t>
            </w:r>
            <w:r w:rsidR="00C36263">
              <w:rPr>
                <w:noProof/>
                <w:webHidden/>
              </w:rPr>
              <w:tab/>
            </w:r>
            <w:r w:rsidR="00C36263">
              <w:rPr>
                <w:noProof/>
                <w:webHidden/>
              </w:rPr>
              <w:fldChar w:fldCharType="begin"/>
            </w:r>
            <w:r w:rsidR="00C36263">
              <w:rPr>
                <w:noProof/>
                <w:webHidden/>
              </w:rPr>
              <w:instrText xml:space="preserve"> PAGEREF _Toc441609359 \h </w:instrText>
            </w:r>
            <w:r w:rsidR="00C36263">
              <w:rPr>
                <w:noProof/>
                <w:webHidden/>
              </w:rPr>
            </w:r>
            <w:r w:rsidR="00C36263">
              <w:rPr>
                <w:noProof/>
                <w:webHidden/>
              </w:rPr>
              <w:fldChar w:fldCharType="separate"/>
            </w:r>
            <w:r w:rsidR="001F2335">
              <w:rPr>
                <w:noProof/>
                <w:webHidden/>
              </w:rPr>
              <w:t>62</w:t>
            </w:r>
            <w:r w:rsidR="00C36263">
              <w:rPr>
                <w:noProof/>
                <w:webHidden/>
              </w:rPr>
              <w:fldChar w:fldCharType="end"/>
            </w:r>
          </w:hyperlink>
        </w:p>
        <w:p w:rsidR="00AE01A7" w:rsidRDefault="00690D54">
          <w:r>
            <w:rPr>
              <w:b/>
              <w:bCs/>
              <w:noProof/>
            </w:rPr>
            <w:fldChar w:fldCharType="end"/>
          </w:r>
        </w:p>
      </w:sdtContent>
    </w:sdt>
    <w:p w:rsidR="00E638FB" w:rsidRDefault="00E638FB">
      <w:pPr>
        <w:pStyle w:val="TableofFigures"/>
        <w:tabs>
          <w:tab w:val="right" w:leader="dot" w:pos="9350"/>
        </w:tabs>
        <w:rPr>
          <w:b/>
        </w:rPr>
      </w:pPr>
      <w:r>
        <w:rPr>
          <w:b/>
        </w:rPr>
        <w:t>Figures</w:t>
      </w:r>
    </w:p>
    <w:p w:rsidR="00523D18" w:rsidRDefault="003E469D">
      <w:pPr>
        <w:pStyle w:val="TableofFigures"/>
        <w:tabs>
          <w:tab w:val="right" w:leader="dot" w:pos="9350"/>
        </w:tabs>
        <w:rPr>
          <w:rFonts w:eastAsiaTheme="minorEastAsia"/>
          <w:noProof/>
          <w:lang w:eastAsia="en-GB"/>
        </w:rPr>
      </w:pPr>
      <w:r>
        <w:rPr>
          <w:b/>
        </w:rPr>
        <w:fldChar w:fldCharType="begin"/>
      </w:r>
      <w:r>
        <w:rPr>
          <w:b/>
        </w:rPr>
        <w:instrText xml:space="preserve"> TOC \h \z \c "Figure" </w:instrText>
      </w:r>
      <w:r>
        <w:rPr>
          <w:b/>
        </w:rPr>
        <w:fldChar w:fldCharType="separate"/>
      </w:r>
      <w:hyperlink w:anchor="_Toc440019920" w:history="1">
        <w:r w:rsidR="00523D18" w:rsidRPr="00AE5364">
          <w:rPr>
            <w:rStyle w:val="Hyperlink"/>
            <w:noProof/>
          </w:rPr>
          <w:t>Figure 1 UXO related casualties Lao PDR, 2008-2014</w:t>
        </w:r>
        <w:r w:rsidR="00523D18">
          <w:rPr>
            <w:noProof/>
            <w:webHidden/>
          </w:rPr>
          <w:tab/>
        </w:r>
        <w:r w:rsidR="00523D18">
          <w:rPr>
            <w:noProof/>
            <w:webHidden/>
          </w:rPr>
          <w:fldChar w:fldCharType="begin"/>
        </w:r>
        <w:r w:rsidR="00523D18">
          <w:rPr>
            <w:noProof/>
            <w:webHidden/>
          </w:rPr>
          <w:instrText xml:space="preserve"> PAGEREF _Toc440019920 \h </w:instrText>
        </w:r>
        <w:r w:rsidR="00523D18">
          <w:rPr>
            <w:noProof/>
            <w:webHidden/>
          </w:rPr>
        </w:r>
        <w:r w:rsidR="00523D18">
          <w:rPr>
            <w:noProof/>
            <w:webHidden/>
          </w:rPr>
          <w:fldChar w:fldCharType="separate"/>
        </w:r>
        <w:r w:rsidR="001F2335">
          <w:rPr>
            <w:noProof/>
            <w:webHidden/>
          </w:rPr>
          <w:t>15</w:t>
        </w:r>
        <w:r w:rsidR="00523D18">
          <w:rPr>
            <w:noProof/>
            <w:webHidden/>
          </w:rPr>
          <w:fldChar w:fldCharType="end"/>
        </w:r>
      </w:hyperlink>
    </w:p>
    <w:p w:rsidR="00523D18" w:rsidRDefault="00242988">
      <w:pPr>
        <w:pStyle w:val="TableofFigures"/>
        <w:tabs>
          <w:tab w:val="right" w:leader="dot" w:pos="9350"/>
        </w:tabs>
        <w:rPr>
          <w:rFonts w:eastAsiaTheme="minorEastAsia"/>
          <w:noProof/>
          <w:lang w:eastAsia="en-GB"/>
        </w:rPr>
      </w:pPr>
      <w:hyperlink w:anchor="_Toc440019921" w:history="1">
        <w:r w:rsidR="00523D18" w:rsidRPr="00AE5364">
          <w:rPr>
            <w:rStyle w:val="Hyperlink"/>
            <w:noProof/>
          </w:rPr>
          <w:t>Figure 2 Trust Fund trend: Resources mobilised versus resources required</w:t>
        </w:r>
        <w:r w:rsidR="00523D18">
          <w:rPr>
            <w:noProof/>
            <w:webHidden/>
          </w:rPr>
          <w:tab/>
        </w:r>
        <w:r w:rsidR="00523D18">
          <w:rPr>
            <w:noProof/>
            <w:webHidden/>
          </w:rPr>
          <w:fldChar w:fldCharType="begin"/>
        </w:r>
        <w:r w:rsidR="00523D18">
          <w:rPr>
            <w:noProof/>
            <w:webHidden/>
          </w:rPr>
          <w:instrText xml:space="preserve"> PAGEREF _Toc440019921 \h </w:instrText>
        </w:r>
        <w:r w:rsidR="00523D18">
          <w:rPr>
            <w:noProof/>
            <w:webHidden/>
          </w:rPr>
        </w:r>
        <w:r w:rsidR="00523D18">
          <w:rPr>
            <w:noProof/>
            <w:webHidden/>
          </w:rPr>
          <w:fldChar w:fldCharType="separate"/>
        </w:r>
        <w:r w:rsidR="001F2335">
          <w:rPr>
            <w:noProof/>
            <w:webHidden/>
          </w:rPr>
          <w:t>27</w:t>
        </w:r>
        <w:r w:rsidR="00523D18">
          <w:rPr>
            <w:noProof/>
            <w:webHidden/>
          </w:rPr>
          <w:fldChar w:fldCharType="end"/>
        </w:r>
      </w:hyperlink>
    </w:p>
    <w:p w:rsidR="00AE01A7" w:rsidRDefault="003E469D" w:rsidP="00AE01A7">
      <w:pPr>
        <w:rPr>
          <w:b/>
        </w:rPr>
      </w:pPr>
      <w:r>
        <w:rPr>
          <w:b/>
        </w:rPr>
        <w:fldChar w:fldCharType="end"/>
      </w:r>
    </w:p>
    <w:p w:rsidR="00E638FB" w:rsidRDefault="00E638FB" w:rsidP="00AE01A7">
      <w:pPr>
        <w:rPr>
          <w:b/>
        </w:rPr>
      </w:pPr>
      <w:r>
        <w:rPr>
          <w:b/>
        </w:rPr>
        <w:t>Tables</w:t>
      </w:r>
    </w:p>
    <w:p w:rsidR="00523D18" w:rsidRDefault="00523D18">
      <w:pPr>
        <w:pStyle w:val="TableofFigures"/>
        <w:tabs>
          <w:tab w:val="right" w:leader="dot" w:pos="9350"/>
        </w:tabs>
        <w:rPr>
          <w:rFonts w:eastAsiaTheme="minorEastAsia"/>
          <w:noProof/>
          <w:lang w:eastAsia="en-GB"/>
        </w:rPr>
      </w:pPr>
      <w:r>
        <w:rPr>
          <w:b/>
        </w:rPr>
        <w:fldChar w:fldCharType="begin"/>
      </w:r>
      <w:r>
        <w:rPr>
          <w:b/>
        </w:rPr>
        <w:instrText xml:space="preserve"> TOC \h \z \c "Table" </w:instrText>
      </w:r>
      <w:r>
        <w:rPr>
          <w:b/>
        </w:rPr>
        <w:fldChar w:fldCharType="separate"/>
      </w:r>
      <w:hyperlink w:anchor="_Toc440019922" w:history="1">
        <w:r w:rsidRPr="00724162">
          <w:rPr>
            <w:rStyle w:val="Hyperlink"/>
            <w:noProof/>
          </w:rPr>
          <w:t>Table 1 Number of staff working in the NRA in 2013 and 2014</w:t>
        </w:r>
        <w:r>
          <w:rPr>
            <w:noProof/>
            <w:webHidden/>
          </w:rPr>
          <w:tab/>
        </w:r>
        <w:r>
          <w:rPr>
            <w:noProof/>
            <w:webHidden/>
          </w:rPr>
          <w:fldChar w:fldCharType="begin"/>
        </w:r>
        <w:r>
          <w:rPr>
            <w:noProof/>
            <w:webHidden/>
          </w:rPr>
          <w:instrText xml:space="preserve"> PAGEREF _Toc440019922 \h </w:instrText>
        </w:r>
        <w:r>
          <w:rPr>
            <w:noProof/>
            <w:webHidden/>
          </w:rPr>
        </w:r>
        <w:r>
          <w:rPr>
            <w:noProof/>
            <w:webHidden/>
          </w:rPr>
          <w:fldChar w:fldCharType="separate"/>
        </w:r>
        <w:r w:rsidR="001F2335">
          <w:rPr>
            <w:noProof/>
            <w:webHidden/>
          </w:rPr>
          <w:t>17</w:t>
        </w:r>
        <w:r>
          <w:rPr>
            <w:noProof/>
            <w:webHidden/>
          </w:rPr>
          <w:fldChar w:fldCharType="end"/>
        </w:r>
      </w:hyperlink>
    </w:p>
    <w:p w:rsidR="00523D18" w:rsidRDefault="00242988">
      <w:pPr>
        <w:pStyle w:val="TableofFigures"/>
        <w:tabs>
          <w:tab w:val="right" w:leader="dot" w:pos="9350"/>
        </w:tabs>
        <w:rPr>
          <w:rFonts w:eastAsiaTheme="minorEastAsia"/>
          <w:noProof/>
          <w:lang w:eastAsia="en-GB"/>
        </w:rPr>
      </w:pPr>
      <w:hyperlink w:anchor="_Toc440019923" w:history="1">
        <w:r w:rsidR="00523D18" w:rsidRPr="00724162">
          <w:rPr>
            <w:rStyle w:val="Hyperlink"/>
            <w:noProof/>
          </w:rPr>
          <w:t>Table 2 Number of staff working in UXO Lao in 2013 and 2014</w:t>
        </w:r>
        <w:r w:rsidR="00523D18">
          <w:rPr>
            <w:noProof/>
            <w:webHidden/>
          </w:rPr>
          <w:tab/>
        </w:r>
        <w:r w:rsidR="00523D18">
          <w:rPr>
            <w:noProof/>
            <w:webHidden/>
          </w:rPr>
          <w:fldChar w:fldCharType="begin"/>
        </w:r>
        <w:r w:rsidR="00523D18">
          <w:rPr>
            <w:noProof/>
            <w:webHidden/>
          </w:rPr>
          <w:instrText xml:space="preserve"> PAGEREF _Toc440019923 \h </w:instrText>
        </w:r>
        <w:r w:rsidR="00523D18">
          <w:rPr>
            <w:noProof/>
            <w:webHidden/>
          </w:rPr>
        </w:r>
        <w:r w:rsidR="00523D18">
          <w:rPr>
            <w:noProof/>
            <w:webHidden/>
          </w:rPr>
          <w:fldChar w:fldCharType="separate"/>
        </w:r>
        <w:r w:rsidR="001F2335">
          <w:rPr>
            <w:noProof/>
            <w:webHidden/>
          </w:rPr>
          <w:t>18</w:t>
        </w:r>
        <w:r w:rsidR="00523D18">
          <w:rPr>
            <w:noProof/>
            <w:webHidden/>
          </w:rPr>
          <w:fldChar w:fldCharType="end"/>
        </w:r>
      </w:hyperlink>
    </w:p>
    <w:p w:rsidR="00523D18" w:rsidRDefault="00242988">
      <w:pPr>
        <w:pStyle w:val="TableofFigures"/>
        <w:tabs>
          <w:tab w:val="right" w:leader="dot" w:pos="9350"/>
        </w:tabs>
        <w:rPr>
          <w:rFonts w:eastAsiaTheme="minorEastAsia"/>
          <w:noProof/>
          <w:lang w:eastAsia="en-GB"/>
        </w:rPr>
      </w:pPr>
      <w:hyperlink w:anchor="_Toc440019924" w:history="1">
        <w:r w:rsidR="00523D18" w:rsidRPr="00724162">
          <w:rPr>
            <w:rStyle w:val="Hyperlink"/>
            <w:noProof/>
          </w:rPr>
          <w:t>Table 3 Overview of other resources mobilized by UNDP</w:t>
        </w:r>
        <w:r w:rsidR="00523D18">
          <w:rPr>
            <w:noProof/>
            <w:webHidden/>
          </w:rPr>
          <w:tab/>
        </w:r>
        <w:r w:rsidR="00523D18">
          <w:rPr>
            <w:noProof/>
            <w:webHidden/>
          </w:rPr>
          <w:fldChar w:fldCharType="begin"/>
        </w:r>
        <w:r w:rsidR="00523D18">
          <w:rPr>
            <w:noProof/>
            <w:webHidden/>
          </w:rPr>
          <w:instrText xml:space="preserve"> PAGEREF _Toc440019924 \h </w:instrText>
        </w:r>
        <w:r w:rsidR="00523D18">
          <w:rPr>
            <w:noProof/>
            <w:webHidden/>
          </w:rPr>
        </w:r>
        <w:r w:rsidR="00523D18">
          <w:rPr>
            <w:noProof/>
            <w:webHidden/>
          </w:rPr>
          <w:fldChar w:fldCharType="separate"/>
        </w:r>
        <w:r w:rsidR="001F2335">
          <w:rPr>
            <w:noProof/>
            <w:webHidden/>
          </w:rPr>
          <w:t>28</w:t>
        </w:r>
        <w:r w:rsidR="00523D18">
          <w:rPr>
            <w:noProof/>
            <w:webHidden/>
          </w:rPr>
          <w:fldChar w:fldCharType="end"/>
        </w:r>
      </w:hyperlink>
    </w:p>
    <w:p w:rsidR="00523D18" w:rsidRDefault="00523D18" w:rsidP="00AE01A7">
      <w:pPr>
        <w:rPr>
          <w:b/>
        </w:rPr>
        <w:sectPr w:rsidR="00523D18">
          <w:pgSz w:w="12240" w:h="15840"/>
          <w:pgMar w:top="1440" w:right="1440" w:bottom="1440" w:left="1440" w:header="720" w:footer="720" w:gutter="0"/>
          <w:cols w:space="720"/>
          <w:docGrid w:linePitch="360"/>
        </w:sectPr>
      </w:pPr>
      <w:r>
        <w:rPr>
          <w:b/>
        </w:rPr>
        <w:fldChar w:fldCharType="end"/>
      </w:r>
    </w:p>
    <w:p w:rsidR="00C5275C" w:rsidRPr="00C5275C" w:rsidRDefault="00C5275C" w:rsidP="00C5275C">
      <w:pPr>
        <w:jc w:val="center"/>
        <w:rPr>
          <w:b/>
          <w:sz w:val="32"/>
          <w:szCs w:val="32"/>
        </w:rPr>
      </w:pPr>
      <w:bookmarkStart w:id="1" w:name="_Toc435561198"/>
      <w:r w:rsidRPr="00C5275C">
        <w:rPr>
          <w:b/>
          <w:sz w:val="32"/>
          <w:szCs w:val="32"/>
        </w:rPr>
        <w:lastRenderedPageBreak/>
        <w:t>Evaluation of UNDP Support to M</w:t>
      </w:r>
      <w:r w:rsidR="007B0567">
        <w:rPr>
          <w:b/>
          <w:sz w:val="32"/>
          <w:szCs w:val="32"/>
        </w:rPr>
        <w:t>ine Action in Lao PDR, 2013-2016</w:t>
      </w:r>
    </w:p>
    <w:p w:rsidR="00394A4F" w:rsidRDefault="00394A4F" w:rsidP="00394A4F">
      <w:pPr>
        <w:pStyle w:val="Heading1"/>
      </w:pPr>
      <w:bookmarkStart w:id="2" w:name="_Toc441609309"/>
      <w:r w:rsidRPr="00DC183C">
        <w:t>Executive Summary</w:t>
      </w:r>
      <w:bookmarkEnd w:id="1"/>
      <w:bookmarkEnd w:id="2"/>
    </w:p>
    <w:p w:rsidR="00394A4F" w:rsidRPr="00C022EA" w:rsidRDefault="00394A4F" w:rsidP="00C022EA">
      <w:pPr>
        <w:pStyle w:val="NormalModified"/>
      </w:pPr>
      <w:r w:rsidRPr="00B1500C">
        <w:t xml:space="preserve">This report presents an independent evaluation that examines the strategic relevance and positioning of </w:t>
      </w:r>
      <w:r>
        <w:t xml:space="preserve">the </w:t>
      </w:r>
      <w:r w:rsidRPr="00B1500C">
        <w:t xml:space="preserve">UNDP support under its </w:t>
      </w:r>
      <w:r w:rsidRPr="001325FE">
        <w:rPr>
          <w:i/>
        </w:rPr>
        <w:t>Support for the institutional Strengthening of the National Regulatory Authority for the UXO /Mine Action Sector (NRA) and of the Lao National UXO Programme (UXO Lao) 2013-2015</w:t>
      </w:r>
      <w:r w:rsidR="00584CDF">
        <w:rPr>
          <w:i/>
        </w:rPr>
        <w:t xml:space="preserve"> </w:t>
      </w:r>
      <w:r w:rsidR="002410F7">
        <w:t>(now extended to</w:t>
      </w:r>
      <w:r w:rsidR="00584CDF" w:rsidRPr="00584CDF">
        <w:t xml:space="preserve"> 2016)</w:t>
      </w:r>
      <w:r w:rsidRPr="00584CDF">
        <w:t>.</w:t>
      </w:r>
      <w:r w:rsidRPr="00B1500C">
        <w:t xml:space="preserve"> </w:t>
      </w:r>
      <w:r w:rsidRPr="00DC183C">
        <w:rPr>
          <w:rFonts w:ascii="Calibri" w:hAnsi="Calibri" w:cs="Calibri"/>
          <w:szCs w:val="22"/>
        </w:rPr>
        <w:t>The overall objective of this programme of cooperation between the UNDP and the Government of Lao PDR</w:t>
      </w:r>
      <w:r w:rsidR="007B0567">
        <w:rPr>
          <w:rFonts w:ascii="Calibri" w:hAnsi="Calibri" w:cs="Calibri"/>
          <w:szCs w:val="22"/>
        </w:rPr>
        <w:t>,</w:t>
      </w:r>
      <w:r w:rsidRPr="00DC183C">
        <w:rPr>
          <w:rFonts w:ascii="Calibri" w:hAnsi="Calibri" w:cs="Calibri"/>
          <w:szCs w:val="22"/>
        </w:rPr>
        <w:t xml:space="preserve"> is to support and further strengthen the institutional capacity of the NRA and </w:t>
      </w:r>
      <w:r>
        <w:rPr>
          <w:rFonts w:ascii="Calibri" w:hAnsi="Calibri" w:cs="Calibri"/>
          <w:szCs w:val="22"/>
        </w:rPr>
        <w:t xml:space="preserve">the </w:t>
      </w:r>
      <w:r w:rsidRPr="00DC183C">
        <w:rPr>
          <w:rFonts w:ascii="Calibri" w:hAnsi="Calibri" w:cs="Calibri"/>
          <w:szCs w:val="22"/>
        </w:rPr>
        <w:t>UXO Lao, the national UXO Sector operator. The NRA has lead responsibility for the regulation, coordination</w:t>
      </w:r>
      <w:r w:rsidR="007B0567">
        <w:rPr>
          <w:rFonts w:ascii="Calibri" w:hAnsi="Calibri" w:cs="Calibri"/>
          <w:szCs w:val="22"/>
        </w:rPr>
        <w:t>,</w:t>
      </w:r>
      <w:r w:rsidRPr="00DC183C">
        <w:rPr>
          <w:rFonts w:ascii="Calibri" w:hAnsi="Calibri" w:cs="Calibri"/>
          <w:szCs w:val="22"/>
        </w:rPr>
        <w:t xml:space="preserve"> and oversight of all work in the UXO sector, and to ensure that Lao PDR fulfils its legal obligations as a State Party to the </w:t>
      </w:r>
      <w:r w:rsidR="00C022EA">
        <w:rPr>
          <w:rFonts w:ascii="Calibri" w:hAnsi="Calibri" w:cs="Calibri"/>
          <w:szCs w:val="22"/>
        </w:rPr>
        <w:t>Convention on Cluster Munitions (</w:t>
      </w:r>
      <w:r w:rsidRPr="00DC183C">
        <w:rPr>
          <w:rFonts w:ascii="Calibri" w:hAnsi="Calibri" w:cs="Calibri"/>
          <w:szCs w:val="22"/>
        </w:rPr>
        <w:t>CCM</w:t>
      </w:r>
      <w:r w:rsidR="00C022EA">
        <w:rPr>
          <w:rFonts w:ascii="Calibri" w:hAnsi="Calibri" w:cs="Calibri"/>
          <w:szCs w:val="22"/>
        </w:rPr>
        <w:t>)</w:t>
      </w:r>
      <w:r w:rsidRPr="00DC183C">
        <w:rPr>
          <w:rFonts w:ascii="Calibri" w:hAnsi="Calibri" w:cs="Calibri"/>
          <w:szCs w:val="22"/>
        </w:rPr>
        <w:t xml:space="preserve">. </w:t>
      </w:r>
      <w:r>
        <w:rPr>
          <w:rFonts w:ascii="Calibri" w:hAnsi="Calibri" w:cs="Calibri"/>
          <w:szCs w:val="22"/>
        </w:rPr>
        <w:t xml:space="preserve">The </w:t>
      </w:r>
      <w:r w:rsidRPr="00DC183C">
        <w:rPr>
          <w:rFonts w:ascii="Calibri" w:hAnsi="Calibri" w:cs="Calibri"/>
          <w:szCs w:val="22"/>
        </w:rPr>
        <w:t>UXO Lao is the only not-for-profit national operator in Lao PDR, and currently undertakes more than half of all UXO survey, clearance</w:t>
      </w:r>
      <w:r w:rsidR="007B0567">
        <w:rPr>
          <w:rFonts w:ascii="Calibri" w:hAnsi="Calibri" w:cs="Calibri"/>
          <w:szCs w:val="22"/>
        </w:rPr>
        <w:t>,</w:t>
      </w:r>
      <w:r w:rsidRPr="00DC183C">
        <w:rPr>
          <w:rFonts w:ascii="Calibri" w:hAnsi="Calibri" w:cs="Calibri"/>
          <w:szCs w:val="22"/>
        </w:rPr>
        <w:t xml:space="preserve"> and risk education work throughout the country.</w:t>
      </w:r>
    </w:p>
    <w:p w:rsidR="00394A4F" w:rsidRPr="00DC183C" w:rsidRDefault="00394A4F" w:rsidP="00394A4F">
      <w:pPr>
        <w:pStyle w:val="BodyText"/>
        <w:spacing w:after="0"/>
        <w:jc w:val="both"/>
        <w:rPr>
          <w:rFonts w:ascii="Calibri" w:hAnsi="Calibri" w:cs="Calibri"/>
          <w:sz w:val="22"/>
          <w:szCs w:val="22"/>
        </w:rPr>
      </w:pPr>
    </w:p>
    <w:p w:rsidR="00394A4F" w:rsidRPr="00DC183C" w:rsidRDefault="007B0567" w:rsidP="00394A4F">
      <w:pPr>
        <w:pStyle w:val="BodyText"/>
        <w:spacing w:after="0"/>
        <w:jc w:val="both"/>
        <w:rPr>
          <w:rFonts w:ascii="Calibri" w:hAnsi="Calibri" w:cs="Calibri"/>
          <w:sz w:val="22"/>
          <w:szCs w:val="22"/>
        </w:rPr>
      </w:pPr>
      <w:r>
        <w:rPr>
          <w:rFonts w:ascii="Calibri" w:hAnsi="Calibri" w:cs="Calibri"/>
          <w:sz w:val="22"/>
          <w:szCs w:val="22"/>
        </w:rPr>
        <w:t>The two expected o</w:t>
      </w:r>
      <w:r w:rsidR="00394A4F" w:rsidRPr="00DC183C">
        <w:rPr>
          <w:rFonts w:ascii="Calibri" w:hAnsi="Calibri" w:cs="Calibri"/>
          <w:sz w:val="22"/>
          <w:szCs w:val="22"/>
        </w:rPr>
        <w:t xml:space="preserve">utputs of the project are: </w:t>
      </w:r>
    </w:p>
    <w:p w:rsidR="00394A4F" w:rsidRPr="00DC183C" w:rsidRDefault="00394A4F" w:rsidP="00394A4F">
      <w:pPr>
        <w:pStyle w:val="BodyText"/>
        <w:spacing w:after="0"/>
        <w:ind w:left="720"/>
        <w:jc w:val="both"/>
        <w:rPr>
          <w:rFonts w:ascii="Calibri" w:hAnsi="Calibri" w:cs="Calibri"/>
          <w:sz w:val="22"/>
          <w:szCs w:val="22"/>
        </w:rPr>
      </w:pPr>
    </w:p>
    <w:p w:rsidR="00394A4F" w:rsidRPr="00DC183C" w:rsidRDefault="00394A4F" w:rsidP="00394A4F">
      <w:pPr>
        <w:pStyle w:val="BodyText"/>
        <w:numPr>
          <w:ilvl w:val="0"/>
          <w:numId w:val="2"/>
        </w:numPr>
        <w:spacing w:after="0"/>
        <w:jc w:val="both"/>
        <w:rPr>
          <w:rFonts w:ascii="Calibri" w:hAnsi="Calibri" w:cs="Calibri"/>
          <w:i/>
          <w:sz w:val="22"/>
          <w:szCs w:val="22"/>
        </w:rPr>
      </w:pPr>
      <w:r w:rsidRPr="00DC183C">
        <w:rPr>
          <w:rFonts w:ascii="Calibri" w:hAnsi="Calibri" w:cs="Calibri"/>
          <w:i/>
          <w:sz w:val="22"/>
          <w:szCs w:val="22"/>
        </w:rPr>
        <w:t xml:space="preserve">OUTPUT 1: The National Regulatory Authority is able to effectively develop and provide policy guidance and to coordinate and regulate the UXO sector in support of national development goals, the </w:t>
      </w:r>
      <w:r w:rsidRPr="00AE01A7">
        <w:rPr>
          <w:rFonts w:ascii="Calibri" w:hAnsi="Calibri" w:cs="Calibri"/>
          <w:i/>
          <w:sz w:val="22"/>
          <w:szCs w:val="22"/>
        </w:rPr>
        <w:t>implementation of the national UXO sector strategy “Safe Path Forward II”, and to ensure the fulfilment of relevant international treaty obligations</w:t>
      </w:r>
    </w:p>
    <w:p w:rsidR="00394A4F" w:rsidRPr="00DC183C" w:rsidRDefault="00394A4F" w:rsidP="00394A4F">
      <w:pPr>
        <w:pStyle w:val="BodyText"/>
        <w:spacing w:after="0"/>
        <w:ind w:left="720"/>
        <w:jc w:val="both"/>
        <w:rPr>
          <w:rFonts w:ascii="Calibri" w:hAnsi="Calibri" w:cs="Calibri"/>
          <w:i/>
          <w:sz w:val="22"/>
          <w:szCs w:val="22"/>
        </w:rPr>
      </w:pPr>
    </w:p>
    <w:p w:rsidR="00394A4F" w:rsidRPr="00DC183C" w:rsidRDefault="00394A4F" w:rsidP="00394A4F">
      <w:pPr>
        <w:pStyle w:val="BodyText"/>
        <w:numPr>
          <w:ilvl w:val="0"/>
          <w:numId w:val="2"/>
        </w:numPr>
        <w:spacing w:after="0"/>
        <w:jc w:val="both"/>
        <w:rPr>
          <w:rFonts w:ascii="Calibri" w:hAnsi="Calibri" w:cs="Calibri"/>
          <w:i/>
          <w:sz w:val="22"/>
          <w:szCs w:val="22"/>
        </w:rPr>
      </w:pPr>
      <w:r w:rsidRPr="00DC183C">
        <w:rPr>
          <w:rFonts w:ascii="Calibri" w:hAnsi="Calibri" w:cs="Calibri"/>
          <w:i/>
          <w:sz w:val="22"/>
          <w:szCs w:val="22"/>
        </w:rPr>
        <w:t>OUTPUT 2: UXO Lao is better able to manage clearance and risk education programmes for the needs of communities at risk</w:t>
      </w:r>
    </w:p>
    <w:p w:rsidR="00394A4F" w:rsidRPr="00DC183C" w:rsidRDefault="00394A4F" w:rsidP="00394A4F">
      <w:pPr>
        <w:pStyle w:val="BodyText"/>
        <w:spacing w:after="0"/>
        <w:ind w:left="720"/>
        <w:jc w:val="both"/>
        <w:rPr>
          <w:rFonts w:ascii="Calibri" w:hAnsi="Calibri" w:cs="Calibri"/>
          <w:i/>
          <w:sz w:val="22"/>
          <w:szCs w:val="22"/>
        </w:rPr>
      </w:pPr>
    </w:p>
    <w:p w:rsidR="00394A4F" w:rsidRDefault="00C022EA" w:rsidP="00394A4F">
      <w:pPr>
        <w:pStyle w:val="NormalModified"/>
      </w:pPr>
      <w:r w:rsidRPr="00B1500C">
        <w:t xml:space="preserve">The report assesses support under the </w:t>
      </w:r>
      <w:r w:rsidR="00584CDF">
        <w:t xml:space="preserve">Development Assistance Committee (DAC) </w:t>
      </w:r>
      <w:r w:rsidRPr="00B1500C">
        <w:t>criteria of effectiveness, relevance, efficiency, and sustainability</w:t>
      </w:r>
      <w:r>
        <w:t>,</w:t>
      </w:r>
      <w:r w:rsidRPr="00B1500C">
        <w:t xml:space="preserve"> as well as </w:t>
      </w:r>
      <w:r w:rsidR="007B0567">
        <w:t>considers</w:t>
      </w:r>
      <w:r w:rsidRPr="00B1500C">
        <w:t xml:space="preserve"> monitoring and evaluation processes, </w:t>
      </w:r>
      <w:r w:rsidR="007B0567">
        <w:t xml:space="preserve">under the </w:t>
      </w:r>
      <w:r w:rsidR="004F1A16" w:rsidRPr="004F1A16">
        <w:t>Gender and Human Rights-Based Approach</w:t>
      </w:r>
      <w:r w:rsidRPr="00B1500C">
        <w:t xml:space="preserve">. It also makes forward-looking recommendations for the </w:t>
      </w:r>
      <w:r w:rsidR="005F26B8">
        <w:t>new</w:t>
      </w:r>
      <w:r w:rsidR="004F1A16">
        <w:t xml:space="preserve"> </w:t>
      </w:r>
      <w:r w:rsidR="004F1A16" w:rsidRPr="00B1500C">
        <w:t>programme</w:t>
      </w:r>
      <w:r>
        <w:t xml:space="preserve"> (Appendix 1 </w:t>
      </w:r>
      <w:r w:rsidR="007B0567">
        <w:t>provides</w:t>
      </w:r>
      <w:r>
        <w:t xml:space="preserve"> the Terms of Reference for the evaluation)</w:t>
      </w:r>
      <w:r w:rsidRPr="00B1500C">
        <w:t>.</w:t>
      </w:r>
      <w:r>
        <w:t xml:space="preserve"> While t</w:t>
      </w:r>
      <w:r w:rsidR="00394A4F">
        <w:t>he evaluation focusses on the support provided by the UNDP</w:t>
      </w:r>
      <w:r w:rsidR="007B0567">
        <w:t>,</w:t>
      </w:r>
      <w:r w:rsidR="00394A4F">
        <w:t xml:space="preserve"> in relation to the programme document, </w:t>
      </w:r>
      <w:r w:rsidR="007B0567">
        <w:t xml:space="preserve">it </w:t>
      </w:r>
      <w:r w:rsidR="00394A4F">
        <w:t>almost inevitably makes comment on the work of the NRA and the UXO Lao. Further, while the recommendations are based on actions that the UNDP should take, they may have an impact on the UXO sector more broadly</w:t>
      </w:r>
      <w:r w:rsidR="00033546">
        <w:t>. This includes,</w:t>
      </w:r>
      <w:r w:rsidR="00394A4F">
        <w:t xml:space="preserve"> but </w:t>
      </w:r>
      <w:r w:rsidR="00033546">
        <w:t xml:space="preserve">is </w:t>
      </w:r>
      <w:r w:rsidR="00394A4F">
        <w:t>not necessarily limited to, other UXO operators, donors, and the NRA and UXO Lao</w:t>
      </w:r>
      <w:r w:rsidR="00033546">
        <w:t>, as well as</w:t>
      </w:r>
      <w:r w:rsidR="0041726F">
        <w:t xml:space="preserve"> the communities where UXO/Mine A</w:t>
      </w:r>
      <w:r w:rsidR="00394A4F">
        <w:t>ction takes place.</w:t>
      </w:r>
    </w:p>
    <w:p w:rsidR="00394A4F" w:rsidRDefault="00394A4F" w:rsidP="00394A4F">
      <w:pPr>
        <w:pStyle w:val="NormalModified"/>
      </w:pPr>
      <w:r>
        <w:t>The evaluation was condu</w:t>
      </w:r>
      <w:r w:rsidR="0093099C">
        <w:t>cted over a one month period in-</w:t>
      </w:r>
      <w:r>
        <w:t xml:space="preserve">country and included a document review (see </w:t>
      </w:r>
      <w:r w:rsidR="00C022EA">
        <w:t>Appendix</w:t>
      </w:r>
      <w:r w:rsidRPr="001325FE">
        <w:t xml:space="preserve"> 2 for documents consulted</w:t>
      </w:r>
      <w:r>
        <w:t>). A series of meetings were conducted with key stakeholders in Vientian</w:t>
      </w:r>
      <w:r w:rsidR="008D5480">
        <w:t>e. O</w:t>
      </w:r>
      <w:r>
        <w:t>ne field visit was made to Xieng Khouang in the North</w:t>
      </w:r>
      <w:r w:rsidR="008D5480">
        <w:t>,</w:t>
      </w:r>
      <w:r>
        <w:t xml:space="preserve"> to meet partners, key stakeholders</w:t>
      </w:r>
      <w:r w:rsidR="008D5480">
        <w:t>,</w:t>
      </w:r>
      <w:r>
        <w:t xml:space="preserve"> and members of UXO affected areas </w:t>
      </w:r>
      <w:r w:rsidRPr="001325FE">
        <w:t xml:space="preserve">(see </w:t>
      </w:r>
      <w:r w:rsidR="00C022EA">
        <w:t>Appendix</w:t>
      </w:r>
      <w:r w:rsidRPr="001325FE">
        <w:t xml:space="preserve"> 3 for a list of meetings</w:t>
      </w:r>
      <w:r>
        <w:t xml:space="preserve">). Meetings were conducted using a semi-structured interview guide </w:t>
      </w:r>
      <w:r w:rsidR="00C022EA">
        <w:t xml:space="preserve">that enabled </w:t>
      </w:r>
      <w:r>
        <w:t xml:space="preserve">respondents to talk openly and draw attention to issues </w:t>
      </w:r>
      <w:r w:rsidR="008D5480">
        <w:t xml:space="preserve">that </w:t>
      </w:r>
      <w:r>
        <w:t>they considered imp</w:t>
      </w:r>
      <w:r w:rsidR="007B0567">
        <w:t>ortant. This approach limits the</w:t>
      </w:r>
      <w:r>
        <w:t xml:space="preserve"> possibility of preconceptions, prematurely narrowing the scope of the research</w:t>
      </w:r>
      <w:r w:rsidR="008D5480">
        <w:t>,</w:t>
      </w:r>
      <w:r>
        <w:t xml:space="preserve"> and overlooking important issues, while at the same time ensuring </w:t>
      </w:r>
      <w:r w:rsidR="008D5480">
        <w:t xml:space="preserve">that </w:t>
      </w:r>
      <w:r>
        <w:t xml:space="preserve">the main areas of interest are covered. Where possible, data gathered from one interview was triangulated </w:t>
      </w:r>
      <w:r w:rsidR="008D5480">
        <w:t xml:space="preserve">with document review and </w:t>
      </w:r>
      <w:r>
        <w:t>through</w:t>
      </w:r>
      <w:r w:rsidR="008D5480">
        <w:t xml:space="preserve"> meetings with other respondents</w:t>
      </w:r>
      <w:r>
        <w:t xml:space="preserve">. Given that some of the information provided may be regarded by respondents as sensitive, care has been taken to ensure that meanings </w:t>
      </w:r>
      <w:r w:rsidR="00A30680">
        <w:t>are</w:t>
      </w:r>
      <w:r>
        <w:t xml:space="preserve"> correctly understood, and that as far as possible, individual respondents are not identifiable. </w:t>
      </w:r>
    </w:p>
    <w:p w:rsidR="00394A4F" w:rsidRDefault="00FA26BE" w:rsidP="00394A4F">
      <w:pPr>
        <w:pStyle w:val="Heading2"/>
        <w:numPr>
          <w:ilvl w:val="0"/>
          <w:numId w:val="0"/>
        </w:numPr>
      </w:pPr>
      <w:bookmarkStart w:id="3" w:name="_Toc441609310"/>
      <w:r>
        <w:t>Summary of f</w:t>
      </w:r>
      <w:r w:rsidR="00394A4F">
        <w:t>indings</w:t>
      </w:r>
      <w:bookmarkEnd w:id="3"/>
    </w:p>
    <w:p w:rsidR="00394A4F" w:rsidRDefault="00394A4F" w:rsidP="00394A4F">
      <w:r w:rsidRPr="002D175C">
        <w:rPr>
          <w:b/>
        </w:rPr>
        <w:t>Relevance:</w:t>
      </w:r>
      <w:r>
        <w:t xml:space="preserve"> The </w:t>
      </w:r>
      <w:r w:rsidRPr="00DC183C">
        <w:t xml:space="preserve">UNDP’s </w:t>
      </w:r>
      <w:r>
        <w:t xml:space="preserve">support is </w:t>
      </w:r>
      <w:r w:rsidR="00CF4755">
        <w:t>directly</w:t>
      </w:r>
      <w:r>
        <w:t xml:space="preserve"> relevant</w:t>
      </w:r>
      <w:r w:rsidRPr="00DC183C">
        <w:t xml:space="preserve"> to the</w:t>
      </w:r>
      <w:r w:rsidR="00CF4755">
        <w:t xml:space="preserve"> priorities of the</w:t>
      </w:r>
      <w:r w:rsidRPr="00DC183C">
        <w:t xml:space="preserve"> Government of </w:t>
      </w:r>
      <w:r w:rsidR="00CF4755">
        <w:t>Lao PDR</w:t>
      </w:r>
      <w:r w:rsidRPr="00DC183C">
        <w:t xml:space="preserve"> and is </w:t>
      </w:r>
      <w:r w:rsidRPr="0070119D">
        <w:t>clearly aligned with national development objectives</w:t>
      </w:r>
      <w:r w:rsidR="00CF4755">
        <w:t>,</w:t>
      </w:r>
      <w:r w:rsidRPr="0070119D">
        <w:t xml:space="preserve"> as outlined in the 7</w:t>
      </w:r>
      <w:r w:rsidRPr="0070119D">
        <w:rPr>
          <w:vertAlign w:val="superscript"/>
        </w:rPr>
        <w:t>th</w:t>
      </w:r>
      <w:r w:rsidRPr="0070119D">
        <w:t xml:space="preserve"> National Plan for Poverty Eradication (</w:t>
      </w:r>
      <w:r w:rsidRPr="001325FE">
        <w:t>NPPE)</w:t>
      </w:r>
      <w:r>
        <w:t>, Millennium Development Goal (MDG)</w:t>
      </w:r>
      <w:r w:rsidRPr="0070119D">
        <w:t xml:space="preserve"> 9</w:t>
      </w:r>
      <w:r w:rsidR="00CF4755">
        <w:t>,</w:t>
      </w:r>
      <w:r w:rsidRPr="0070119D">
        <w:t xml:space="preserve"> and the Government’s international obligations under the </w:t>
      </w:r>
      <w:r>
        <w:t>Cluster Munition Convention (</w:t>
      </w:r>
      <w:r w:rsidRPr="0070119D">
        <w:t>CCM</w:t>
      </w:r>
      <w:r>
        <w:t>)</w:t>
      </w:r>
      <w:r w:rsidRPr="0070119D">
        <w:t>. It should be noted</w:t>
      </w:r>
      <w:r>
        <w:t>,</w:t>
      </w:r>
      <w:r w:rsidRPr="0070119D">
        <w:t xml:space="preserve"> however</w:t>
      </w:r>
      <w:r>
        <w:t>,</w:t>
      </w:r>
      <w:r w:rsidRPr="0070119D">
        <w:t xml:space="preserve"> that while UXO contamination is in some of the poorest districts, there is no empirical evidence to support a causal link between UXO contamination and poverty.</w:t>
      </w:r>
      <w:r>
        <w:t xml:space="preserve"> The </w:t>
      </w:r>
      <w:r w:rsidRPr="004E0A18">
        <w:t xml:space="preserve">UNDP plays a critical </w:t>
      </w:r>
      <w:r w:rsidR="003C7168">
        <w:t xml:space="preserve">role in </w:t>
      </w:r>
      <w:r w:rsidRPr="004E0A18">
        <w:t>coordinating the Round Table Process and co-chairs the donor working groups for the UXO sector</w:t>
      </w:r>
      <w:r w:rsidR="003C7168">
        <w:t>,</w:t>
      </w:r>
      <w:r w:rsidR="005F26B8">
        <w:t xml:space="preserve"> with participation of key government </w:t>
      </w:r>
      <w:r w:rsidR="003C7168">
        <w:t xml:space="preserve">officials, development partners and </w:t>
      </w:r>
      <w:r w:rsidR="005F26B8">
        <w:t>donors</w:t>
      </w:r>
      <w:r w:rsidR="003C7168">
        <w:t>,</w:t>
      </w:r>
      <w:r w:rsidR="005F26B8">
        <w:t xml:space="preserve"> and operators in the UXO sector</w:t>
      </w:r>
      <w:r w:rsidRPr="004E0A18">
        <w:t xml:space="preserve">. This provides a relevant forum for promoting dialogue between key stakeholders and </w:t>
      </w:r>
      <w:r w:rsidR="003C7168">
        <w:t>government</w:t>
      </w:r>
      <w:r w:rsidRPr="004E0A18">
        <w:t xml:space="preserve"> and is the primary platform for </w:t>
      </w:r>
      <w:r w:rsidR="003C7168">
        <w:t>furthering</w:t>
      </w:r>
      <w:r w:rsidRPr="004E0A18">
        <w:t xml:space="preserve"> the aid effectiveness agenda</w:t>
      </w:r>
      <w:r>
        <w:t xml:space="preserve">. Several donors and other stakeholders, however, were somewhat ambivalent </w:t>
      </w:r>
      <w:r w:rsidR="003C7168">
        <w:t xml:space="preserve">towards </w:t>
      </w:r>
      <w:r>
        <w:t xml:space="preserve">the relevance of the UNDP’s support. </w:t>
      </w:r>
    </w:p>
    <w:p w:rsidR="00394A4F" w:rsidRPr="00B1500C" w:rsidRDefault="00394A4F" w:rsidP="00394A4F">
      <w:pPr>
        <w:pStyle w:val="NormalModified"/>
      </w:pPr>
      <w:r w:rsidRPr="001325FE">
        <w:rPr>
          <w:b/>
        </w:rPr>
        <w:t>Effectiveness</w:t>
      </w:r>
      <w:r w:rsidRPr="00B1500C">
        <w:t xml:space="preserve">: </w:t>
      </w:r>
      <w:r w:rsidR="00FB3EFC">
        <w:t>O</w:t>
      </w:r>
      <w:r w:rsidR="00584CDF" w:rsidRPr="00B1500C">
        <w:t>verall</w:t>
      </w:r>
      <w:r w:rsidR="00584CDF">
        <w:t>,</w:t>
      </w:r>
      <w:r w:rsidR="00584CDF" w:rsidRPr="00B1500C">
        <w:t xml:space="preserve"> the programme has achieved</w:t>
      </w:r>
      <w:r w:rsidR="00584CDF">
        <w:t>,</w:t>
      </w:r>
      <w:r w:rsidR="00584CDF" w:rsidRPr="00B1500C">
        <w:t xml:space="preserve"> or is likely to have achieved by the end of 201</w:t>
      </w:r>
      <w:r w:rsidR="00584CDF">
        <w:t>6</w:t>
      </w:r>
      <w:r w:rsidR="00FB3EFC">
        <w:t xml:space="preserve"> most of its outputs. However,</w:t>
      </w:r>
      <w:r w:rsidR="00584CDF" w:rsidRPr="00B1500C">
        <w:t xml:space="preserve"> there is no data related to </w:t>
      </w:r>
      <w:r w:rsidR="00584CDF">
        <w:t>what these outputs contributed to (i.e. outcome level data or</w:t>
      </w:r>
      <w:r w:rsidR="00584CDF" w:rsidRPr="00B1500C">
        <w:t xml:space="preserve"> whether or not the</w:t>
      </w:r>
      <w:r w:rsidR="00FB3EFC">
        <w:t>se</w:t>
      </w:r>
      <w:r w:rsidR="00584CDF">
        <w:t xml:space="preserve"> outputs </w:t>
      </w:r>
      <w:r w:rsidR="00584CDF" w:rsidRPr="00B1500C">
        <w:t>achieved their intended purpose</w:t>
      </w:r>
      <w:r w:rsidR="00FB3EFC">
        <w:t>)</w:t>
      </w:r>
      <w:r w:rsidR="00584CDF" w:rsidRPr="00B1500C">
        <w:t xml:space="preserve">. Furthermore, there </w:t>
      </w:r>
      <w:r w:rsidR="00584CDF">
        <w:t>is</w:t>
      </w:r>
      <w:r w:rsidR="00584CDF" w:rsidRPr="00B1500C">
        <w:t xml:space="preserve"> no data related to some of </w:t>
      </w:r>
      <w:r w:rsidR="00584CDF">
        <w:t xml:space="preserve">the </w:t>
      </w:r>
      <w:r w:rsidR="00584CDF" w:rsidRPr="00B1500C">
        <w:t xml:space="preserve">UNDP’s core programming principles, that is, capacity building, rights, safeguards, </w:t>
      </w:r>
      <w:r w:rsidR="00584CDF">
        <w:t xml:space="preserve">and </w:t>
      </w:r>
      <w:r w:rsidR="00584CDF" w:rsidRPr="00B1500C">
        <w:t xml:space="preserve">gender or poverty reduction. </w:t>
      </w:r>
      <w:r w:rsidR="00FC19C8">
        <w:t>In</w:t>
      </w:r>
      <w:r w:rsidR="00584CDF" w:rsidRPr="00B1500C">
        <w:t xml:space="preserve"> terms of the CCM</w:t>
      </w:r>
      <w:r w:rsidR="00584CDF">
        <w:t>,</w:t>
      </w:r>
      <w:r w:rsidR="00584CDF" w:rsidRPr="00B1500C">
        <w:t xml:space="preserve"> this </w:t>
      </w:r>
      <w:r w:rsidR="00FC19C8">
        <w:t>is not particularly problematic. However,</w:t>
      </w:r>
      <w:r w:rsidR="00584CDF" w:rsidRPr="00B1500C">
        <w:t xml:space="preserve"> the UXO/mine action programme intends to contribute to human development outcomes, not simply the CCM commitments. </w:t>
      </w:r>
      <w:r w:rsidR="00584CDF">
        <w:t xml:space="preserve"> A more effective programme document would include outcome-level results to promote out</w:t>
      </w:r>
      <w:r w:rsidR="00FC19C8">
        <w:t>come-</w:t>
      </w:r>
      <w:r w:rsidR="00584CDF">
        <w:t>level monitoring, evaluation</w:t>
      </w:r>
      <w:r w:rsidR="00FC19C8">
        <w:t>,</w:t>
      </w:r>
      <w:r w:rsidR="00584CDF">
        <w:t xml:space="preserve"> and outcome reporting.</w:t>
      </w:r>
    </w:p>
    <w:p w:rsidR="00394A4F" w:rsidRPr="00B1500C" w:rsidRDefault="00394A4F" w:rsidP="00394A4F">
      <w:pPr>
        <w:pStyle w:val="NormalModified"/>
      </w:pPr>
      <w:r w:rsidRPr="00B1500C">
        <w:t>The Trust Fund mechanism was</w:t>
      </w:r>
      <w:r w:rsidR="00BF08E9">
        <w:t xml:space="preserve"> primarily </w:t>
      </w:r>
      <w:r w:rsidRPr="00B1500C">
        <w:t>set up to contribute to the achievement of the CCM</w:t>
      </w:r>
      <w:r w:rsidR="00BF08E9">
        <w:t xml:space="preserve"> </w:t>
      </w:r>
      <w:r w:rsidRPr="00B1500C">
        <w:t xml:space="preserve">and is in accordance with </w:t>
      </w:r>
      <w:r w:rsidRPr="001325FE">
        <w:rPr>
          <w:rFonts w:cs="Arial"/>
          <w:szCs w:val="22"/>
        </w:rPr>
        <w:t>the</w:t>
      </w:r>
      <w:r w:rsidRPr="00B1500C">
        <w:t xml:space="preserve"> Vientiane Declaration on Aid Effectiveness</w:t>
      </w:r>
      <w:r w:rsidRPr="00B1500C">
        <w:rPr>
          <w:rFonts w:cs="Arial"/>
          <w:sz w:val="20"/>
        </w:rPr>
        <w:t xml:space="preserve">. </w:t>
      </w:r>
      <w:r w:rsidRPr="00584CDF">
        <w:t>The</w:t>
      </w:r>
      <w:r w:rsidRPr="00B1500C">
        <w:t xml:space="preserve"> mechanism</w:t>
      </w:r>
      <w:r w:rsidR="00584CDF">
        <w:t xml:space="preserve"> </w:t>
      </w:r>
      <w:r w:rsidRPr="00B1500C">
        <w:t xml:space="preserve">was valued, especially by non-resident donors. </w:t>
      </w:r>
      <w:r w:rsidR="00AB2C74">
        <w:t>However</w:t>
      </w:r>
      <w:r w:rsidRPr="00B1500C">
        <w:t>, at the time of the evaluation</w:t>
      </w:r>
      <w:r>
        <w:t>,</w:t>
      </w:r>
      <w:r w:rsidRPr="00B1500C">
        <w:t xml:space="preserve"> a number of resident donors expressed concern with the Trust and</w:t>
      </w:r>
      <w:r>
        <w:t>,</w:t>
      </w:r>
      <w:r w:rsidRPr="00B1500C">
        <w:t xml:space="preserve"> in particular, coordination</w:t>
      </w:r>
      <w:r w:rsidR="00AB2C74">
        <w:t xml:space="preserve">, </w:t>
      </w:r>
      <w:r w:rsidRPr="00B1500C">
        <w:t>outcome</w:t>
      </w:r>
      <w:r w:rsidR="00AB2C74">
        <w:t>,</w:t>
      </w:r>
      <w:r w:rsidRPr="00B1500C">
        <w:t xml:space="preserve"> and impact reporting. This</w:t>
      </w:r>
      <w:r w:rsidR="00AB2C74">
        <w:t>,</w:t>
      </w:r>
      <w:r w:rsidRPr="00B1500C">
        <w:t xml:space="preserve"> in part</w:t>
      </w:r>
      <w:r w:rsidR="00AB2C74">
        <w:t>,</w:t>
      </w:r>
      <w:r w:rsidRPr="00B1500C">
        <w:t xml:space="preserve"> relates to capacity, but also to the programme documen</w:t>
      </w:r>
      <w:r>
        <w:t>t</w:t>
      </w:r>
      <w:r w:rsidRPr="00B1500C">
        <w:t xml:space="preserve"> that only commits to outputs. The absence of outcome monitoring and reporting</w:t>
      </w:r>
      <w:r>
        <w:t>,</w:t>
      </w:r>
      <w:r w:rsidRPr="00B1500C">
        <w:t xml:space="preserve"> however</w:t>
      </w:r>
      <w:r>
        <w:t>,</w:t>
      </w:r>
      <w:r w:rsidRPr="00B1500C">
        <w:t xml:space="preserve"> does not </w:t>
      </w:r>
      <w:r w:rsidR="00CB69DA">
        <w:t>enable</w:t>
      </w:r>
      <w:r w:rsidRPr="00B1500C">
        <w:t xml:space="preserve"> donors to understand the benefits and safeguards applied to maximise their investment and minimise harm. </w:t>
      </w:r>
    </w:p>
    <w:p w:rsidR="00394A4F" w:rsidRPr="00B1500C" w:rsidRDefault="00394A4F" w:rsidP="00394A4F">
      <w:pPr>
        <w:pStyle w:val="NormalModified"/>
      </w:pPr>
      <w:r w:rsidRPr="001325FE">
        <w:rPr>
          <w:b/>
        </w:rPr>
        <w:t>Partnerships</w:t>
      </w:r>
      <w:r w:rsidRPr="00FB788A">
        <w:t>:</w:t>
      </w:r>
      <w:r>
        <w:t xml:space="preserve"> The </w:t>
      </w:r>
      <w:r w:rsidRPr="00B1500C">
        <w:t>UNDP has a number of long-standing partners in the Lao PDR and its role</w:t>
      </w:r>
      <w:r w:rsidR="00952AC6">
        <w:t xml:space="preserve"> of Co-Chair of the UXO Sector w</w:t>
      </w:r>
      <w:r w:rsidR="00560A9B">
        <w:t>orking under the Round Table P</w:t>
      </w:r>
      <w:r w:rsidRPr="00B1500C">
        <w:t xml:space="preserve">rocess is valued. </w:t>
      </w:r>
      <w:r w:rsidR="00952AC6">
        <w:t>However</w:t>
      </w:r>
      <w:r w:rsidRPr="00B1500C">
        <w:t xml:space="preserve">, a number of stakeholders were frustrated with the quality of communication and coordination. Furthermore, communication could be </w:t>
      </w:r>
      <w:r w:rsidR="00952AC6">
        <w:rPr>
          <w:rFonts w:cs="Calibri"/>
        </w:rPr>
        <w:t>more impactful if</w:t>
      </w:r>
      <w:r w:rsidRPr="00B1500C">
        <w:t xml:space="preserve"> reports included outcome measures. At the community level, more thought needs to be given to how the recently approved Cluster Munition Survey (CMTS) </w:t>
      </w:r>
      <w:r w:rsidR="002410F7">
        <w:t>and other approved survey processes</w:t>
      </w:r>
      <w:r w:rsidR="002410F7" w:rsidRPr="00B1500C">
        <w:t xml:space="preserve"> </w:t>
      </w:r>
      <w:r w:rsidRPr="00B1500C">
        <w:t xml:space="preserve">will be communicated at the community level. </w:t>
      </w:r>
    </w:p>
    <w:p w:rsidR="00394A4F" w:rsidRDefault="00394A4F" w:rsidP="00394A4F">
      <w:r w:rsidRPr="001436EF">
        <w:rPr>
          <w:b/>
        </w:rPr>
        <w:t>Efficiency</w:t>
      </w:r>
      <w:r>
        <w:rPr>
          <w:b/>
        </w:rPr>
        <w:t xml:space="preserve">: </w:t>
      </w:r>
      <w:r>
        <w:t xml:space="preserve"> Overall</w:t>
      </w:r>
      <w:r w:rsidRPr="00F508CC">
        <w:t xml:space="preserve">, the structure of the </w:t>
      </w:r>
      <w:r>
        <w:t xml:space="preserve">Trust Fund </w:t>
      </w:r>
      <w:r w:rsidRPr="00F508CC">
        <w:t xml:space="preserve">is </w:t>
      </w:r>
      <w:r>
        <w:t xml:space="preserve">designed to maximise efficiency and is </w:t>
      </w:r>
      <w:r w:rsidRPr="00F508CC">
        <w:t xml:space="preserve">based on good practice </w:t>
      </w:r>
      <w:r w:rsidRPr="00573F7F">
        <w:t xml:space="preserve">enshrined in the Vientiane Declaration. While not explicit in the programme document, the demand for UXO clearance to contribute to development (which is rarely defined) has led service providers, including </w:t>
      </w:r>
      <w:r>
        <w:t xml:space="preserve">the </w:t>
      </w:r>
      <w:r w:rsidRPr="00573F7F">
        <w:t>UXO Lao</w:t>
      </w:r>
      <w:r>
        <w:t>,</w:t>
      </w:r>
      <w:r w:rsidRPr="00573F7F">
        <w:t xml:space="preserve"> to undertake clearance for other UN organisations</w:t>
      </w:r>
      <w:r w:rsidR="00A43A5C">
        <w:t>,</w:t>
      </w:r>
      <w:r w:rsidRPr="00573F7F">
        <w:t xml:space="preserve"> such as the World Food Programme and </w:t>
      </w:r>
      <w:r w:rsidR="003433DB">
        <w:t xml:space="preserve">the </w:t>
      </w:r>
      <w:r w:rsidR="003433DB" w:rsidRPr="003433DB">
        <w:t xml:space="preserve">International Fund for Agricultural Development </w:t>
      </w:r>
      <w:r w:rsidR="003433DB">
        <w:t>(</w:t>
      </w:r>
      <w:r w:rsidRPr="00573F7F">
        <w:t>IFAD</w:t>
      </w:r>
      <w:r w:rsidR="003433DB">
        <w:t>)</w:t>
      </w:r>
      <w:r w:rsidRPr="00573F7F">
        <w:t>. While this enables investment</w:t>
      </w:r>
      <w:r>
        <w:t>,</w:t>
      </w:r>
      <w:r w:rsidRPr="00573F7F">
        <w:t xml:space="preserve"> which may not have occurred otherwise, it has also contributed to inefficiencies</w:t>
      </w:r>
      <w:r w:rsidR="00A43A5C">
        <w:t>. This is because</w:t>
      </w:r>
      <w:r w:rsidRPr="00573F7F">
        <w:t xml:space="preserve"> clearance assets have been deployed to sites with no or very low levels of UXO. This partly relates to the lack of a national survey</w:t>
      </w:r>
      <w:r w:rsidR="00A43A5C">
        <w:t>,</w:t>
      </w:r>
      <w:r w:rsidRPr="00573F7F">
        <w:t xml:space="preserve"> whereby confirmed hazardo</w:t>
      </w:r>
      <w:r w:rsidR="00A43A5C">
        <w:t xml:space="preserve">us areas are located and mapped. This </w:t>
      </w:r>
      <w:r w:rsidRPr="00573F7F">
        <w:t>is beginning to be addressed through the CMTS. This is significant as clearance is time consuming and expensive</w:t>
      </w:r>
      <w:r>
        <w:t>,</w:t>
      </w:r>
      <w:r w:rsidRPr="00573F7F">
        <w:t xml:space="preserve"> so efficient use of resources is important and the NRA and </w:t>
      </w:r>
      <w:r>
        <w:t xml:space="preserve">the </w:t>
      </w:r>
      <w:r w:rsidRPr="00573F7F">
        <w:t xml:space="preserve">UXO Lao should continue to monitor the efficiency of clearance operations to make further improvements if possible. </w:t>
      </w:r>
    </w:p>
    <w:p w:rsidR="00394A4F" w:rsidRDefault="00394A4F" w:rsidP="00394A4F">
      <w:r>
        <w:t xml:space="preserve">The UNDP has well documented procedures </w:t>
      </w:r>
      <w:r w:rsidR="00B40A3E">
        <w:t xml:space="preserve">in place that are </w:t>
      </w:r>
      <w:r>
        <w:t xml:space="preserve">designed to promote cost and time effectiveness and </w:t>
      </w:r>
      <w:r w:rsidRPr="00FF6721">
        <w:t>competitiveness</w:t>
      </w:r>
      <w:r>
        <w:t>,</w:t>
      </w:r>
      <w:r w:rsidRPr="00FF6721">
        <w:t xml:space="preserve"> </w:t>
      </w:r>
      <w:r>
        <w:t>but these are not always well understood by the UXO Lao or the NRA</w:t>
      </w:r>
      <w:r w:rsidR="00B40A3E">
        <w:t xml:space="preserve">. </w:t>
      </w:r>
      <w:r>
        <w:t xml:space="preserve"> </w:t>
      </w:r>
      <w:r w:rsidR="00B40A3E">
        <w:t>W</w:t>
      </w:r>
      <w:r>
        <w:t>ithout timely support from the UNDP,</w:t>
      </w:r>
      <w:r w:rsidR="00B40A3E">
        <w:t xml:space="preserve"> this</w:t>
      </w:r>
      <w:r>
        <w:t xml:space="preserve"> can result in lost efficiencies. An important donor concern was the length of time </w:t>
      </w:r>
      <w:r w:rsidR="00B40A3E">
        <w:t>taken</w:t>
      </w:r>
      <w:r>
        <w:t xml:space="preserve"> to operationalise the NGO window in the Trust Fund, although at the time of the evaluation this was being addressed. There were</w:t>
      </w:r>
      <w:r w:rsidR="00FA26BE">
        <w:t xml:space="preserve"> some</w:t>
      </w:r>
      <w:r>
        <w:t xml:space="preserve"> donor concerns regarding whether the GMS of 8% (agreed by member states) and direct costs associated with the programme provided value for money</w:t>
      </w:r>
      <w:r w:rsidR="00B40A3E">
        <w:t>,</w:t>
      </w:r>
      <w:r w:rsidR="00FA26BE">
        <w:t xml:space="preserve"> although on the face of it</w:t>
      </w:r>
      <w:r w:rsidR="00B40A3E">
        <w:t>,</w:t>
      </w:r>
      <w:r w:rsidR="00FA26BE">
        <w:t xml:space="preserve"> these charges seem similar to other providers</w:t>
      </w:r>
      <w:r>
        <w:t xml:space="preserve">. </w:t>
      </w:r>
    </w:p>
    <w:p w:rsidR="00394A4F" w:rsidRDefault="00394A4F" w:rsidP="00394A4F">
      <w:r w:rsidRPr="00B1500C">
        <w:rPr>
          <w:b/>
        </w:rPr>
        <w:t>Sustainability:</w:t>
      </w:r>
      <w:r>
        <w:t xml:space="preserve"> For the purpose of this evaluation, </w:t>
      </w:r>
      <w:r w:rsidRPr="00B92C1D">
        <w:t>sustainable outcomes</w:t>
      </w:r>
      <w:r>
        <w:t xml:space="preserve"> </w:t>
      </w:r>
      <w:r w:rsidR="00AA584C">
        <w:t>relate to the</w:t>
      </w:r>
      <w:r>
        <w:t xml:space="preserve"> sustainability of a UXO programme</w:t>
      </w:r>
      <w:r w:rsidR="00AA584C">
        <w:t>,</w:t>
      </w:r>
      <w:r>
        <w:t xml:space="preserve"> given the absence of outcome data on operational activities of MRE, victim assistance</w:t>
      </w:r>
      <w:r w:rsidR="00AA584C">
        <w:t>,</w:t>
      </w:r>
      <w:r>
        <w:t xml:space="preserve"> and clearance, and it is assumed that decontaminated land will not be re-contaminated. In </w:t>
      </w:r>
      <w:r w:rsidRPr="00D8455E">
        <w:t xml:space="preserve">their current form, neither the NRA office nor </w:t>
      </w:r>
      <w:r>
        <w:t xml:space="preserve">the </w:t>
      </w:r>
      <w:r w:rsidRPr="00D8455E">
        <w:t xml:space="preserve">UXO Lao are sustainable without donor funding. </w:t>
      </w:r>
      <w:r>
        <w:t>This is of concern as d</w:t>
      </w:r>
      <w:r w:rsidRPr="00D8455E">
        <w:t>onor funds have not been constant over the last 20 years and this trend is likely to continue. Some donors are likely to exit the sector (or even leave Lao PDR all together) once the country exits</w:t>
      </w:r>
      <w:r>
        <w:t xml:space="preserve"> the</w:t>
      </w:r>
      <w:r w:rsidRPr="00D8455E">
        <w:t xml:space="preserve"> least developed nation statu</w:t>
      </w:r>
      <w:r w:rsidR="0041726F">
        <w:t>s anticipated in 2020, and UXO/Mine A</w:t>
      </w:r>
      <w:r w:rsidRPr="00D8455E">
        <w:t xml:space="preserve">ction may not fit neatly into the thematic funding windows. </w:t>
      </w:r>
      <w:r>
        <w:t>N</w:t>
      </w:r>
      <w:r w:rsidRPr="00821BB0">
        <w:t xml:space="preserve">otification 093/NRA provides some assurance that development agencies will have to budget for and purchase UXO clearance services where needed. </w:t>
      </w:r>
    </w:p>
    <w:p w:rsidR="00394A4F" w:rsidRPr="00B1500C" w:rsidRDefault="00394A4F" w:rsidP="00394A4F">
      <w:pPr>
        <w:pStyle w:val="Heading2"/>
        <w:numPr>
          <w:ilvl w:val="0"/>
          <w:numId w:val="0"/>
        </w:numPr>
      </w:pPr>
      <w:bookmarkStart w:id="4" w:name="_Toc441609311"/>
      <w:r w:rsidRPr="00B1500C">
        <w:t>Recommendations</w:t>
      </w:r>
      <w:bookmarkEnd w:id="4"/>
      <w:r w:rsidRPr="00B1500C">
        <w:t xml:space="preserve"> </w:t>
      </w:r>
    </w:p>
    <w:p w:rsidR="00394A4F" w:rsidRDefault="00394A4F" w:rsidP="00394A4F">
      <w:r>
        <w:t xml:space="preserve">For detailed recommendations please refer to Chapter 6 </w:t>
      </w:r>
      <w:r w:rsidRPr="001325FE">
        <w:t xml:space="preserve">and </w:t>
      </w:r>
      <w:r w:rsidR="00C022EA">
        <w:t>Appendix</w:t>
      </w:r>
      <w:r w:rsidR="005F2BA6">
        <w:t xml:space="preserve"> 5</w:t>
      </w:r>
      <w:r w:rsidRPr="001325FE">
        <w:t>.</w:t>
      </w:r>
    </w:p>
    <w:p w:rsidR="00394A4F" w:rsidRPr="004B4DE0" w:rsidRDefault="00394A4F" w:rsidP="004B4DE0">
      <w:pPr>
        <w:rPr>
          <w:b/>
        </w:rPr>
      </w:pPr>
      <w:r w:rsidRPr="004B4DE0">
        <w:rPr>
          <w:b/>
        </w:rPr>
        <w:t>Programme design</w:t>
      </w:r>
    </w:p>
    <w:p w:rsidR="005275F8" w:rsidRPr="004B4DE0" w:rsidRDefault="005275F8" w:rsidP="004B4DE0">
      <w:pPr>
        <w:pStyle w:val="ListParagraph"/>
        <w:numPr>
          <w:ilvl w:val="0"/>
          <w:numId w:val="41"/>
        </w:numPr>
        <w:tabs>
          <w:tab w:val="left" w:pos="284"/>
        </w:tabs>
        <w:spacing w:after="200"/>
        <w:rPr>
          <w:rFonts w:cs="TT15Et00"/>
        </w:rPr>
      </w:pPr>
      <w:r w:rsidRPr="004B4DE0">
        <w:rPr>
          <w:rFonts w:cs="TT15Et00"/>
        </w:rPr>
        <w:t xml:space="preserve">The UNDP, with the NRA and the UXO Lao, should actively promote the allocation of resources to developing management capacities, clearly articulating </w:t>
      </w:r>
      <w:r>
        <w:t xml:space="preserve">how the UNDP’s support contributes to programme outputs and outcomes and capacity development. </w:t>
      </w:r>
    </w:p>
    <w:p w:rsidR="00394A4F" w:rsidRPr="004B4DE0" w:rsidRDefault="00394A4F" w:rsidP="004B4DE0">
      <w:pPr>
        <w:rPr>
          <w:b/>
        </w:rPr>
      </w:pPr>
      <w:r w:rsidRPr="004B4DE0">
        <w:rPr>
          <w:b/>
        </w:rPr>
        <w:t>Outputs, outcomes, impact and relevance</w:t>
      </w:r>
    </w:p>
    <w:p w:rsidR="005275F8" w:rsidRPr="005275F8" w:rsidRDefault="005275F8" w:rsidP="004B4DE0">
      <w:pPr>
        <w:pStyle w:val="ListParagraph"/>
        <w:numPr>
          <w:ilvl w:val="0"/>
          <w:numId w:val="41"/>
        </w:numPr>
        <w:tabs>
          <w:tab w:val="left" w:pos="284"/>
        </w:tabs>
        <w:spacing w:after="200"/>
      </w:pPr>
      <w:r w:rsidRPr="005275F8">
        <w:t>The UNDP should actively promote dialogue between the NRA, LNCRDPE, MPI, and other stakeholders, including province and district leve</w:t>
      </w:r>
      <w:r w:rsidR="00D65B84">
        <w:t xml:space="preserve">l planners, to articulate a </w:t>
      </w:r>
      <w:r w:rsidRPr="005275F8">
        <w:t xml:space="preserve">transparent, systematic, and auditable process for task prioritisation, collection of relevant baseline and outcome indicators (possibly integrated into existing processes). </w:t>
      </w:r>
    </w:p>
    <w:p w:rsidR="00C81B4C" w:rsidRPr="001325FE" w:rsidRDefault="005275F8" w:rsidP="004B4DE0">
      <w:pPr>
        <w:pStyle w:val="ListParagraph"/>
        <w:numPr>
          <w:ilvl w:val="0"/>
          <w:numId w:val="41"/>
        </w:numPr>
        <w:tabs>
          <w:tab w:val="left" w:pos="284"/>
        </w:tabs>
        <w:spacing w:after="200"/>
      </w:pPr>
      <w:r w:rsidRPr="005275F8">
        <w:t xml:space="preserve">The UNDP should support the </w:t>
      </w:r>
      <w:r w:rsidRPr="004B4DE0">
        <w:rPr>
          <w:rFonts w:cs="TT15Ct00"/>
        </w:rPr>
        <w:t xml:space="preserve">NRA, the UXO Lao, and other relevant stakeholders, to identify how UXO/Mine Action might contribute to the SDG targets and identify what, if any, outcome or impact level data collection can be mainstreamed into other SDG data collection processes. </w:t>
      </w:r>
    </w:p>
    <w:p w:rsidR="00394A4F" w:rsidRPr="004B4DE0" w:rsidRDefault="00394A4F" w:rsidP="004B4DE0">
      <w:pPr>
        <w:rPr>
          <w:b/>
        </w:rPr>
      </w:pPr>
      <w:r w:rsidRPr="004B4DE0">
        <w:rPr>
          <w:b/>
        </w:rPr>
        <w:t xml:space="preserve">Effectiveness and efficiency of implementation </w:t>
      </w:r>
    </w:p>
    <w:p w:rsidR="00D65B84" w:rsidRPr="00D65B84" w:rsidRDefault="004B4DE0" w:rsidP="004B4DE0">
      <w:pPr>
        <w:pStyle w:val="ListParagraph"/>
        <w:numPr>
          <w:ilvl w:val="0"/>
          <w:numId w:val="41"/>
        </w:numPr>
      </w:pPr>
      <w:r w:rsidRPr="008A7A37">
        <w:t xml:space="preserve">The UNDP should support discussions within the NRA and the Survey and Clearance Technical Working Group to review the CMTS </w:t>
      </w:r>
      <w:r w:rsidRPr="00D65B84">
        <w:rPr>
          <w:rFonts w:eastAsiaTheme="minorEastAsia" w:cs="Calibri"/>
        </w:rPr>
        <w:t xml:space="preserve">and other approved processes under the new concept of operations to </w:t>
      </w:r>
      <w:r w:rsidR="00D65B84" w:rsidRPr="00D65B84">
        <w:rPr>
          <w:rFonts w:eastAsiaTheme="minorEastAsia" w:cs="Calibri"/>
        </w:rPr>
        <w:t>enable community voices and concerns to be heard &amp; ensure all community members are provided with appropriate information about decisions that affect them.</w:t>
      </w:r>
    </w:p>
    <w:p w:rsidR="004B4DE0" w:rsidRPr="008A7A37" w:rsidRDefault="004B4DE0" w:rsidP="004B4DE0">
      <w:pPr>
        <w:pStyle w:val="ListParagraph"/>
        <w:numPr>
          <w:ilvl w:val="0"/>
          <w:numId w:val="41"/>
        </w:numPr>
      </w:pPr>
      <w:r w:rsidRPr="008A7A37">
        <w:t xml:space="preserve">The UNDP should support discussions within the NRA and the Survey and Clearance Technical Working Group to determine how efficiency and effectiveness of </w:t>
      </w:r>
      <w:r w:rsidRPr="00D65B84">
        <w:rPr>
          <w:rFonts w:eastAsiaTheme="minorEastAsia" w:cs="Calibri"/>
        </w:rPr>
        <w:t xml:space="preserve">the new concept of operations </w:t>
      </w:r>
      <w:r w:rsidRPr="008A7A37">
        <w:t xml:space="preserve">will be evaluated. </w:t>
      </w:r>
    </w:p>
    <w:p w:rsidR="00394A4F" w:rsidRDefault="004B4DE0" w:rsidP="004B4DE0">
      <w:pPr>
        <w:rPr>
          <w:b/>
        </w:rPr>
      </w:pPr>
      <w:r>
        <w:rPr>
          <w:b/>
        </w:rPr>
        <w:t>Partnerships and coordination</w:t>
      </w:r>
    </w:p>
    <w:p w:rsidR="004B4DE0" w:rsidRDefault="004B4DE0" w:rsidP="004B4DE0">
      <w:pPr>
        <w:pStyle w:val="ListParagraph"/>
        <w:numPr>
          <w:ilvl w:val="0"/>
          <w:numId w:val="41"/>
        </w:numPr>
      </w:pPr>
      <w:r w:rsidRPr="008A7A37">
        <w:t>The UNDP should support the NRA hold quarterly operational meetings with development partners (program manage</w:t>
      </w:r>
      <w:r w:rsidR="00596A2A">
        <w:t>r level)</w:t>
      </w:r>
      <w:r w:rsidRPr="008A7A37">
        <w:t xml:space="preserve">. </w:t>
      </w:r>
    </w:p>
    <w:p w:rsidR="004B4DE0" w:rsidRDefault="004B4DE0" w:rsidP="004B4DE0">
      <w:pPr>
        <w:pStyle w:val="ListParagraph"/>
        <w:numPr>
          <w:ilvl w:val="0"/>
          <w:numId w:val="41"/>
        </w:numPr>
      </w:pPr>
      <w:r>
        <w:rPr>
          <w:lang w:eastAsia="en-AU"/>
        </w:rPr>
        <w:t xml:space="preserve">The UNDP should support the NRA and UXO Lao to develop and implement an effective communication strategy, tailored to different stakeholder needs and focussed on application of safeguards, outputs, impacts and progress against the capacity building workplans. </w:t>
      </w:r>
    </w:p>
    <w:p w:rsidR="004B4DE0" w:rsidRPr="004B4DE0" w:rsidRDefault="004B4DE0" w:rsidP="004B4DE0">
      <w:pPr>
        <w:pStyle w:val="ListParagraph"/>
        <w:numPr>
          <w:ilvl w:val="0"/>
          <w:numId w:val="41"/>
        </w:numPr>
      </w:pPr>
      <w:r w:rsidRPr="004B4DE0">
        <w:rPr>
          <w:rFonts w:cs="Arial"/>
          <w:lang w:eastAsia="en-AU"/>
        </w:rPr>
        <w:t>The UNDP should support constructive dialogue with the Ministry of Foreign Affairs and development partners to determine if the Trust Fund and its Terms of Reference are still appropriate</w:t>
      </w:r>
      <w:r w:rsidR="00596A2A">
        <w:rPr>
          <w:rFonts w:cs="Arial"/>
          <w:lang w:eastAsia="en-AU"/>
        </w:rPr>
        <w:t>.</w:t>
      </w:r>
    </w:p>
    <w:p w:rsidR="004B4DE0" w:rsidRPr="004B4DE0" w:rsidRDefault="004B4DE0" w:rsidP="004B4DE0">
      <w:pPr>
        <w:pStyle w:val="ListParagraph"/>
        <w:numPr>
          <w:ilvl w:val="0"/>
          <w:numId w:val="41"/>
        </w:numPr>
      </w:pPr>
      <w:r w:rsidRPr="004B4DE0">
        <w:rPr>
          <w:rFonts w:cs="Arial"/>
          <w:lang w:eastAsia="en-AU"/>
        </w:rPr>
        <w:t xml:space="preserve">The UNDP should continue to work with the NRA, the UXO Lao, and donors to ensure a coherent approach to the provision and coordination of technical advisory services. </w:t>
      </w:r>
    </w:p>
    <w:p w:rsidR="00394A4F" w:rsidRPr="004B4DE0" w:rsidRDefault="00394A4F" w:rsidP="004B4DE0">
      <w:pPr>
        <w:rPr>
          <w:b/>
        </w:rPr>
      </w:pPr>
      <w:r w:rsidRPr="004B4DE0">
        <w:rPr>
          <w:b/>
        </w:rPr>
        <w:t>Gender and</w:t>
      </w:r>
      <w:r w:rsidR="0041726F" w:rsidRPr="004B4DE0">
        <w:rPr>
          <w:b/>
        </w:rPr>
        <w:t xml:space="preserve"> Human Rights-Based Approach </w:t>
      </w:r>
    </w:p>
    <w:p w:rsidR="004B4DE0" w:rsidRPr="000830CC" w:rsidRDefault="00D65B84" w:rsidP="004B4DE0">
      <w:pPr>
        <w:pStyle w:val="ListParagraph"/>
        <w:numPr>
          <w:ilvl w:val="0"/>
          <w:numId w:val="41"/>
        </w:numPr>
      </w:pPr>
      <w:r w:rsidRPr="004B4DE0">
        <w:rPr>
          <w:rFonts w:cs="TT15Ct00"/>
        </w:rPr>
        <w:t xml:space="preserve">The UNDP should </w:t>
      </w:r>
      <w:r>
        <w:rPr>
          <w:rFonts w:cs="TT15Ct00"/>
        </w:rPr>
        <w:t>s</w:t>
      </w:r>
      <w:r w:rsidR="004B4DE0" w:rsidRPr="004B4DE0">
        <w:rPr>
          <w:rFonts w:cs="TT15Ct00"/>
        </w:rPr>
        <w:t xml:space="preserve">upport the NRA and the UXO Lao to ensure a pro-poor, gender sensitive focus including gender indicators at the output and outcome level and implementing the recent </w:t>
      </w:r>
      <w:r w:rsidR="004B4DE0" w:rsidRPr="00255822">
        <w:t>GMAP</w:t>
      </w:r>
      <w:r w:rsidR="004B4DE0">
        <w:t xml:space="preserve"> 2014 action plan and recommendations related to the 2008 gender assessment</w:t>
      </w:r>
      <w:r w:rsidR="004B4DE0" w:rsidRPr="004B4DE0">
        <w:rPr>
          <w:rFonts w:cs="TT15Ct00"/>
        </w:rPr>
        <w:t>.</w:t>
      </w:r>
    </w:p>
    <w:p w:rsidR="00394A4F" w:rsidRDefault="00394A4F" w:rsidP="004B4DE0">
      <w:pPr>
        <w:rPr>
          <w:b/>
        </w:rPr>
      </w:pPr>
      <w:r w:rsidRPr="004B4DE0">
        <w:rPr>
          <w:b/>
        </w:rPr>
        <w:t>Monitoring, evaluation and risk management</w:t>
      </w:r>
    </w:p>
    <w:p w:rsidR="004B4DE0" w:rsidRDefault="004B4DE0" w:rsidP="004B4DE0">
      <w:pPr>
        <w:pStyle w:val="ListParagraph"/>
        <w:numPr>
          <w:ilvl w:val="0"/>
          <w:numId w:val="41"/>
        </w:numPr>
      </w:pPr>
      <w:r w:rsidRPr="004B4DE0">
        <w:rPr>
          <w:rFonts w:cs="TT15Ct00"/>
        </w:rPr>
        <w:t xml:space="preserve">The UNDP should further develop the capacity of the NRA and UXO Lao </w:t>
      </w:r>
      <w:r>
        <w:t>in all stages of the information cycle</w:t>
      </w:r>
      <w:r w:rsidRPr="004B4DE0">
        <w:rPr>
          <w:rFonts w:cs="TT15Ct00"/>
        </w:rPr>
        <w:t xml:space="preserve"> and to</w:t>
      </w:r>
      <w:r>
        <w:t xml:space="preserve"> develop and implement a sector monitoring and evaluation framework that articulates minimum, output and outcome indicators. </w:t>
      </w:r>
    </w:p>
    <w:p w:rsidR="004B4DE0" w:rsidRPr="004B4DE0" w:rsidRDefault="004B4DE0" w:rsidP="004B4DE0">
      <w:pPr>
        <w:pStyle w:val="ListParagraph"/>
        <w:numPr>
          <w:ilvl w:val="0"/>
          <w:numId w:val="41"/>
        </w:numPr>
      </w:pPr>
      <w:r w:rsidRPr="004B4DE0">
        <w:rPr>
          <w:rFonts w:cs="TT15Ct00"/>
        </w:rPr>
        <w:t xml:space="preserve">The UNDP should </w:t>
      </w:r>
      <w:r>
        <w:t xml:space="preserve">support the NRA and the UXO Lao to integrate, monitor, and report on appropriate elements of the </w:t>
      </w:r>
      <w:r w:rsidRPr="004B4DE0">
        <w:rPr>
          <w:rFonts w:cs="TT15Ct00"/>
        </w:rPr>
        <w:t xml:space="preserve">UNDP’s recently released </w:t>
      </w:r>
      <w:r w:rsidRPr="00336109">
        <w:t>Social and Environmental Safeguards</w:t>
      </w:r>
      <w:r>
        <w:t xml:space="preserve"> into their work. </w:t>
      </w:r>
    </w:p>
    <w:p w:rsidR="00394A4F" w:rsidRDefault="00394A4F" w:rsidP="004B4DE0">
      <w:pPr>
        <w:rPr>
          <w:b/>
        </w:rPr>
      </w:pPr>
      <w:r w:rsidRPr="004B4DE0">
        <w:rPr>
          <w:b/>
        </w:rPr>
        <w:t xml:space="preserve">Sustainability </w:t>
      </w:r>
    </w:p>
    <w:p w:rsidR="004B4DE0" w:rsidRDefault="004B4DE0" w:rsidP="004B4DE0">
      <w:pPr>
        <w:pStyle w:val="ListParagraph"/>
        <w:numPr>
          <w:ilvl w:val="0"/>
          <w:numId w:val="41"/>
        </w:numPr>
      </w:pPr>
      <w:r w:rsidRPr="004B4DE0">
        <w:rPr>
          <w:rFonts w:cs="TT15Ct00"/>
        </w:rPr>
        <w:t xml:space="preserve">The UNDP should </w:t>
      </w:r>
      <w:r>
        <w:t>continue to support the</w:t>
      </w:r>
      <w:r w:rsidRPr="00C81B4C">
        <w:t xml:space="preserve"> NRA to develop a </w:t>
      </w:r>
      <w:r>
        <w:t xml:space="preserve">strategy to transition to increased government </w:t>
      </w:r>
      <w:r w:rsidRPr="00C81B4C">
        <w:t xml:space="preserve">financing </w:t>
      </w:r>
      <w:r>
        <w:t xml:space="preserve">of the sector. </w:t>
      </w:r>
      <w:r w:rsidRPr="008A7A37">
        <w:t xml:space="preserve">The strategy should be agreed on by the end of 2018, with implementation commencing at the beginning of 2019. </w:t>
      </w:r>
    </w:p>
    <w:p w:rsidR="004B4DE0" w:rsidRDefault="004B4DE0" w:rsidP="004B4DE0">
      <w:pPr>
        <w:pStyle w:val="ListParagraph"/>
        <w:numPr>
          <w:ilvl w:val="0"/>
          <w:numId w:val="41"/>
        </w:numPr>
      </w:pPr>
      <w:r w:rsidRPr="004B4DE0">
        <w:rPr>
          <w:rFonts w:cs="TT15Et00"/>
        </w:rPr>
        <w:t xml:space="preserve">The UNDP should facilitate dialogue between the NRA, Ministry of Health, and WHO, and other relevant organisations to develop an action plan to review the quality of the incident surveillance and data collection to </w:t>
      </w:r>
      <w:r w:rsidRPr="00C81B4C">
        <w:t>ensure alignment with (current or planned) injury surveillance systems</w:t>
      </w:r>
      <w:r>
        <w:t xml:space="preserve">, </w:t>
      </w:r>
      <w:r w:rsidRPr="00C81B4C">
        <w:t>the integration of epidemiological principals into the surveillance of UXO injury; and adherence to WHO’s</w:t>
      </w:r>
      <w:r w:rsidRPr="004B4DE0">
        <w:rPr>
          <w:rFonts w:ascii="Calibri" w:hAnsi="Calibri"/>
        </w:rPr>
        <w:t xml:space="preserve"> minimal recommendation dataset for injury surveillance</w:t>
      </w:r>
      <w:r w:rsidRPr="00C81B4C">
        <w:t>.</w:t>
      </w:r>
      <w:r>
        <w:t xml:space="preserve"> </w:t>
      </w:r>
    </w:p>
    <w:p w:rsidR="004B4DE0" w:rsidRPr="004B4DE0" w:rsidRDefault="004B4DE0" w:rsidP="004B4DE0">
      <w:pPr>
        <w:rPr>
          <w:b/>
        </w:rPr>
      </w:pPr>
    </w:p>
    <w:p w:rsidR="00394A4F" w:rsidRDefault="00394A4F" w:rsidP="00394A4F"/>
    <w:p w:rsidR="00394A4F" w:rsidRDefault="00394A4F" w:rsidP="00394A4F">
      <w:pPr>
        <w:sectPr w:rsidR="00394A4F">
          <w:pgSz w:w="12240" w:h="15840"/>
          <w:pgMar w:top="1440" w:right="1440" w:bottom="1440" w:left="1440" w:header="720" w:footer="720" w:gutter="0"/>
          <w:cols w:space="720"/>
          <w:docGrid w:linePitch="360"/>
        </w:sectPr>
      </w:pPr>
    </w:p>
    <w:p w:rsidR="00C5275C" w:rsidRPr="00C5275C" w:rsidRDefault="00C5275C" w:rsidP="00C5275C">
      <w:pPr>
        <w:jc w:val="center"/>
        <w:rPr>
          <w:b/>
          <w:sz w:val="32"/>
          <w:szCs w:val="32"/>
        </w:rPr>
      </w:pPr>
      <w:r w:rsidRPr="00C5275C">
        <w:rPr>
          <w:b/>
          <w:sz w:val="32"/>
          <w:szCs w:val="32"/>
        </w:rPr>
        <w:t>Evaluation of UNDP Support to M</w:t>
      </w:r>
      <w:r w:rsidR="002410F7">
        <w:rPr>
          <w:b/>
          <w:sz w:val="32"/>
          <w:szCs w:val="32"/>
        </w:rPr>
        <w:t>ine Action in Lao PDR, 2013-2016</w:t>
      </w:r>
    </w:p>
    <w:p w:rsidR="00FA3AF0" w:rsidRPr="00DC183C" w:rsidRDefault="00FA3AF0" w:rsidP="00DF4E42">
      <w:pPr>
        <w:pStyle w:val="Heading1"/>
        <w:numPr>
          <w:ilvl w:val="0"/>
          <w:numId w:val="3"/>
        </w:numPr>
      </w:pPr>
      <w:bookmarkStart w:id="5" w:name="_Toc441609312"/>
      <w:r w:rsidRPr="00DC183C">
        <w:t>Introduction</w:t>
      </w:r>
      <w:bookmarkEnd w:id="5"/>
    </w:p>
    <w:p w:rsidR="007060DD" w:rsidRDefault="007060DD" w:rsidP="007060DD">
      <w:pPr>
        <w:pStyle w:val="NormalModified"/>
      </w:pPr>
      <w:r>
        <w:t xml:space="preserve">This report examines the strategic relevance and positioning of </w:t>
      </w:r>
      <w:r w:rsidR="006E1248">
        <w:t xml:space="preserve">the </w:t>
      </w:r>
      <w:r w:rsidR="00C0531D">
        <w:t xml:space="preserve">United Nations Development Programme (UNDP) </w:t>
      </w:r>
      <w:r>
        <w:t xml:space="preserve">under </w:t>
      </w:r>
      <w:r w:rsidRPr="00DC183C">
        <w:t>the</w:t>
      </w:r>
      <w:r w:rsidR="006E1248">
        <w:t xml:space="preserve"> </w:t>
      </w:r>
      <w:r w:rsidR="00A229E8">
        <w:t xml:space="preserve">project </w:t>
      </w:r>
      <w:r w:rsidR="005F4CBA" w:rsidRPr="00054A0C">
        <w:rPr>
          <w:i/>
        </w:rPr>
        <w:t>Support for the institutional Strengthening of the National Regulatory Authority for the UXO /Mine Action Sector (NRA) and the Lao National U</w:t>
      </w:r>
      <w:r w:rsidR="005F26B8">
        <w:rPr>
          <w:i/>
        </w:rPr>
        <w:t>XO Programme (UXO Lao) 2013-2016</w:t>
      </w:r>
      <w:r w:rsidR="00A06ACE">
        <w:rPr>
          <w:rStyle w:val="FootnoteReference"/>
          <w:i/>
        </w:rPr>
        <w:footnoteReference w:id="1"/>
      </w:r>
      <w:r w:rsidRPr="00DC183C">
        <w:t xml:space="preserve">. </w:t>
      </w:r>
      <w:r>
        <w:t xml:space="preserve">The report assesses support under the </w:t>
      </w:r>
      <w:r w:rsidR="00584CDF">
        <w:t xml:space="preserve">Development Assistance Committee (DAC) </w:t>
      </w:r>
      <w:r>
        <w:t>criteria of effectiveness, relevance, efficiency, and sustainability</w:t>
      </w:r>
      <w:r w:rsidR="0041274A">
        <w:t>,</w:t>
      </w:r>
      <w:r>
        <w:t xml:space="preserve"> </w:t>
      </w:r>
      <w:r w:rsidR="0041274A">
        <w:t>and</w:t>
      </w:r>
      <w:r>
        <w:t xml:space="preserve"> consider</w:t>
      </w:r>
      <w:r w:rsidR="0041274A">
        <w:t>s</w:t>
      </w:r>
      <w:r>
        <w:t xml:space="preserve"> monit</w:t>
      </w:r>
      <w:r w:rsidR="00A06ACE">
        <w:t xml:space="preserve">oring and evaluation processes, </w:t>
      </w:r>
      <w:r w:rsidR="00670125">
        <w:t xml:space="preserve">under the </w:t>
      </w:r>
      <w:r w:rsidR="004F1A16" w:rsidRPr="004F1A16">
        <w:t>Gender and Human Rights-Based Approach</w:t>
      </w:r>
      <w:r>
        <w:t xml:space="preserve">. It also </w:t>
      </w:r>
      <w:r w:rsidR="0041274A">
        <w:t xml:space="preserve">puts </w:t>
      </w:r>
      <w:r>
        <w:t>forward</w:t>
      </w:r>
      <w:r w:rsidR="0041274A">
        <w:t xml:space="preserve"> </w:t>
      </w:r>
      <w:r>
        <w:t xml:space="preserve">recommendations for the </w:t>
      </w:r>
      <w:r w:rsidR="004F1A16">
        <w:t>new</w:t>
      </w:r>
      <w:r>
        <w:t xml:space="preserve"> programme.</w:t>
      </w:r>
    </w:p>
    <w:p w:rsidR="00FA3AF0" w:rsidRPr="00DC183C" w:rsidRDefault="00A450D8" w:rsidP="00F129D4">
      <w:pPr>
        <w:pStyle w:val="Heading2"/>
        <w:ind w:left="360"/>
      </w:pPr>
      <w:r>
        <w:t xml:space="preserve"> </w:t>
      </w:r>
      <w:bookmarkStart w:id="6" w:name="_Toc441609313"/>
      <w:r w:rsidR="00FA3AF0" w:rsidRPr="00DC183C">
        <w:t>Evaluation background</w:t>
      </w:r>
      <w:bookmarkEnd w:id="6"/>
    </w:p>
    <w:p w:rsidR="00584CDF" w:rsidRPr="00DC183C" w:rsidRDefault="00584CDF" w:rsidP="00584CDF">
      <w:pPr>
        <w:rPr>
          <w:rFonts w:ascii="Calibri" w:hAnsi="Calibri" w:cs="Calibri"/>
        </w:rPr>
      </w:pPr>
      <w:r w:rsidRPr="00DC183C">
        <w:rPr>
          <w:rFonts w:ascii="Calibri" w:hAnsi="Calibri" w:cs="Calibri"/>
        </w:rPr>
        <w:t>Since 1996</w:t>
      </w:r>
      <w:r>
        <w:rPr>
          <w:rFonts w:ascii="Calibri" w:hAnsi="Calibri" w:cs="Calibri"/>
        </w:rPr>
        <w:t>,</w:t>
      </w:r>
      <w:r w:rsidRPr="00DC183C">
        <w:rPr>
          <w:rFonts w:ascii="Calibri" w:hAnsi="Calibri" w:cs="Calibri"/>
        </w:rPr>
        <w:t xml:space="preserve"> </w:t>
      </w:r>
      <w:r>
        <w:rPr>
          <w:rFonts w:ascii="Calibri" w:hAnsi="Calibri" w:cs="Calibri"/>
        </w:rPr>
        <w:t xml:space="preserve">the </w:t>
      </w:r>
      <w:r w:rsidRPr="00DC183C">
        <w:rPr>
          <w:rFonts w:ascii="Calibri" w:hAnsi="Calibri" w:cs="Calibri"/>
        </w:rPr>
        <w:t xml:space="preserve">UNDP and other </w:t>
      </w:r>
      <w:r>
        <w:rPr>
          <w:rFonts w:ascii="Calibri" w:hAnsi="Calibri" w:cs="Calibri"/>
        </w:rPr>
        <w:t>United Nations (UN)</w:t>
      </w:r>
      <w:r w:rsidRPr="00DC183C">
        <w:rPr>
          <w:rFonts w:ascii="Calibri" w:hAnsi="Calibri" w:cs="Calibri"/>
        </w:rPr>
        <w:t xml:space="preserve"> bodies have supported the </w:t>
      </w:r>
      <w:r>
        <w:rPr>
          <w:rFonts w:ascii="Calibri" w:hAnsi="Calibri" w:cs="Calibri"/>
        </w:rPr>
        <w:t>unexploded ordnance (UXO)</w:t>
      </w:r>
      <w:r w:rsidRPr="00DC183C">
        <w:rPr>
          <w:rFonts w:ascii="Calibri" w:hAnsi="Calibri" w:cs="Calibri"/>
        </w:rPr>
        <w:t xml:space="preserve"> sector of Lao PDR through a number of mechanisms and phases. This has included the establishment of </w:t>
      </w:r>
      <w:r>
        <w:rPr>
          <w:rFonts w:ascii="Calibri" w:hAnsi="Calibri" w:cs="Calibri"/>
        </w:rPr>
        <w:t xml:space="preserve">the </w:t>
      </w:r>
      <w:r w:rsidRPr="00DC183C">
        <w:rPr>
          <w:rFonts w:ascii="Calibri" w:hAnsi="Calibri" w:cs="Calibri"/>
        </w:rPr>
        <w:t>national clearance operator</w:t>
      </w:r>
      <w:r>
        <w:rPr>
          <w:rFonts w:ascii="Calibri" w:hAnsi="Calibri" w:cs="Calibri"/>
        </w:rPr>
        <w:t>,</w:t>
      </w:r>
      <w:r w:rsidRPr="00DC183C">
        <w:rPr>
          <w:rFonts w:ascii="Calibri" w:hAnsi="Calibri" w:cs="Calibri"/>
        </w:rPr>
        <w:t xml:space="preserve"> </w:t>
      </w:r>
      <w:r w:rsidRPr="009E79F9">
        <w:rPr>
          <w:rFonts w:ascii="Calibri" w:hAnsi="Calibri" w:cs="Calibri"/>
        </w:rPr>
        <w:t>UXO Lao</w:t>
      </w:r>
      <w:r>
        <w:rPr>
          <w:rFonts w:ascii="Calibri" w:hAnsi="Calibri" w:cs="Calibri"/>
        </w:rPr>
        <w:t>,</w:t>
      </w:r>
      <w:r w:rsidRPr="00DC183C">
        <w:rPr>
          <w:rFonts w:ascii="Calibri" w:hAnsi="Calibri" w:cs="Calibri"/>
        </w:rPr>
        <w:t xml:space="preserve"> in 1996</w:t>
      </w:r>
      <w:r>
        <w:rPr>
          <w:rFonts w:ascii="Calibri" w:hAnsi="Calibri" w:cs="Calibri"/>
        </w:rPr>
        <w:t>,</w:t>
      </w:r>
      <w:r w:rsidRPr="00DC183C">
        <w:rPr>
          <w:rFonts w:ascii="Calibri" w:hAnsi="Calibri" w:cs="Calibri"/>
        </w:rPr>
        <w:t xml:space="preserve"> and the establishment of </w:t>
      </w:r>
      <w:r>
        <w:rPr>
          <w:rFonts w:ascii="Calibri" w:hAnsi="Calibri" w:cs="Calibri"/>
        </w:rPr>
        <w:t xml:space="preserve">the </w:t>
      </w:r>
      <w:r w:rsidRPr="00054A0C">
        <w:rPr>
          <w:rFonts w:ascii="Calibri" w:eastAsia="Times New Roman" w:hAnsi="Calibri" w:cs="Calibri"/>
          <w:i/>
        </w:rPr>
        <w:t>National Regulatory Authority for the UXO /Mine Action Sector (NRA)</w:t>
      </w:r>
      <w:r w:rsidR="00520053">
        <w:rPr>
          <w:rFonts w:ascii="Calibri" w:eastAsia="Times New Roman" w:hAnsi="Calibri" w:cs="Calibri"/>
        </w:rPr>
        <w:t xml:space="preserve"> in 2004 under sector reform</w:t>
      </w:r>
      <w:r w:rsidRPr="00DC183C">
        <w:rPr>
          <w:rFonts w:ascii="Calibri" w:hAnsi="Calibri" w:cs="Calibri"/>
        </w:rPr>
        <w:t>. The support delivere</w:t>
      </w:r>
      <w:r w:rsidR="00A06ACE">
        <w:rPr>
          <w:rFonts w:ascii="Calibri" w:hAnsi="Calibri" w:cs="Calibri"/>
        </w:rPr>
        <w:t>d under the UNDAF 2012-2015</w:t>
      </w:r>
      <w:r>
        <w:rPr>
          <w:rFonts w:ascii="Calibri" w:hAnsi="Calibri" w:cs="Calibri"/>
        </w:rPr>
        <w:t>,</w:t>
      </w:r>
      <w:r w:rsidRPr="00DC183C">
        <w:rPr>
          <w:rFonts w:ascii="Calibri" w:hAnsi="Calibri" w:cs="Calibri"/>
        </w:rPr>
        <w:t xml:space="preserve"> aims to assist the Government of Lao PDR in achieving </w:t>
      </w:r>
      <w:r>
        <w:rPr>
          <w:rFonts w:ascii="Calibri" w:hAnsi="Calibri" w:cs="Calibri"/>
        </w:rPr>
        <w:t>Millennium Development Goal 9 (</w:t>
      </w:r>
      <w:r w:rsidR="004E6B55">
        <w:rPr>
          <w:rFonts w:ascii="Calibri" w:hAnsi="Calibri" w:cs="Calibri"/>
        </w:rPr>
        <w:t xml:space="preserve">Lao </w:t>
      </w:r>
      <w:r w:rsidRPr="00AE01A7">
        <w:rPr>
          <w:rFonts w:ascii="Calibri" w:hAnsi="Calibri" w:cs="Calibri"/>
        </w:rPr>
        <w:t>MDG 9</w:t>
      </w:r>
      <w:r>
        <w:rPr>
          <w:rFonts w:ascii="Calibri" w:hAnsi="Calibri" w:cs="Calibri"/>
        </w:rPr>
        <w:t>)</w:t>
      </w:r>
      <w:r w:rsidRPr="00AE01A7">
        <w:rPr>
          <w:rFonts w:ascii="Calibri" w:hAnsi="Calibri" w:cs="Calibri"/>
        </w:rPr>
        <w:t xml:space="preserve">: </w:t>
      </w:r>
      <w:r w:rsidRPr="00AE01A7">
        <w:rPr>
          <w:rFonts w:ascii="Calibri" w:hAnsi="Calibri" w:cs="Calibri"/>
          <w:i/>
        </w:rPr>
        <w:t>Reduce the impact of UXO</w:t>
      </w:r>
      <w:r w:rsidRPr="00AE01A7">
        <w:rPr>
          <w:rFonts w:ascii="Calibri" w:hAnsi="Calibri" w:cs="Calibri"/>
        </w:rPr>
        <w:t>.</w:t>
      </w:r>
      <w:r w:rsidRPr="00DC183C">
        <w:rPr>
          <w:rFonts w:ascii="Calibri" w:hAnsi="Calibri" w:cs="Calibri"/>
        </w:rPr>
        <w:t xml:space="preserve"> </w:t>
      </w:r>
      <w:r w:rsidR="00520053">
        <w:rPr>
          <w:rFonts w:ascii="Calibri" w:hAnsi="Calibri" w:cs="Calibri"/>
        </w:rPr>
        <w:t xml:space="preserve">The </w:t>
      </w:r>
      <w:r w:rsidRPr="00DC183C">
        <w:rPr>
          <w:rFonts w:ascii="Calibri" w:hAnsi="Calibri" w:cs="Calibri"/>
        </w:rPr>
        <w:t>UNDP’s support to the mine/UXO action sector has been delivered through two mechanisms: 1) the Trust Fund</w:t>
      </w:r>
      <w:r w:rsidRPr="00DC183C">
        <w:rPr>
          <w:rStyle w:val="FootnoteReference"/>
          <w:rFonts w:ascii="Calibri" w:hAnsi="Calibri" w:cs="Calibri"/>
        </w:rPr>
        <w:footnoteReference w:id="2"/>
      </w:r>
      <w:r w:rsidRPr="00DC183C">
        <w:rPr>
          <w:rFonts w:ascii="Calibri" w:hAnsi="Calibri" w:cs="Calibri"/>
        </w:rPr>
        <w:t xml:space="preserve"> and 2) third party cost sharing. </w:t>
      </w:r>
    </w:p>
    <w:p w:rsidR="000F2489" w:rsidRDefault="000F2489" w:rsidP="00054A0C">
      <w:pPr>
        <w:rPr>
          <w:rFonts w:ascii="Calibri" w:hAnsi="Calibri" w:cs="Calibri"/>
        </w:rPr>
      </w:pPr>
      <w:r w:rsidRPr="00DC183C">
        <w:rPr>
          <w:rFonts w:ascii="Calibri" w:hAnsi="Calibri" w:cs="Calibri"/>
        </w:rPr>
        <w:t xml:space="preserve">Since 2013, </w:t>
      </w:r>
      <w:r>
        <w:rPr>
          <w:rFonts w:ascii="Calibri" w:hAnsi="Calibri" w:cs="Calibri"/>
        </w:rPr>
        <w:t xml:space="preserve">the </w:t>
      </w:r>
      <w:r w:rsidRPr="00DC183C">
        <w:rPr>
          <w:rFonts w:ascii="Calibri" w:hAnsi="Calibri" w:cs="Calibri"/>
        </w:rPr>
        <w:t xml:space="preserve">UNDP’s work in the UXO sector has been framed by the project </w:t>
      </w:r>
      <w:r w:rsidRPr="00DC183C">
        <w:rPr>
          <w:rFonts w:ascii="Calibri" w:hAnsi="Calibri" w:cs="Calibri"/>
          <w:i/>
        </w:rPr>
        <w:t>Support for the institutional Strengthening of the National Regulatory Authority for the UXO /Mine Action Sector (NRA) and of the Lao National U</w:t>
      </w:r>
      <w:r w:rsidR="005F26B8">
        <w:rPr>
          <w:rFonts w:ascii="Calibri" w:hAnsi="Calibri" w:cs="Calibri"/>
          <w:i/>
        </w:rPr>
        <w:t>XO Programme (UXO Lao) 2013-2016</w:t>
      </w:r>
      <w:r w:rsidRPr="00DC183C">
        <w:rPr>
          <w:rFonts w:ascii="Calibri" w:hAnsi="Calibri" w:cs="Calibri"/>
        </w:rPr>
        <w:t xml:space="preserve">. </w:t>
      </w:r>
      <w:r w:rsidR="00797386" w:rsidRPr="00DC183C">
        <w:rPr>
          <w:rFonts w:ascii="Calibri" w:hAnsi="Calibri" w:cs="Calibri"/>
        </w:rPr>
        <w:t xml:space="preserve">The overall objective of this programme of cooperation between the UNDP and the Government of Lao </w:t>
      </w:r>
      <w:r w:rsidR="003433DB" w:rsidRPr="00DC183C">
        <w:rPr>
          <w:rFonts w:ascii="Calibri" w:hAnsi="Calibri" w:cs="Calibri"/>
        </w:rPr>
        <w:t>PDR</w:t>
      </w:r>
      <w:r w:rsidR="00797386" w:rsidRPr="00DC183C">
        <w:rPr>
          <w:rFonts w:ascii="Calibri" w:hAnsi="Calibri" w:cs="Calibri"/>
        </w:rPr>
        <w:t xml:space="preserve"> is to support</w:t>
      </w:r>
      <w:r w:rsidR="00EE3C63">
        <w:rPr>
          <w:rFonts w:ascii="Calibri" w:hAnsi="Calibri" w:cs="Calibri"/>
        </w:rPr>
        <w:t>,</w:t>
      </w:r>
      <w:r w:rsidR="00797386" w:rsidRPr="00DC183C">
        <w:rPr>
          <w:rFonts w:ascii="Calibri" w:hAnsi="Calibri" w:cs="Calibri"/>
        </w:rPr>
        <w:t xml:space="preserve"> and further strengthen</w:t>
      </w:r>
      <w:r w:rsidR="00EE3C63">
        <w:rPr>
          <w:rFonts w:ascii="Calibri" w:hAnsi="Calibri" w:cs="Calibri"/>
        </w:rPr>
        <w:t>,</w:t>
      </w:r>
      <w:r w:rsidR="00797386" w:rsidRPr="00DC183C">
        <w:rPr>
          <w:rFonts w:ascii="Calibri" w:hAnsi="Calibri" w:cs="Calibri"/>
        </w:rPr>
        <w:t xml:space="preserve"> the institutional capacity of the NRA and the national UXO Sector operator</w:t>
      </w:r>
      <w:r w:rsidR="009E79F9">
        <w:rPr>
          <w:rFonts w:ascii="Calibri" w:hAnsi="Calibri" w:cs="Calibri"/>
        </w:rPr>
        <w:t>, UXO Lao</w:t>
      </w:r>
      <w:r w:rsidR="00797386" w:rsidRPr="00DC183C">
        <w:rPr>
          <w:rFonts w:ascii="Calibri" w:hAnsi="Calibri" w:cs="Calibri"/>
        </w:rPr>
        <w:t>. The NRA has lead responsibility for the regulation, coordination</w:t>
      </w:r>
      <w:r w:rsidR="00C0531D">
        <w:rPr>
          <w:rFonts w:ascii="Calibri" w:hAnsi="Calibri" w:cs="Calibri"/>
        </w:rPr>
        <w:t>,</w:t>
      </w:r>
      <w:r w:rsidR="00797386" w:rsidRPr="00DC183C">
        <w:rPr>
          <w:rFonts w:ascii="Calibri" w:hAnsi="Calibri" w:cs="Calibri"/>
        </w:rPr>
        <w:t xml:space="preserve"> and oversight</w:t>
      </w:r>
      <w:r w:rsidR="009E79F9">
        <w:rPr>
          <w:rFonts w:ascii="Calibri" w:hAnsi="Calibri" w:cs="Calibri"/>
        </w:rPr>
        <w:t>,</w:t>
      </w:r>
      <w:r w:rsidR="00797386" w:rsidRPr="00DC183C">
        <w:rPr>
          <w:rFonts w:ascii="Calibri" w:hAnsi="Calibri" w:cs="Calibri"/>
        </w:rPr>
        <w:t xml:space="preserve"> of all work in the UXO sector</w:t>
      </w:r>
      <w:r w:rsidR="00EE3C63">
        <w:rPr>
          <w:rFonts w:ascii="Calibri" w:hAnsi="Calibri" w:cs="Calibri"/>
        </w:rPr>
        <w:t>,</w:t>
      </w:r>
      <w:r w:rsidR="009E79F9">
        <w:rPr>
          <w:rFonts w:ascii="Calibri" w:hAnsi="Calibri" w:cs="Calibri"/>
        </w:rPr>
        <w:t xml:space="preserve"> </w:t>
      </w:r>
      <w:r w:rsidR="00797386" w:rsidRPr="00DC183C">
        <w:rPr>
          <w:rFonts w:ascii="Calibri" w:hAnsi="Calibri" w:cs="Calibri"/>
        </w:rPr>
        <w:t xml:space="preserve">to ensure that Lao PDR fulfils its legal obligations as a State Party to </w:t>
      </w:r>
      <w:r w:rsidR="00073A75">
        <w:rPr>
          <w:rFonts w:ascii="Calibri" w:hAnsi="Calibri" w:cs="Calibri"/>
        </w:rPr>
        <w:t>t</w:t>
      </w:r>
      <w:r w:rsidR="00797386" w:rsidRPr="00DC183C">
        <w:rPr>
          <w:rFonts w:ascii="Calibri" w:hAnsi="Calibri" w:cs="Calibri"/>
        </w:rPr>
        <w:t xml:space="preserve">he </w:t>
      </w:r>
      <w:r w:rsidR="00073A75">
        <w:rPr>
          <w:rFonts w:ascii="Calibri" w:hAnsi="Calibri" w:cs="Calibri"/>
        </w:rPr>
        <w:t>Convention on Cluster Munitions (</w:t>
      </w:r>
      <w:r w:rsidR="00797386" w:rsidRPr="00DC183C">
        <w:rPr>
          <w:rFonts w:ascii="Calibri" w:hAnsi="Calibri" w:cs="Calibri"/>
        </w:rPr>
        <w:t>CCM</w:t>
      </w:r>
      <w:r w:rsidR="00073A75">
        <w:rPr>
          <w:rFonts w:ascii="Calibri" w:hAnsi="Calibri" w:cs="Calibri"/>
        </w:rPr>
        <w:t>)</w:t>
      </w:r>
      <w:r w:rsidR="00797386" w:rsidRPr="00DC183C">
        <w:rPr>
          <w:rFonts w:ascii="Calibri" w:hAnsi="Calibri" w:cs="Calibri"/>
        </w:rPr>
        <w:t>. UXO Lao is the only not-for-profit national operator in Lao PDR, and currently undertakes more than half of all UXO survey, clearance</w:t>
      </w:r>
      <w:r w:rsidR="00ED0484">
        <w:rPr>
          <w:rFonts w:ascii="Calibri" w:hAnsi="Calibri" w:cs="Calibri"/>
        </w:rPr>
        <w:t>,</w:t>
      </w:r>
      <w:r w:rsidR="00797386" w:rsidRPr="00DC183C">
        <w:rPr>
          <w:rFonts w:ascii="Calibri" w:hAnsi="Calibri" w:cs="Calibri"/>
        </w:rPr>
        <w:t xml:space="preserve"> and risk education work throughout the country</w:t>
      </w:r>
      <w:r>
        <w:rPr>
          <w:rFonts w:ascii="Calibri" w:hAnsi="Calibri" w:cs="Calibri"/>
        </w:rPr>
        <w:t xml:space="preserve">. </w:t>
      </w:r>
    </w:p>
    <w:p w:rsidR="00797386" w:rsidRPr="00DC183C" w:rsidRDefault="00797386" w:rsidP="00054A0C">
      <w:r w:rsidRPr="00DC183C">
        <w:t xml:space="preserve">The two </w:t>
      </w:r>
      <w:r w:rsidR="007C0029">
        <w:t>e</w:t>
      </w:r>
      <w:r w:rsidRPr="00DC183C">
        <w:t xml:space="preserve">xpected </w:t>
      </w:r>
      <w:r w:rsidR="007C0029">
        <w:t>o</w:t>
      </w:r>
      <w:r w:rsidRPr="00DC183C">
        <w:t xml:space="preserve">utputs of the project are: </w:t>
      </w:r>
    </w:p>
    <w:p w:rsidR="00797386" w:rsidRPr="00DC183C" w:rsidRDefault="00797386" w:rsidP="00797386">
      <w:pPr>
        <w:pStyle w:val="BodyText"/>
        <w:numPr>
          <w:ilvl w:val="0"/>
          <w:numId w:val="2"/>
        </w:numPr>
        <w:spacing w:after="0"/>
        <w:jc w:val="both"/>
        <w:rPr>
          <w:rFonts w:ascii="Calibri" w:hAnsi="Calibri" w:cs="Calibri"/>
          <w:i/>
          <w:sz w:val="22"/>
          <w:szCs w:val="22"/>
        </w:rPr>
      </w:pPr>
      <w:r w:rsidRPr="00DC183C">
        <w:rPr>
          <w:rFonts w:ascii="Calibri" w:hAnsi="Calibri" w:cs="Calibri"/>
          <w:i/>
          <w:sz w:val="22"/>
          <w:szCs w:val="22"/>
        </w:rPr>
        <w:t>OUTPUT 1: The National Regulatory Authority is able to effectively develop and provide policy guidance</w:t>
      </w:r>
      <w:r w:rsidR="008E1019">
        <w:rPr>
          <w:rFonts w:ascii="Calibri" w:hAnsi="Calibri" w:cs="Calibri"/>
          <w:i/>
          <w:sz w:val="22"/>
          <w:szCs w:val="22"/>
        </w:rPr>
        <w:t xml:space="preserve">, </w:t>
      </w:r>
      <w:r w:rsidRPr="00DC183C">
        <w:rPr>
          <w:rFonts w:ascii="Calibri" w:hAnsi="Calibri" w:cs="Calibri"/>
          <w:i/>
          <w:sz w:val="22"/>
          <w:szCs w:val="22"/>
        </w:rPr>
        <w:t>to coordinate and regulate the UXO sector in support of national development goals</w:t>
      </w:r>
      <w:r w:rsidR="008E1019">
        <w:rPr>
          <w:rFonts w:ascii="Calibri" w:hAnsi="Calibri" w:cs="Calibri"/>
          <w:i/>
          <w:sz w:val="22"/>
          <w:szCs w:val="22"/>
        </w:rPr>
        <w:t xml:space="preserve"> and</w:t>
      </w:r>
      <w:r w:rsidRPr="00DC183C">
        <w:rPr>
          <w:rFonts w:ascii="Calibri" w:hAnsi="Calibri" w:cs="Calibri"/>
          <w:i/>
          <w:sz w:val="22"/>
          <w:szCs w:val="22"/>
        </w:rPr>
        <w:t xml:space="preserve"> the </w:t>
      </w:r>
      <w:r w:rsidRPr="00AE01A7">
        <w:rPr>
          <w:rFonts w:ascii="Calibri" w:hAnsi="Calibri" w:cs="Calibri"/>
          <w:i/>
          <w:sz w:val="22"/>
          <w:szCs w:val="22"/>
        </w:rPr>
        <w:t>implementation of the national UXO sector strategy “Safe Path Forward II”, and to ensure the fulfilment of relevant international treaty obligations</w:t>
      </w:r>
      <w:r w:rsidR="008E1019">
        <w:rPr>
          <w:rFonts w:ascii="Calibri" w:hAnsi="Calibri" w:cs="Calibri"/>
          <w:i/>
          <w:sz w:val="22"/>
          <w:szCs w:val="22"/>
        </w:rPr>
        <w:t xml:space="preserve">. </w:t>
      </w:r>
    </w:p>
    <w:p w:rsidR="00797386" w:rsidRPr="00DC183C" w:rsidRDefault="00797386" w:rsidP="00797386">
      <w:pPr>
        <w:pStyle w:val="BodyText"/>
        <w:spacing w:after="0"/>
        <w:ind w:left="720"/>
        <w:jc w:val="both"/>
        <w:rPr>
          <w:rFonts w:ascii="Calibri" w:hAnsi="Calibri" w:cs="Calibri"/>
          <w:i/>
          <w:sz w:val="22"/>
          <w:szCs w:val="22"/>
        </w:rPr>
      </w:pPr>
    </w:p>
    <w:p w:rsidR="00797386" w:rsidRPr="00DC183C" w:rsidRDefault="00797386" w:rsidP="00797386">
      <w:pPr>
        <w:pStyle w:val="BodyText"/>
        <w:numPr>
          <w:ilvl w:val="0"/>
          <w:numId w:val="2"/>
        </w:numPr>
        <w:spacing w:after="0"/>
        <w:jc w:val="both"/>
        <w:rPr>
          <w:rFonts w:ascii="Calibri" w:hAnsi="Calibri" w:cs="Calibri"/>
          <w:i/>
          <w:sz w:val="22"/>
          <w:szCs w:val="22"/>
        </w:rPr>
      </w:pPr>
      <w:r w:rsidRPr="00DC183C">
        <w:rPr>
          <w:rFonts w:ascii="Calibri" w:hAnsi="Calibri" w:cs="Calibri"/>
          <w:i/>
          <w:sz w:val="22"/>
          <w:szCs w:val="22"/>
        </w:rPr>
        <w:t>OUTPUT 2: UXO Lao is better able to manage clearance and risk education programmes for the needs of communities at risk</w:t>
      </w:r>
      <w:r w:rsidR="008E1019">
        <w:rPr>
          <w:rFonts w:ascii="Calibri" w:hAnsi="Calibri" w:cs="Calibri"/>
          <w:i/>
          <w:sz w:val="22"/>
          <w:szCs w:val="22"/>
        </w:rPr>
        <w:t xml:space="preserve">. </w:t>
      </w:r>
    </w:p>
    <w:p w:rsidR="00797386" w:rsidRPr="00DC183C" w:rsidRDefault="00797386" w:rsidP="00797386">
      <w:pPr>
        <w:pStyle w:val="BodyText"/>
        <w:spacing w:after="0"/>
        <w:ind w:left="720"/>
        <w:jc w:val="both"/>
        <w:rPr>
          <w:rFonts w:ascii="Calibri" w:hAnsi="Calibri" w:cs="Calibri"/>
          <w:i/>
          <w:sz w:val="22"/>
          <w:szCs w:val="22"/>
        </w:rPr>
      </w:pPr>
    </w:p>
    <w:p w:rsidR="002D1E1D" w:rsidRPr="00DC183C" w:rsidRDefault="00797386" w:rsidP="002D1E1D">
      <w:pPr>
        <w:rPr>
          <w:rFonts w:ascii="Calibri" w:hAnsi="Calibri" w:cs="Calibri"/>
        </w:rPr>
      </w:pPr>
      <w:r w:rsidRPr="00DC183C">
        <w:rPr>
          <w:rFonts w:ascii="Calibri" w:hAnsi="Calibri" w:cs="Calibri"/>
        </w:rPr>
        <w:t xml:space="preserve">Under the umbrella of the current UNDAF, </w:t>
      </w:r>
      <w:r w:rsidR="00384E83">
        <w:rPr>
          <w:rFonts w:ascii="Calibri" w:hAnsi="Calibri" w:cs="Calibri"/>
        </w:rPr>
        <w:t>the United Nations Children’s Fund (</w:t>
      </w:r>
      <w:r w:rsidRPr="00DC183C">
        <w:rPr>
          <w:rFonts w:ascii="Calibri" w:hAnsi="Calibri" w:cs="Calibri"/>
        </w:rPr>
        <w:t>UNICEF</w:t>
      </w:r>
      <w:r w:rsidR="00384E83">
        <w:rPr>
          <w:rFonts w:ascii="Calibri" w:hAnsi="Calibri" w:cs="Calibri"/>
        </w:rPr>
        <w:t>)</w:t>
      </w:r>
      <w:r w:rsidRPr="00DC183C">
        <w:rPr>
          <w:rFonts w:ascii="Calibri" w:hAnsi="Calibri" w:cs="Calibri"/>
        </w:rPr>
        <w:t xml:space="preserve"> has also been involved in Mine Risk Education and the development of materials to reduce children’s exposure to UXO. The </w:t>
      </w:r>
      <w:r w:rsidR="00E871B1">
        <w:rPr>
          <w:rFonts w:ascii="Calibri" w:hAnsi="Calibri" w:cs="Calibri"/>
        </w:rPr>
        <w:t>World Health Organisation (WHO)</w:t>
      </w:r>
      <w:r w:rsidR="00E871B1" w:rsidRPr="00DC183C">
        <w:rPr>
          <w:rFonts w:ascii="Calibri" w:hAnsi="Calibri" w:cs="Calibri"/>
        </w:rPr>
        <w:t xml:space="preserve"> </w:t>
      </w:r>
      <w:r w:rsidRPr="00DC183C">
        <w:rPr>
          <w:rFonts w:ascii="Calibri" w:hAnsi="Calibri" w:cs="Calibri"/>
        </w:rPr>
        <w:t>has also identified the effects of UXO as an area to address in terms of rehabilitation in its 2012-2015 Cooperation Strategy for Lao PDR.</w:t>
      </w:r>
    </w:p>
    <w:p w:rsidR="002D0334" w:rsidRDefault="002D1E1D" w:rsidP="00054A0C">
      <w:pPr>
        <w:rPr>
          <w:rFonts w:ascii="Calibri" w:hAnsi="Calibri" w:cs="Calibri"/>
        </w:rPr>
      </w:pPr>
      <w:r w:rsidRPr="00DC183C">
        <w:rPr>
          <w:rFonts w:ascii="Calibri" w:hAnsi="Calibri" w:cs="Calibri"/>
        </w:rPr>
        <w:t>The year 2015 is the penultimate year of UNDAF implementation (2012-2016)</w:t>
      </w:r>
      <w:r>
        <w:rPr>
          <w:rFonts w:ascii="Calibri" w:hAnsi="Calibri" w:cs="Calibri"/>
        </w:rPr>
        <w:t>,</w:t>
      </w:r>
      <w:r w:rsidRPr="00DC183C">
        <w:rPr>
          <w:rFonts w:ascii="Calibri" w:hAnsi="Calibri" w:cs="Calibri"/>
        </w:rPr>
        <w:t xml:space="preserve"> and an independent evaluation of its cooperation has been undertaken.</w:t>
      </w:r>
      <w:r>
        <w:rPr>
          <w:rFonts w:ascii="Calibri" w:hAnsi="Calibri" w:cs="Calibri"/>
        </w:rPr>
        <w:t xml:space="preserve"> </w:t>
      </w:r>
      <w:r w:rsidR="00C80C93">
        <w:rPr>
          <w:rFonts w:ascii="Calibri" w:hAnsi="Calibri" w:cs="Calibri"/>
        </w:rPr>
        <w:t>The</w:t>
      </w:r>
      <w:r w:rsidR="00797386" w:rsidRPr="00DC183C">
        <w:rPr>
          <w:rFonts w:ascii="Calibri" w:hAnsi="Calibri" w:cs="Calibri"/>
        </w:rPr>
        <w:t xml:space="preserve"> UNDAF evaluation</w:t>
      </w:r>
      <w:r w:rsidR="00C95BEF" w:rsidRPr="00DC183C">
        <w:rPr>
          <w:rFonts w:ascii="Calibri" w:hAnsi="Calibri" w:cs="Calibri"/>
        </w:rPr>
        <w:t xml:space="preserve"> </w:t>
      </w:r>
      <w:r w:rsidR="00C80C93">
        <w:rPr>
          <w:rFonts w:ascii="Calibri" w:hAnsi="Calibri" w:cs="Calibri"/>
        </w:rPr>
        <w:t xml:space="preserve">presented </w:t>
      </w:r>
      <w:r w:rsidR="00C95BEF" w:rsidRPr="00DC183C">
        <w:rPr>
          <w:rFonts w:ascii="Calibri" w:hAnsi="Calibri" w:cs="Calibri"/>
        </w:rPr>
        <w:t>an opportunity</w:t>
      </w:r>
      <w:r w:rsidR="00797386" w:rsidRPr="00DC183C">
        <w:rPr>
          <w:rFonts w:ascii="Calibri" w:hAnsi="Calibri" w:cs="Calibri"/>
        </w:rPr>
        <w:t xml:space="preserve"> to commission an independent evaluation of the UN and UNDP’s contributions to the UXO sector. </w:t>
      </w:r>
      <w:r w:rsidR="00C95BEF" w:rsidRPr="00DC183C">
        <w:rPr>
          <w:rFonts w:ascii="Calibri" w:hAnsi="Calibri" w:cs="Calibri"/>
        </w:rPr>
        <w:t>This was provided for in t</w:t>
      </w:r>
      <w:r w:rsidR="00797386" w:rsidRPr="00DC183C">
        <w:rPr>
          <w:rFonts w:ascii="Calibri" w:hAnsi="Calibri" w:cs="Calibri"/>
        </w:rPr>
        <w:t>he Monitoring and Evaluat</w:t>
      </w:r>
      <w:r w:rsidR="002410F7">
        <w:rPr>
          <w:rFonts w:ascii="Calibri" w:hAnsi="Calibri" w:cs="Calibri"/>
        </w:rPr>
        <w:t>ion provisions for the 2013-2016</w:t>
      </w:r>
      <w:r w:rsidR="00797386" w:rsidRPr="00DC183C">
        <w:rPr>
          <w:rFonts w:ascii="Calibri" w:hAnsi="Calibri" w:cs="Calibri"/>
        </w:rPr>
        <w:t xml:space="preserve"> project</w:t>
      </w:r>
      <w:r w:rsidR="00C80C93">
        <w:rPr>
          <w:rFonts w:ascii="Calibri" w:hAnsi="Calibri" w:cs="Calibri"/>
        </w:rPr>
        <w:t>,</w:t>
      </w:r>
      <w:r w:rsidR="00797386" w:rsidRPr="00DC183C">
        <w:rPr>
          <w:rFonts w:ascii="Calibri" w:hAnsi="Calibri" w:cs="Calibri"/>
        </w:rPr>
        <w:t xml:space="preserve"> </w:t>
      </w:r>
      <w:r w:rsidR="00C95BEF" w:rsidRPr="00DC183C">
        <w:rPr>
          <w:rFonts w:ascii="Calibri" w:hAnsi="Calibri" w:cs="Calibri"/>
        </w:rPr>
        <w:t xml:space="preserve">which included </w:t>
      </w:r>
      <w:r w:rsidR="00797386" w:rsidRPr="00DC183C">
        <w:rPr>
          <w:rFonts w:ascii="Calibri" w:hAnsi="Calibri" w:cs="Calibri"/>
        </w:rPr>
        <w:t xml:space="preserve">an assessment in the final year </w:t>
      </w:r>
      <w:r w:rsidR="00584CDF" w:rsidRPr="00584CDF">
        <w:rPr>
          <w:rFonts w:ascii="Calibri" w:hAnsi="Calibri" w:cs="Calibri"/>
        </w:rPr>
        <w:t>(originally 2015</w:t>
      </w:r>
      <w:r w:rsidR="00C42820">
        <w:rPr>
          <w:rFonts w:ascii="Calibri" w:hAnsi="Calibri" w:cs="Calibri"/>
        </w:rPr>
        <w:t>,</w:t>
      </w:r>
      <w:r w:rsidR="00584CDF" w:rsidRPr="00584CDF">
        <w:rPr>
          <w:rFonts w:ascii="Calibri" w:hAnsi="Calibri" w:cs="Calibri"/>
        </w:rPr>
        <w:t xml:space="preserve"> but </w:t>
      </w:r>
      <w:r w:rsidR="00C42820">
        <w:rPr>
          <w:rFonts w:ascii="Calibri" w:hAnsi="Calibri" w:cs="Calibri"/>
        </w:rPr>
        <w:t xml:space="preserve">the </w:t>
      </w:r>
      <w:r w:rsidR="00584CDF" w:rsidRPr="00584CDF">
        <w:rPr>
          <w:rFonts w:ascii="Calibri" w:hAnsi="Calibri" w:cs="Calibri"/>
        </w:rPr>
        <w:t xml:space="preserve">project </w:t>
      </w:r>
      <w:r w:rsidR="00C42820">
        <w:rPr>
          <w:rFonts w:ascii="Calibri" w:hAnsi="Calibri" w:cs="Calibri"/>
        </w:rPr>
        <w:t>has</w:t>
      </w:r>
      <w:r w:rsidR="00584CDF" w:rsidRPr="00584CDF">
        <w:rPr>
          <w:rFonts w:ascii="Calibri" w:hAnsi="Calibri" w:cs="Calibri"/>
        </w:rPr>
        <w:t xml:space="preserve"> extended till 2016) </w:t>
      </w:r>
      <w:r w:rsidR="00C95BEF" w:rsidRPr="00DC183C">
        <w:rPr>
          <w:rFonts w:ascii="Calibri" w:hAnsi="Calibri" w:cs="Calibri"/>
        </w:rPr>
        <w:t xml:space="preserve">with a focus </w:t>
      </w:r>
      <w:r w:rsidR="00797386" w:rsidRPr="00DC183C">
        <w:rPr>
          <w:rFonts w:ascii="Calibri" w:hAnsi="Calibri" w:cs="Calibri"/>
        </w:rPr>
        <w:t xml:space="preserve">on progress against projected </w:t>
      </w:r>
      <w:r w:rsidR="00C80C93">
        <w:rPr>
          <w:rFonts w:ascii="Calibri" w:hAnsi="Calibri" w:cs="Calibri"/>
        </w:rPr>
        <w:t>o</w:t>
      </w:r>
      <w:r w:rsidR="00797386" w:rsidRPr="00DC183C">
        <w:rPr>
          <w:rFonts w:ascii="Calibri" w:hAnsi="Calibri" w:cs="Calibri"/>
        </w:rPr>
        <w:t xml:space="preserve">utputs and their alignment to </w:t>
      </w:r>
      <w:r w:rsidR="00C80C93">
        <w:rPr>
          <w:rFonts w:ascii="Calibri" w:hAnsi="Calibri" w:cs="Calibri"/>
        </w:rPr>
        <w:t>o</w:t>
      </w:r>
      <w:r w:rsidR="00797386" w:rsidRPr="00DC183C">
        <w:rPr>
          <w:rFonts w:ascii="Calibri" w:hAnsi="Calibri" w:cs="Calibri"/>
        </w:rPr>
        <w:t xml:space="preserve">utcomes. </w:t>
      </w:r>
      <w:r w:rsidR="00C95BEF" w:rsidRPr="001F02E3">
        <w:rPr>
          <w:rFonts w:ascii="Calibri" w:hAnsi="Calibri" w:cs="Calibri"/>
        </w:rPr>
        <w:t xml:space="preserve">In addition, given it has been </w:t>
      </w:r>
      <w:r w:rsidR="00797386" w:rsidRPr="001F02E3">
        <w:rPr>
          <w:rFonts w:ascii="Calibri" w:hAnsi="Calibri" w:cs="Calibri"/>
        </w:rPr>
        <w:t xml:space="preserve">more than five years since the Trust Fund was established, </w:t>
      </w:r>
      <w:r w:rsidR="00C42820">
        <w:rPr>
          <w:rFonts w:ascii="Calibri" w:hAnsi="Calibri" w:cs="Calibri"/>
        </w:rPr>
        <w:t>the evaluation presented a timely opportunity to</w:t>
      </w:r>
      <w:r w:rsidR="00797386" w:rsidRPr="001F02E3">
        <w:rPr>
          <w:rFonts w:ascii="Calibri" w:hAnsi="Calibri" w:cs="Calibri"/>
        </w:rPr>
        <w:t xml:space="preserve"> </w:t>
      </w:r>
      <w:r w:rsidR="00C95BEF" w:rsidRPr="001F02E3">
        <w:rPr>
          <w:rFonts w:ascii="Calibri" w:hAnsi="Calibri" w:cs="Calibri"/>
        </w:rPr>
        <w:t xml:space="preserve">review </w:t>
      </w:r>
      <w:r w:rsidR="00797386" w:rsidRPr="001F02E3">
        <w:rPr>
          <w:rFonts w:ascii="Calibri" w:hAnsi="Calibri" w:cs="Calibri"/>
        </w:rPr>
        <w:t>its relevance and effectiveness in the context of the full range of modalities used for UN and UNDP’s work in the sector</w:t>
      </w:r>
      <w:r w:rsidR="002D0334">
        <w:rPr>
          <w:rFonts w:ascii="Calibri" w:hAnsi="Calibri" w:cs="Calibri"/>
        </w:rPr>
        <w:t>.</w:t>
      </w:r>
    </w:p>
    <w:p w:rsidR="00797386" w:rsidRPr="00DC183C" w:rsidRDefault="00C95BEF" w:rsidP="00054A0C">
      <w:r w:rsidRPr="001F02E3">
        <w:t>T</w:t>
      </w:r>
      <w:r w:rsidR="00797386" w:rsidRPr="001F02E3">
        <w:t xml:space="preserve">he evaluation </w:t>
      </w:r>
      <w:r w:rsidRPr="001F02E3">
        <w:t>coincided</w:t>
      </w:r>
      <w:r w:rsidR="00797386" w:rsidRPr="001F02E3">
        <w:t xml:space="preserve"> with </w:t>
      </w:r>
      <w:r w:rsidR="004C100D">
        <w:t xml:space="preserve">the </w:t>
      </w:r>
      <w:r w:rsidR="00797386" w:rsidRPr="001F02E3">
        <w:t>UND</w:t>
      </w:r>
      <w:r w:rsidR="00797386" w:rsidRPr="00DC183C">
        <w:t xml:space="preserve">P global evaluation of support to </w:t>
      </w:r>
      <w:r w:rsidRPr="00DC183C">
        <w:t xml:space="preserve">mine/UXO </w:t>
      </w:r>
      <w:r w:rsidR="00797386" w:rsidRPr="00DC183C">
        <w:t xml:space="preserve">action, in which Lao PDR </w:t>
      </w:r>
      <w:r w:rsidRPr="00DC183C">
        <w:t>was</w:t>
      </w:r>
      <w:r w:rsidR="00797386" w:rsidRPr="00DC183C">
        <w:t xml:space="preserve"> one of the case studies. The evaluation</w:t>
      </w:r>
      <w:r w:rsidR="004C100D">
        <w:t>,</w:t>
      </w:r>
      <w:r w:rsidR="00797386" w:rsidRPr="00DC183C">
        <w:t xml:space="preserve"> led by </w:t>
      </w:r>
      <w:r w:rsidR="00E0719C">
        <w:t xml:space="preserve">the </w:t>
      </w:r>
      <w:r w:rsidR="00797386" w:rsidRPr="00DC183C">
        <w:t>UNDP’s Independent Evaluation Office (IEO)</w:t>
      </w:r>
      <w:r w:rsidR="004C100D">
        <w:t>,</w:t>
      </w:r>
      <w:r w:rsidR="00797386" w:rsidRPr="00DC183C">
        <w:t xml:space="preserve"> </w:t>
      </w:r>
      <w:r w:rsidRPr="00DC183C">
        <w:t>was</w:t>
      </w:r>
      <w:r w:rsidR="00797386" w:rsidRPr="00DC183C">
        <w:t xml:space="preserve"> conducted in June-July 2015</w:t>
      </w:r>
      <w:r w:rsidR="004C100D">
        <w:t>,</w:t>
      </w:r>
      <w:r w:rsidR="00797386" w:rsidRPr="00DC183C">
        <w:t xml:space="preserve"> with </w:t>
      </w:r>
      <w:r w:rsidRPr="00DC183C">
        <w:t>a focus on</w:t>
      </w:r>
      <w:r w:rsidR="00797386" w:rsidRPr="00DC183C">
        <w:t xml:space="preserve"> </w:t>
      </w:r>
      <w:r w:rsidR="004C100D">
        <w:t xml:space="preserve">the </w:t>
      </w:r>
      <w:r w:rsidR="00797386" w:rsidRPr="00DC183C">
        <w:t xml:space="preserve">impact of </w:t>
      </w:r>
      <w:r w:rsidR="004C100D">
        <w:t xml:space="preserve">the </w:t>
      </w:r>
      <w:r w:rsidR="00797386" w:rsidRPr="00DC183C">
        <w:t xml:space="preserve">UNDP support to the sector since the beginning of its engagement. </w:t>
      </w:r>
      <w:r w:rsidRPr="00DC183C">
        <w:t xml:space="preserve">It was expected that </w:t>
      </w:r>
      <w:r w:rsidR="0023647E">
        <w:t>the</w:t>
      </w:r>
      <w:r w:rsidR="0023647E" w:rsidRPr="00DC183C">
        <w:t xml:space="preserve"> </w:t>
      </w:r>
      <w:r w:rsidR="00797386" w:rsidRPr="00DC183C">
        <w:t xml:space="preserve">IEO-led impact evaluation </w:t>
      </w:r>
      <w:r w:rsidRPr="00DC183C">
        <w:t xml:space="preserve">of </w:t>
      </w:r>
      <w:r w:rsidR="00E0719C">
        <w:t xml:space="preserve">the </w:t>
      </w:r>
      <w:r w:rsidRPr="00DC183C">
        <w:t xml:space="preserve">UNDP’s support to the sector would </w:t>
      </w:r>
      <w:r w:rsidR="00797386" w:rsidRPr="00DC183C">
        <w:t xml:space="preserve">provide useful recommendations for this </w:t>
      </w:r>
      <w:r w:rsidRPr="00DC183C">
        <w:t>evaluation.</w:t>
      </w:r>
      <w:r w:rsidR="005D4085">
        <w:t xml:space="preserve"> </w:t>
      </w:r>
      <w:r w:rsidRPr="00DC183C">
        <w:t xml:space="preserve">The year </w:t>
      </w:r>
      <w:r w:rsidR="00797386" w:rsidRPr="00DC183C">
        <w:t xml:space="preserve">2015 is </w:t>
      </w:r>
      <w:r w:rsidRPr="00DC183C">
        <w:t xml:space="preserve">also </w:t>
      </w:r>
      <w:r w:rsidR="00797386" w:rsidRPr="00DC183C">
        <w:t xml:space="preserve">an important </w:t>
      </w:r>
      <w:r w:rsidRPr="00DC183C">
        <w:t>time in regard</w:t>
      </w:r>
      <w:r w:rsidR="00C9248D">
        <w:t>s</w:t>
      </w:r>
      <w:r w:rsidRPr="00DC183C">
        <w:t xml:space="preserve"> to </w:t>
      </w:r>
      <w:r w:rsidR="00797386" w:rsidRPr="001F02E3">
        <w:t>UXO support and Trust Fund mechanism</w:t>
      </w:r>
      <w:r w:rsidR="00C9248D">
        <w:t>. T</w:t>
      </w:r>
      <w:r w:rsidR="00797386" w:rsidRPr="001F02E3">
        <w:t xml:space="preserve">he </w:t>
      </w:r>
      <w:r w:rsidR="00797386" w:rsidRPr="001F02E3">
        <w:rPr>
          <w:i/>
        </w:rPr>
        <w:t>Safe Path Forward II</w:t>
      </w:r>
      <w:r w:rsidR="00797386" w:rsidRPr="001F02E3">
        <w:t xml:space="preserve"> strategy </w:t>
      </w:r>
      <w:r w:rsidR="00C9248D">
        <w:t xml:space="preserve">was </w:t>
      </w:r>
      <w:r w:rsidR="00797386" w:rsidRPr="001F02E3">
        <w:t>subjected to a mid-term evaluation in 2015</w:t>
      </w:r>
      <w:r w:rsidR="00C9248D">
        <w:t>. T</w:t>
      </w:r>
      <w:r w:rsidR="00797386" w:rsidRPr="001F02E3">
        <w:t xml:space="preserve">he purpose of </w:t>
      </w:r>
      <w:r w:rsidR="00C9248D">
        <w:t>this</w:t>
      </w:r>
      <w:r w:rsidR="00C9248D" w:rsidRPr="001F02E3">
        <w:t xml:space="preserve"> </w:t>
      </w:r>
      <w:r w:rsidR="00C9248D">
        <w:t>was</w:t>
      </w:r>
      <w:r w:rsidR="00C9248D" w:rsidRPr="001F02E3">
        <w:t xml:space="preserve"> </w:t>
      </w:r>
      <w:r w:rsidR="00797386" w:rsidRPr="001F02E3">
        <w:t xml:space="preserve">to take stock of achievements in the 2011-2015 period relative to the objectives and indicators </w:t>
      </w:r>
      <w:r w:rsidR="00E0719C">
        <w:t xml:space="preserve">of the National Strategic Plan. In addition to this, the evaluation intended </w:t>
      </w:r>
      <w:r w:rsidR="00797386" w:rsidRPr="001F02E3">
        <w:t>to involve all stakeholders in making recommendations for 2016-2020</w:t>
      </w:r>
      <w:r w:rsidR="00E0719C">
        <w:t>,</w:t>
      </w:r>
      <w:r w:rsidR="00797386" w:rsidRPr="001F02E3">
        <w:t xml:space="preserve"> based on </w:t>
      </w:r>
      <w:r w:rsidR="00C9248D">
        <w:t>experience and</w:t>
      </w:r>
      <w:r w:rsidR="00797386" w:rsidRPr="001F02E3">
        <w:t xml:space="preserve"> highlighting achievements</w:t>
      </w:r>
      <w:r w:rsidR="00C9248D">
        <w:t xml:space="preserve"> </w:t>
      </w:r>
      <w:r w:rsidR="00797386" w:rsidRPr="001F02E3">
        <w:t>and shortcomings of each inv</w:t>
      </w:r>
      <w:r w:rsidR="00E0719C">
        <w:t>olved party in the process. Also, a</w:t>
      </w:r>
      <w:r w:rsidRPr="001F02E3">
        <w:t xml:space="preserve">t the end of </w:t>
      </w:r>
      <w:r w:rsidR="00797386" w:rsidRPr="001F02E3">
        <w:t xml:space="preserve">2015, the government </w:t>
      </w:r>
      <w:r w:rsidR="00054A0C">
        <w:t xml:space="preserve">will launch </w:t>
      </w:r>
      <w:r w:rsidR="00797386" w:rsidRPr="001F02E3">
        <w:t>its 8</w:t>
      </w:r>
      <w:r w:rsidR="00797386" w:rsidRPr="001F02E3">
        <w:rPr>
          <w:vertAlign w:val="superscript"/>
        </w:rPr>
        <w:t>th</w:t>
      </w:r>
      <w:r w:rsidR="00797386" w:rsidRPr="001F02E3">
        <w:t xml:space="preserve"> National Socio-Economic Development Plan</w:t>
      </w:r>
      <w:r w:rsidR="00F265B5" w:rsidRPr="001F02E3">
        <w:t xml:space="preserve">. The </w:t>
      </w:r>
      <w:r w:rsidR="00584CDF">
        <w:t>F</w:t>
      </w:r>
      <w:r w:rsidR="00797386" w:rsidRPr="001F02E3">
        <w:t xml:space="preserve">irst Review Conference of the </w:t>
      </w:r>
      <w:r w:rsidR="00CF1E75">
        <w:t>CCM</w:t>
      </w:r>
      <w:r w:rsidR="00797386" w:rsidRPr="001F02E3">
        <w:t xml:space="preserve"> </w:t>
      </w:r>
      <w:r w:rsidR="00F265B5" w:rsidRPr="001F02E3">
        <w:t xml:space="preserve">was also held </w:t>
      </w:r>
      <w:r w:rsidR="00797386" w:rsidRPr="001F02E3">
        <w:t xml:space="preserve">in 2015. </w:t>
      </w:r>
      <w:r w:rsidR="00F265B5" w:rsidRPr="001F02E3">
        <w:t xml:space="preserve">Together, these processes will assist </w:t>
      </w:r>
      <w:r w:rsidR="001A4EC8">
        <w:t xml:space="preserve">in </w:t>
      </w:r>
      <w:r w:rsidR="00797386" w:rsidRPr="001F02E3">
        <w:t xml:space="preserve">the design of </w:t>
      </w:r>
      <w:r w:rsidR="001A4EC8">
        <w:t xml:space="preserve">the </w:t>
      </w:r>
      <w:r w:rsidR="00797386" w:rsidRPr="001F02E3">
        <w:t xml:space="preserve">UNDP’s continued involvement in the UXO sector in Lao PDR. </w:t>
      </w:r>
      <w:r w:rsidR="0097024E">
        <w:t>Furthermore, t</w:t>
      </w:r>
      <w:r w:rsidR="00F265B5" w:rsidRPr="001F02E3">
        <w:t xml:space="preserve">he evaluation focussed on </w:t>
      </w:r>
      <w:r w:rsidR="00797386" w:rsidRPr="001F02E3">
        <w:t>the extent to which the UN and UNDP’s support addressed the rural development and livelihoods aspects of the Government of Lao PDR’s national development plan, and how this can be improved.</w:t>
      </w:r>
      <w:r w:rsidR="00797386" w:rsidRPr="00DC183C">
        <w:t xml:space="preserve"> </w:t>
      </w:r>
    </w:p>
    <w:p w:rsidR="00FA3AF0" w:rsidRPr="00DC183C" w:rsidRDefault="00A450D8" w:rsidP="00F129D4">
      <w:pPr>
        <w:pStyle w:val="Heading2"/>
        <w:numPr>
          <w:ilvl w:val="1"/>
          <w:numId w:val="3"/>
        </w:numPr>
        <w:ind w:left="360"/>
      </w:pPr>
      <w:r>
        <w:t xml:space="preserve"> </w:t>
      </w:r>
      <w:bookmarkStart w:id="7" w:name="_Toc441609314"/>
      <w:r w:rsidR="00FA3AF0" w:rsidRPr="00DC183C">
        <w:t>Evaluation purpose</w:t>
      </w:r>
      <w:bookmarkEnd w:id="7"/>
    </w:p>
    <w:p w:rsidR="00F265B5" w:rsidRPr="00DC183C" w:rsidRDefault="00F265B5" w:rsidP="00F265B5">
      <w:pPr>
        <w:rPr>
          <w:rFonts w:ascii="Calibri" w:hAnsi="Calibri" w:cs="Calibri"/>
        </w:rPr>
      </w:pPr>
      <w:r w:rsidRPr="00DC183C">
        <w:rPr>
          <w:rFonts w:ascii="Calibri" w:hAnsi="Calibri" w:cs="Calibri"/>
        </w:rPr>
        <w:t>The evaluation covered the period</w:t>
      </w:r>
      <w:r w:rsidR="00DB08C1">
        <w:rPr>
          <w:rFonts w:ascii="Calibri" w:hAnsi="Calibri" w:cs="Calibri"/>
        </w:rPr>
        <w:t xml:space="preserve"> of</w:t>
      </w:r>
      <w:r w:rsidRPr="00DC183C">
        <w:rPr>
          <w:rFonts w:ascii="Calibri" w:hAnsi="Calibri" w:cs="Calibri"/>
        </w:rPr>
        <w:t xml:space="preserve"> 2012-2015</w:t>
      </w:r>
      <w:r w:rsidR="00DB08C1">
        <w:rPr>
          <w:rFonts w:ascii="Calibri" w:hAnsi="Calibri" w:cs="Calibri"/>
        </w:rPr>
        <w:t>,</w:t>
      </w:r>
      <w:r w:rsidRPr="00DC183C">
        <w:rPr>
          <w:rFonts w:ascii="Calibri" w:hAnsi="Calibri" w:cs="Calibri"/>
        </w:rPr>
        <w:t xml:space="preserve"> including </w:t>
      </w:r>
      <w:r w:rsidR="00A60FDC">
        <w:rPr>
          <w:rFonts w:ascii="Calibri" w:hAnsi="Calibri" w:cs="Calibri"/>
        </w:rPr>
        <w:t xml:space="preserve">the </w:t>
      </w:r>
      <w:r w:rsidRPr="00DC183C">
        <w:rPr>
          <w:rFonts w:ascii="Calibri" w:hAnsi="Calibri" w:cs="Calibri"/>
        </w:rPr>
        <w:t>UN and UNDP’s support to the UXO sector, with a focus on the efficacy of the Trust Fund mechanism</w:t>
      </w:r>
      <w:r w:rsidR="00DB08C1">
        <w:rPr>
          <w:rFonts w:ascii="Calibri" w:hAnsi="Calibri" w:cs="Calibri"/>
        </w:rPr>
        <w:t>,</w:t>
      </w:r>
      <w:r w:rsidRPr="00DC183C">
        <w:rPr>
          <w:rFonts w:ascii="Calibri" w:hAnsi="Calibri" w:cs="Calibri"/>
        </w:rPr>
        <w:t xml:space="preserve"> the use of cost-sharing agreements</w:t>
      </w:r>
      <w:r w:rsidR="00DB08C1">
        <w:rPr>
          <w:rFonts w:ascii="Calibri" w:hAnsi="Calibri" w:cs="Calibri"/>
        </w:rPr>
        <w:t>,</w:t>
      </w:r>
      <w:r w:rsidRPr="00DC183C">
        <w:rPr>
          <w:rFonts w:ascii="Calibri" w:hAnsi="Calibri" w:cs="Calibri"/>
        </w:rPr>
        <w:t xml:space="preserve"> the provision of technical assistance</w:t>
      </w:r>
      <w:r w:rsidR="00DB08C1">
        <w:rPr>
          <w:rFonts w:ascii="Calibri" w:hAnsi="Calibri" w:cs="Calibri"/>
        </w:rPr>
        <w:t>,</w:t>
      </w:r>
      <w:r w:rsidRPr="00DC183C">
        <w:rPr>
          <w:rFonts w:ascii="Calibri" w:hAnsi="Calibri" w:cs="Calibri"/>
        </w:rPr>
        <w:t xml:space="preserve"> and other modalities of support. While initially planned to be closely coordinated with the UNDAF evaluation, this did not happen </w:t>
      </w:r>
      <w:r w:rsidR="00A11919" w:rsidRPr="00DC183C">
        <w:rPr>
          <w:rFonts w:ascii="Calibri" w:hAnsi="Calibri" w:cs="Calibri"/>
        </w:rPr>
        <w:t>due to delays in star</w:t>
      </w:r>
      <w:r w:rsidR="00B968ED">
        <w:rPr>
          <w:rFonts w:ascii="Calibri" w:hAnsi="Calibri" w:cs="Calibri"/>
        </w:rPr>
        <w:t>t-up. Thus,</w:t>
      </w:r>
      <w:r w:rsidRPr="00DC183C">
        <w:rPr>
          <w:rFonts w:ascii="Calibri" w:hAnsi="Calibri" w:cs="Calibri"/>
        </w:rPr>
        <w:t xml:space="preserve"> the evaluation was conducted simultaneously to the IEO-led impact evaluation. </w:t>
      </w:r>
      <w:r w:rsidR="00AB70FF" w:rsidRPr="00DC183C">
        <w:rPr>
          <w:rFonts w:ascii="Calibri" w:hAnsi="Calibri" w:cs="Calibri"/>
        </w:rPr>
        <w:t xml:space="preserve">The key parameters of the evaluation </w:t>
      </w:r>
      <w:r w:rsidR="00B968ED">
        <w:rPr>
          <w:rFonts w:ascii="Calibri" w:hAnsi="Calibri" w:cs="Calibri"/>
        </w:rPr>
        <w:t xml:space="preserve">were </w:t>
      </w:r>
      <w:r w:rsidR="00AB70FF" w:rsidRPr="00DC183C">
        <w:rPr>
          <w:rFonts w:ascii="Calibri" w:hAnsi="Calibri" w:cs="Calibri"/>
        </w:rPr>
        <w:t>assessed against the common evaluation criteria of relevance, efficiency, effectiveness</w:t>
      </w:r>
      <w:r w:rsidR="00B968ED">
        <w:rPr>
          <w:rFonts w:ascii="Calibri" w:hAnsi="Calibri" w:cs="Calibri"/>
        </w:rPr>
        <w:t>,</w:t>
      </w:r>
      <w:r w:rsidR="00AB70FF" w:rsidRPr="00DC183C">
        <w:rPr>
          <w:rFonts w:ascii="Calibri" w:hAnsi="Calibri" w:cs="Calibri"/>
        </w:rPr>
        <w:t xml:space="preserve"> and sustainability</w:t>
      </w:r>
      <w:r w:rsidR="00B968ED">
        <w:rPr>
          <w:rFonts w:ascii="Calibri" w:hAnsi="Calibri" w:cs="Calibri"/>
        </w:rPr>
        <w:t>,</w:t>
      </w:r>
      <w:r w:rsidR="00AB70FF" w:rsidRPr="00DC183C">
        <w:rPr>
          <w:rFonts w:ascii="Calibri" w:hAnsi="Calibri" w:cs="Calibri"/>
        </w:rPr>
        <w:t xml:space="preserve"> and were:</w:t>
      </w:r>
    </w:p>
    <w:p w:rsidR="00F265B5" w:rsidRPr="00C849FC" w:rsidRDefault="00F265B5" w:rsidP="00F265B5">
      <w:pPr>
        <w:rPr>
          <w:rFonts w:ascii="Calibri" w:hAnsi="Calibri" w:cs="Calibri"/>
          <w:b/>
        </w:rPr>
      </w:pPr>
      <w:r w:rsidRPr="00C849FC">
        <w:rPr>
          <w:rFonts w:ascii="Calibri" w:hAnsi="Calibri" w:cs="Calibri"/>
          <w:b/>
        </w:rPr>
        <w:t>Strategic Positioning, Concept and Design</w:t>
      </w:r>
    </w:p>
    <w:p w:rsidR="00F265B5" w:rsidRPr="00DC183C" w:rsidRDefault="00AB70FF" w:rsidP="00F265B5">
      <w:pPr>
        <w:rPr>
          <w:rFonts w:ascii="Calibri" w:hAnsi="Calibri" w:cs="Calibri"/>
        </w:rPr>
      </w:pPr>
      <w:r w:rsidRPr="00DC183C">
        <w:rPr>
          <w:rFonts w:ascii="Calibri" w:hAnsi="Calibri" w:cs="Calibri"/>
        </w:rPr>
        <w:t>This included an</w:t>
      </w:r>
      <w:r w:rsidR="00F265B5" w:rsidRPr="00DC183C">
        <w:rPr>
          <w:rFonts w:ascii="Calibri" w:hAnsi="Calibri" w:cs="Calibri"/>
        </w:rPr>
        <w:t xml:space="preserve"> assessment of the appropriateness of the objectives, planned outputs, activities</w:t>
      </w:r>
      <w:r w:rsidR="00C61562">
        <w:rPr>
          <w:rFonts w:ascii="Calibri" w:hAnsi="Calibri" w:cs="Calibri"/>
        </w:rPr>
        <w:t>,</w:t>
      </w:r>
      <w:r w:rsidR="00F265B5" w:rsidRPr="00DC183C">
        <w:rPr>
          <w:rFonts w:ascii="Calibri" w:hAnsi="Calibri" w:cs="Calibri"/>
        </w:rPr>
        <w:t xml:space="preserve"> and inputs as compared to cost-effective alternatives</w:t>
      </w:r>
      <w:r w:rsidRPr="00DC183C">
        <w:rPr>
          <w:rFonts w:ascii="Calibri" w:hAnsi="Calibri" w:cs="Calibri"/>
        </w:rPr>
        <w:t xml:space="preserve"> within the time period of the</w:t>
      </w:r>
      <w:r w:rsidR="00A91E98" w:rsidRPr="00DC183C">
        <w:rPr>
          <w:rFonts w:ascii="Calibri" w:hAnsi="Calibri" w:cs="Calibri"/>
        </w:rPr>
        <w:t xml:space="preserve"> </w:t>
      </w:r>
      <w:r w:rsidR="002410F7">
        <w:rPr>
          <w:rFonts w:ascii="Calibri" w:hAnsi="Calibri" w:cs="Calibri"/>
        </w:rPr>
        <w:t>evaluation</w:t>
      </w:r>
      <w:r w:rsidR="00A91E98" w:rsidRPr="00DC183C">
        <w:rPr>
          <w:rFonts w:ascii="Calibri" w:hAnsi="Calibri" w:cs="Calibri"/>
        </w:rPr>
        <w:t xml:space="preserve"> (2013-</w:t>
      </w:r>
      <w:r w:rsidR="00C61562">
        <w:rPr>
          <w:rFonts w:ascii="Calibri" w:hAnsi="Calibri" w:cs="Calibri"/>
        </w:rPr>
        <w:t>2015</w:t>
      </w:r>
      <w:r w:rsidR="00C849FC" w:rsidRPr="00DC183C">
        <w:rPr>
          <w:rFonts w:ascii="Calibri" w:hAnsi="Calibri" w:cs="Calibri"/>
        </w:rPr>
        <w:t xml:space="preserve">). </w:t>
      </w:r>
    </w:p>
    <w:p w:rsidR="00F265B5" w:rsidRPr="00C849FC" w:rsidRDefault="00F265B5" w:rsidP="00F265B5">
      <w:pPr>
        <w:rPr>
          <w:rFonts w:ascii="Calibri" w:hAnsi="Calibri" w:cs="Calibri"/>
          <w:b/>
        </w:rPr>
      </w:pPr>
      <w:r w:rsidRPr="00C849FC">
        <w:rPr>
          <w:rFonts w:ascii="Calibri" w:hAnsi="Calibri" w:cs="Calibri"/>
          <w:b/>
        </w:rPr>
        <w:t>Implementation</w:t>
      </w:r>
    </w:p>
    <w:p w:rsidR="009D0886" w:rsidRDefault="00F265B5" w:rsidP="00F265B5">
      <w:pPr>
        <w:rPr>
          <w:rFonts w:ascii="Calibri" w:hAnsi="Calibri" w:cs="Calibri"/>
        </w:rPr>
      </w:pPr>
      <w:r w:rsidRPr="001F02E3">
        <w:rPr>
          <w:rFonts w:ascii="Calibri" w:hAnsi="Calibri" w:cs="Calibri"/>
        </w:rPr>
        <w:t xml:space="preserve">The evaluation </w:t>
      </w:r>
      <w:r w:rsidR="00A91E98" w:rsidRPr="001F02E3">
        <w:rPr>
          <w:rFonts w:ascii="Calibri" w:hAnsi="Calibri" w:cs="Calibri"/>
        </w:rPr>
        <w:t>aimed to</w:t>
      </w:r>
      <w:r w:rsidRPr="001F02E3">
        <w:rPr>
          <w:rFonts w:ascii="Calibri" w:hAnsi="Calibri" w:cs="Calibri"/>
        </w:rPr>
        <w:t xml:space="preserve"> assess the implementation of the intervention</w:t>
      </w:r>
      <w:r w:rsidR="00B60E47">
        <w:rPr>
          <w:rFonts w:ascii="Calibri" w:hAnsi="Calibri" w:cs="Calibri"/>
        </w:rPr>
        <w:t>,</w:t>
      </w:r>
      <w:r w:rsidRPr="001F02E3">
        <w:rPr>
          <w:rFonts w:ascii="Calibri" w:hAnsi="Calibri" w:cs="Calibri"/>
        </w:rPr>
        <w:t xml:space="preserve"> in terms of quality and timeliness of inputs</w:t>
      </w:r>
      <w:r w:rsidR="00B60E47">
        <w:rPr>
          <w:rFonts w:ascii="Calibri" w:hAnsi="Calibri" w:cs="Calibri"/>
        </w:rPr>
        <w:t>,</w:t>
      </w:r>
      <w:r w:rsidRPr="001F02E3">
        <w:rPr>
          <w:rFonts w:ascii="Calibri" w:hAnsi="Calibri" w:cs="Calibri"/>
        </w:rPr>
        <w:t xml:space="preserve"> and efficiency and eff</w:t>
      </w:r>
      <w:r w:rsidR="009D0886">
        <w:rPr>
          <w:rFonts w:ascii="Calibri" w:hAnsi="Calibri" w:cs="Calibri"/>
        </w:rPr>
        <w:t>ectiveness of activities</w:t>
      </w:r>
      <w:r w:rsidR="00B60E47">
        <w:rPr>
          <w:rFonts w:ascii="Calibri" w:hAnsi="Calibri" w:cs="Calibri"/>
        </w:rPr>
        <w:t xml:space="preserve">. Furthermore, it assessed </w:t>
      </w:r>
      <w:r w:rsidRPr="001F02E3">
        <w:rPr>
          <w:rFonts w:ascii="Calibri" w:hAnsi="Calibri" w:cs="Calibri"/>
        </w:rPr>
        <w:t>the effectiveness of management</w:t>
      </w:r>
      <w:r w:rsidR="009D0886">
        <w:rPr>
          <w:rFonts w:ascii="Calibri" w:hAnsi="Calibri" w:cs="Calibri"/>
        </w:rPr>
        <w:t>,</w:t>
      </w:r>
      <w:r w:rsidRPr="001F02E3">
        <w:rPr>
          <w:rFonts w:ascii="Calibri" w:hAnsi="Calibri" w:cs="Calibri"/>
        </w:rPr>
        <w:t xml:space="preserve"> as well as the quality and timeliness of monitoring. In particular, the evaluation </w:t>
      </w:r>
      <w:r w:rsidR="00A91E98" w:rsidRPr="001F02E3">
        <w:rPr>
          <w:rFonts w:ascii="Calibri" w:hAnsi="Calibri" w:cs="Calibri"/>
        </w:rPr>
        <w:t>was asked to</w:t>
      </w:r>
      <w:r w:rsidRPr="001F02E3">
        <w:rPr>
          <w:rFonts w:ascii="Calibri" w:hAnsi="Calibri" w:cs="Calibri"/>
        </w:rPr>
        <w:t xml:space="preserve"> assess the use of adaptive management.</w:t>
      </w:r>
      <w:r w:rsidRPr="00DC183C">
        <w:rPr>
          <w:rFonts w:ascii="Calibri" w:hAnsi="Calibri" w:cs="Calibri"/>
        </w:rPr>
        <w:t xml:space="preserve"> </w:t>
      </w:r>
    </w:p>
    <w:p w:rsidR="00F265B5" w:rsidRPr="009D0886" w:rsidRDefault="00F265B5" w:rsidP="00F265B5">
      <w:pPr>
        <w:rPr>
          <w:rFonts w:ascii="Calibri" w:hAnsi="Calibri" w:cs="Calibri"/>
        </w:rPr>
      </w:pPr>
      <w:r w:rsidRPr="00C849FC">
        <w:rPr>
          <w:rFonts w:ascii="Calibri" w:hAnsi="Calibri" w:cs="Calibri"/>
          <w:b/>
        </w:rPr>
        <w:t>Partnership and Coordination</w:t>
      </w:r>
    </w:p>
    <w:p w:rsidR="00F265B5" w:rsidRPr="00DC183C" w:rsidRDefault="00F265B5" w:rsidP="00F265B5">
      <w:pPr>
        <w:rPr>
          <w:rFonts w:ascii="Calibri" w:hAnsi="Calibri" w:cs="Calibri"/>
        </w:rPr>
      </w:pPr>
      <w:r w:rsidRPr="001F02E3">
        <w:rPr>
          <w:rFonts w:ascii="Calibri" w:hAnsi="Calibri" w:cs="Calibri"/>
        </w:rPr>
        <w:t xml:space="preserve">The evaluation </w:t>
      </w:r>
      <w:r w:rsidR="00A91E98" w:rsidRPr="001F02E3">
        <w:rPr>
          <w:rFonts w:ascii="Calibri" w:hAnsi="Calibri" w:cs="Calibri"/>
        </w:rPr>
        <w:t xml:space="preserve">aimed to assess the </w:t>
      </w:r>
      <w:r w:rsidRPr="001F02E3">
        <w:rPr>
          <w:rFonts w:ascii="Calibri" w:hAnsi="Calibri" w:cs="Calibri"/>
        </w:rPr>
        <w:t xml:space="preserve">effectiveness and appropriateness of the collaborations and partnerships that were established to deliver support </w:t>
      </w:r>
      <w:r w:rsidR="00DD6323">
        <w:rPr>
          <w:rFonts w:ascii="Calibri" w:hAnsi="Calibri" w:cs="Calibri"/>
        </w:rPr>
        <w:t>to the UXO sector. This included</w:t>
      </w:r>
      <w:r w:rsidRPr="001F02E3">
        <w:rPr>
          <w:rFonts w:ascii="Calibri" w:hAnsi="Calibri" w:cs="Calibri"/>
        </w:rPr>
        <w:t xml:space="preserve"> an assessment of the partnerships with key line ministries, as well as with international </w:t>
      </w:r>
      <w:r w:rsidR="00C46B28">
        <w:rPr>
          <w:rFonts w:ascii="Calibri" w:hAnsi="Calibri" w:cs="Calibri"/>
        </w:rPr>
        <w:t>d</w:t>
      </w:r>
      <w:r w:rsidRPr="001F02E3">
        <w:rPr>
          <w:rFonts w:ascii="Calibri" w:hAnsi="Calibri" w:cs="Calibri"/>
        </w:rPr>
        <w:t xml:space="preserve">evelopment </w:t>
      </w:r>
      <w:r w:rsidR="00C46B28">
        <w:rPr>
          <w:rFonts w:ascii="Calibri" w:hAnsi="Calibri" w:cs="Calibri"/>
        </w:rPr>
        <w:t>p</w:t>
      </w:r>
      <w:r w:rsidRPr="001F02E3">
        <w:rPr>
          <w:rFonts w:ascii="Calibri" w:hAnsi="Calibri" w:cs="Calibri"/>
        </w:rPr>
        <w:t xml:space="preserve">artners, </w:t>
      </w:r>
      <w:r w:rsidR="00C46B28">
        <w:rPr>
          <w:rFonts w:ascii="Calibri" w:hAnsi="Calibri" w:cs="Calibri"/>
        </w:rPr>
        <w:t>n</w:t>
      </w:r>
      <w:r w:rsidRPr="001F02E3">
        <w:rPr>
          <w:rFonts w:ascii="Calibri" w:hAnsi="Calibri" w:cs="Calibri"/>
        </w:rPr>
        <w:t>on-</w:t>
      </w:r>
      <w:r w:rsidR="00C46B28">
        <w:rPr>
          <w:rFonts w:ascii="Calibri" w:hAnsi="Calibri" w:cs="Calibri"/>
        </w:rPr>
        <w:t>g</w:t>
      </w:r>
      <w:r w:rsidRPr="001F02E3">
        <w:rPr>
          <w:rFonts w:ascii="Calibri" w:hAnsi="Calibri" w:cs="Calibri"/>
        </w:rPr>
        <w:t xml:space="preserve">overnmental </w:t>
      </w:r>
      <w:r w:rsidR="00C46B28">
        <w:rPr>
          <w:rFonts w:ascii="Calibri" w:hAnsi="Calibri" w:cs="Calibri"/>
        </w:rPr>
        <w:t>o</w:t>
      </w:r>
      <w:r w:rsidRPr="001F02E3">
        <w:rPr>
          <w:rFonts w:ascii="Calibri" w:hAnsi="Calibri" w:cs="Calibri"/>
        </w:rPr>
        <w:t>rgani</w:t>
      </w:r>
      <w:r w:rsidR="005E1826">
        <w:rPr>
          <w:rFonts w:ascii="Calibri" w:hAnsi="Calibri" w:cs="Calibri"/>
        </w:rPr>
        <w:t>s</w:t>
      </w:r>
      <w:r w:rsidRPr="001F02E3">
        <w:rPr>
          <w:rFonts w:ascii="Calibri" w:hAnsi="Calibri" w:cs="Calibri"/>
        </w:rPr>
        <w:t xml:space="preserve">ations, and local </w:t>
      </w:r>
      <w:r w:rsidR="00C46B28">
        <w:rPr>
          <w:rFonts w:ascii="Calibri" w:hAnsi="Calibri" w:cs="Calibri"/>
        </w:rPr>
        <w:t>n</w:t>
      </w:r>
      <w:r w:rsidRPr="001F02E3">
        <w:rPr>
          <w:rFonts w:ascii="Calibri" w:hAnsi="Calibri" w:cs="Calibri"/>
        </w:rPr>
        <w:t>on</w:t>
      </w:r>
      <w:r w:rsidR="00C46B28">
        <w:rPr>
          <w:rFonts w:ascii="Calibri" w:hAnsi="Calibri" w:cs="Calibri"/>
        </w:rPr>
        <w:t>-p</w:t>
      </w:r>
      <w:r w:rsidRPr="001F02E3">
        <w:rPr>
          <w:rFonts w:ascii="Calibri" w:hAnsi="Calibri" w:cs="Calibri"/>
        </w:rPr>
        <w:t>rofit</w:t>
      </w:r>
      <w:r w:rsidR="005E1826">
        <w:rPr>
          <w:rFonts w:ascii="Calibri" w:hAnsi="Calibri" w:cs="Calibri"/>
        </w:rPr>
        <w:t xml:space="preserve"> associations</w:t>
      </w:r>
      <w:r w:rsidRPr="001F02E3">
        <w:rPr>
          <w:rFonts w:ascii="Calibri" w:hAnsi="Calibri" w:cs="Calibri"/>
        </w:rPr>
        <w:t xml:space="preserve">. The evaluation </w:t>
      </w:r>
      <w:r w:rsidR="00A91E98" w:rsidRPr="001F02E3">
        <w:rPr>
          <w:rFonts w:ascii="Calibri" w:hAnsi="Calibri" w:cs="Calibri"/>
        </w:rPr>
        <w:t>was asked to</w:t>
      </w:r>
      <w:r w:rsidRPr="001F02E3">
        <w:rPr>
          <w:rFonts w:ascii="Calibri" w:hAnsi="Calibri" w:cs="Calibri"/>
        </w:rPr>
        <w:t xml:space="preserve"> draw conclusions about the extent to which the UN and UNDP were effective in </w:t>
      </w:r>
      <w:r w:rsidR="00584CDF">
        <w:rPr>
          <w:rFonts w:ascii="Calibri" w:hAnsi="Calibri" w:cs="Calibri"/>
        </w:rPr>
        <w:t xml:space="preserve">supporting the government in </w:t>
      </w:r>
      <w:r w:rsidRPr="001F02E3">
        <w:rPr>
          <w:rFonts w:ascii="Calibri" w:hAnsi="Calibri" w:cs="Calibri"/>
        </w:rPr>
        <w:t>coordinati</w:t>
      </w:r>
      <w:r w:rsidR="00C46B28">
        <w:rPr>
          <w:rFonts w:ascii="Calibri" w:hAnsi="Calibri" w:cs="Calibri"/>
        </w:rPr>
        <w:t>ng</w:t>
      </w:r>
      <w:r w:rsidRPr="001F02E3">
        <w:rPr>
          <w:rFonts w:ascii="Calibri" w:hAnsi="Calibri" w:cs="Calibri"/>
        </w:rPr>
        <w:t xml:space="preserve"> the support offered by all partners in the UXO sector</w:t>
      </w:r>
      <w:r w:rsidR="00C46B28">
        <w:rPr>
          <w:rFonts w:ascii="Calibri" w:hAnsi="Calibri" w:cs="Calibri"/>
        </w:rPr>
        <w:t>,</w:t>
      </w:r>
      <w:r w:rsidR="00A91E98" w:rsidRPr="001F02E3">
        <w:rPr>
          <w:rFonts w:ascii="Calibri" w:hAnsi="Calibri" w:cs="Calibri"/>
        </w:rPr>
        <w:t xml:space="preserve"> and the extent to which</w:t>
      </w:r>
      <w:r w:rsidRPr="001F02E3">
        <w:rPr>
          <w:rFonts w:ascii="Calibri" w:hAnsi="Calibri" w:cs="Calibri"/>
        </w:rPr>
        <w:t xml:space="preserve"> risks were taken </w:t>
      </w:r>
      <w:r w:rsidR="00A91E98" w:rsidRPr="001F02E3">
        <w:rPr>
          <w:rFonts w:ascii="Calibri" w:hAnsi="Calibri" w:cs="Calibri"/>
        </w:rPr>
        <w:t xml:space="preserve">into account </w:t>
      </w:r>
      <w:r w:rsidRPr="001F02E3">
        <w:rPr>
          <w:rFonts w:ascii="Calibri" w:hAnsi="Calibri" w:cs="Calibri"/>
        </w:rPr>
        <w:t>with regards to partnership management.</w:t>
      </w:r>
    </w:p>
    <w:p w:rsidR="00F265B5" w:rsidRPr="00C849FC" w:rsidRDefault="00F265B5" w:rsidP="00F265B5">
      <w:pPr>
        <w:rPr>
          <w:rFonts w:ascii="Calibri" w:hAnsi="Calibri" w:cs="Calibri"/>
          <w:b/>
        </w:rPr>
      </w:pPr>
      <w:r w:rsidRPr="00C849FC">
        <w:rPr>
          <w:rFonts w:ascii="Calibri" w:hAnsi="Calibri" w:cs="Calibri"/>
          <w:b/>
        </w:rPr>
        <w:t>Monitoring, Evaluation and Risk Management</w:t>
      </w:r>
    </w:p>
    <w:p w:rsidR="00F265B5" w:rsidRPr="00DC183C" w:rsidRDefault="00A91E98" w:rsidP="00F265B5">
      <w:pPr>
        <w:rPr>
          <w:rFonts w:ascii="Calibri" w:hAnsi="Calibri" w:cs="Calibri"/>
        </w:rPr>
      </w:pPr>
      <w:r w:rsidRPr="00DC183C">
        <w:rPr>
          <w:rFonts w:ascii="Calibri" w:hAnsi="Calibri" w:cs="Calibri"/>
        </w:rPr>
        <w:t>The evaluation assess</w:t>
      </w:r>
      <w:r w:rsidR="00A8622A">
        <w:rPr>
          <w:rFonts w:ascii="Calibri" w:hAnsi="Calibri" w:cs="Calibri"/>
        </w:rPr>
        <w:t>ed</w:t>
      </w:r>
      <w:r w:rsidRPr="00DC183C">
        <w:rPr>
          <w:rFonts w:ascii="Calibri" w:hAnsi="Calibri" w:cs="Calibri"/>
        </w:rPr>
        <w:t xml:space="preserve"> </w:t>
      </w:r>
      <w:r w:rsidR="00F265B5" w:rsidRPr="00DC183C">
        <w:rPr>
          <w:rFonts w:ascii="Calibri" w:hAnsi="Calibri" w:cs="Calibri"/>
        </w:rPr>
        <w:t xml:space="preserve">the extent to which adequate monitoring was undertaken throughout the </w:t>
      </w:r>
      <w:r w:rsidR="00A8622A">
        <w:rPr>
          <w:rFonts w:ascii="Calibri" w:hAnsi="Calibri" w:cs="Calibri"/>
        </w:rPr>
        <w:t xml:space="preserve">evaluation </w:t>
      </w:r>
      <w:r w:rsidR="00F265B5" w:rsidRPr="00DC183C">
        <w:rPr>
          <w:rFonts w:ascii="Calibri" w:hAnsi="Calibri" w:cs="Calibri"/>
        </w:rPr>
        <w:t xml:space="preserve">period, and the extent </w:t>
      </w:r>
      <w:r w:rsidR="00F265B5" w:rsidRPr="001F02E3">
        <w:rPr>
          <w:rFonts w:ascii="Calibri" w:hAnsi="Calibri" w:cs="Calibri"/>
        </w:rPr>
        <w:t>to which evaluation systems adequate</w:t>
      </w:r>
      <w:r w:rsidR="00A8622A">
        <w:rPr>
          <w:rFonts w:ascii="Calibri" w:hAnsi="Calibri" w:cs="Calibri"/>
        </w:rPr>
        <w:t>ly</w:t>
      </w:r>
      <w:r w:rsidR="00F265B5" w:rsidRPr="001F02E3">
        <w:rPr>
          <w:rFonts w:ascii="Calibri" w:hAnsi="Calibri" w:cs="Calibri"/>
        </w:rPr>
        <w:t xml:space="preserve"> capture</w:t>
      </w:r>
      <w:r w:rsidR="00A8622A">
        <w:rPr>
          <w:rFonts w:ascii="Calibri" w:hAnsi="Calibri" w:cs="Calibri"/>
        </w:rPr>
        <w:t>d</w:t>
      </w:r>
      <w:r w:rsidR="00F265B5" w:rsidRPr="001F02E3">
        <w:rPr>
          <w:rFonts w:ascii="Calibri" w:hAnsi="Calibri" w:cs="Calibri"/>
        </w:rPr>
        <w:t xml:space="preserve"> significant developments and inform</w:t>
      </w:r>
      <w:r w:rsidR="00A8622A">
        <w:rPr>
          <w:rFonts w:ascii="Calibri" w:hAnsi="Calibri" w:cs="Calibri"/>
        </w:rPr>
        <w:t>ed</w:t>
      </w:r>
      <w:r w:rsidR="00F265B5" w:rsidRPr="001F02E3">
        <w:rPr>
          <w:rFonts w:ascii="Calibri" w:hAnsi="Calibri" w:cs="Calibri"/>
        </w:rPr>
        <w:t xml:space="preserve"> responsive management. </w:t>
      </w:r>
      <w:r w:rsidRPr="001F02E3">
        <w:rPr>
          <w:rFonts w:ascii="Calibri" w:hAnsi="Calibri" w:cs="Calibri"/>
        </w:rPr>
        <w:t>This included assessing how lessons l</w:t>
      </w:r>
      <w:r w:rsidR="00F265B5" w:rsidRPr="001F02E3">
        <w:rPr>
          <w:rFonts w:ascii="Calibri" w:hAnsi="Calibri" w:cs="Calibri"/>
        </w:rPr>
        <w:t xml:space="preserve">earned </w:t>
      </w:r>
      <w:r w:rsidRPr="001F02E3">
        <w:rPr>
          <w:rFonts w:ascii="Calibri" w:hAnsi="Calibri" w:cs="Calibri"/>
        </w:rPr>
        <w:t>were</w:t>
      </w:r>
      <w:r w:rsidR="00F265B5" w:rsidRPr="001F02E3">
        <w:rPr>
          <w:rFonts w:ascii="Calibri" w:hAnsi="Calibri" w:cs="Calibri"/>
        </w:rPr>
        <w:t xml:space="preserve"> captured and operationali</w:t>
      </w:r>
      <w:r w:rsidR="00A8622A">
        <w:rPr>
          <w:rFonts w:ascii="Calibri" w:hAnsi="Calibri" w:cs="Calibri"/>
        </w:rPr>
        <w:t>s</w:t>
      </w:r>
      <w:r w:rsidR="00F265B5" w:rsidRPr="001F02E3">
        <w:rPr>
          <w:rFonts w:ascii="Calibri" w:hAnsi="Calibri" w:cs="Calibri"/>
        </w:rPr>
        <w:t xml:space="preserve">ed throughout the </w:t>
      </w:r>
      <w:r w:rsidRPr="001F02E3">
        <w:rPr>
          <w:rFonts w:ascii="Calibri" w:hAnsi="Calibri" w:cs="Calibri"/>
        </w:rPr>
        <w:t>programme</w:t>
      </w:r>
      <w:r w:rsidRPr="00DC183C">
        <w:rPr>
          <w:rFonts w:ascii="Calibri" w:hAnsi="Calibri" w:cs="Calibri"/>
        </w:rPr>
        <w:t xml:space="preserve"> </w:t>
      </w:r>
      <w:r w:rsidR="00F265B5" w:rsidRPr="00DC183C">
        <w:rPr>
          <w:rFonts w:ascii="Calibri" w:hAnsi="Calibri" w:cs="Calibri"/>
        </w:rPr>
        <w:t xml:space="preserve">period under investigation. </w:t>
      </w:r>
      <w:r w:rsidRPr="00DC183C">
        <w:rPr>
          <w:rFonts w:ascii="Calibri" w:hAnsi="Calibri" w:cs="Calibri"/>
        </w:rPr>
        <w:t>This aspect included assessing</w:t>
      </w:r>
      <w:r w:rsidR="00F265B5" w:rsidRPr="00DC183C">
        <w:rPr>
          <w:rFonts w:ascii="Calibri" w:hAnsi="Calibri" w:cs="Calibri"/>
        </w:rPr>
        <w:t xml:space="preserve"> how effectively the </w:t>
      </w:r>
      <w:r w:rsidR="00A8622A">
        <w:rPr>
          <w:rFonts w:ascii="Calibri" w:hAnsi="Calibri" w:cs="Calibri"/>
        </w:rPr>
        <w:t>UN and UNDP’s</w:t>
      </w:r>
      <w:r w:rsidR="00F265B5" w:rsidRPr="00DC183C">
        <w:rPr>
          <w:rFonts w:ascii="Calibri" w:hAnsi="Calibri" w:cs="Calibri"/>
        </w:rPr>
        <w:t xml:space="preserve"> support to the UXO sector incorporated relevant global knowledge on good practice</w:t>
      </w:r>
      <w:r w:rsidRPr="00DC183C">
        <w:rPr>
          <w:rFonts w:ascii="Calibri" w:hAnsi="Calibri" w:cs="Calibri"/>
        </w:rPr>
        <w:t>s.</w:t>
      </w:r>
    </w:p>
    <w:p w:rsidR="00A06ACE" w:rsidRDefault="00A06ACE" w:rsidP="00F265B5">
      <w:pPr>
        <w:rPr>
          <w:rFonts w:ascii="Calibri" w:hAnsi="Calibri" w:cs="Calibri"/>
          <w:b/>
        </w:rPr>
      </w:pPr>
      <w:r w:rsidRPr="00A06ACE">
        <w:rPr>
          <w:rFonts w:ascii="Calibri" w:hAnsi="Calibri" w:cs="Calibri"/>
          <w:b/>
        </w:rPr>
        <w:t xml:space="preserve">Gender and Human Rights-Based Approach </w:t>
      </w:r>
    </w:p>
    <w:p w:rsidR="00F265B5" w:rsidRPr="00DC183C" w:rsidRDefault="00F265B5" w:rsidP="00F265B5">
      <w:pPr>
        <w:rPr>
          <w:rFonts w:ascii="Calibri" w:hAnsi="Calibri" w:cs="Calibri"/>
        </w:rPr>
      </w:pPr>
      <w:r w:rsidRPr="00DC183C">
        <w:rPr>
          <w:rFonts w:ascii="Calibri" w:hAnsi="Calibri" w:cs="Calibri"/>
        </w:rPr>
        <w:t xml:space="preserve">The evaluation </w:t>
      </w:r>
      <w:r w:rsidR="00D94F4E" w:rsidRPr="00DC183C">
        <w:rPr>
          <w:rFonts w:ascii="Calibri" w:hAnsi="Calibri" w:cs="Calibri"/>
        </w:rPr>
        <w:t>also examine</w:t>
      </w:r>
      <w:r w:rsidR="0027785E">
        <w:rPr>
          <w:rFonts w:ascii="Calibri" w:hAnsi="Calibri" w:cs="Calibri"/>
        </w:rPr>
        <w:t>d</w:t>
      </w:r>
      <w:r w:rsidRPr="00DC183C">
        <w:rPr>
          <w:rFonts w:ascii="Calibri" w:hAnsi="Calibri" w:cs="Calibri"/>
        </w:rPr>
        <w:t xml:space="preserve"> the extent to which the </w:t>
      </w:r>
      <w:r w:rsidR="00DD6323">
        <w:rPr>
          <w:rFonts w:ascii="Calibri" w:hAnsi="Calibri" w:cs="Calibri"/>
        </w:rPr>
        <w:t>project sought to strengthen a Rights-B</w:t>
      </w:r>
      <w:r w:rsidRPr="00DC183C">
        <w:rPr>
          <w:rFonts w:ascii="Calibri" w:hAnsi="Calibri" w:cs="Calibri"/>
        </w:rPr>
        <w:t>ase</w:t>
      </w:r>
      <w:r w:rsidR="00DD6323">
        <w:rPr>
          <w:rFonts w:ascii="Calibri" w:hAnsi="Calibri" w:cs="Calibri"/>
        </w:rPr>
        <w:t>d A</w:t>
      </w:r>
      <w:r w:rsidR="00D94F4E" w:rsidRPr="00DC183C">
        <w:rPr>
          <w:rFonts w:ascii="Calibri" w:hAnsi="Calibri" w:cs="Calibri"/>
        </w:rPr>
        <w:t xml:space="preserve">pproach and mainstream </w:t>
      </w:r>
      <w:r w:rsidRPr="00DC183C">
        <w:rPr>
          <w:rFonts w:ascii="Calibri" w:hAnsi="Calibri" w:cs="Calibri"/>
        </w:rPr>
        <w:t xml:space="preserve">gender into </w:t>
      </w:r>
      <w:r w:rsidR="00D94F4E" w:rsidRPr="00DC183C">
        <w:rPr>
          <w:rFonts w:ascii="Calibri" w:hAnsi="Calibri" w:cs="Calibri"/>
        </w:rPr>
        <w:t>the programme</w:t>
      </w:r>
      <w:r w:rsidR="0027785E">
        <w:rPr>
          <w:rFonts w:ascii="Calibri" w:hAnsi="Calibri" w:cs="Calibri"/>
        </w:rPr>
        <w:t>,</w:t>
      </w:r>
      <w:r w:rsidR="00D94F4E" w:rsidRPr="00DC183C">
        <w:rPr>
          <w:rFonts w:ascii="Calibri" w:hAnsi="Calibri" w:cs="Calibri"/>
        </w:rPr>
        <w:t xml:space="preserve"> including the</w:t>
      </w:r>
      <w:r w:rsidRPr="00DC183C">
        <w:rPr>
          <w:rFonts w:ascii="Calibri" w:hAnsi="Calibri" w:cs="Calibri"/>
        </w:rPr>
        <w:t xml:space="preserve"> measures</w:t>
      </w:r>
      <w:r w:rsidR="0027785E">
        <w:rPr>
          <w:rFonts w:ascii="Calibri" w:hAnsi="Calibri" w:cs="Calibri"/>
        </w:rPr>
        <w:t xml:space="preserve"> </w:t>
      </w:r>
      <w:r w:rsidRPr="00DC183C">
        <w:rPr>
          <w:rFonts w:ascii="Calibri" w:hAnsi="Calibri" w:cs="Calibri"/>
        </w:rPr>
        <w:t xml:space="preserve">taken to </w:t>
      </w:r>
      <w:r w:rsidR="00D94F4E" w:rsidRPr="00DC183C">
        <w:rPr>
          <w:rFonts w:ascii="Calibri" w:hAnsi="Calibri" w:cs="Calibri"/>
        </w:rPr>
        <w:t xml:space="preserve">achieve this </w:t>
      </w:r>
      <w:r w:rsidRPr="00DC183C">
        <w:rPr>
          <w:rFonts w:ascii="Calibri" w:hAnsi="Calibri" w:cs="Calibri"/>
        </w:rPr>
        <w:t>and how successful</w:t>
      </w:r>
      <w:r w:rsidR="0027785E">
        <w:rPr>
          <w:rFonts w:ascii="Calibri" w:hAnsi="Calibri" w:cs="Calibri"/>
        </w:rPr>
        <w:t xml:space="preserve"> the</w:t>
      </w:r>
      <w:r w:rsidRPr="00DC183C">
        <w:rPr>
          <w:rFonts w:ascii="Calibri" w:hAnsi="Calibri" w:cs="Calibri"/>
        </w:rPr>
        <w:t xml:space="preserve"> </w:t>
      </w:r>
      <w:r w:rsidR="00D94F4E" w:rsidRPr="00DC183C">
        <w:rPr>
          <w:rFonts w:ascii="Calibri" w:hAnsi="Calibri" w:cs="Calibri"/>
        </w:rPr>
        <w:t xml:space="preserve">actions were </w:t>
      </w:r>
      <w:r w:rsidRPr="00DC183C">
        <w:rPr>
          <w:rFonts w:ascii="Calibri" w:hAnsi="Calibri" w:cs="Calibri"/>
        </w:rPr>
        <w:t xml:space="preserve">in addressing </w:t>
      </w:r>
      <w:r w:rsidR="00D94F4E" w:rsidRPr="00DC183C">
        <w:rPr>
          <w:rFonts w:ascii="Calibri" w:hAnsi="Calibri" w:cs="Calibri"/>
        </w:rPr>
        <w:t>the specific rights-</w:t>
      </w:r>
      <w:r w:rsidRPr="00DC183C">
        <w:rPr>
          <w:rFonts w:ascii="Calibri" w:hAnsi="Calibri" w:cs="Calibri"/>
        </w:rPr>
        <w:t>and gender-related aspects of the UXO issue.</w:t>
      </w:r>
    </w:p>
    <w:p w:rsidR="00FA3AF0" w:rsidRPr="00DC183C" w:rsidRDefault="00A450D8" w:rsidP="00F129D4">
      <w:pPr>
        <w:pStyle w:val="Heading2"/>
        <w:numPr>
          <w:ilvl w:val="1"/>
          <w:numId w:val="3"/>
        </w:numPr>
        <w:ind w:left="360"/>
      </w:pPr>
      <w:r>
        <w:t xml:space="preserve"> </w:t>
      </w:r>
      <w:bookmarkStart w:id="8" w:name="_Toc441609315"/>
      <w:r w:rsidR="00D94F4E" w:rsidRPr="00DC183C">
        <w:t>Evaluation methods</w:t>
      </w:r>
      <w:bookmarkEnd w:id="8"/>
    </w:p>
    <w:p w:rsidR="008F6E4E" w:rsidRPr="00DC183C" w:rsidRDefault="00D94F4E" w:rsidP="0082133D">
      <w:r w:rsidRPr="00DC183C">
        <w:t>The evaluation was based on a desk review, key informant interviews</w:t>
      </w:r>
      <w:r w:rsidR="005943EC">
        <w:t>,</w:t>
      </w:r>
      <w:r w:rsidRPr="00DC183C">
        <w:t xml:space="preserve"> and community visits in Xieng Khouang. </w:t>
      </w:r>
      <w:r w:rsidR="00A434D8">
        <w:t>Reviewed d</w:t>
      </w:r>
      <w:r w:rsidRPr="00DC183C">
        <w:t>ocuments</w:t>
      </w:r>
      <w:r w:rsidR="005943EC">
        <w:t xml:space="preserve"> </w:t>
      </w:r>
      <w:r w:rsidR="008F6E4E" w:rsidRPr="00DC183C">
        <w:t xml:space="preserve">included </w:t>
      </w:r>
      <w:r w:rsidR="00A434D8">
        <w:t>those</w:t>
      </w:r>
      <w:r w:rsidRPr="00DC183C">
        <w:t xml:space="preserve"> provided by </w:t>
      </w:r>
      <w:r w:rsidR="005943EC">
        <w:t xml:space="preserve">the </w:t>
      </w:r>
      <w:r w:rsidRPr="00DC183C">
        <w:t>UNDP</w:t>
      </w:r>
      <w:r w:rsidR="005943EC">
        <w:t>, as well as</w:t>
      </w:r>
      <w:r w:rsidRPr="00DC183C">
        <w:t xml:space="preserve"> those readily available from public sources</w:t>
      </w:r>
      <w:r w:rsidR="008F6E4E" w:rsidRPr="00DC183C">
        <w:t xml:space="preserve">. </w:t>
      </w:r>
      <w:r w:rsidR="0082133D" w:rsidRPr="00DC183C">
        <w:t>These included annual reports, programme documents, strategic country development documents</w:t>
      </w:r>
      <w:r w:rsidR="005943EC">
        <w:t>,</w:t>
      </w:r>
      <w:r w:rsidR="0082133D" w:rsidRPr="00DC183C">
        <w:t xml:space="preserve"> and any other available documents </w:t>
      </w:r>
      <w:r w:rsidR="005943EC">
        <w:t>that</w:t>
      </w:r>
      <w:r w:rsidR="005943EC" w:rsidRPr="00DC183C">
        <w:t xml:space="preserve"> </w:t>
      </w:r>
      <w:r w:rsidR="0082133D" w:rsidRPr="00DC183C">
        <w:t xml:space="preserve">provided evidence to inform the evaluation purpose. </w:t>
      </w:r>
      <w:r w:rsidR="008F6E4E" w:rsidRPr="00DC183C">
        <w:t>K</w:t>
      </w:r>
      <w:r w:rsidRPr="00DC183C">
        <w:t xml:space="preserve">ey informants </w:t>
      </w:r>
      <w:r w:rsidR="008F6E4E" w:rsidRPr="00DC183C">
        <w:t>were identified using purposive sampling</w:t>
      </w:r>
      <w:r w:rsidR="005943EC">
        <w:t xml:space="preserve">, </w:t>
      </w:r>
      <w:r w:rsidR="008F6E4E" w:rsidRPr="00DC183C">
        <w:t>based on the evaluators’ subjective assessments of “who would know”</w:t>
      </w:r>
      <w:r w:rsidR="005943EC">
        <w:t>, in addition to</w:t>
      </w:r>
      <w:r w:rsidR="008F6E4E" w:rsidRPr="00DC183C">
        <w:t xml:space="preserve"> a review of the organograms of UXO Lao</w:t>
      </w:r>
      <w:r w:rsidR="005943EC">
        <w:t>,</w:t>
      </w:r>
      <w:r w:rsidR="008F6E4E" w:rsidRPr="00DC183C">
        <w:t xml:space="preserve"> </w:t>
      </w:r>
      <w:r w:rsidR="00A434D8">
        <w:t xml:space="preserve">the </w:t>
      </w:r>
      <w:r w:rsidR="008F6E4E" w:rsidRPr="00DC183C">
        <w:t>NRA</w:t>
      </w:r>
      <w:r w:rsidR="005943EC">
        <w:t>,</w:t>
      </w:r>
      <w:r w:rsidR="008F6E4E" w:rsidRPr="00DC183C">
        <w:t xml:space="preserve"> and </w:t>
      </w:r>
      <w:r w:rsidR="005943EC">
        <w:t xml:space="preserve">a </w:t>
      </w:r>
      <w:r w:rsidR="008F6E4E" w:rsidRPr="00DC183C">
        <w:t xml:space="preserve">list of donors. An initial list of potential key informants was drafted and shared with </w:t>
      </w:r>
      <w:r w:rsidR="00C14410">
        <w:t xml:space="preserve">the </w:t>
      </w:r>
      <w:r w:rsidR="008F6E4E" w:rsidRPr="00DC183C">
        <w:t xml:space="preserve">UNDP to identify other people who should be included. Interviewees were also asked to recommend people who </w:t>
      </w:r>
      <w:r w:rsidR="00A434D8">
        <w:t>could</w:t>
      </w:r>
      <w:r w:rsidR="008F6E4E" w:rsidRPr="00DC183C">
        <w:t xml:space="preserve"> provide insights into the </w:t>
      </w:r>
      <w:r w:rsidR="00C14410">
        <w:t>e</w:t>
      </w:r>
      <w:r w:rsidR="008F6E4E" w:rsidRPr="00DC183C">
        <w:t>valuation questions. Interviews were primarily conducted face</w:t>
      </w:r>
      <w:r w:rsidR="00C14410">
        <w:t>-</w:t>
      </w:r>
      <w:r w:rsidR="008F6E4E" w:rsidRPr="00DC183C">
        <w:t>to</w:t>
      </w:r>
      <w:r w:rsidR="00C14410">
        <w:t>-</w:t>
      </w:r>
      <w:r w:rsidR="008F6E4E" w:rsidRPr="00DC183C">
        <w:t>face, usua</w:t>
      </w:r>
      <w:r w:rsidR="003433DB">
        <w:t xml:space="preserve">lly in the workplace setting. </w:t>
      </w:r>
      <w:r w:rsidR="008F6E4E" w:rsidRPr="00DC183C">
        <w:t>Interviews used a semi-structured interview guide. This helped to ensure that the evaluators asked questions relevant to the evaluation</w:t>
      </w:r>
      <w:r w:rsidR="000016AF">
        <w:t>,</w:t>
      </w:r>
      <w:r w:rsidR="008F6E4E" w:rsidRPr="00DC183C">
        <w:t xml:space="preserve"> but also gave interviewees the opportunity to raise issues. </w:t>
      </w:r>
      <w:r w:rsidR="003433DB">
        <w:t>One field visit was made to Xieng Khouang in the North to meet partners, key stakeholders</w:t>
      </w:r>
      <w:r w:rsidR="00A434D8">
        <w:t>,</w:t>
      </w:r>
      <w:r w:rsidR="003433DB">
        <w:t xml:space="preserve"> and members of UXO affected areas</w:t>
      </w:r>
      <w:r w:rsidR="00A434D8">
        <w:t>.</w:t>
      </w:r>
      <w:r w:rsidR="003433DB">
        <w:t xml:space="preserve"> </w:t>
      </w:r>
      <w:r w:rsidR="008F6E4E" w:rsidRPr="00DC183C">
        <w:t xml:space="preserve">Interviews lasted </w:t>
      </w:r>
      <w:r w:rsidR="000016AF">
        <w:t>approximately</w:t>
      </w:r>
      <w:r w:rsidR="000016AF" w:rsidRPr="00DC183C">
        <w:t xml:space="preserve"> </w:t>
      </w:r>
      <w:r w:rsidR="008F6E4E" w:rsidRPr="00DC183C">
        <w:t xml:space="preserve">45-60 minutes </w:t>
      </w:r>
      <w:r w:rsidR="000016AF">
        <w:t xml:space="preserve">in length </w:t>
      </w:r>
      <w:r w:rsidR="008F6E4E" w:rsidRPr="00DC183C">
        <w:t xml:space="preserve">and were conducted by </w:t>
      </w:r>
      <w:r w:rsidR="000016AF">
        <w:t>an</w:t>
      </w:r>
      <w:r w:rsidR="000016AF" w:rsidRPr="00DC183C">
        <w:t xml:space="preserve"> </w:t>
      </w:r>
      <w:r w:rsidR="008F6E4E" w:rsidRPr="00DC183C">
        <w:t xml:space="preserve">evaluator </w:t>
      </w:r>
      <w:r w:rsidR="00584CDF">
        <w:t>with</w:t>
      </w:r>
      <w:r w:rsidR="008F6E4E" w:rsidRPr="00DC183C">
        <w:t xml:space="preserve"> a national researcher from the University of Health Sciences. </w:t>
      </w:r>
      <w:r w:rsidR="00DD36B0" w:rsidRPr="00DC183C">
        <w:t xml:space="preserve">Summaries of all </w:t>
      </w:r>
      <w:r w:rsidR="00640812">
        <w:t xml:space="preserve">the </w:t>
      </w:r>
      <w:r w:rsidR="00DD36B0" w:rsidRPr="00DC183C">
        <w:t xml:space="preserve">interviews were checked for consistency by </w:t>
      </w:r>
      <w:r w:rsidR="00584CDF">
        <w:t xml:space="preserve">either </w:t>
      </w:r>
      <w:r w:rsidR="00DD36B0" w:rsidRPr="00DC183C">
        <w:t xml:space="preserve">two </w:t>
      </w:r>
      <w:r w:rsidR="00584CDF">
        <w:t xml:space="preserve">international </w:t>
      </w:r>
      <w:r w:rsidR="00DD36B0" w:rsidRPr="00DC183C">
        <w:t>evaluators</w:t>
      </w:r>
      <w:r w:rsidR="00584CDF">
        <w:t xml:space="preserve"> or an international evaluator and national researcher</w:t>
      </w:r>
      <w:r w:rsidR="00DD36B0" w:rsidRPr="00DC183C">
        <w:t xml:space="preserve">. </w:t>
      </w:r>
    </w:p>
    <w:p w:rsidR="00FA3AF0" w:rsidRPr="00DC183C" w:rsidRDefault="00A450D8" w:rsidP="00F129D4">
      <w:pPr>
        <w:pStyle w:val="Heading2"/>
        <w:numPr>
          <w:ilvl w:val="1"/>
          <w:numId w:val="3"/>
        </w:numPr>
        <w:ind w:left="360"/>
      </w:pPr>
      <w:r>
        <w:t xml:space="preserve"> </w:t>
      </w:r>
      <w:bookmarkStart w:id="9" w:name="_Toc441609316"/>
      <w:r w:rsidR="00FA3AF0" w:rsidRPr="00DC183C">
        <w:t>Evaluation limitations and constraints</w:t>
      </w:r>
      <w:bookmarkEnd w:id="9"/>
    </w:p>
    <w:p w:rsidR="003433DB" w:rsidRPr="00DC183C" w:rsidRDefault="00C22E94" w:rsidP="001778DB">
      <w:r w:rsidRPr="00DC183C">
        <w:t>As with all evaluations</w:t>
      </w:r>
      <w:r w:rsidR="001E5657">
        <w:t>,</w:t>
      </w:r>
      <w:r w:rsidRPr="00DC183C">
        <w:t xml:space="preserve"> there are some limitations that need to be acknowledged. An important limitation </w:t>
      </w:r>
      <w:r w:rsidR="001E5657">
        <w:t xml:space="preserve">to note </w:t>
      </w:r>
      <w:r w:rsidRPr="00DC183C">
        <w:t xml:space="preserve">is that </w:t>
      </w:r>
      <w:r w:rsidR="00E55D89" w:rsidRPr="00DC183C">
        <w:t>the programme is essentially</w:t>
      </w:r>
      <w:r w:rsidR="001E5657">
        <w:t>,</w:t>
      </w:r>
      <w:r w:rsidR="00E55D89" w:rsidRPr="00DC183C">
        <w:t xml:space="preserve"> from </w:t>
      </w:r>
      <w:r w:rsidR="001E5657">
        <w:t xml:space="preserve">the </w:t>
      </w:r>
      <w:r w:rsidR="00E55D89" w:rsidRPr="00DC183C">
        <w:t>UNDP’s perspective</w:t>
      </w:r>
      <w:r w:rsidR="001E5657">
        <w:t>,</w:t>
      </w:r>
      <w:r w:rsidR="00E55D89" w:rsidRPr="00DC183C">
        <w:t xml:space="preserve"> an institutional capacity building programme, yet the programme document does not include a definition of institutional capacity building. This, coupled with a lack of baseline data, make</w:t>
      </w:r>
      <w:r w:rsidR="001E5657">
        <w:t>s</w:t>
      </w:r>
      <w:r w:rsidR="00E55D89" w:rsidRPr="00DC183C">
        <w:t xml:space="preserve"> evaluating the relevance, effectiveness, efficiency</w:t>
      </w:r>
      <w:r w:rsidR="001E5657">
        <w:t>,</w:t>
      </w:r>
      <w:r w:rsidR="00E55D89" w:rsidRPr="00DC183C">
        <w:t xml:space="preserve"> and sustainability of </w:t>
      </w:r>
      <w:r w:rsidR="003433DB">
        <w:t>UNDP’s support</w:t>
      </w:r>
      <w:r w:rsidR="00225EFB">
        <w:t>,</w:t>
      </w:r>
      <w:r w:rsidR="003433DB">
        <w:t xml:space="preserve"> in terms of </w:t>
      </w:r>
      <w:r w:rsidR="00E55D89" w:rsidRPr="00DC183C">
        <w:t>institutional capacity building</w:t>
      </w:r>
      <w:r w:rsidR="00225EFB">
        <w:t>,</w:t>
      </w:r>
      <w:r w:rsidR="00E55D89" w:rsidRPr="00DC183C">
        <w:t xml:space="preserve"> problematic. </w:t>
      </w:r>
      <w:r w:rsidR="003433DB">
        <w:t>Furthermore</w:t>
      </w:r>
      <w:r w:rsidR="00584CDF">
        <w:t xml:space="preserve">, </w:t>
      </w:r>
      <w:r w:rsidR="00225EFB">
        <w:t xml:space="preserve">the programme document does not clearly articulate </w:t>
      </w:r>
      <w:r w:rsidR="00584CDF">
        <w:t xml:space="preserve">how the deployment of </w:t>
      </w:r>
      <w:r w:rsidR="00584CDF" w:rsidRPr="00DC183C">
        <w:t>technical</w:t>
      </w:r>
      <w:r w:rsidR="0081533E" w:rsidRPr="00DC183C">
        <w:t xml:space="preserve"> advisors and </w:t>
      </w:r>
      <w:r w:rsidR="00584CDF">
        <w:t xml:space="preserve">the activities they undertake </w:t>
      </w:r>
      <w:r w:rsidR="0081533E" w:rsidRPr="00DC183C">
        <w:t>will con</w:t>
      </w:r>
      <w:r w:rsidR="00225EFB">
        <w:t xml:space="preserve">tribute to capacity development. There is also no </w:t>
      </w:r>
      <w:r w:rsidR="003433DB">
        <w:t xml:space="preserve">audit trail </w:t>
      </w:r>
      <w:r w:rsidR="00584CDF">
        <w:t xml:space="preserve">of </w:t>
      </w:r>
      <w:r w:rsidR="00225EFB">
        <w:t xml:space="preserve">the </w:t>
      </w:r>
      <w:r w:rsidR="00584CDF">
        <w:t>UNDP’s advisory work</w:t>
      </w:r>
      <w:r w:rsidR="00225EFB">
        <w:t xml:space="preserve"> which makes evaluating </w:t>
      </w:r>
      <w:r w:rsidR="00584CDF">
        <w:t xml:space="preserve">the relevance and effectiveness of </w:t>
      </w:r>
      <w:r w:rsidR="00225EFB">
        <w:t xml:space="preserve">the </w:t>
      </w:r>
      <w:r w:rsidR="003433DB">
        <w:t xml:space="preserve">UNDP’s </w:t>
      </w:r>
      <w:r w:rsidR="00584CDF">
        <w:t>support in relation to capacity building</w:t>
      </w:r>
      <w:r w:rsidR="00225EFB">
        <w:t xml:space="preserve"> difficult</w:t>
      </w:r>
      <w:r w:rsidR="00584CDF">
        <w:t xml:space="preserve">. </w:t>
      </w:r>
      <w:r w:rsidR="0081533E" w:rsidRPr="00DC183C">
        <w:t xml:space="preserve">This </w:t>
      </w:r>
      <w:r w:rsidR="00225EFB">
        <w:t xml:space="preserve">is important </w:t>
      </w:r>
      <w:r w:rsidR="0081533E" w:rsidRPr="00DC183C">
        <w:t xml:space="preserve">because </w:t>
      </w:r>
      <w:r w:rsidR="00076FC5">
        <w:t xml:space="preserve">the </w:t>
      </w:r>
      <w:r w:rsidR="0081533E" w:rsidRPr="00DC183C">
        <w:t xml:space="preserve">UNDP </w:t>
      </w:r>
      <w:r w:rsidR="00D922AD" w:rsidRPr="00DC183C">
        <w:t xml:space="preserve">is not the only actor providing </w:t>
      </w:r>
      <w:r w:rsidR="00584CDF">
        <w:t xml:space="preserve">advisory </w:t>
      </w:r>
      <w:r w:rsidR="00D922AD" w:rsidRPr="00DC183C">
        <w:t xml:space="preserve">capacity building services. Other actors include advisors contracted by other donors, </w:t>
      </w:r>
      <w:r w:rsidR="0081533E" w:rsidRPr="00DC183C">
        <w:t xml:space="preserve">international NGOs (INGOs), </w:t>
      </w:r>
      <w:r w:rsidR="00D922AD" w:rsidRPr="00DC183C">
        <w:t>national institutions</w:t>
      </w:r>
      <w:r w:rsidR="00076FC5">
        <w:t>,</w:t>
      </w:r>
      <w:r w:rsidR="00D922AD" w:rsidRPr="00DC183C">
        <w:t xml:space="preserve"> and organisations based in the region. </w:t>
      </w:r>
      <w:r w:rsidR="00584CDF">
        <w:t xml:space="preserve"> The lack of clarity or audit trail of</w:t>
      </w:r>
      <w:r w:rsidR="00225EFB">
        <w:t xml:space="preserve"> the</w:t>
      </w:r>
      <w:r w:rsidR="00584CDF">
        <w:t xml:space="preserve"> UNDP’s advisory work makes assessing UNDP’s contribution to any observed changes challenging. </w:t>
      </w:r>
    </w:p>
    <w:p w:rsidR="00FA3AF0" w:rsidRPr="00DC183C" w:rsidRDefault="0054213D" w:rsidP="000C3B05">
      <w:pPr>
        <w:pStyle w:val="Heading1"/>
        <w:numPr>
          <w:ilvl w:val="0"/>
          <w:numId w:val="3"/>
        </w:numPr>
      </w:pPr>
      <w:bookmarkStart w:id="10" w:name="_Toc441609317"/>
      <w:r w:rsidRPr="00DC183C">
        <w:t>Country Context</w:t>
      </w:r>
      <w:bookmarkEnd w:id="10"/>
    </w:p>
    <w:p w:rsidR="00C22E94" w:rsidRPr="00DC183C" w:rsidRDefault="00C22E94" w:rsidP="00C22E94">
      <w:r w:rsidRPr="00DC183C">
        <w:t>Situated in South East Asia, Lao PDR is a lower-middle-income, heterogeneous, multi-ethno linguistic society and a socialist one-</w:t>
      </w:r>
      <w:r w:rsidR="00737C0A">
        <w:t>p</w:t>
      </w:r>
      <w:r w:rsidRPr="00DC183C">
        <w:t xml:space="preserve">arty state </w:t>
      </w:r>
      <w:r w:rsidR="00690D54" w:rsidRPr="00DC183C">
        <w:fldChar w:fldCharType="begin"/>
      </w:r>
      <w:r w:rsidRPr="00DC183C">
        <w:instrText xml:space="preserve"> ADDIN EN.CITE &lt;EndNote&gt;&lt;Cite&gt;&lt;Author&gt;United Nations&lt;/Author&gt;&lt;Year&gt;2012&lt;/Year&gt;&lt;RecNum&gt;1471&lt;/RecNum&gt;&lt;DisplayText&gt;(United Nations 2012)&lt;/DisplayText&gt;&lt;record&gt;&lt;rec-number&gt;1471&lt;/rec-number&gt;&lt;foreign-keys&gt;&lt;key app="EN" db-id="295a99afssrrfmexvejx5eaetewt5zavvwzf" timestamp="1414872865"&gt;1471&lt;/key&gt;&lt;/foreign-keys&gt;&lt;ref-type name="Report"&gt;27&lt;/ref-type&gt;&lt;contributors&gt;&lt;authors&gt;&lt;author&gt;United Nations,&lt;/author&gt;&lt;/authors&gt;&lt;/contributors&gt;&lt;titles&gt;&lt;title&gt;Country analysis report: Lao People’s Democratic Republic&lt;/title&gt;&lt;/titles&gt;&lt;dates&gt;&lt;year&gt;2012&lt;/year&gt;&lt;/dates&gt;&lt;pub-location&gt;Vientiane &lt;/pub-location&gt;&lt;publisher&gt;United Nations in the Lao PDR&lt;/publisher&gt;&lt;urls&gt;&lt;/urls&gt;&lt;/record&gt;&lt;/Cite&gt;&lt;/EndNote&gt;</w:instrText>
      </w:r>
      <w:r w:rsidR="00690D54" w:rsidRPr="00DC183C">
        <w:fldChar w:fldCharType="separate"/>
      </w:r>
      <w:r w:rsidRPr="00DC183C">
        <w:rPr>
          <w:noProof/>
        </w:rPr>
        <w:t>(United Nations 2012)</w:t>
      </w:r>
      <w:r w:rsidR="00690D54" w:rsidRPr="00DC183C">
        <w:fldChar w:fldCharType="end"/>
      </w:r>
      <w:r w:rsidRPr="00DC183C">
        <w:t>. The geography is dominated by remote uplands and shares borders with Thailand to the west, Vietnam to the east, Myanmar and China to the north, and Cambodia to the south.  Increasingly</w:t>
      </w:r>
      <w:r w:rsidR="00737C0A">
        <w:t>,</w:t>
      </w:r>
      <w:r w:rsidRPr="00DC183C">
        <w:t xml:space="preserve"> the Lao PDR is linked to these countries through improved road networks and greater integration into regional trade. </w:t>
      </w:r>
      <w:r w:rsidRPr="00DC183C">
        <w:rPr>
          <w:rFonts w:cs="Times New Roman"/>
          <w:color w:val="221E1F"/>
        </w:rPr>
        <w:t>The country has a Human Development Index of 0.569, ranking it 139th out of 187</w:t>
      </w:r>
      <w:r w:rsidR="00584CDF" w:rsidRPr="00DC183C">
        <w:rPr>
          <w:rStyle w:val="FootnoteReference"/>
          <w:rFonts w:cs="Times New Roman"/>
          <w:color w:val="221E1F"/>
        </w:rPr>
        <w:footnoteReference w:id="3"/>
      </w:r>
      <w:r w:rsidRPr="00DC183C">
        <w:rPr>
          <w:rFonts w:cs="Times New Roman"/>
          <w:color w:val="221E1F"/>
        </w:rPr>
        <w:t xml:space="preserve"> countries on </w:t>
      </w:r>
      <w:r w:rsidR="00C015F5">
        <w:t>the</w:t>
      </w:r>
      <w:r w:rsidR="00584CDF">
        <w:t xml:space="preserve"> UNDP measurement of h</w:t>
      </w:r>
      <w:r w:rsidR="00584CDF">
        <w:rPr>
          <w:rFonts w:cs="Times New Roman"/>
          <w:color w:val="221E1F"/>
        </w:rPr>
        <w:t>uman d</w:t>
      </w:r>
      <w:r w:rsidRPr="00DC183C">
        <w:rPr>
          <w:rFonts w:cs="Times New Roman"/>
          <w:color w:val="221E1F"/>
        </w:rPr>
        <w:t>e</w:t>
      </w:r>
      <w:r w:rsidR="00584CDF">
        <w:rPr>
          <w:rFonts w:cs="Times New Roman"/>
          <w:color w:val="221E1F"/>
        </w:rPr>
        <w:t>velopment</w:t>
      </w:r>
      <w:r w:rsidRPr="00DC183C">
        <w:rPr>
          <w:rFonts w:cs="Times New Roman"/>
          <w:color w:val="221E1F"/>
        </w:rPr>
        <w:t>.</w:t>
      </w:r>
      <w:r w:rsidRPr="00DC183C">
        <w:t xml:space="preserve"> The demographic transition is underway</w:t>
      </w:r>
      <w:r w:rsidR="00737C0A">
        <w:t>,</w:t>
      </w:r>
      <w:r w:rsidRPr="00DC183C">
        <w:t xml:space="preserve"> evidenced by population growth, a large youthful population, increased life expectancy</w:t>
      </w:r>
      <w:r w:rsidR="00737C0A">
        <w:t>,</w:t>
      </w:r>
      <w:r w:rsidRPr="00DC183C">
        <w:t xml:space="preserve"> and a changing health profile. The country is experiencing rapid socio-economic change. In recent years, economic growth has been strong, poverty has declined significantly</w:t>
      </w:r>
      <w:r w:rsidR="00737C0A">
        <w:t>,</w:t>
      </w:r>
      <w:r w:rsidRPr="00DC183C">
        <w:t xml:space="preserve"> and impressive progress has been </w:t>
      </w:r>
      <w:r w:rsidR="00737C0A">
        <w:t>made</w:t>
      </w:r>
      <w:r w:rsidR="00737C0A" w:rsidRPr="00DC183C">
        <w:t xml:space="preserve"> </w:t>
      </w:r>
      <w:r w:rsidRPr="00DC183C">
        <w:t>across a range of other social and economic indicators</w:t>
      </w:r>
      <w:r w:rsidR="00737C0A">
        <w:t>,</w:t>
      </w:r>
      <w:r w:rsidRPr="00DC183C">
        <w:t xml:space="preserve"> including education and health. Gross Domestic Product (GDP) per capita</w:t>
      </w:r>
      <w:r w:rsidR="00737C0A">
        <w:t>,</w:t>
      </w:r>
      <w:r w:rsidRPr="00DC183C">
        <w:t xml:space="preserve"> for example, has steadily increased from 36</w:t>
      </w:r>
      <w:r w:rsidR="00C015F5">
        <w:t xml:space="preserve">2.01 USD per capita in 1995 to </w:t>
      </w:r>
      <w:r w:rsidRPr="00DC183C">
        <w:t>2,879</w:t>
      </w:r>
      <w:r w:rsidR="00C015F5">
        <w:t xml:space="preserve"> USD</w:t>
      </w:r>
      <w:r w:rsidRPr="00DC183C">
        <w:t xml:space="preserve"> per capita in 2011</w:t>
      </w:r>
      <w:r w:rsidR="00737C0A">
        <w:t>,</w:t>
      </w:r>
      <w:r w:rsidRPr="00DC183C">
        <w:t xml:space="preserve"> when the country was reclassified from a low to a low-middle income country and the national poverty headcount ha</w:t>
      </w:r>
      <w:r w:rsidR="00737C0A">
        <w:t>d</w:t>
      </w:r>
      <w:r w:rsidRPr="00DC183C">
        <w:t xml:space="preserve"> declined from 46% in 1992 to 28% in 2008</w:t>
      </w:r>
      <w:r w:rsidRPr="00DC183C">
        <w:rPr>
          <w:rStyle w:val="FootnoteReference"/>
          <w:rFonts w:cs="Times New Roman"/>
        </w:rPr>
        <w:footnoteReference w:id="4"/>
      </w:r>
      <w:r w:rsidRPr="00DC183C">
        <w:t xml:space="preserve">. The government is also committed to graduating the Lao PDR from </w:t>
      </w:r>
      <w:r w:rsidR="00737C0A">
        <w:t xml:space="preserve">the </w:t>
      </w:r>
      <w:r w:rsidRPr="00DC183C">
        <w:t xml:space="preserve">least developed country status by 2020. Much of the economic growth has been driven by the development of the country as </w:t>
      </w:r>
      <w:r w:rsidR="00737C0A">
        <w:t xml:space="preserve">a </w:t>
      </w:r>
      <w:r w:rsidRPr="00DC183C">
        <w:t>provider of energy, minerals, timber, and cash crops, mainly destined for China, Vietnam, and Thailand.</w:t>
      </w:r>
    </w:p>
    <w:p w:rsidR="007E6ECC" w:rsidRPr="00DC183C" w:rsidRDefault="00C22E94" w:rsidP="007E6ECC">
      <w:r w:rsidRPr="00DC183C">
        <w:t xml:space="preserve">Despite progress, </w:t>
      </w:r>
      <w:r w:rsidR="000E1E4A">
        <w:t xml:space="preserve">economic growth has had limited impact on </w:t>
      </w:r>
      <w:r w:rsidR="000E1E4A" w:rsidRPr="00DC183C">
        <w:t>generating suff</w:t>
      </w:r>
      <w:r w:rsidR="006A51D9">
        <w:t>icient employment opportunities</w:t>
      </w:r>
      <w:r w:rsidR="000E1E4A" w:rsidRPr="00DC183C">
        <w:t xml:space="preserve"> or demand for local services</w:t>
      </w:r>
      <w:r w:rsidR="006A51D9">
        <w:t>,</w:t>
      </w:r>
      <w:r w:rsidR="000E1E4A" w:rsidRPr="00DC183C">
        <w:t xml:space="preserve"> especially for those in rural areas</w:t>
      </w:r>
      <w:r w:rsidR="006A51D9">
        <w:t>.</w:t>
      </w:r>
      <w:r w:rsidR="000E1E4A" w:rsidRPr="00DC183C">
        <w:t xml:space="preserve"> </w:t>
      </w:r>
      <w:r w:rsidR="006A51D9">
        <w:t>L</w:t>
      </w:r>
      <w:r w:rsidRPr="00DC183C">
        <w:t xml:space="preserve">arge disparities </w:t>
      </w:r>
      <w:r w:rsidR="006A51D9">
        <w:t xml:space="preserve">also </w:t>
      </w:r>
      <w:r w:rsidRPr="00DC183C">
        <w:t>remain between urban and rural areas, uplands and lowlands, amongst different ethnic groups</w:t>
      </w:r>
      <w:r w:rsidR="00331403">
        <w:t>,</w:t>
      </w:r>
      <w:r w:rsidRPr="00DC183C">
        <w:t xml:space="preserve"> and between women, girls, men</w:t>
      </w:r>
      <w:r w:rsidR="00331403">
        <w:t>,</w:t>
      </w:r>
      <w:r w:rsidRPr="00DC183C">
        <w:t xml:space="preserve"> and boys. The Gini coefficient has increased slightly from .30 in 1992 to .36 in 2008. </w:t>
      </w:r>
      <w:r w:rsidR="007E6ECC">
        <w:t>Informal work, s</w:t>
      </w:r>
      <w:r w:rsidRPr="00DC183C">
        <w:t>ubsistence agriculture</w:t>
      </w:r>
      <w:r w:rsidR="006A51D9">
        <w:t>,</w:t>
      </w:r>
      <w:r w:rsidRPr="00DC183C">
        <w:t xml:space="preserve"> and related activities</w:t>
      </w:r>
      <w:r w:rsidR="006A51D9">
        <w:t>,</w:t>
      </w:r>
      <w:r w:rsidRPr="00DC183C">
        <w:t xml:space="preserve"> remain </w:t>
      </w:r>
      <w:r w:rsidR="00331403">
        <w:t xml:space="preserve">the </w:t>
      </w:r>
      <w:r w:rsidRPr="00DC183C">
        <w:t xml:space="preserve">key livelihood </w:t>
      </w:r>
      <w:r w:rsidR="006A51D9">
        <w:t>strategies</w:t>
      </w:r>
      <w:r w:rsidRPr="00DC183C">
        <w:t>, engaging approximately 71% of the population</w:t>
      </w:r>
      <w:r w:rsidRPr="00DC183C">
        <w:rPr>
          <w:rStyle w:val="FootnoteReference"/>
          <w:rFonts w:cs="Times New Roman"/>
        </w:rPr>
        <w:footnoteReference w:id="5"/>
      </w:r>
      <w:r w:rsidRPr="00DC183C">
        <w:rPr>
          <w:color w:val="221E1F"/>
        </w:rPr>
        <w:t>.</w:t>
      </w:r>
      <w:r w:rsidRPr="00DC183C">
        <w:t xml:space="preserve"> Farm productivity is low</w:t>
      </w:r>
      <w:r w:rsidR="000900A9">
        <w:t>,</w:t>
      </w:r>
      <w:r w:rsidRPr="00DC183C">
        <w:t xml:space="preserve"> with most farmers relying on </w:t>
      </w:r>
      <w:r w:rsidR="00FB07DC" w:rsidRPr="00DC183C">
        <w:t>rai</w:t>
      </w:r>
      <w:r w:rsidR="00FB07DC">
        <w:t>n</w:t>
      </w:r>
      <w:r w:rsidRPr="00DC183C">
        <w:t>-fed, traditional farming methods, with limited mechani</w:t>
      </w:r>
      <w:r w:rsidR="000900A9">
        <w:t>s</w:t>
      </w:r>
      <w:r w:rsidRPr="00DC183C">
        <w:t>ation</w:t>
      </w:r>
      <w:r w:rsidR="006A51D9">
        <w:t>. Farmers</w:t>
      </w:r>
      <w:r w:rsidRPr="00DC183C">
        <w:t xml:space="preserve"> </w:t>
      </w:r>
      <w:r w:rsidR="006A51D9">
        <w:t>are</w:t>
      </w:r>
      <w:r w:rsidRPr="00DC183C">
        <w:t xml:space="preserve"> produc</w:t>
      </w:r>
      <w:r w:rsidR="000900A9">
        <w:t>ing</w:t>
      </w:r>
      <w:r w:rsidRPr="00DC183C">
        <w:t xml:space="preserve"> just enough to suppor</w:t>
      </w:r>
      <w:r w:rsidR="006A51D9">
        <w:t>t their food and non-food needs, making</w:t>
      </w:r>
      <w:r w:rsidR="00054A0C">
        <w:t xml:space="preserve"> </w:t>
      </w:r>
      <w:r w:rsidR="006A51D9">
        <w:t>them risk-averse and limiting</w:t>
      </w:r>
      <w:r w:rsidR="00054A0C">
        <w:t xml:space="preserve"> their capacity to innovate and invest in cash crops. </w:t>
      </w:r>
      <w:r w:rsidRPr="00DC183C">
        <w:t xml:space="preserve">Markets in remote areas are typically weak, </w:t>
      </w:r>
      <w:r w:rsidR="006A51D9">
        <w:t>with farmers often having</w:t>
      </w:r>
      <w:r w:rsidRPr="00DC183C">
        <w:t xml:space="preserve"> limited capacity to negotiate fair prices</w:t>
      </w:r>
      <w:r w:rsidR="00C74A77">
        <w:t>,</w:t>
      </w:r>
      <w:r w:rsidRPr="00DC183C">
        <w:t xml:space="preserve"> and transport links remain poor. In some areas, the government has pursued a policy of land concessions, granting land to both foreign and domestic companies for hydroelectric plants, mines, and plantations. </w:t>
      </w:r>
      <w:r w:rsidR="00C74A77">
        <w:t>As a result, f</w:t>
      </w:r>
      <w:r w:rsidRPr="00DC183C">
        <w:t xml:space="preserve">amilies </w:t>
      </w:r>
      <w:r w:rsidR="006A51D9">
        <w:t>l</w:t>
      </w:r>
      <w:r w:rsidRPr="00DC183C">
        <w:t>ose their access to la</w:t>
      </w:r>
      <w:r w:rsidR="006A51D9">
        <w:t xml:space="preserve">nd because of land concessions and </w:t>
      </w:r>
      <w:r w:rsidRPr="00DC183C">
        <w:t xml:space="preserve">face a </w:t>
      </w:r>
      <w:r w:rsidR="006A51D9">
        <w:t>rapid transition to casual wages</w:t>
      </w:r>
      <w:r w:rsidRPr="00DC183C">
        <w:t xml:space="preserve"> and increased dependency on concession companies</w:t>
      </w:r>
      <w:r w:rsidR="00C74A77">
        <w:t>,</w:t>
      </w:r>
      <w:r w:rsidRPr="00DC183C">
        <w:t xml:space="preserve"> which may contribute to downward mobility. While contract farming provides an alternative to plantation concessions, </w:t>
      </w:r>
      <w:r w:rsidR="006A51D9">
        <w:t xml:space="preserve">the lack of </w:t>
      </w:r>
      <w:r w:rsidRPr="00DC183C">
        <w:t>well-organized grower associations</w:t>
      </w:r>
      <w:r w:rsidR="006A51D9">
        <w:t xml:space="preserve"> means that </w:t>
      </w:r>
      <w:r w:rsidRPr="00DC183C">
        <w:t xml:space="preserve">farmers often have limited experience with the principles of a market-based economy </w:t>
      </w:r>
      <w:r w:rsidR="00C74A77">
        <w:t>and lack the</w:t>
      </w:r>
      <w:r w:rsidR="00C74A77" w:rsidRPr="00DC183C">
        <w:t xml:space="preserve"> </w:t>
      </w:r>
      <w:r w:rsidRPr="00DC183C">
        <w:t xml:space="preserve">ability to secure fair prices for their products. </w:t>
      </w:r>
      <w:r w:rsidR="007E6ECC" w:rsidRPr="00DC183C">
        <w:t>Seven chronically poor provinces have been identified (i.e., Phongsaly, Luang Prabang, Huaphanh, Xieng Khouang, Savannakhet, Sekong and Attapeu)</w:t>
      </w:r>
      <w:r w:rsidR="007E6ECC" w:rsidRPr="00DC183C">
        <w:rPr>
          <w:rStyle w:val="FootnoteReference"/>
          <w:rFonts w:cs="Times New Roman"/>
        </w:rPr>
        <w:footnoteReference w:id="6"/>
      </w:r>
      <w:r w:rsidR="007E6ECC" w:rsidRPr="00DC183C">
        <w:t xml:space="preserve"> and of these, Luang Prabang, Huaphanh, Xieng Khouang, Savannakhet, Sekong</w:t>
      </w:r>
      <w:r w:rsidR="006A51D9">
        <w:t>,</w:t>
      </w:r>
      <w:r w:rsidR="007E6ECC" w:rsidRPr="00DC183C">
        <w:t xml:space="preserve"> and Attapeu have been identified as among the most UXO impacted</w:t>
      </w:r>
      <w:r w:rsidR="007E6ECC">
        <w:t xml:space="preserve"> provinces and have a UNDP supported UXO/Mine A</w:t>
      </w:r>
      <w:r w:rsidR="007E6ECC" w:rsidRPr="00DC183C">
        <w:t>ction programme. Most of the UXO in these provinces is in rural areas</w:t>
      </w:r>
      <w:r w:rsidR="007E6ECC">
        <w:t>,</w:t>
      </w:r>
      <w:r w:rsidR="007E6ECC" w:rsidRPr="00DC183C">
        <w:t xml:space="preserve"> with many inhabitants chronically poor in relative terms</w:t>
      </w:r>
      <w:r w:rsidR="001C6EE0">
        <w:t>,</w:t>
      </w:r>
      <w:r w:rsidR="007E6ECC" w:rsidRPr="00DC183C">
        <w:t xml:space="preserve"> and food insecure</w:t>
      </w:r>
      <w:r w:rsidR="007E6ECC" w:rsidRPr="00DC183C">
        <w:rPr>
          <w:rStyle w:val="FootnoteReference"/>
          <w:rFonts w:cs="Times New Roman"/>
        </w:rPr>
        <w:footnoteReference w:id="7"/>
      </w:r>
      <w:r w:rsidR="007E6ECC" w:rsidRPr="00DC183C">
        <w:t>.</w:t>
      </w:r>
    </w:p>
    <w:p w:rsidR="00C22E94" w:rsidRPr="00DC183C" w:rsidRDefault="00A450D8" w:rsidP="00F129D4">
      <w:pPr>
        <w:pStyle w:val="Heading2"/>
        <w:numPr>
          <w:ilvl w:val="1"/>
          <w:numId w:val="24"/>
        </w:numPr>
      </w:pPr>
      <w:r>
        <w:t xml:space="preserve"> </w:t>
      </w:r>
      <w:bookmarkStart w:id="11" w:name="_Toc441609318"/>
      <w:r w:rsidR="00C22E94" w:rsidRPr="00DC183C">
        <w:t>Origin and extent of national mine/UXO problem</w:t>
      </w:r>
      <w:bookmarkEnd w:id="11"/>
    </w:p>
    <w:p w:rsidR="00B120E4" w:rsidRPr="00DC183C" w:rsidRDefault="00C22E94" w:rsidP="00B120E4">
      <w:pPr>
        <w:rPr>
          <w:rFonts w:ascii="Calibri" w:hAnsi="Calibri" w:cs="Calibri"/>
        </w:rPr>
      </w:pPr>
      <w:r w:rsidRPr="00DC183C">
        <w:rPr>
          <w:rFonts w:cs="Times New Roman"/>
        </w:rPr>
        <w:t>Following the end of colonial rule in Laos</w:t>
      </w:r>
      <w:r w:rsidR="00A9593E">
        <w:rPr>
          <w:rFonts w:cs="Times New Roman"/>
        </w:rPr>
        <w:t xml:space="preserve"> </w:t>
      </w:r>
      <w:r w:rsidRPr="00DC183C">
        <w:rPr>
          <w:rFonts w:cs="Times New Roman"/>
        </w:rPr>
        <w:t xml:space="preserve">in the 1950s, the country was increasingly integrated into the </w:t>
      </w:r>
      <w:r w:rsidR="001874C2">
        <w:rPr>
          <w:rFonts w:cs="Times New Roman"/>
        </w:rPr>
        <w:t>s</w:t>
      </w:r>
      <w:r w:rsidR="000948FB">
        <w:rPr>
          <w:rFonts w:cs="Times New Roman"/>
        </w:rPr>
        <w:t xml:space="preserve">econd Indo-China </w:t>
      </w:r>
      <w:r w:rsidRPr="00DC183C">
        <w:rPr>
          <w:rFonts w:cs="Times New Roman"/>
        </w:rPr>
        <w:t xml:space="preserve">conflict. Most of the current UXO contamination in the country is </w:t>
      </w:r>
      <w:r w:rsidR="000948FB">
        <w:rPr>
          <w:rFonts w:cs="Times New Roman"/>
        </w:rPr>
        <w:t>from this</w:t>
      </w:r>
      <w:r w:rsidRPr="00DC183C">
        <w:rPr>
          <w:rFonts w:cs="Times New Roman"/>
        </w:rPr>
        <w:t xml:space="preserve"> era</w:t>
      </w:r>
      <w:r w:rsidR="00F06788">
        <w:rPr>
          <w:rFonts w:cs="Times New Roman"/>
        </w:rPr>
        <w:t xml:space="preserve"> and</w:t>
      </w:r>
      <w:r w:rsidRPr="00DC183C">
        <w:rPr>
          <w:rFonts w:cs="Times New Roman"/>
        </w:rPr>
        <w:t xml:space="preserve"> </w:t>
      </w:r>
      <w:r w:rsidR="00F06788">
        <w:rPr>
          <w:rFonts w:cs="Times New Roman"/>
        </w:rPr>
        <w:t xml:space="preserve">the </w:t>
      </w:r>
      <w:r w:rsidR="000948FB">
        <w:rPr>
          <w:rFonts w:cs="Times New Roman"/>
        </w:rPr>
        <w:t>United States (</w:t>
      </w:r>
      <w:r w:rsidRPr="00DC183C">
        <w:rPr>
          <w:rFonts w:cs="Times New Roman"/>
        </w:rPr>
        <w:t>US</w:t>
      </w:r>
      <w:r w:rsidR="000948FB">
        <w:rPr>
          <w:rFonts w:cs="Times New Roman"/>
        </w:rPr>
        <w:t>)</w:t>
      </w:r>
      <w:r w:rsidRPr="00DC183C">
        <w:rPr>
          <w:rFonts w:cs="Times New Roman"/>
        </w:rPr>
        <w:t xml:space="preserve"> bombing campaign (1964-73)</w:t>
      </w:r>
      <w:r w:rsidRPr="00DC183C">
        <w:rPr>
          <w:rFonts w:cs="Times New Roman"/>
          <w:vertAlign w:val="superscript"/>
        </w:rPr>
        <w:footnoteReference w:id="8"/>
      </w:r>
      <w:r w:rsidRPr="00DC183C">
        <w:rPr>
          <w:rFonts w:cs="Times New Roman"/>
        </w:rPr>
        <w:t>. The intensity of this campaign was such</w:t>
      </w:r>
      <w:r w:rsidR="001874C2">
        <w:rPr>
          <w:rFonts w:cs="Times New Roman"/>
        </w:rPr>
        <w:t xml:space="preserve">, </w:t>
      </w:r>
      <w:r w:rsidRPr="00DC183C">
        <w:rPr>
          <w:rFonts w:cs="Times New Roman"/>
        </w:rPr>
        <w:t xml:space="preserve">that per capita, the Lao PDR </w:t>
      </w:r>
      <w:r w:rsidR="001874C2">
        <w:rPr>
          <w:rFonts w:cs="Times New Roman"/>
        </w:rPr>
        <w:t>became</w:t>
      </w:r>
      <w:r w:rsidRPr="00DC183C">
        <w:rPr>
          <w:rFonts w:cs="Times New Roman"/>
        </w:rPr>
        <w:t xml:space="preserve"> the most heavily UXO contaminated country in the world</w:t>
      </w:r>
      <w:r w:rsidRPr="00DC183C">
        <w:rPr>
          <w:rFonts w:cs="Times New Roman"/>
          <w:vertAlign w:val="superscript"/>
        </w:rPr>
        <w:footnoteReference w:id="9"/>
      </w:r>
      <w:r w:rsidRPr="00DC183C">
        <w:rPr>
          <w:rFonts w:cs="Times New Roman"/>
        </w:rPr>
        <w:t xml:space="preserve">. It is estimated that a total of </w:t>
      </w:r>
      <w:r w:rsidR="00F06788">
        <w:rPr>
          <w:rFonts w:cs="Times New Roman"/>
        </w:rPr>
        <w:t>two</w:t>
      </w:r>
      <w:r w:rsidRPr="00DC183C">
        <w:rPr>
          <w:rFonts w:cs="Times New Roman"/>
        </w:rPr>
        <w:t xml:space="preserve"> million tons of explosive ordnance </w:t>
      </w:r>
      <w:r w:rsidR="00F06788">
        <w:rPr>
          <w:rFonts w:cs="Times New Roman"/>
        </w:rPr>
        <w:t>was</w:t>
      </w:r>
      <w:r w:rsidR="00F06788" w:rsidRPr="00DC183C">
        <w:rPr>
          <w:rFonts w:cs="Times New Roman"/>
        </w:rPr>
        <w:t xml:space="preserve"> </w:t>
      </w:r>
      <w:r w:rsidRPr="00DC183C">
        <w:rPr>
          <w:rFonts w:cs="Times New Roman"/>
        </w:rPr>
        <w:t xml:space="preserve">dropped on the country, including over 270 million explosive sub-munitions, commonly referred to as ‘cluster munitions’, or ‘bombies’. Much of the bombing </w:t>
      </w:r>
      <w:r w:rsidR="00E92731">
        <w:rPr>
          <w:rFonts w:cs="Times New Roman"/>
        </w:rPr>
        <w:t xml:space="preserve">was in a predominately rural </w:t>
      </w:r>
      <w:r w:rsidR="00FB07DC">
        <w:rPr>
          <w:rFonts w:cs="Times New Roman"/>
        </w:rPr>
        <w:t>area</w:t>
      </w:r>
      <w:r w:rsidR="002A186E">
        <w:rPr>
          <w:rFonts w:cs="Times New Roman"/>
        </w:rPr>
        <w:t>,</w:t>
      </w:r>
      <w:r w:rsidR="00FB07DC">
        <w:rPr>
          <w:rFonts w:cs="Times New Roman"/>
        </w:rPr>
        <w:t xml:space="preserve"> which </w:t>
      </w:r>
      <w:r w:rsidRPr="00DC183C">
        <w:rPr>
          <w:rFonts w:cs="Times New Roman"/>
        </w:rPr>
        <w:t>became known as the Ho Chi Minh Trail</w:t>
      </w:r>
      <w:r w:rsidR="00F06788">
        <w:rPr>
          <w:rFonts w:cs="Times New Roman"/>
        </w:rPr>
        <w:t>,</w:t>
      </w:r>
      <w:r w:rsidRPr="00DC183C">
        <w:rPr>
          <w:rFonts w:cs="Times New Roman"/>
        </w:rPr>
        <w:t xml:space="preserve"> </w:t>
      </w:r>
      <w:r w:rsidR="00E92731">
        <w:rPr>
          <w:rFonts w:cs="Times New Roman"/>
        </w:rPr>
        <w:t>running</w:t>
      </w:r>
      <w:r w:rsidRPr="00DC183C">
        <w:rPr>
          <w:rFonts w:cs="Times New Roman"/>
        </w:rPr>
        <w:t xml:space="preserve"> along the Lao/Vietnam border</w:t>
      </w:r>
      <w:r w:rsidRPr="00DC183C">
        <w:rPr>
          <w:rStyle w:val="FootnoteReference"/>
          <w:rFonts w:cs="Times New Roman"/>
        </w:rPr>
        <w:footnoteReference w:id="10"/>
      </w:r>
      <w:r w:rsidRPr="00DC183C">
        <w:rPr>
          <w:rFonts w:cs="Times New Roman"/>
        </w:rPr>
        <w:t>.</w:t>
      </w:r>
      <w:r w:rsidR="00B120E4">
        <w:rPr>
          <w:rFonts w:cs="Times New Roman"/>
        </w:rPr>
        <w:t xml:space="preserve"> </w:t>
      </w:r>
    </w:p>
    <w:p w:rsidR="00C22E94" w:rsidRPr="00DC183C" w:rsidRDefault="00B120E4" w:rsidP="00054A0C">
      <w:r w:rsidRPr="00DC183C">
        <w:rPr>
          <w:rFonts w:cs="Times New Roman"/>
        </w:rPr>
        <w:t xml:space="preserve">The US Department of State has provided the Lao PDR with available strike site data for the period </w:t>
      </w:r>
      <w:r>
        <w:rPr>
          <w:rFonts w:cs="Times New Roman"/>
        </w:rPr>
        <w:t xml:space="preserve">of </w:t>
      </w:r>
      <w:r w:rsidR="00425704">
        <w:rPr>
          <w:rFonts w:cs="Times New Roman"/>
        </w:rPr>
        <w:t xml:space="preserve">1964-1973. </w:t>
      </w:r>
      <w:r w:rsidR="00C22E94" w:rsidRPr="00DC183C">
        <w:t xml:space="preserve">This provides some indication of </w:t>
      </w:r>
      <w:r w:rsidR="008C5629">
        <w:t xml:space="preserve">the </w:t>
      </w:r>
      <w:r w:rsidR="00C22E94" w:rsidRPr="00DC183C">
        <w:t>areas that are likely to be contaminated with UXO</w:t>
      </w:r>
      <w:r w:rsidR="008C5629">
        <w:t>,</w:t>
      </w:r>
      <w:r w:rsidR="00C22E94" w:rsidRPr="00DC183C">
        <w:t xml:space="preserve"> but does not allow for an estimation of the failure rates of the various munitions dropped (estimated to be</w:t>
      </w:r>
      <w:r w:rsidR="008C5629">
        <w:t xml:space="preserve"> about</w:t>
      </w:r>
      <w:r w:rsidR="00C22E94" w:rsidRPr="00DC183C">
        <w:t xml:space="preserve"> 10-30%). Consequently, obtaining accurate estimate</w:t>
      </w:r>
      <w:r w:rsidR="008C5629">
        <w:t>s</w:t>
      </w:r>
      <w:r w:rsidR="00C22E94" w:rsidRPr="00DC183C">
        <w:t xml:space="preserve"> of the areas with UXO contamination is difficult using the bombing data alone</w:t>
      </w:r>
      <w:r w:rsidR="008C5629">
        <w:t>. M</w:t>
      </w:r>
      <w:r w:rsidR="00C22E94" w:rsidRPr="00DC183C">
        <w:t>ore detailed information about contaminated or suspected contaminated areas</w:t>
      </w:r>
      <w:r w:rsidR="008C5629">
        <w:t xml:space="preserve"> </w:t>
      </w:r>
      <w:r w:rsidR="00F32BC5">
        <w:t xml:space="preserve">mainly </w:t>
      </w:r>
      <w:r w:rsidR="00466CFF" w:rsidRPr="00DC183C">
        <w:t>comes</w:t>
      </w:r>
      <w:r w:rsidR="00C22E94" w:rsidRPr="00DC183C">
        <w:t xml:space="preserve"> from local key informants and injuries. </w:t>
      </w:r>
      <w:r w:rsidR="00466CFF">
        <w:t>T</w:t>
      </w:r>
      <w:r w:rsidR="00C22E94" w:rsidRPr="00DC183C">
        <w:t xml:space="preserve">he provinces </w:t>
      </w:r>
      <w:r w:rsidR="008C5629">
        <w:t>that</w:t>
      </w:r>
      <w:r w:rsidR="00C22E94" w:rsidRPr="00DC183C">
        <w:t xml:space="preserve"> have the most </w:t>
      </w:r>
      <w:r w:rsidR="00466CFF">
        <w:t>UXO impact</w:t>
      </w:r>
      <w:r w:rsidR="00C22E94" w:rsidRPr="00DC183C">
        <w:t xml:space="preserve"> are: Huaphanh, Xieng Khouang, Luang Prabang, Khammouane, Savannakhet, Champasak, Saravan, Sekong</w:t>
      </w:r>
      <w:r w:rsidR="00F32BC5">
        <w:t>,</w:t>
      </w:r>
      <w:r w:rsidR="00C22E94" w:rsidRPr="00DC183C">
        <w:t xml:space="preserve"> and Attapeu. Important to note</w:t>
      </w:r>
      <w:r w:rsidR="008C5629">
        <w:t>,</w:t>
      </w:r>
      <w:r w:rsidR="00C22E94" w:rsidRPr="00DC183C">
        <w:t xml:space="preserve"> however, is that this</w:t>
      </w:r>
      <w:r w:rsidR="008C5629">
        <w:t xml:space="preserve"> data</w:t>
      </w:r>
      <w:r w:rsidR="00C22E94" w:rsidRPr="00DC183C">
        <w:t xml:space="preserve"> is based on available bombing records and a 1997 Handicap International Socio-Economic Survey, rather than a technical survey that identified confirmed hazardous areas. In 2010, </w:t>
      </w:r>
      <w:r w:rsidR="008C5629">
        <w:t xml:space="preserve">the </w:t>
      </w:r>
      <w:r w:rsidR="00054A0C" w:rsidRPr="00054A0C">
        <w:t>First Meeting of States Parties (1MSP)</w:t>
      </w:r>
      <w:r w:rsidR="00054A0C">
        <w:rPr>
          <w:rStyle w:val="apple-converted-space"/>
          <w:rFonts w:ascii="Arial" w:hAnsi="Arial" w:cs="Arial"/>
          <w:color w:val="545454"/>
          <w:shd w:val="clear" w:color="auto" w:fill="FFFFFF"/>
        </w:rPr>
        <w:t> </w:t>
      </w:r>
      <w:r w:rsidR="00054A0C" w:rsidRPr="00DC183C" w:rsidDel="00054A0C">
        <w:t>stated</w:t>
      </w:r>
      <w:r w:rsidR="00C22E94" w:rsidRPr="00DC183C">
        <w:t xml:space="preserve"> in Article 7 </w:t>
      </w:r>
      <w:r w:rsidR="00473BFE">
        <w:t xml:space="preserve">of the </w:t>
      </w:r>
      <w:r w:rsidR="00C22E94" w:rsidRPr="00DC183C">
        <w:t>Transparency Report for Lao PDR, that an estimated 87,000 km</w:t>
      </w:r>
      <w:r w:rsidR="00C22E94" w:rsidRPr="00466CFF">
        <w:rPr>
          <w:vertAlign w:val="superscript"/>
        </w:rPr>
        <w:t>2</w:t>
      </w:r>
      <w:r w:rsidR="00C22E94" w:rsidRPr="00DC183C">
        <w:t xml:space="preserve"> of land is contaminated with UXO, in</w:t>
      </w:r>
      <w:r w:rsidR="00F32BC5">
        <w:t>cluding explosive sub-munitions</w:t>
      </w:r>
      <w:r w:rsidR="00C22E94" w:rsidRPr="00DC183C">
        <w:t xml:space="preserve"> in 14 of </w:t>
      </w:r>
      <w:r w:rsidR="00387271">
        <w:t xml:space="preserve">the </w:t>
      </w:r>
      <w:r w:rsidR="00C22E94" w:rsidRPr="00DC183C">
        <w:t>18 Laotian provinces. This estimate was revised down in the 2nd MSP to 8,470 km</w:t>
      </w:r>
      <w:r w:rsidR="00C22E94" w:rsidRPr="00466CFF">
        <w:rPr>
          <w:vertAlign w:val="superscript"/>
        </w:rPr>
        <w:t>2</w:t>
      </w:r>
      <w:r w:rsidR="00C22E94" w:rsidRPr="00DC183C">
        <w:t>. This calculation is based on 70,000 individual targeted locations, indicated by bombing data released by the US.</w:t>
      </w:r>
    </w:p>
    <w:p w:rsidR="00C22E94" w:rsidRPr="00DC183C" w:rsidRDefault="007D267D" w:rsidP="007D267D">
      <w:pPr>
        <w:pStyle w:val="Heading2"/>
        <w:numPr>
          <w:ilvl w:val="0"/>
          <w:numId w:val="0"/>
        </w:numPr>
      </w:pPr>
      <w:bookmarkStart w:id="12" w:name="_Toc441609319"/>
      <w:r>
        <w:t>2.2</w:t>
      </w:r>
      <w:r w:rsidR="000C3B05">
        <w:t xml:space="preserve"> </w:t>
      </w:r>
      <w:r w:rsidR="00C22E94" w:rsidRPr="00DC183C">
        <w:t>UNDP support to mine/UXO action in the Lao PDR 1995-2012</w:t>
      </w:r>
      <w:bookmarkEnd w:id="12"/>
    </w:p>
    <w:p w:rsidR="00DB5C4A" w:rsidRDefault="00C22E94" w:rsidP="00054A0C">
      <w:pPr>
        <w:rPr>
          <w:rFonts w:cs="Times New Roman"/>
        </w:rPr>
      </w:pPr>
      <w:r w:rsidRPr="00DC183C">
        <w:rPr>
          <w:rFonts w:cs="Times New Roman"/>
        </w:rPr>
        <w:t>Prior to UNDP engagement</w:t>
      </w:r>
      <w:r w:rsidR="00A013AF">
        <w:rPr>
          <w:rFonts w:cs="Times New Roman"/>
        </w:rPr>
        <w:t xml:space="preserve"> in clearance efforts</w:t>
      </w:r>
      <w:r w:rsidRPr="00DC183C">
        <w:rPr>
          <w:rFonts w:cs="Times New Roman"/>
        </w:rPr>
        <w:t>, UXO clearance was undertaken by the military with technical training and equipment from Vietnam and the Soviet Union. UXO clearance was also undertaken by commercial companies, including Milsearch, a joint private venture with the Lao military, funded by private investors or donors. Other interventions were also undertaken on the periphery of development projects by local de-miners</w:t>
      </w:r>
      <w:r w:rsidR="005713AA">
        <w:rPr>
          <w:rFonts w:cs="Times New Roman"/>
        </w:rPr>
        <w:t>,</w:t>
      </w:r>
      <w:r w:rsidR="004414F9">
        <w:rPr>
          <w:rFonts w:cs="Times New Roman"/>
        </w:rPr>
        <w:t xml:space="preserve"> with support from the military. However, </w:t>
      </w:r>
      <w:r w:rsidRPr="00DC183C">
        <w:rPr>
          <w:rFonts w:cs="Times New Roman"/>
        </w:rPr>
        <w:t>in many cases</w:t>
      </w:r>
      <w:r w:rsidR="004414F9">
        <w:rPr>
          <w:rFonts w:cs="Times New Roman"/>
        </w:rPr>
        <w:t>,</w:t>
      </w:r>
      <w:r w:rsidRPr="00DC183C">
        <w:rPr>
          <w:rFonts w:cs="Times New Roman"/>
        </w:rPr>
        <w:t xml:space="preserve"> villagers were left to undertake clearance themselves</w:t>
      </w:r>
      <w:r w:rsidRPr="00DC183C">
        <w:rPr>
          <w:rStyle w:val="FootnoteReference"/>
          <w:rFonts w:cs="Times New Roman"/>
        </w:rPr>
        <w:footnoteReference w:id="11"/>
      </w:r>
      <w:r w:rsidRPr="00DC183C">
        <w:rPr>
          <w:rFonts w:cs="Times New Roman"/>
        </w:rPr>
        <w:t xml:space="preserve">. In 1995, </w:t>
      </w:r>
      <w:r w:rsidR="005713AA">
        <w:rPr>
          <w:rFonts w:cs="Times New Roman"/>
        </w:rPr>
        <w:t xml:space="preserve">the </w:t>
      </w:r>
      <w:r w:rsidRPr="00DC183C">
        <w:rPr>
          <w:rFonts w:cs="Times New Roman"/>
        </w:rPr>
        <w:t xml:space="preserve">UNDP </w:t>
      </w:r>
      <w:r w:rsidR="005713AA">
        <w:rPr>
          <w:rFonts w:cs="Times New Roman"/>
        </w:rPr>
        <w:t>and</w:t>
      </w:r>
      <w:r w:rsidR="005713AA" w:rsidRPr="00DC183C">
        <w:rPr>
          <w:rFonts w:cs="Times New Roman"/>
        </w:rPr>
        <w:t xml:space="preserve"> </w:t>
      </w:r>
      <w:r w:rsidRPr="00DC183C">
        <w:rPr>
          <w:rFonts w:cs="Times New Roman"/>
        </w:rPr>
        <w:t>UNICEF established</w:t>
      </w:r>
      <w:r w:rsidR="005713AA">
        <w:rPr>
          <w:rFonts w:cs="Times New Roman"/>
        </w:rPr>
        <w:t>,</w:t>
      </w:r>
      <w:r w:rsidRPr="00DC183C">
        <w:rPr>
          <w:rFonts w:cs="Times New Roman"/>
        </w:rPr>
        <w:t xml:space="preserve"> with the government, the Lao PDR Trust Fund for UXO clearance</w:t>
      </w:r>
      <w:r w:rsidR="006A1551">
        <w:rPr>
          <w:rFonts w:cs="Times New Roman"/>
        </w:rPr>
        <w:t>,</w:t>
      </w:r>
      <w:r w:rsidRPr="00DC183C">
        <w:rPr>
          <w:rFonts w:cs="Times New Roman"/>
        </w:rPr>
        <w:t xml:space="preserve"> with the Ministry of Labour and Social Welfare (MLSW) as the main partner. Projects financed through the Trust Fund could be executed through a range of entities</w:t>
      </w:r>
      <w:r w:rsidR="005713AA">
        <w:rPr>
          <w:rFonts w:cs="Times New Roman"/>
        </w:rPr>
        <w:t>,</w:t>
      </w:r>
      <w:r w:rsidRPr="00DC183C">
        <w:rPr>
          <w:rFonts w:cs="Times New Roman"/>
        </w:rPr>
        <w:t xml:space="preserve"> providing </w:t>
      </w:r>
      <w:r w:rsidR="005713AA">
        <w:rPr>
          <w:rFonts w:cs="Times New Roman"/>
        </w:rPr>
        <w:t xml:space="preserve">that </w:t>
      </w:r>
      <w:r w:rsidRPr="00DC183C">
        <w:rPr>
          <w:rFonts w:cs="Times New Roman"/>
        </w:rPr>
        <w:t xml:space="preserve">the focus was on affected communities and </w:t>
      </w:r>
      <w:r w:rsidR="006A1551">
        <w:rPr>
          <w:rFonts w:cs="Times New Roman"/>
        </w:rPr>
        <w:t>included</w:t>
      </w:r>
      <w:r w:rsidRPr="00DC183C">
        <w:rPr>
          <w:rFonts w:cs="Times New Roman"/>
        </w:rPr>
        <w:t>: UXO clearance and associated awareness activities; research into effective clearance techniques; food security or income generating activities where food shortages were a result of UXO contamination; exploring the potential to develop a national commercial UXO clearance capacity; technical and management capacity building; and strengthening health service capacities to manage casualties from the acute trauma phase through to rehabilitation</w:t>
      </w:r>
      <w:r w:rsidR="00054A0C">
        <w:rPr>
          <w:rFonts w:cs="Times New Roman"/>
        </w:rPr>
        <w:t>. Despite this broad range of potential activities, the Trust Fund</w:t>
      </w:r>
      <w:r w:rsidRPr="00DC183C">
        <w:rPr>
          <w:rFonts w:cs="Times New Roman"/>
        </w:rPr>
        <w:t xml:space="preserve"> </w:t>
      </w:r>
      <w:r w:rsidR="00054A0C">
        <w:rPr>
          <w:rFonts w:cs="Times New Roman"/>
        </w:rPr>
        <w:t>was</w:t>
      </w:r>
      <w:r w:rsidRPr="00DC183C">
        <w:rPr>
          <w:rFonts w:cs="Times New Roman"/>
        </w:rPr>
        <w:t xml:space="preserve"> primarily used to support the development of </w:t>
      </w:r>
      <w:r w:rsidRPr="00DC183C">
        <w:rPr>
          <w:rFonts w:cs="Times New Roman"/>
          <w:color w:val="000000"/>
        </w:rPr>
        <w:t>the Lao National Unexploded Ordnance Programme (UXO Lao)</w:t>
      </w:r>
      <w:r w:rsidR="00DB5C4A">
        <w:rPr>
          <w:rFonts w:cs="Times New Roman"/>
        </w:rPr>
        <w:t>.</w:t>
      </w:r>
      <w:r w:rsidR="006A1551">
        <w:rPr>
          <w:rFonts w:cs="Times New Roman"/>
        </w:rPr>
        <w:t xml:space="preserve"> </w:t>
      </w:r>
      <w:r w:rsidRPr="00DC183C">
        <w:rPr>
          <w:rFonts w:cs="Times New Roman"/>
        </w:rPr>
        <w:t xml:space="preserve">Established by the </w:t>
      </w:r>
      <w:r w:rsidRPr="00DC183C">
        <w:rPr>
          <w:rFonts w:cs="Times New Roman"/>
          <w:color w:val="000000"/>
        </w:rPr>
        <w:t>Prime Minister’s Decree Number 49 (13</w:t>
      </w:r>
      <w:r w:rsidR="009A1858">
        <w:rPr>
          <w:rFonts w:cs="Times New Roman"/>
          <w:color w:val="000000"/>
        </w:rPr>
        <w:t>th</w:t>
      </w:r>
      <w:r w:rsidRPr="00DC183C">
        <w:rPr>
          <w:rFonts w:cs="Times New Roman"/>
          <w:color w:val="000000"/>
        </w:rPr>
        <w:t xml:space="preserve"> February 1996), UXO Lao was established</w:t>
      </w:r>
      <w:r w:rsidRPr="00DC183C">
        <w:rPr>
          <w:rFonts w:cs="Times New Roman"/>
        </w:rPr>
        <w:t xml:space="preserve"> under the MLSW to coordinate activities related to UXO clearance and community awareness. The MLSW acted as the Chair of the </w:t>
      </w:r>
      <w:r w:rsidR="00584CDF">
        <w:rPr>
          <w:rFonts w:cs="Times New Roman"/>
        </w:rPr>
        <w:t xml:space="preserve">UXO </w:t>
      </w:r>
      <w:r w:rsidRPr="00DC183C">
        <w:rPr>
          <w:rFonts w:cs="Times New Roman"/>
        </w:rPr>
        <w:t>Committee, and UXO Lao acted as the Secretariat until 2000</w:t>
      </w:r>
      <w:r w:rsidR="009A1858">
        <w:rPr>
          <w:rFonts w:cs="Times New Roman"/>
        </w:rPr>
        <w:t>,</w:t>
      </w:r>
      <w:r w:rsidRPr="00DC183C">
        <w:rPr>
          <w:rFonts w:cs="Times New Roman"/>
        </w:rPr>
        <w:t xml:space="preserve"> when a Prime Ministerial Decree handed</w:t>
      </w:r>
      <w:r w:rsidR="006A1551">
        <w:rPr>
          <w:rFonts w:cs="Times New Roman"/>
        </w:rPr>
        <w:t xml:space="preserve"> </w:t>
      </w:r>
      <w:r w:rsidRPr="00DC183C">
        <w:rPr>
          <w:rFonts w:cs="Times New Roman"/>
        </w:rPr>
        <w:t>responsibility</w:t>
      </w:r>
      <w:r w:rsidR="006A1551">
        <w:rPr>
          <w:rFonts w:cs="Times New Roman"/>
        </w:rPr>
        <w:t xml:space="preserve"> over</w:t>
      </w:r>
      <w:r w:rsidRPr="00DC183C">
        <w:rPr>
          <w:rFonts w:cs="Times New Roman"/>
        </w:rPr>
        <w:t xml:space="preserve"> to the newly created National Steering Committee Office. UXO Lao also became a service provider</w:t>
      </w:r>
      <w:r w:rsidR="006A1551">
        <w:rPr>
          <w:rFonts w:cs="Times New Roman"/>
        </w:rPr>
        <w:t>,</w:t>
      </w:r>
      <w:r w:rsidRPr="00DC183C">
        <w:rPr>
          <w:rFonts w:cs="Times New Roman"/>
        </w:rPr>
        <w:t xml:space="preserve"> and</w:t>
      </w:r>
      <w:r w:rsidRPr="00DC183C">
        <w:rPr>
          <w:rStyle w:val="CommentReference"/>
          <w:rFonts w:cs="Times New Roman"/>
        </w:rPr>
        <w:t xml:space="preserve"> </w:t>
      </w:r>
      <w:r w:rsidR="009A1858">
        <w:rPr>
          <w:rFonts w:cs="Times New Roman"/>
        </w:rPr>
        <w:t>wi</w:t>
      </w:r>
      <w:r w:rsidRPr="00DC183C">
        <w:rPr>
          <w:rFonts w:cs="Times New Roman"/>
        </w:rPr>
        <w:t xml:space="preserve">th </w:t>
      </w:r>
      <w:r w:rsidR="009A1858">
        <w:rPr>
          <w:rFonts w:cs="Times New Roman"/>
        </w:rPr>
        <w:t xml:space="preserve">the </w:t>
      </w:r>
      <w:r w:rsidRPr="00DC183C">
        <w:rPr>
          <w:rFonts w:cs="Times New Roman"/>
        </w:rPr>
        <w:t xml:space="preserve">UNDP support, the programme was established in nine provinces thought to be </w:t>
      </w:r>
      <w:r w:rsidR="009A1858">
        <w:rPr>
          <w:rFonts w:cs="Times New Roman"/>
        </w:rPr>
        <w:t xml:space="preserve">the </w:t>
      </w:r>
      <w:r w:rsidRPr="00DC183C">
        <w:rPr>
          <w:rFonts w:cs="Times New Roman"/>
        </w:rPr>
        <w:t xml:space="preserve">most contaminated, based on </w:t>
      </w:r>
      <w:r w:rsidR="009A1858">
        <w:rPr>
          <w:rFonts w:cs="Times New Roman"/>
        </w:rPr>
        <w:t>the</w:t>
      </w:r>
      <w:r w:rsidR="009A1858" w:rsidRPr="00DC183C">
        <w:rPr>
          <w:rFonts w:cs="Times New Roman"/>
        </w:rPr>
        <w:t xml:space="preserve"> </w:t>
      </w:r>
      <w:r w:rsidRPr="00DC183C">
        <w:rPr>
          <w:rFonts w:cs="Times New Roman"/>
        </w:rPr>
        <w:t>1997 Handicap International Socio-Economic Survey funded through the Trust Fund. To enhance technical and management capacity of UXO Lao</w:t>
      </w:r>
      <w:r w:rsidR="006A1551">
        <w:rPr>
          <w:rFonts w:cs="Times New Roman"/>
        </w:rPr>
        <w:t>,</w:t>
      </w:r>
      <w:r w:rsidRPr="00DC183C">
        <w:rPr>
          <w:rFonts w:cs="Times New Roman"/>
        </w:rPr>
        <w:t xml:space="preserve"> and </w:t>
      </w:r>
      <w:r w:rsidR="006A1551">
        <w:rPr>
          <w:rFonts w:cs="Times New Roman"/>
        </w:rPr>
        <w:t xml:space="preserve">to </w:t>
      </w:r>
      <w:r w:rsidRPr="00DC183C">
        <w:rPr>
          <w:rFonts w:cs="Times New Roman"/>
        </w:rPr>
        <w:t xml:space="preserve">mobilize financial support, </w:t>
      </w:r>
      <w:r w:rsidR="009A1858">
        <w:rPr>
          <w:rFonts w:cs="Times New Roman"/>
        </w:rPr>
        <w:t xml:space="preserve">the </w:t>
      </w:r>
      <w:r w:rsidRPr="00DC183C">
        <w:rPr>
          <w:rFonts w:cs="Times New Roman"/>
        </w:rPr>
        <w:t>UNDP secured support from international actors in each of the nine provinces where it was operational. These included Gerbera (Huaphanh and Luang Prabang), Handicap International (Savannakhet), Norwegian People’s Aid (Attapeu and Sekong), World Vision (Khammouane)</w:t>
      </w:r>
      <w:r w:rsidR="009A1858">
        <w:rPr>
          <w:rFonts w:cs="Times New Roman"/>
        </w:rPr>
        <w:t>,</w:t>
      </w:r>
      <w:r w:rsidRPr="00DC183C">
        <w:rPr>
          <w:rFonts w:cs="Times New Roman"/>
        </w:rPr>
        <w:t xml:space="preserve"> and later</w:t>
      </w:r>
      <w:r w:rsidR="009A1858">
        <w:rPr>
          <w:rFonts w:cs="Times New Roman"/>
        </w:rPr>
        <w:t>,</w:t>
      </w:r>
      <w:r w:rsidRPr="00DC183C">
        <w:rPr>
          <w:rFonts w:cs="Times New Roman"/>
        </w:rPr>
        <w:t xml:space="preserve"> the Belgian military (Champasak) and </w:t>
      </w:r>
      <w:r w:rsidR="00584CDF">
        <w:rPr>
          <w:rFonts w:cs="Times New Roman"/>
        </w:rPr>
        <w:t>Mines A</w:t>
      </w:r>
      <w:r w:rsidR="000948FB">
        <w:rPr>
          <w:rFonts w:cs="Times New Roman"/>
        </w:rPr>
        <w:t xml:space="preserve">dvisory Group </w:t>
      </w:r>
      <w:r w:rsidRPr="00DC183C">
        <w:rPr>
          <w:rFonts w:cs="Times New Roman"/>
        </w:rPr>
        <w:t>(Xi</w:t>
      </w:r>
      <w:r w:rsidR="000948FB">
        <w:rPr>
          <w:rFonts w:cs="Times New Roman"/>
        </w:rPr>
        <w:t>e</w:t>
      </w:r>
      <w:r w:rsidRPr="00DC183C">
        <w:rPr>
          <w:rFonts w:cs="Times New Roman"/>
        </w:rPr>
        <w:t>ng Khouang and Saravan)</w:t>
      </w:r>
      <w:r w:rsidR="00DB5C4A">
        <w:rPr>
          <w:rFonts w:cs="Times New Roman"/>
        </w:rPr>
        <w:t xml:space="preserve">. </w:t>
      </w:r>
    </w:p>
    <w:p w:rsidR="00DB5C4A" w:rsidRDefault="000948FB" w:rsidP="00054A0C">
      <w:pPr>
        <w:rPr>
          <w:rFonts w:cs="Times New Roman"/>
        </w:rPr>
      </w:pPr>
      <w:r>
        <w:rPr>
          <w:rFonts w:cs="Times New Roman"/>
        </w:rPr>
        <w:t>In 2002</w:t>
      </w:r>
      <w:r w:rsidR="008410DF">
        <w:rPr>
          <w:rFonts w:cs="Times New Roman"/>
        </w:rPr>
        <w:t>,</w:t>
      </w:r>
      <w:r>
        <w:rPr>
          <w:rFonts w:cs="Times New Roman"/>
        </w:rPr>
        <w:t xml:space="preserve"> </w:t>
      </w:r>
      <w:r w:rsidR="009A3586">
        <w:rPr>
          <w:rFonts w:cs="Times New Roman"/>
        </w:rPr>
        <w:t xml:space="preserve">the </w:t>
      </w:r>
      <w:r w:rsidR="00C22E94" w:rsidRPr="00DC183C">
        <w:rPr>
          <w:rFonts w:cs="Times New Roman"/>
        </w:rPr>
        <w:t>UNDP and UXO Lao commissioned an evaluation</w:t>
      </w:r>
      <w:r w:rsidR="00C22E94" w:rsidRPr="00DC183C">
        <w:rPr>
          <w:rStyle w:val="FootnoteReference"/>
          <w:rFonts w:cs="Times New Roman"/>
        </w:rPr>
        <w:footnoteReference w:id="12"/>
      </w:r>
      <w:r>
        <w:rPr>
          <w:rFonts w:cs="Times New Roman"/>
        </w:rPr>
        <w:t xml:space="preserve"> that </w:t>
      </w:r>
      <w:r w:rsidR="00C22E94" w:rsidRPr="00DC183C">
        <w:rPr>
          <w:rFonts w:cs="Times New Roman"/>
        </w:rPr>
        <w:t>recommended separating the planning, coordination</w:t>
      </w:r>
      <w:r w:rsidR="009A3586">
        <w:rPr>
          <w:rFonts w:cs="Times New Roman"/>
        </w:rPr>
        <w:t>,</w:t>
      </w:r>
      <w:r w:rsidR="00C22E94" w:rsidRPr="00DC183C">
        <w:rPr>
          <w:rFonts w:cs="Times New Roman"/>
        </w:rPr>
        <w:t xml:space="preserve"> and regulatory functions from UXO Lao to another entity</w:t>
      </w:r>
      <w:r w:rsidR="008410DF">
        <w:rPr>
          <w:rFonts w:cs="Times New Roman"/>
        </w:rPr>
        <w:t>. It also recommended that</w:t>
      </w:r>
      <w:r w:rsidR="00C22E94" w:rsidRPr="00DC183C">
        <w:rPr>
          <w:rFonts w:cs="Times New Roman"/>
        </w:rPr>
        <w:t xml:space="preserve"> the sector be opened to more private and commercial actors, establishing a quasi-market</w:t>
      </w:r>
      <w:r w:rsidR="00C22E94" w:rsidRPr="00DC183C">
        <w:rPr>
          <w:rStyle w:val="FootnoteReference"/>
          <w:rFonts w:cs="Times New Roman"/>
        </w:rPr>
        <w:footnoteReference w:id="13"/>
      </w:r>
      <w:r w:rsidR="00C22E94" w:rsidRPr="00DC183C">
        <w:rPr>
          <w:rFonts w:cs="Times New Roman"/>
        </w:rPr>
        <w:t xml:space="preserve">. This division of labour was consistent with that promoted by </w:t>
      </w:r>
      <w:r w:rsidR="00CE13EB">
        <w:rPr>
          <w:rFonts w:cs="Times New Roman"/>
        </w:rPr>
        <w:t xml:space="preserve">the </w:t>
      </w:r>
      <w:r w:rsidR="00C22E94" w:rsidRPr="00DC183C">
        <w:rPr>
          <w:rFonts w:cs="Times New Roman"/>
        </w:rPr>
        <w:t>UNDP and other UN agencies</w:t>
      </w:r>
      <w:r w:rsidR="00CE13EB">
        <w:rPr>
          <w:rFonts w:cs="Times New Roman"/>
        </w:rPr>
        <w:t>,</w:t>
      </w:r>
      <w:r w:rsidR="00C22E94" w:rsidRPr="00DC183C">
        <w:rPr>
          <w:rFonts w:cs="Times New Roman"/>
        </w:rPr>
        <w:t xml:space="preserve"> and led to the establishment of the NRA in 2004</w:t>
      </w:r>
      <w:r w:rsidR="00CE13EB">
        <w:rPr>
          <w:rFonts w:cs="Times New Roman"/>
        </w:rPr>
        <w:t xml:space="preserve">. The NRA was </w:t>
      </w:r>
      <w:r w:rsidR="00C22E94" w:rsidRPr="00DC183C">
        <w:rPr>
          <w:rFonts w:cs="Times New Roman"/>
        </w:rPr>
        <w:t>responsible for sector coordination and regulation with UXO Lao</w:t>
      </w:r>
      <w:r w:rsidR="00CE13EB">
        <w:rPr>
          <w:rFonts w:cs="Times New Roman"/>
        </w:rPr>
        <w:t>,</w:t>
      </w:r>
      <w:r w:rsidR="00C22E94" w:rsidRPr="00DC183C">
        <w:rPr>
          <w:rFonts w:cs="Times New Roman"/>
        </w:rPr>
        <w:t xml:space="preserve"> positioned as a service provider. </w:t>
      </w:r>
      <w:r w:rsidR="008410DF">
        <w:rPr>
          <w:rFonts w:cs="Times New Roman"/>
        </w:rPr>
        <w:t>I</w:t>
      </w:r>
      <w:r w:rsidR="00C22E94" w:rsidRPr="00DC183C">
        <w:rPr>
          <w:rFonts w:cs="Times New Roman"/>
        </w:rPr>
        <w:t xml:space="preserve">n response to the evaluation, </w:t>
      </w:r>
      <w:r w:rsidR="00CE13EB">
        <w:rPr>
          <w:rFonts w:cs="Times New Roman"/>
        </w:rPr>
        <w:t xml:space="preserve">the </w:t>
      </w:r>
      <w:r w:rsidR="00C22E94" w:rsidRPr="00DC183C">
        <w:rPr>
          <w:rFonts w:cs="Times New Roman"/>
        </w:rPr>
        <w:t xml:space="preserve">UNDP and the </w:t>
      </w:r>
      <w:r w:rsidR="009B3466">
        <w:rPr>
          <w:rFonts w:cs="Times New Roman"/>
        </w:rPr>
        <w:t xml:space="preserve">Government of </w:t>
      </w:r>
      <w:r w:rsidR="00054A0C">
        <w:rPr>
          <w:rFonts w:cs="Times New Roman"/>
        </w:rPr>
        <w:t>Lao PDR</w:t>
      </w:r>
      <w:r w:rsidR="009B3466">
        <w:rPr>
          <w:rFonts w:cs="Times New Roman"/>
        </w:rPr>
        <w:t xml:space="preserve"> (</w:t>
      </w:r>
      <w:r w:rsidR="009B3466" w:rsidRPr="00DC183C">
        <w:rPr>
          <w:rFonts w:cs="Times New Roman"/>
        </w:rPr>
        <w:t>GOL)</w:t>
      </w:r>
      <w:r w:rsidR="009B3466">
        <w:rPr>
          <w:rFonts w:cs="Times New Roman"/>
        </w:rPr>
        <w:t xml:space="preserve"> </w:t>
      </w:r>
      <w:r w:rsidR="00C22E94" w:rsidRPr="00DC183C">
        <w:rPr>
          <w:rFonts w:cs="Times New Roman"/>
        </w:rPr>
        <w:t>developed the first national strategic plan (Safe Path Forward 2003 – 2013</w:t>
      </w:r>
      <w:r w:rsidR="00DB5C4A">
        <w:rPr>
          <w:rFonts w:cs="Times New Roman"/>
        </w:rPr>
        <w:t xml:space="preserve">). </w:t>
      </w:r>
    </w:p>
    <w:p w:rsidR="00C22E94" w:rsidRPr="00DC183C" w:rsidRDefault="00C22E94" w:rsidP="00054A0C">
      <w:pPr>
        <w:rPr>
          <w:rFonts w:cs="Times New Roman"/>
        </w:rPr>
      </w:pPr>
      <w:r w:rsidRPr="00DC183C">
        <w:rPr>
          <w:rFonts w:cs="Times New Roman"/>
        </w:rPr>
        <w:t>A UNDP-supported 2008 mid-term evaluation recommended that the Safe Path Forward be revised to better account for the work of all operators, and to include a focus on development and poverty-reduction</w:t>
      </w:r>
      <w:r w:rsidRPr="00DC183C">
        <w:rPr>
          <w:rStyle w:val="FootnoteReference"/>
          <w:rFonts w:cs="Times New Roman"/>
        </w:rPr>
        <w:footnoteReference w:id="14"/>
      </w:r>
      <w:r w:rsidRPr="00DC183C">
        <w:rPr>
          <w:rFonts w:cs="Times New Roman"/>
        </w:rPr>
        <w:t xml:space="preserve">. </w:t>
      </w:r>
      <w:r w:rsidR="00E158CC">
        <w:rPr>
          <w:rFonts w:cs="Times New Roman"/>
        </w:rPr>
        <w:t xml:space="preserve">The </w:t>
      </w:r>
      <w:r w:rsidRPr="00DC183C">
        <w:rPr>
          <w:rFonts w:cs="Times New Roman"/>
        </w:rPr>
        <w:t>UNDP supported the NRA to coordinate a participatory process in revision of the strategy</w:t>
      </w:r>
      <w:r w:rsidR="00E158CC">
        <w:rPr>
          <w:rFonts w:cs="Times New Roman"/>
        </w:rPr>
        <w:t>,</w:t>
      </w:r>
      <w:r w:rsidRPr="00DC183C">
        <w:rPr>
          <w:rFonts w:cs="Times New Roman"/>
        </w:rPr>
        <w:t xml:space="preserve"> resulting in ‘The Safe Path Forward II (SPF II) 2010 – 2020’</w:t>
      </w:r>
      <w:r w:rsidR="00E158CC">
        <w:rPr>
          <w:rFonts w:cs="Times New Roman"/>
        </w:rPr>
        <w:t>,</w:t>
      </w:r>
      <w:r w:rsidRPr="00DC183C">
        <w:rPr>
          <w:rFonts w:cs="Times New Roman"/>
        </w:rPr>
        <w:t xml:space="preserve"> which was approved in 2012. In 2008, the Lao PDR also became the second state to sign the CCM and </w:t>
      </w:r>
      <w:r w:rsidR="0060567B">
        <w:rPr>
          <w:rFonts w:cs="Times New Roman"/>
        </w:rPr>
        <w:t xml:space="preserve">subsequently </w:t>
      </w:r>
      <w:r w:rsidRPr="00DC183C">
        <w:rPr>
          <w:rFonts w:cs="Times New Roman"/>
        </w:rPr>
        <w:t>hosted the First Meeting of States Parties in November 2010. At this meeting</w:t>
      </w:r>
      <w:r w:rsidR="00E158CC">
        <w:rPr>
          <w:rFonts w:cs="Times New Roman"/>
        </w:rPr>
        <w:t>,</w:t>
      </w:r>
      <w:r w:rsidRPr="00DC183C">
        <w:rPr>
          <w:rFonts w:cs="Times New Roman"/>
        </w:rPr>
        <w:t xml:space="preserve"> the UNDP Trust Fund </w:t>
      </w:r>
      <w:r w:rsidR="0060567B">
        <w:rPr>
          <w:rFonts w:cs="Times New Roman"/>
        </w:rPr>
        <w:t>to</w:t>
      </w:r>
      <w:r w:rsidRPr="00DC183C">
        <w:rPr>
          <w:rFonts w:cs="Times New Roman"/>
        </w:rPr>
        <w:t xml:space="preserve"> support the full implementation of the CCM in the Lao PDR was established</w:t>
      </w:r>
      <w:r w:rsidR="00E158CC">
        <w:rPr>
          <w:rFonts w:cs="Times New Roman"/>
        </w:rPr>
        <w:t>,</w:t>
      </w:r>
      <w:r w:rsidRPr="00DC183C">
        <w:rPr>
          <w:rFonts w:cs="Times New Roman"/>
        </w:rPr>
        <w:t xml:space="preserve"> and</w:t>
      </w:r>
      <w:r w:rsidR="00E158CC">
        <w:rPr>
          <w:rFonts w:cs="Times New Roman"/>
        </w:rPr>
        <w:t xml:space="preserve"> </w:t>
      </w:r>
      <w:r w:rsidR="004E6B55">
        <w:rPr>
          <w:rFonts w:cs="Times New Roman"/>
        </w:rPr>
        <w:t xml:space="preserve">Lao </w:t>
      </w:r>
      <w:r w:rsidRPr="00DC183C">
        <w:rPr>
          <w:rFonts w:cs="Times New Roman"/>
        </w:rPr>
        <w:t>MDG9</w:t>
      </w:r>
      <w:r w:rsidR="00E158CC">
        <w:rPr>
          <w:rFonts w:cs="Times New Roman"/>
        </w:rPr>
        <w:t>,</w:t>
      </w:r>
      <w:r w:rsidR="0041726F">
        <w:rPr>
          <w:rFonts w:cs="Times New Roman"/>
        </w:rPr>
        <w:t xml:space="preserve"> which is specific to UXO/M</w:t>
      </w:r>
      <w:r w:rsidRPr="00DC183C">
        <w:rPr>
          <w:rFonts w:cs="Times New Roman"/>
        </w:rPr>
        <w:t xml:space="preserve">ine </w:t>
      </w:r>
      <w:r w:rsidR="0041726F">
        <w:rPr>
          <w:rFonts w:cs="Times New Roman"/>
        </w:rPr>
        <w:t>A</w:t>
      </w:r>
      <w:r w:rsidRPr="00DC183C">
        <w:rPr>
          <w:rFonts w:cs="Times New Roman"/>
        </w:rPr>
        <w:t>ction</w:t>
      </w:r>
      <w:r w:rsidR="004E6B55">
        <w:rPr>
          <w:rFonts w:cs="Times New Roman"/>
        </w:rPr>
        <w:t xml:space="preserve"> in Lao PDR and not part of the global MDGs</w:t>
      </w:r>
      <w:r w:rsidR="00E158CC">
        <w:rPr>
          <w:rFonts w:cs="Times New Roman"/>
        </w:rPr>
        <w:t>,</w:t>
      </w:r>
      <w:r w:rsidRPr="00DC183C">
        <w:rPr>
          <w:rFonts w:cs="Times New Roman"/>
        </w:rPr>
        <w:t xml:space="preserve"> was unveiled (see box 1 below). Since 2011</w:t>
      </w:r>
      <w:r w:rsidR="007712A4">
        <w:rPr>
          <w:rFonts w:cs="Times New Roman"/>
        </w:rPr>
        <w:t>,</w:t>
      </w:r>
      <w:r w:rsidRPr="00DC183C">
        <w:rPr>
          <w:rFonts w:cs="Times New Roman"/>
        </w:rPr>
        <w:t xml:space="preserve"> the NRA has been under the Prime Minister’s Office (Ministerial Decree No 604/PM). </w:t>
      </w:r>
      <w:r w:rsidR="00D16F23" w:rsidRPr="00DC183C">
        <w:rPr>
          <w:rFonts w:cs="Times New Roman"/>
        </w:rPr>
        <w:t>The timeframe of the Safe Path Forward II is also consistent with the Lao PDR’s deadline for meeting the provisions stipulated in the CCM (2008). This requires the clearance and destruction of cluster munition remnants</w:t>
      </w:r>
      <w:r w:rsidR="007712A4">
        <w:rPr>
          <w:rFonts w:cs="Times New Roman"/>
        </w:rPr>
        <w:t>,</w:t>
      </w:r>
      <w:r w:rsidR="00D16F23" w:rsidRPr="00DC183C">
        <w:rPr>
          <w:rFonts w:cs="Times New Roman"/>
        </w:rPr>
        <w:t xml:space="preserve"> located in cluster munition contaminated areas under its jurisdiction or control</w:t>
      </w:r>
      <w:r w:rsidR="007712A4">
        <w:rPr>
          <w:rFonts w:cs="Times New Roman"/>
        </w:rPr>
        <w:t>,</w:t>
      </w:r>
      <w:r w:rsidR="00D16F23" w:rsidRPr="00DC183C">
        <w:rPr>
          <w:rFonts w:cs="Times New Roman"/>
        </w:rPr>
        <w:t xml:space="preserve"> within 10 years of entry into </w:t>
      </w:r>
      <w:r w:rsidR="007712A4">
        <w:rPr>
          <w:rFonts w:cs="Times New Roman"/>
        </w:rPr>
        <w:t xml:space="preserve">the </w:t>
      </w:r>
      <w:r w:rsidR="00D16F23" w:rsidRPr="00DC183C">
        <w:rPr>
          <w:rFonts w:cs="Times New Roman"/>
        </w:rPr>
        <w:t xml:space="preserve">force. </w:t>
      </w:r>
    </w:p>
    <w:p w:rsidR="00C22E94" w:rsidRPr="00DC183C" w:rsidRDefault="00C22E94" w:rsidP="00C22E94">
      <w:pPr>
        <w:keepNext/>
        <w:keepLines/>
        <w:spacing w:before="240" w:after="120"/>
        <w:rPr>
          <w:rFonts w:cs="Times New Roman"/>
          <w:b/>
        </w:rPr>
      </w:pPr>
      <w:r w:rsidRPr="00DC183C">
        <w:rPr>
          <w:rFonts w:cs="Times New Roman"/>
        </w:rPr>
        <w:t xml:space="preserve">Box 1: </w:t>
      </w:r>
      <w:r w:rsidR="004E6B55" w:rsidRPr="004E6B55">
        <w:rPr>
          <w:rFonts w:cs="Times New Roman"/>
          <w:b/>
        </w:rPr>
        <w:t>Lao</w:t>
      </w:r>
      <w:r w:rsidR="004E6B55">
        <w:rPr>
          <w:rFonts w:cs="Times New Roman"/>
        </w:rPr>
        <w:t xml:space="preserve"> </w:t>
      </w:r>
      <w:r w:rsidR="004E6B55">
        <w:rPr>
          <w:rFonts w:cs="Times New Roman"/>
          <w:b/>
        </w:rPr>
        <w:t>Millennium Development Goal 9</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4A0" w:firstRow="1" w:lastRow="0" w:firstColumn="1" w:lastColumn="0" w:noHBand="0" w:noVBand="1"/>
      </w:tblPr>
      <w:tblGrid>
        <w:gridCol w:w="8436"/>
      </w:tblGrid>
      <w:tr w:rsidR="00C22E94" w:rsidRPr="00DC183C">
        <w:trPr>
          <w:cantSplit/>
        </w:trPr>
        <w:tc>
          <w:tcPr>
            <w:tcW w:w="8436" w:type="dxa"/>
          </w:tcPr>
          <w:p w:rsidR="00C22E94" w:rsidRPr="00DC183C" w:rsidRDefault="00C22E94" w:rsidP="00FE45DD">
            <w:pPr>
              <w:keepNext/>
              <w:keepLines/>
              <w:spacing w:before="240" w:after="120"/>
              <w:rPr>
                <w:rFonts w:cs="Times New Roman"/>
                <w:b/>
              </w:rPr>
            </w:pPr>
            <w:r w:rsidRPr="00DC183C">
              <w:rPr>
                <w:rFonts w:cs="Times New Roman"/>
                <w:b/>
              </w:rPr>
              <w:t>Millennium Development Goal 9</w:t>
            </w:r>
          </w:p>
          <w:p w:rsidR="00C22E94" w:rsidRPr="00DC183C" w:rsidRDefault="00C22E94" w:rsidP="00DC183C">
            <w:pPr>
              <w:pStyle w:val="NormalModified"/>
            </w:pPr>
            <w:r w:rsidRPr="00DC183C">
              <w:t>Reduce the impact of UXO in Lao PDR in accordance with the National Strategic Plan for the UXO sector "The Safe Path Forward II".</w:t>
            </w:r>
          </w:p>
          <w:p w:rsidR="00C22E94" w:rsidRPr="00DC183C" w:rsidRDefault="00C22E94" w:rsidP="00DC183C">
            <w:pPr>
              <w:pStyle w:val="NormalModified"/>
            </w:pPr>
            <w:r w:rsidRPr="00DC183C">
              <w:rPr>
                <w:b/>
              </w:rPr>
              <w:t>Target 9a:</w:t>
            </w:r>
            <w:r w:rsidRPr="00DC183C">
              <w:t xml:space="preserve"> Ensure the complete clearance of UXO from priority/high value agricultural land by 2020</w:t>
            </w:r>
          </w:p>
          <w:p w:rsidR="00C22E94" w:rsidRPr="00DC183C" w:rsidRDefault="00C22E94" w:rsidP="00DC183C">
            <w:pPr>
              <w:pStyle w:val="NormalModified"/>
            </w:pPr>
            <w:r w:rsidRPr="00DC183C">
              <w:t xml:space="preserve">9.1 20,000 hectares released from UXO contamination </w:t>
            </w:r>
          </w:p>
          <w:p w:rsidR="00C22E94" w:rsidRPr="00DC183C" w:rsidRDefault="00C22E94" w:rsidP="00DC183C">
            <w:pPr>
              <w:pStyle w:val="NormalModified"/>
            </w:pPr>
            <w:r w:rsidRPr="00DC183C">
              <w:rPr>
                <w:b/>
              </w:rPr>
              <w:t>Target 9b:</w:t>
            </w:r>
            <w:r w:rsidRPr="00DC183C">
              <w:t xml:space="preserve"> Reduce substantially the number of casualties as a result of UXO incidents</w:t>
            </w:r>
          </w:p>
          <w:p w:rsidR="00C22E94" w:rsidRPr="00DC183C" w:rsidRDefault="00C22E94" w:rsidP="00DC183C">
            <w:pPr>
              <w:pStyle w:val="NormalModified"/>
            </w:pPr>
            <w:r w:rsidRPr="00DC183C">
              <w:t xml:space="preserve">9.2 Number of casualties reported as a result of UXO incidents </w:t>
            </w:r>
          </w:p>
          <w:p w:rsidR="00C22E94" w:rsidRPr="00DC183C" w:rsidRDefault="00C22E94" w:rsidP="00DC183C">
            <w:pPr>
              <w:pStyle w:val="NormalModified"/>
            </w:pPr>
            <w:r w:rsidRPr="00DC183C">
              <w:rPr>
                <w:b/>
              </w:rPr>
              <w:t>Target 9c:</w:t>
            </w:r>
            <w:r w:rsidRPr="00DC183C">
              <w:t xml:space="preserve"> Ensure that the medical and rehabilitation needs of all UXO survivors are met in line with treaty obligations under the Convention on Cluster Munitions</w:t>
            </w:r>
          </w:p>
          <w:p w:rsidR="00C22E94" w:rsidRPr="00DC183C" w:rsidRDefault="00C22E94" w:rsidP="000C3B05">
            <w:pPr>
              <w:pStyle w:val="NormalModified"/>
              <w:numPr>
                <w:ilvl w:val="1"/>
                <w:numId w:val="25"/>
              </w:numPr>
            </w:pPr>
            <w:r w:rsidRPr="00DC183C">
              <w:t>Provision of proper assistance to UXO survivors</w:t>
            </w:r>
          </w:p>
        </w:tc>
      </w:tr>
    </w:tbl>
    <w:p w:rsidR="00C22E94" w:rsidRDefault="00C22E94" w:rsidP="00BF4428">
      <w:pPr>
        <w:pStyle w:val="ListParagraph"/>
      </w:pPr>
    </w:p>
    <w:p w:rsidR="000948FB" w:rsidRDefault="000948FB" w:rsidP="000948FB">
      <w:r>
        <w:t xml:space="preserve">Initially linked to </w:t>
      </w:r>
      <w:r w:rsidR="00AF39B7">
        <w:t xml:space="preserve">saving lives, </w:t>
      </w:r>
      <w:r>
        <w:t xml:space="preserve">the work of the UXO sector has </w:t>
      </w:r>
      <w:r w:rsidR="00AF39B7">
        <w:t xml:space="preserve">increasingly </w:t>
      </w:r>
      <w:r>
        <w:t>been linked to development and poverty eradication. T</w:t>
      </w:r>
      <w:r w:rsidRPr="000948FB">
        <w:t>he causal linkages between UXO</w:t>
      </w:r>
      <w:r>
        <w:t xml:space="preserve"> </w:t>
      </w:r>
      <w:r w:rsidRPr="000948FB">
        <w:t xml:space="preserve">and rural poverty are not well-supported by </w:t>
      </w:r>
      <w:r>
        <w:t>empirical</w:t>
      </w:r>
      <w:r w:rsidRPr="000948FB">
        <w:t xml:space="preserve"> evidence, </w:t>
      </w:r>
      <w:r>
        <w:t>nevertheless, some of the districts</w:t>
      </w:r>
      <w:r w:rsidRPr="000948FB">
        <w:t xml:space="preserve"> </w:t>
      </w:r>
      <w:r>
        <w:t>identified as the</w:t>
      </w:r>
      <w:r w:rsidRPr="000948FB">
        <w:t xml:space="preserve"> poorest </w:t>
      </w:r>
      <w:r>
        <w:t xml:space="preserve">in the country </w:t>
      </w:r>
      <w:r w:rsidRPr="000948FB">
        <w:t>are also some of the most UXO polluted</w:t>
      </w:r>
      <w:r w:rsidR="001C6EE0">
        <w:rPr>
          <w:rStyle w:val="FootnoteReference"/>
        </w:rPr>
        <w:footnoteReference w:id="15"/>
      </w:r>
      <w:r w:rsidRPr="000948FB">
        <w:t xml:space="preserve">. </w:t>
      </w:r>
      <w:r>
        <w:t xml:space="preserve">Furthermore, UXO contamination can act as a barrier to </w:t>
      </w:r>
      <w:r w:rsidRPr="000948FB">
        <w:t>investment</w:t>
      </w:r>
      <w:r>
        <w:t xml:space="preserve"> </w:t>
      </w:r>
      <w:r w:rsidR="00DD23F4">
        <w:t xml:space="preserve">opportunities, </w:t>
      </w:r>
      <w:r>
        <w:t>including</w:t>
      </w:r>
      <w:r w:rsidRPr="000948FB">
        <w:t xml:space="preserve"> basic community assets, such as safe water, all weather access roads, and irrigation.  </w:t>
      </w:r>
      <w:r>
        <w:t xml:space="preserve">The presence of </w:t>
      </w:r>
      <w:r w:rsidRPr="000948FB">
        <w:t xml:space="preserve">UXO </w:t>
      </w:r>
      <w:r>
        <w:t xml:space="preserve">has also been an important contributor to the burden of </w:t>
      </w:r>
      <w:r w:rsidRPr="000948FB">
        <w:t xml:space="preserve">injury-related mortality and morbidity. </w:t>
      </w:r>
      <w:r w:rsidR="00E70963">
        <w:t>From</w:t>
      </w:r>
      <w:r>
        <w:t xml:space="preserve"> 1995 </w:t>
      </w:r>
      <w:r w:rsidR="00E70963">
        <w:t>until relatively recently</w:t>
      </w:r>
      <w:r w:rsidR="00977F47">
        <w:t>,</w:t>
      </w:r>
      <w:r w:rsidR="00E70963">
        <w:t xml:space="preserve"> injuries were reported to be around 300 per annum. </w:t>
      </w:r>
      <w:r w:rsidR="00584CDF">
        <w:t xml:space="preserve">For example, in 2008, the number of new casualties was 302. </w:t>
      </w:r>
      <w:r w:rsidR="00E70963">
        <w:t>Currently</w:t>
      </w:r>
      <w:r w:rsidR="00977F47">
        <w:t>,</w:t>
      </w:r>
      <w:r w:rsidR="00E70963">
        <w:t xml:space="preserve"> the </w:t>
      </w:r>
      <w:r w:rsidRPr="000948FB">
        <w:t>number of new casualt</w:t>
      </w:r>
      <w:r w:rsidR="00584CDF">
        <w:t>ies is below 50</w:t>
      </w:r>
      <w:r w:rsidR="00977F47">
        <w:t>,</w:t>
      </w:r>
      <w:r w:rsidR="00584CDF">
        <w:t xml:space="preserve"> and hence</w:t>
      </w:r>
      <w:r w:rsidR="00977F47">
        <w:t>,</w:t>
      </w:r>
      <w:r w:rsidR="00584CDF">
        <w:t xml:space="preserve"> below the national </w:t>
      </w:r>
      <w:r w:rsidR="004E6B55">
        <w:t xml:space="preserve">Lao </w:t>
      </w:r>
      <w:r w:rsidR="00584CDF">
        <w:t xml:space="preserve">MDG9 </w:t>
      </w:r>
      <w:r w:rsidRPr="000948FB">
        <w:t>injuries per annum</w:t>
      </w:r>
      <w:r w:rsidR="00D277E8">
        <w:t xml:space="preserve"> (refer to Figure 1)</w:t>
      </w:r>
      <w:r w:rsidRPr="000948FB">
        <w:t xml:space="preserve">. </w:t>
      </w:r>
      <w:r w:rsidR="00466CFF">
        <w:t>Of note is that these figures are actual numbers, rather than based on the more common population health measures of incidence and mortality. If these measures were used</w:t>
      </w:r>
      <w:r w:rsidR="00977F47">
        <w:t>,</w:t>
      </w:r>
      <w:r w:rsidR="00466CFF">
        <w:t xml:space="preserve"> the decline is likely to be sharper given the increase in population between 1995 (estimated to be around</w:t>
      </w:r>
      <w:r w:rsidR="00977F47">
        <w:t xml:space="preserve"> </w:t>
      </w:r>
      <w:r w:rsidR="00466CFF">
        <w:t xml:space="preserve">4.5 million) to current estimates </w:t>
      </w:r>
      <w:r w:rsidR="00B13395">
        <w:t xml:space="preserve">of 6.8 million. </w:t>
      </w:r>
      <w:r w:rsidRPr="000948FB">
        <w:t xml:space="preserve">As elsewhere, males of working age are disproportionally harmed, and as such, UXO injury can have a catastrophic effect on family livelihoods. This is due not only to the permanent or temporary loss of labour to a family, but also high-out-of-pocket health expenses, with few rural farmers having any kind of formal insurance or social protection. While not all injuries result in long-term impairments, an estimated 11% of disabilities in Lao PDR are due to UXO injury, making it the third known cause of disability. However, some caution is needed in interpreting the prevalence of UXO-related disabilities given that there is no systematic data collection of people with disabilities.  </w:t>
      </w:r>
    </w:p>
    <w:p w:rsidR="00D277E8" w:rsidRDefault="00D277E8" w:rsidP="000948FB"/>
    <w:p w:rsidR="00547BAD" w:rsidRDefault="00547BAD" w:rsidP="000948FB">
      <w:pPr>
        <w:rPr>
          <w:b/>
        </w:rPr>
      </w:pPr>
    </w:p>
    <w:p w:rsidR="009E0C41" w:rsidRDefault="009E0C41" w:rsidP="000948FB">
      <w:pPr>
        <w:rPr>
          <w:b/>
        </w:rPr>
      </w:pPr>
    </w:p>
    <w:p w:rsidR="00547BAD" w:rsidRDefault="00547BAD" w:rsidP="000948FB">
      <w:pPr>
        <w:rPr>
          <w:b/>
        </w:rPr>
      </w:pPr>
    </w:p>
    <w:p w:rsidR="00560A9B" w:rsidRDefault="00560A9B" w:rsidP="000948FB">
      <w:pPr>
        <w:rPr>
          <w:b/>
        </w:rPr>
      </w:pPr>
    </w:p>
    <w:p w:rsidR="00560A9B" w:rsidRPr="003E469D" w:rsidRDefault="003E469D" w:rsidP="003E469D">
      <w:pPr>
        <w:pStyle w:val="Caption"/>
        <w:rPr>
          <w:b w:val="0"/>
          <w:color w:val="auto"/>
          <w:sz w:val="22"/>
          <w:szCs w:val="22"/>
        </w:rPr>
      </w:pPr>
      <w:bookmarkStart w:id="13" w:name="_Toc440019920"/>
      <w:r w:rsidRPr="003E469D">
        <w:rPr>
          <w:color w:val="auto"/>
          <w:sz w:val="22"/>
          <w:szCs w:val="22"/>
        </w:rPr>
        <w:t xml:space="preserve">Figure </w:t>
      </w:r>
      <w:r w:rsidRPr="003E469D">
        <w:rPr>
          <w:color w:val="auto"/>
          <w:sz w:val="22"/>
          <w:szCs w:val="22"/>
        </w:rPr>
        <w:fldChar w:fldCharType="begin"/>
      </w:r>
      <w:r w:rsidRPr="003E469D">
        <w:rPr>
          <w:color w:val="auto"/>
          <w:sz w:val="22"/>
          <w:szCs w:val="22"/>
        </w:rPr>
        <w:instrText xml:space="preserve"> SEQ Figure \* ARABIC </w:instrText>
      </w:r>
      <w:r w:rsidRPr="003E469D">
        <w:rPr>
          <w:color w:val="auto"/>
          <w:sz w:val="22"/>
          <w:szCs w:val="22"/>
        </w:rPr>
        <w:fldChar w:fldCharType="separate"/>
      </w:r>
      <w:r w:rsidR="001F2335">
        <w:rPr>
          <w:noProof/>
          <w:color w:val="auto"/>
          <w:sz w:val="22"/>
          <w:szCs w:val="22"/>
        </w:rPr>
        <w:t>1</w:t>
      </w:r>
      <w:r w:rsidRPr="003E469D">
        <w:rPr>
          <w:color w:val="auto"/>
          <w:sz w:val="22"/>
          <w:szCs w:val="22"/>
        </w:rPr>
        <w:fldChar w:fldCharType="end"/>
      </w:r>
      <w:r w:rsidRPr="003E469D">
        <w:rPr>
          <w:color w:val="auto"/>
          <w:sz w:val="22"/>
          <w:szCs w:val="22"/>
        </w:rPr>
        <w:t xml:space="preserve"> UXO related casualties Lao PDR, 2008-2014</w:t>
      </w:r>
      <w:r>
        <w:rPr>
          <w:rStyle w:val="FootnoteReference"/>
          <w:b w:val="0"/>
          <w:color w:val="auto"/>
          <w:sz w:val="22"/>
          <w:szCs w:val="22"/>
        </w:rPr>
        <w:footnoteReference w:id="16"/>
      </w:r>
      <w:bookmarkEnd w:id="13"/>
    </w:p>
    <w:p w:rsidR="00D277E8" w:rsidRDefault="00D277E8" w:rsidP="000948FB">
      <w:r>
        <w:rPr>
          <w:noProof/>
          <w:lang w:val="en-US"/>
        </w:rPr>
        <w:drawing>
          <wp:inline distT="0" distB="0" distL="0" distR="0" wp14:anchorId="5F7F8FD9" wp14:editId="3BBE6082">
            <wp:extent cx="5731510" cy="3021687"/>
            <wp:effectExtent l="0" t="0" r="2540" b="7620"/>
            <wp:docPr id="1" name="Picture 1" descr="C:\Users\uqmdurha\Desktop\AA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qmdurha\Desktop\AAA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021687"/>
                    </a:xfrm>
                    <a:prstGeom prst="rect">
                      <a:avLst/>
                    </a:prstGeom>
                    <a:noFill/>
                    <a:ln>
                      <a:noFill/>
                    </a:ln>
                  </pic:spPr>
                </pic:pic>
              </a:graphicData>
            </a:graphic>
          </wp:inline>
        </w:drawing>
      </w:r>
    </w:p>
    <w:p w:rsidR="00547BAD" w:rsidRPr="00DC183C" w:rsidRDefault="00547BAD" w:rsidP="000948FB"/>
    <w:p w:rsidR="0054213D" w:rsidRPr="00DC183C" w:rsidRDefault="000C3B05" w:rsidP="000C3B05">
      <w:pPr>
        <w:pStyle w:val="Heading2"/>
        <w:numPr>
          <w:ilvl w:val="0"/>
          <w:numId w:val="0"/>
        </w:numPr>
      </w:pPr>
      <w:bookmarkStart w:id="14" w:name="_Toc441609320"/>
      <w:r>
        <w:t>2.</w:t>
      </w:r>
      <w:r w:rsidR="00B7364C">
        <w:t>3</w:t>
      </w:r>
      <w:r>
        <w:t xml:space="preserve"> </w:t>
      </w:r>
      <w:r w:rsidR="0054213D" w:rsidRPr="00DC183C">
        <w:t>Other international stakeholders in mine/UXO action in Lao PDR</w:t>
      </w:r>
      <w:bookmarkEnd w:id="14"/>
    </w:p>
    <w:p w:rsidR="00A063E0" w:rsidRDefault="0041726F" w:rsidP="00054A0C">
      <w:pPr>
        <w:rPr>
          <w:rFonts w:ascii="Calibri" w:hAnsi="Calibri" w:cs="Calibri"/>
        </w:rPr>
      </w:pPr>
      <w:r>
        <w:rPr>
          <w:rFonts w:eastAsiaTheme="majorEastAsia" w:cstheme="majorBidi"/>
          <w:b/>
        </w:rPr>
        <w:t>International NGO Mine A</w:t>
      </w:r>
      <w:r w:rsidR="00BF4428" w:rsidRPr="00902494">
        <w:rPr>
          <w:rFonts w:eastAsiaTheme="majorEastAsia" w:cstheme="majorBidi"/>
          <w:b/>
        </w:rPr>
        <w:t>ction operators:</w:t>
      </w:r>
      <w:r w:rsidR="00BF4428" w:rsidRPr="00902494">
        <w:rPr>
          <w:rFonts w:eastAsiaTheme="majorEastAsia" w:cstheme="majorBidi"/>
        </w:rPr>
        <w:t xml:space="preserve"> Following an evaluation in 2002 and sector reform in 2004</w:t>
      </w:r>
      <w:r w:rsidR="008C4FF4">
        <w:rPr>
          <w:rFonts w:eastAsiaTheme="majorEastAsia" w:cstheme="majorBidi"/>
        </w:rPr>
        <w:t>,</w:t>
      </w:r>
      <w:r w:rsidR="00BF4428" w:rsidRPr="00902494">
        <w:rPr>
          <w:rFonts w:eastAsiaTheme="majorEastAsia" w:cstheme="majorBidi"/>
        </w:rPr>
        <w:t xml:space="preserve"> international</w:t>
      </w:r>
      <w:r w:rsidR="008C4FF4">
        <w:rPr>
          <w:rFonts w:eastAsiaTheme="majorEastAsia" w:cstheme="majorBidi"/>
        </w:rPr>
        <w:t xml:space="preserve"> </w:t>
      </w:r>
      <w:r w:rsidR="004F1A16">
        <w:rPr>
          <w:rFonts w:eastAsiaTheme="majorEastAsia" w:cstheme="majorBidi"/>
        </w:rPr>
        <w:t>UXO/Mine A</w:t>
      </w:r>
      <w:r w:rsidR="00BF4428" w:rsidRPr="00902494">
        <w:rPr>
          <w:rFonts w:eastAsiaTheme="majorEastAsia" w:cstheme="majorBidi"/>
        </w:rPr>
        <w:t xml:space="preserve">ction NGOs have </w:t>
      </w:r>
      <w:r w:rsidR="00D7080B">
        <w:rPr>
          <w:rFonts w:eastAsiaTheme="majorEastAsia" w:cstheme="majorBidi"/>
        </w:rPr>
        <w:t>provided</w:t>
      </w:r>
      <w:r w:rsidR="00BF4428" w:rsidRPr="00902494">
        <w:rPr>
          <w:rFonts w:eastAsiaTheme="majorEastAsia" w:cstheme="majorBidi"/>
        </w:rPr>
        <w:t xml:space="preserve"> UXO clearance and other relat</w:t>
      </w:r>
      <w:r>
        <w:rPr>
          <w:rFonts w:eastAsiaTheme="majorEastAsia" w:cstheme="majorBidi"/>
        </w:rPr>
        <w:t>ed UXO/Mine A</w:t>
      </w:r>
      <w:r w:rsidR="00BF4428" w:rsidRPr="00902494">
        <w:rPr>
          <w:rFonts w:eastAsiaTheme="majorEastAsia" w:cstheme="majorBidi"/>
        </w:rPr>
        <w:t>ction services</w:t>
      </w:r>
      <w:r w:rsidR="008C4FF4">
        <w:rPr>
          <w:rFonts w:eastAsiaTheme="majorEastAsia" w:cstheme="majorBidi"/>
        </w:rPr>
        <w:t xml:space="preserve">. This has </w:t>
      </w:r>
      <w:r w:rsidR="00BF4428" w:rsidRPr="00902494">
        <w:rPr>
          <w:rFonts w:eastAsiaTheme="majorEastAsia" w:cstheme="majorBidi"/>
        </w:rPr>
        <w:t>independently creat</w:t>
      </w:r>
      <w:r w:rsidR="008C4FF4">
        <w:rPr>
          <w:rFonts w:eastAsiaTheme="majorEastAsia" w:cstheme="majorBidi"/>
        </w:rPr>
        <w:t>ed</w:t>
      </w:r>
      <w:r w:rsidR="00BF4428" w:rsidRPr="00902494">
        <w:rPr>
          <w:rFonts w:eastAsiaTheme="majorEastAsia" w:cstheme="majorBidi"/>
        </w:rPr>
        <w:t xml:space="preserve"> a quasi-market and more options for donors and other purchaser</w:t>
      </w:r>
      <w:r>
        <w:rPr>
          <w:rFonts w:eastAsiaTheme="majorEastAsia" w:cstheme="majorBidi"/>
        </w:rPr>
        <w:t>s of UXO/Mine A</w:t>
      </w:r>
      <w:r w:rsidR="00C849FC" w:rsidRPr="00902494">
        <w:rPr>
          <w:rFonts w:eastAsiaTheme="majorEastAsia" w:cstheme="majorBidi"/>
        </w:rPr>
        <w:t xml:space="preserve">ction services. </w:t>
      </w:r>
      <w:r w:rsidR="003F587E" w:rsidRPr="00902494">
        <w:rPr>
          <w:rFonts w:eastAsiaTheme="majorEastAsia" w:cstheme="majorBidi"/>
        </w:rPr>
        <w:t>Currently</w:t>
      </w:r>
      <w:r w:rsidR="00E66FAE">
        <w:rPr>
          <w:rFonts w:eastAsiaTheme="majorEastAsia" w:cstheme="majorBidi"/>
        </w:rPr>
        <w:t>,</w:t>
      </w:r>
      <w:r w:rsidR="00BF4428" w:rsidRPr="00902494">
        <w:rPr>
          <w:rFonts w:eastAsiaTheme="majorEastAsia" w:cstheme="majorBidi"/>
        </w:rPr>
        <w:t xml:space="preserve"> there </w:t>
      </w:r>
      <w:r w:rsidR="003F587E" w:rsidRPr="00902494">
        <w:rPr>
          <w:rFonts w:eastAsiaTheme="majorEastAsia" w:cstheme="majorBidi"/>
        </w:rPr>
        <w:t>are</w:t>
      </w:r>
      <w:r w:rsidR="00BF4428" w:rsidRPr="00902494">
        <w:rPr>
          <w:rFonts w:eastAsiaTheme="majorEastAsia" w:cstheme="majorBidi"/>
        </w:rPr>
        <w:t xml:space="preserve"> five international NGOs operating in the country</w:t>
      </w:r>
      <w:r w:rsidR="00E66FAE">
        <w:rPr>
          <w:rFonts w:eastAsiaTheme="majorEastAsia" w:cstheme="majorBidi"/>
        </w:rPr>
        <w:t xml:space="preserve"> (</w:t>
      </w:r>
      <w:r w:rsidR="003F587E" w:rsidRPr="00902494">
        <w:rPr>
          <w:rFonts w:eastAsiaTheme="majorEastAsia" w:cstheme="majorBidi"/>
        </w:rPr>
        <w:t xml:space="preserve">Mines Advisory Group (MAG), Norwegian People’s Aid (NPA), HALO Trust (HALO) Handicap International (HI), </w:t>
      </w:r>
      <w:r w:rsidR="00D7080B">
        <w:rPr>
          <w:rFonts w:eastAsiaTheme="majorEastAsia" w:cstheme="majorBidi"/>
        </w:rPr>
        <w:t xml:space="preserve">and </w:t>
      </w:r>
      <w:r w:rsidR="003F587E" w:rsidRPr="00902494">
        <w:rPr>
          <w:rFonts w:eastAsiaTheme="majorEastAsia" w:cstheme="majorBidi"/>
        </w:rPr>
        <w:t>Japan Mine Action Service (JMAS))</w:t>
      </w:r>
      <w:r w:rsidR="00BF4428" w:rsidRPr="00902494">
        <w:rPr>
          <w:rFonts w:eastAsiaTheme="majorEastAsia" w:cstheme="majorBidi"/>
        </w:rPr>
        <w:t xml:space="preserve">. </w:t>
      </w:r>
      <w:r w:rsidR="003F587E" w:rsidRPr="00902494">
        <w:rPr>
          <w:rFonts w:eastAsiaTheme="majorEastAsia" w:cstheme="majorBidi"/>
        </w:rPr>
        <w:t xml:space="preserve">These service providers work under the coordination of the NRA and participate in </w:t>
      </w:r>
      <w:r w:rsidR="00054A0C">
        <w:rPr>
          <w:rFonts w:eastAsiaTheme="majorEastAsia" w:cstheme="majorBidi"/>
        </w:rPr>
        <w:t>Technical Working Group (</w:t>
      </w:r>
      <w:r w:rsidR="003F587E" w:rsidRPr="00902494">
        <w:rPr>
          <w:rFonts w:eastAsiaTheme="majorEastAsia" w:cstheme="majorBidi"/>
        </w:rPr>
        <w:t>TWG</w:t>
      </w:r>
      <w:r w:rsidR="00054A0C">
        <w:rPr>
          <w:rFonts w:eastAsiaTheme="majorEastAsia" w:cstheme="majorBidi"/>
        </w:rPr>
        <w:t>)</w:t>
      </w:r>
      <w:r w:rsidR="003F587E" w:rsidRPr="00902494">
        <w:rPr>
          <w:rFonts w:eastAsiaTheme="majorEastAsia" w:cstheme="majorBidi"/>
        </w:rPr>
        <w:t xml:space="preserve"> meetings, sharing lessons learned. </w:t>
      </w:r>
      <w:r w:rsidR="00D7080B">
        <w:rPr>
          <w:rFonts w:eastAsiaTheme="majorEastAsia" w:cstheme="majorBidi"/>
        </w:rPr>
        <w:t xml:space="preserve">For instance, </w:t>
      </w:r>
      <w:r w:rsidR="003F587E" w:rsidRPr="00902494">
        <w:rPr>
          <w:rFonts w:eastAsiaTheme="majorEastAsia" w:cstheme="majorBidi"/>
        </w:rPr>
        <w:t>JMAS support UXO Lao in Xieng Khouang with technical advice. There is no standard approach to task identification and prioriti</w:t>
      </w:r>
      <w:r w:rsidR="00396ECA">
        <w:rPr>
          <w:rFonts w:eastAsiaTheme="majorEastAsia" w:cstheme="majorBidi"/>
        </w:rPr>
        <w:t>s</w:t>
      </w:r>
      <w:r w:rsidR="003F587E" w:rsidRPr="00902494">
        <w:rPr>
          <w:rFonts w:eastAsiaTheme="majorEastAsia" w:cstheme="majorBidi"/>
        </w:rPr>
        <w:t>ation</w:t>
      </w:r>
      <w:r w:rsidR="00396ECA">
        <w:rPr>
          <w:rFonts w:eastAsiaTheme="majorEastAsia" w:cstheme="majorBidi"/>
        </w:rPr>
        <w:t>, thus</w:t>
      </w:r>
      <w:r w:rsidR="003F587E" w:rsidRPr="00902494">
        <w:rPr>
          <w:rFonts w:eastAsiaTheme="majorEastAsia" w:cstheme="majorBidi"/>
        </w:rPr>
        <w:t xml:space="preserve"> each INGO may operate in different ways</w:t>
      </w:r>
      <w:r w:rsidR="00396ECA">
        <w:rPr>
          <w:rFonts w:eastAsiaTheme="majorEastAsia" w:cstheme="majorBidi"/>
        </w:rPr>
        <w:t>,</w:t>
      </w:r>
      <w:r w:rsidR="003F587E" w:rsidRPr="00902494">
        <w:rPr>
          <w:rFonts w:eastAsiaTheme="majorEastAsia" w:cstheme="majorBidi"/>
        </w:rPr>
        <w:t xml:space="preserve"> although the processes are broadly similar and </w:t>
      </w:r>
      <w:r w:rsidR="00CF206C" w:rsidRPr="00902494">
        <w:rPr>
          <w:rFonts w:eastAsiaTheme="majorEastAsia" w:cstheme="majorBidi"/>
        </w:rPr>
        <w:t xml:space="preserve">should be </w:t>
      </w:r>
      <w:r w:rsidR="003F587E" w:rsidRPr="00902494">
        <w:rPr>
          <w:rFonts w:eastAsiaTheme="majorEastAsia" w:cstheme="majorBidi"/>
        </w:rPr>
        <w:t xml:space="preserve">in accordance with </w:t>
      </w:r>
      <w:r w:rsidR="00396ECA">
        <w:rPr>
          <w:rFonts w:eastAsiaTheme="majorEastAsia" w:cstheme="majorBidi"/>
        </w:rPr>
        <w:t xml:space="preserve">the </w:t>
      </w:r>
      <w:r w:rsidR="00CF206C" w:rsidRPr="00902494">
        <w:rPr>
          <w:rFonts w:eastAsiaTheme="majorEastAsia" w:cstheme="majorBidi"/>
        </w:rPr>
        <w:t xml:space="preserve">National Standards. </w:t>
      </w:r>
      <w:r w:rsidR="00D46281" w:rsidRPr="00902494">
        <w:rPr>
          <w:rFonts w:eastAsiaTheme="majorEastAsia" w:cstheme="majorBidi"/>
        </w:rPr>
        <w:t>These NGOs have also</w:t>
      </w:r>
      <w:r w:rsidR="00B147C9">
        <w:rPr>
          <w:rFonts w:eastAsiaTheme="majorEastAsia" w:cstheme="majorBidi"/>
        </w:rPr>
        <w:t>,</w:t>
      </w:r>
      <w:r w:rsidR="00D46281" w:rsidRPr="00902494">
        <w:rPr>
          <w:rFonts w:eastAsiaTheme="majorEastAsia" w:cstheme="majorBidi"/>
        </w:rPr>
        <w:t xml:space="preserve"> at different times, partnered with UXO Lao</w:t>
      </w:r>
      <w:r w:rsidR="00B147C9">
        <w:rPr>
          <w:rFonts w:eastAsiaTheme="majorEastAsia" w:cstheme="majorBidi"/>
        </w:rPr>
        <w:t>,</w:t>
      </w:r>
      <w:r w:rsidR="00D46281" w:rsidRPr="00902494">
        <w:rPr>
          <w:rFonts w:eastAsiaTheme="majorEastAsia" w:cstheme="majorBidi"/>
        </w:rPr>
        <w:t xml:space="preserve"> and in recent times</w:t>
      </w:r>
      <w:r w:rsidR="00B147C9">
        <w:rPr>
          <w:rFonts w:eastAsiaTheme="majorEastAsia" w:cstheme="majorBidi"/>
        </w:rPr>
        <w:t>,</w:t>
      </w:r>
      <w:r w:rsidR="00D46281" w:rsidRPr="00902494">
        <w:rPr>
          <w:rFonts w:eastAsiaTheme="majorEastAsia" w:cstheme="majorBidi"/>
        </w:rPr>
        <w:t xml:space="preserve"> this included the piloting of new technical survey methods. </w:t>
      </w:r>
      <w:r w:rsidR="00CF206C" w:rsidRPr="00902494">
        <w:rPr>
          <w:rFonts w:eastAsiaTheme="majorEastAsia" w:cstheme="majorBidi"/>
        </w:rPr>
        <w:t>Other international service providers</w:t>
      </w:r>
      <w:r w:rsidR="00B147C9">
        <w:rPr>
          <w:rFonts w:eastAsiaTheme="majorEastAsia" w:cstheme="majorBidi"/>
        </w:rPr>
        <w:t>,</w:t>
      </w:r>
      <w:r w:rsidR="00CF206C" w:rsidRPr="00902494">
        <w:rPr>
          <w:rFonts w:eastAsiaTheme="majorEastAsia" w:cstheme="majorBidi"/>
        </w:rPr>
        <w:t xml:space="preserve"> working mainly in MRE and victim assistance</w:t>
      </w:r>
      <w:r w:rsidR="00B147C9">
        <w:rPr>
          <w:rFonts w:eastAsiaTheme="majorEastAsia" w:cstheme="majorBidi"/>
        </w:rPr>
        <w:t>,</w:t>
      </w:r>
      <w:r w:rsidR="00CF206C" w:rsidRPr="00902494">
        <w:rPr>
          <w:rFonts w:eastAsiaTheme="majorEastAsia" w:cstheme="majorBidi"/>
        </w:rPr>
        <w:t xml:space="preserve"> include: Catholic Relief Services (CRS), World Education (WE), Quality of Life Association (QLA), Cooperative Prosthetic and Orthotic Enterprise (COPE)</w:t>
      </w:r>
      <w:r w:rsidR="00B147C9">
        <w:rPr>
          <w:rFonts w:eastAsiaTheme="majorEastAsia" w:cstheme="majorBidi"/>
        </w:rPr>
        <w:t>,</w:t>
      </w:r>
      <w:r w:rsidR="00CF206C" w:rsidRPr="00902494">
        <w:rPr>
          <w:rFonts w:eastAsiaTheme="majorEastAsia" w:cstheme="majorBidi"/>
        </w:rPr>
        <w:t xml:space="preserve"> </w:t>
      </w:r>
      <w:r w:rsidR="00CC17B1">
        <w:t>Danish Church Aid (DCA)</w:t>
      </w:r>
      <w:r w:rsidR="00D7080B">
        <w:t>,</w:t>
      </w:r>
      <w:r w:rsidR="00CC17B1">
        <w:t xml:space="preserve"> </w:t>
      </w:r>
      <w:r w:rsidR="00CF206C" w:rsidRPr="00902494">
        <w:rPr>
          <w:rFonts w:eastAsiaTheme="majorEastAsia" w:cstheme="majorBidi"/>
        </w:rPr>
        <w:t>and Spirit of Soccer (SoS).</w:t>
      </w:r>
      <w:r w:rsidR="00A063E0">
        <w:rPr>
          <w:rFonts w:eastAsiaTheme="majorEastAsia" w:cstheme="majorBidi"/>
        </w:rPr>
        <w:t xml:space="preserve"> </w:t>
      </w:r>
    </w:p>
    <w:p w:rsidR="00A063E0" w:rsidRDefault="00A063E0" w:rsidP="00054A0C">
      <w:pPr>
        <w:spacing w:after="120"/>
        <w:rPr>
          <w:rFonts w:eastAsiaTheme="majorEastAsia" w:cstheme="majorBidi"/>
        </w:rPr>
      </w:pPr>
      <w:r w:rsidRPr="00902494">
        <w:rPr>
          <w:rFonts w:eastAsiaTheme="majorEastAsia" w:cstheme="majorBidi"/>
          <w:b/>
        </w:rPr>
        <w:t>Commercial providers:</w:t>
      </w:r>
      <w:r w:rsidRPr="00902494">
        <w:rPr>
          <w:rFonts w:eastAsiaTheme="majorEastAsia" w:cstheme="majorBidi"/>
        </w:rPr>
        <w:t xml:space="preserve"> </w:t>
      </w:r>
      <w:r w:rsidR="00E30B8F">
        <w:rPr>
          <w:rFonts w:eastAsiaTheme="majorEastAsia" w:cstheme="majorBidi"/>
        </w:rPr>
        <w:t>Commercial providers</w:t>
      </w:r>
      <w:r w:rsidRPr="00902494">
        <w:rPr>
          <w:rFonts w:eastAsiaTheme="majorEastAsia" w:cstheme="majorBidi"/>
        </w:rPr>
        <w:t xml:space="preserve"> include BACTEC Lao Ltd</w:t>
      </w:r>
      <w:r>
        <w:rPr>
          <w:rFonts w:eastAsiaTheme="majorEastAsia" w:cstheme="majorBidi"/>
        </w:rPr>
        <w:t xml:space="preserve">, </w:t>
      </w:r>
      <w:r w:rsidRPr="00902494">
        <w:rPr>
          <w:rFonts w:eastAsiaTheme="majorEastAsia" w:cstheme="majorBidi"/>
        </w:rPr>
        <w:t xml:space="preserve">a branch of International Limited in the UK, </w:t>
      </w:r>
      <w:r>
        <w:rPr>
          <w:rFonts w:eastAsiaTheme="majorEastAsia" w:cstheme="majorBidi"/>
        </w:rPr>
        <w:t xml:space="preserve">and </w:t>
      </w:r>
      <w:r w:rsidRPr="00902494">
        <w:rPr>
          <w:rFonts w:eastAsiaTheme="majorEastAsia" w:cstheme="majorBidi"/>
        </w:rPr>
        <w:t>Milsearch, a private Australian company. These providers (alongside Lao commercial operators) work for profit and respond to a variety of requests from private organi</w:t>
      </w:r>
      <w:r>
        <w:rPr>
          <w:rFonts w:eastAsiaTheme="majorEastAsia" w:cstheme="majorBidi"/>
        </w:rPr>
        <w:t>s</w:t>
      </w:r>
      <w:r w:rsidRPr="00902494">
        <w:rPr>
          <w:rFonts w:eastAsiaTheme="majorEastAsia" w:cstheme="majorBidi"/>
        </w:rPr>
        <w:t>ations (for and not-for-profit) who need UX</w:t>
      </w:r>
      <w:r>
        <w:rPr>
          <w:rFonts w:eastAsiaTheme="majorEastAsia" w:cstheme="majorBidi"/>
        </w:rPr>
        <w:t>O clearance prior to investment.</w:t>
      </w:r>
    </w:p>
    <w:p w:rsidR="00CF206C" w:rsidRPr="00A06ACE" w:rsidRDefault="00CF206C" w:rsidP="00054A0C">
      <w:pPr>
        <w:spacing w:after="120"/>
        <w:rPr>
          <w:rFonts w:eastAsiaTheme="majorEastAsia" w:cstheme="majorBidi"/>
        </w:rPr>
      </w:pPr>
      <w:r w:rsidRPr="00902494">
        <w:rPr>
          <w:rFonts w:eastAsiaTheme="majorEastAsia" w:cstheme="majorBidi"/>
          <w:b/>
        </w:rPr>
        <w:t xml:space="preserve">Donors: </w:t>
      </w:r>
      <w:r w:rsidR="00A06ACE" w:rsidRPr="00EC7AED">
        <w:rPr>
          <w:rFonts w:eastAsiaTheme="majorEastAsia" w:cstheme="majorBidi"/>
        </w:rPr>
        <w:t xml:space="preserve">Donors </w:t>
      </w:r>
      <w:r w:rsidR="00E30B8F">
        <w:rPr>
          <w:rFonts w:eastAsiaTheme="majorEastAsia" w:cstheme="majorBidi"/>
        </w:rPr>
        <w:t xml:space="preserve">who </w:t>
      </w:r>
      <w:r w:rsidR="00A06ACE" w:rsidRPr="00EC7AED">
        <w:rPr>
          <w:rFonts w:eastAsiaTheme="majorEastAsia" w:cstheme="majorBidi"/>
        </w:rPr>
        <w:t xml:space="preserve">funding through the UNDP in the project period included Australia, </w:t>
      </w:r>
      <w:r w:rsidR="00B25EB1" w:rsidRPr="00EC7AED">
        <w:t>Belgium, Canada</w:t>
      </w:r>
      <w:r w:rsidR="00B25EB1" w:rsidRPr="00EC7AED">
        <w:rPr>
          <w:rFonts w:eastAsiaTheme="majorEastAsia" w:cstheme="majorBidi"/>
        </w:rPr>
        <w:t xml:space="preserve">, DFID, </w:t>
      </w:r>
      <w:r w:rsidRPr="00EC7AED">
        <w:rPr>
          <w:rFonts w:eastAsiaTheme="majorEastAsia" w:cstheme="majorBidi"/>
        </w:rPr>
        <w:t xml:space="preserve">European Union, </w:t>
      </w:r>
      <w:r w:rsidR="00B25EB1" w:rsidRPr="00EC7AED">
        <w:rPr>
          <w:rFonts w:eastAsiaTheme="majorEastAsia" w:cstheme="majorBidi"/>
        </w:rPr>
        <w:t xml:space="preserve">France, </w:t>
      </w:r>
      <w:r w:rsidRPr="00EC7AED">
        <w:rPr>
          <w:rFonts w:eastAsiaTheme="majorEastAsia" w:cstheme="majorBidi"/>
        </w:rPr>
        <w:t>Ireland</w:t>
      </w:r>
      <w:r w:rsidR="00DB772E" w:rsidRPr="00EC7AED">
        <w:rPr>
          <w:rFonts w:eastAsiaTheme="majorEastAsia" w:cstheme="majorBidi"/>
        </w:rPr>
        <w:t>,</w:t>
      </w:r>
      <w:r w:rsidRPr="00EC7AED">
        <w:rPr>
          <w:rFonts w:eastAsiaTheme="majorEastAsia" w:cstheme="majorBidi"/>
        </w:rPr>
        <w:t xml:space="preserve"> </w:t>
      </w:r>
      <w:r w:rsidR="00B25EB1" w:rsidRPr="00EC7AED">
        <w:t>Luxembourg</w:t>
      </w:r>
      <w:r w:rsidR="00B25EB1" w:rsidRPr="00EC7AED">
        <w:rPr>
          <w:rFonts w:eastAsiaTheme="majorEastAsia" w:cstheme="majorBidi"/>
        </w:rPr>
        <w:t xml:space="preserve">, New Zealand, </w:t>
      </w:r>
      <w:r w:rsidR="00B25EB1" w:rsidRPr="00EC7AED">
        <w:t>Republic of Korea</w:t>
      </w:r>
      <w:r w:rsidR="00B25EB1" w:rsidRPr="00EC7AED">
        <w:rPr>
          <w:rFonts w:eastAsiaTheme="majorEastAsia" w:cstheme="majorBidi"/>
        </w:rPr>
        <w:t xml:space="preserve">, </w:t>
      </w:r>
      <w:r w:rsidRPr="00EC7AED">
        <w:rPr>
          <w:rFonts w:eastAsiaTheme="majorEastAsia" w:cstheme="majorBidi"/>
        </w:rPr>
        <w:t>Switzerland</w:t>
      </w:r>
      <w:r w:rsidR="00E30B8F">
        <w:rPr>
          <w:rFonts w:eastAsiaTheme="majorEastAsia" w:cstheme="majorBidi"/>
        </w:rPr>
        <w:t>,</w:t>
      </w:r>
      <w:r w:rsidRPr="00EC7AED">
        <w:rPr>
          <w:rFonts w:eastAsiaTheme="majorEastAsia" w:cstheme="majorBidi"/>
        </w:rPr>
        <w:t xml:space="preserve"> and </w:t>
      </w:r>
      <w:r w:rsidR="00D4113F" w:rsidRPr="00EC7AED">
        <w:rPr>
          <w:rFonts w:eastAsiaTheme="majorEastAsia" w:cstheme="majorBidi"/>
        </w:rPr>
        <w:t xml:space="preserve">the </w:t>
      </w:r>
      <w:r w:rsidR="00DB772E" w:rsidRPr="00EC7AED">
        <w:rPr>
          <w:rFonts w:eastAsiaTheme="majorEastAsia" w:cstheme="majorBidi"/>
        </w:rPr>
        <w:t>UNDP TRAC Fund</w:t>
      </w:r>
      <w:r w:rsidR="00DB772E" w:rsidRPr="00902494">
        <w:rPr>
          <w:rFonts w:eastAsiaTheme="majorEastAsia" w:cstheme="majorBidi"/>
        </w:rPr>
        <w:t>. At the time of the evaluation</w:t>
      </w:r>
      <w:r w:rsidR="00D4113F">
        <w:rPr>
          <w:rFonts w:eastAsiaTheme="majorEastAsia" w:cstheme="majorBidi"/>
        </w:rPr>
        <w:t>,</w:t>
      </w:r>
      <w:r w:rsidR="00DB772E" w:rsidRPr="00902494">
        <w:rPr>
          <w:rFonts w:eastAsiaTheme="majorEastAsia" w:cstheme="majorBidi"/>
        </w:rPr>
        <w:t xml:space="preserve"> </w:t>
      </w:r>
      <w:r w:rsidR="00284416">
        <w:rPr>
          <w:rFonts w:eastAsiaTheme="majorEastAsia" w:cstheme="majorBidi"/>
        </w:rPr>
        <w:t>the Korean International Cooperation Agency (</w:t>
      </w:r>
      <w:r w:rsidRPr="00902494">
        <w:rPr>
          <w:rFonts w:eastAsiaTheme="majorEastAsia" w:cstheme="majorBidi"/>
        </w:rPr>
        <w:t>KOICA</w:t>
      </w:r>
      <w:r w:rsidR="00284416">
        <w:rPr>
          <w:rFonts w:eastAsiaTheme="majorEastAsia" w:cstheme="majorBidi"/>
        </w:rPr>
        <w:t>)</w:t>
      </w:r>
      <w:r w:rsidR="00DB772E" w:rsidRPr="00902494">
        <w:rPr>
          <w:rFonts w:eastAsiaTheme="majorEastAsia" w:cstheme="majorBidi"/>
        </w:rPr>
        <w:t xml:space="preserve"> was also channelling funds through </w:t>
      </w:r>
      <w:r w:rsidR="00D4113F">
        <w:rPr>
          <w:rFonts w:eastAsiaTheme="majorEastAsia" w:cstheme="majorBidi"/>
        </w:rPr>
        <w:t xml:space="preserve">the </w:t>
      </w:r>
      <w:r w:rsidR="00DB772E" w:rsidRPr="00902494">
        <w:rPr>
          <w:rFonts w:eastAsiaTheme="majorEastAsia" w:cstheme="majorBidi"/>
        </w:rPr>
        <w:t>UNDP. Other donors fund the NRA or other service providers</w:t>
      </w:r>
      <w:r w:rsidR="00D4113F">
        <w:rPr>
          <w:rFonts w:eastAsiaTheme="majorEastAsia" w:cstheme="majorBidi"/>
        </w:rPr>
        <w:t>,</w:t>
      </w:r>
      <w:r w:rsidR="00DB772E" w:rsidRPr="00902494">
        <w:rPr>
          <w:rFonts w:eastAsiaTheme="majorEastAsia" w:cstheme="majorBidi"/>
        </w:rPr>
        <w:t xml:space="preserve"> including UXO Lao</w:t>
      </w:r>
      <w:r w:rsidR="00D4113F">
        <w:rPr>
          <w:rFonts w:eastAsiaTheme="majorEastAsia" w:cstheme="majorBidi"/>
        </w:rPr>
        <w:t>,</w:t>
      </w:r>
      <w:r w:rsidR="00DB772E" w:rsidRPr="00902494">
        <w:rPr>
          <w:rFonts w:eastAsiaTheme="majorEastAsia" w:cstheme="majorBidi"/>
        </w:rPr>
        <w:t xml:space="preserve"> bilaterally. The US is a significant donor and co-chair</w:t>
      </w:r>
      <w:r w:rsidR="00CC17B1">
        <w:rPr>
          <w:rFonts w:eastAsiaTheme="majorEastAsia" w:cstheme="majorBidi"/>
        </w:rPr>
        <w:t xml:space="preserve">, together with </w:t>
      </w:r>
      <w:r w:rsidR="00E30B8F">
        <w:rPr>
          <w:rFonts w:eastAsiaTheme="majorEastAsia" w:cstheme="majorBidi"/>
        </w:rPr>
        <w:t xml:space="preserve">the </w:t>
      </w:r>
      <w:r w:rsidR="00CC17B1">
        <w:rPr>
          <w:rFonts w:eastAsiaTheme="majorEastAsia" w:cstheme="majorBidi"/>
        </w:rPr>
        <w:t>UNDP,</w:t>
      </w:r>
      <w:r w:rsidR="00CC17B1" w:rsidRPr="00902494">
        <w:rPr>
          <w:rFonts w:eastAsiaTheme="majorEastAsia" w:cstheme="majorBidi"/>
        </w:rPr>
        <w:t xml:space="preserve"> of the </w:t>
      </w:r>
      <w:r w:rsidR="00CC17B1">
        <w:rPr>
          <w:rFonts w:eastAsiaTheme="majorEastAsia" w:cstheme="majorBidi"/>
        </w:rPr>
        <w:t>UXO S</w:t>
      </w:r>
      <w:r w:rsidR="00CC17B1" w:rsidRPr="00902494">
        <w:rPr>
          <w:rFonts w:eastAsiaTheme="majorEastAsia" w:cstheme="majorBidi"/>
        </w:rPr>
        <w:t>ector</w:t>
      </w:r>
      <w:r w:rsidR="00CC17B1">
        <w:rPr>
          <w:rFonts w:eastAsiaTheme="majorEastAsia" w:cstheme="majorBidi"/>
        </w:rPr>
        <w:t xml:space="preserve"> W</w:t>
      </w:r>
      <w:r w:rsidR="00CC17B1" w:rsidRPr="00902494">
        <w:rPr>
          <w:rFonts w:eastAsiaTheme="majorEastAsia" w:cstheme="majorBidi"/>
        </w:rPr>
        <w:t xml:space="preserve">orking </w:t>
      </w:r>
      <w:r w:rsidR="00CC17B1">
        <w:rPr>
          <w:rFonts w:eastAsiaTheme="majorEastAsia" w:cstheme="majorBidi"/>
        </w:rPr>
        <w:t>G</w:t>
      </w:r>
      <w:r w:rsidR="00CC17B1" w:rsidRPr="00902494">
        <w:rPr>
          <w:rFonts w:eastAsiaTheme="majorEastAsia" w:cstheme="majorBidi"/>
        </w:rPr>
        <w:t xml:space="preserve">roup </w:t>
      </w:r>
      <w:r w:rsidR="00560A9B">
        <w:rPr>
          <w:rFonts w:eastAsiaTheme="majorEastAsia" w:cstheme="majorBidi"/>
        </w:rPr>
        <w:t>in the Round Table P</w:t>
      </w:r>
      <w:r w:rsidR="00DB772E" w:rsidRPr="00902494">
        <w:rPr>
          <w:rFonts w:eastAsiaTheme="majorEastAsia" w:cstheme="majorBidi"/>
        </w:rPr>
        <w:t>rocess</w:t>
      </w:r>
      <w:r w:rsidR="00D4113F">
        <w:rPr>
          <w:rFonts w:eastAsiaTheme="majorEastAsia" w:cstheme="majorBidi"/>
        </w:rPr>
        <w:t>,</w:t>
      </w:r>
      <w:r w:rsidR="00DB772E" w:rsidRPr="00902494">
        <w:rPr>
          <w:rFonts w:eastAsiaTheme="majorEastAsia" w:cstheme="majorBidi"/>
        </w:rPr>
        <w:t xml:space="preserve"> and provides technical advisors to the NRA and UXO Lao</w:t>
      </w:r>
      <w:r w:rsidR="00C849FC" w:rsidRPr="00902494">
        <w:rPr>
          <w:rFonts w:eastAsiaTheme="majorEastAsia" w:cstheme="majorBidi"/>
        </w:rPr>
        <w:t xml:space="preserve"> (currently contracted to Sterling international)</w:t>
      </w:r>
      <w:r w:rsidR="00DB772E" w:rsidRPr="00902494">
        <w:rPr>
          <w:rFonts w:eastAsiaTheme="majorEastAsia" w:cstheme="majorBidi"/>
        </w:rPr>
        <w:t>.</w:t>
      </w:r>
    </w:p>
    <w:p w:rsidR="00C849FC" w:rsidRPr="00902494" w:rsidRDefault="00C849FC" w:rsidP="00054A0C">
      <w:pPr>
        <w:spacing w:after="120"/>
        <w:rPr>
          <w:rFonts w:eastAsiaTheme="majorEastAsia" w:cstheme="majorBidi"/>
        </w:rPr>
      </w:pPr>
      <w:r w:rsidRPr="00902494">
        <w:rPr>
          <w:rFonts w:eastAsiaTheme="majorEastAsia" w:cstheme="majorBidi"/>
          <w:b/>
        </w:rPr>
        <w:t xml:space="preserve">Geneva International Centre for Humanitarian Demining: </w:t>
      </w:r>
      <w:r w:rsidRPr="00902494">
        <w:rPr>
          <w:rFonts w:eastAsiaTheme="majorEastAsia" w:cstheme="majorBidi"/>
        </w:rPr>
        <w:t>The Geneva International Centre for Humanitarian Demining has provided support in relation to data management</w:t>
      </w:r>
      <w:r w:rsidR="003074B3">
        <w:rPr>
          <w:rFonts w:eastAsiaTheme="majorEastAsia" w:cstheme="majorBidi"/>
        </w:rPr>
        <w:t xml:space="preserve"> and gender mainstreaming</w:t>
      </w:r>
      <w:r w:rsidRPr="00902494">
        <w:rPr>
          <w:rFonts w:eastAsiaTheme="majorEastAsia" w:cstheme="majorBidi"/>
        </w:rPr>
        <w:t>,</w:t>
      </w:r>
      <w:r w:rsidR="003074B3">
        <w:rPr>
          <w:rFonts w:eastAsiaTheme="majorEastAsia" w:cstheme="majorBidi"/>
        </w:rPr>
        <w:t xml:space="preserve"> to the</w:t>
      </w:r>
      <w:r w:rsidRPr="00902494">
        <w:rPr>
          <w:rFonts w:eastAsiaTheme="majorEastAsia" w:cstheme="majorBidi"/>
        </w:rPr>
        <w:t xml:space="preserve"> </w:t>
      </w:r>
      <w:r w:rsidR="00722173">
        <w:rPr>
          <w:rFonts w:eastAsiaTheme="majorEastAsia" w:cstheme="majorBidi"/>
        </w:rPr>
        <w:t>Information Management System for Mine Action (</w:t>
      </w:r>
      <w:r w:rsidRPr="00902494">
        <w:rPr>
          <w:rFonts w:eastAsiaTheme="majorEastAsia" w:cstheme="majorBidi"/>
        </w:rPr>
        <w:t>IMSMA</w:t>
      </w:r>
      <w:r w:rsidR="003074B3">
        <w:rPr>
          <w:rFonts w:eastAsiaTheme="majorEastAsia" w:cstheme="majorBidi"/>
        </w:rPr>
        <w:t>).</w:t>
      </w:r>
    </w:p>
    <w:p w:rsidR="0054213D" w:rsidRPr="00DC183C" w:rsidRDefault="000C3B05" w:rsidP="000C3B05">
      <w:pPr>
        <w:pStyle w:val="Heading1"/>
      </w:pPr>
      <w:bookmarkStart w:id="15" w:name="_Toc441609321"/>
      <w:r>
        <w:t xml:space="preserve">3. </w:t>
      </w:r>
      <w:r w:rsidR="006565FE" w:rsidRPr="00DC183C">
        <w:t xml:space="preserve">Situation at beginning of </w:t>
      </w:r>
      <w:r w:rsidR="0054213D" w:rsidRPr="00DC183C">
        <w:t xml:space="preserve">UNDP </w:t>
      </w:r>
      <w:r w:rsidR="006565FE" w:rsidRPr="00DC183C">
        <w:t xml:space="preserve">UXO </w:t>
      </w:r>
      <w:r w:rsidR="0054213D" w:rsidRPr="00DC183C">
        <w:t>support project 2013-201</w:t>
      </w:r>
      <w:r w:rsidR="002410F7">
        <w:t>6</w:t>
      </w:r>
      <w:bookmarkEnd w:id="15"/>
    </w:p>
    <w:p w:rsidR="00AC1171" w:rsidRPr="00DC183C" w:rsidRDefault="002A2519" w:rsidP="000C3B05">
      <w:pPr>
        <w:pStyle w:val="Heading2"/>
        <w:numPr>
          <w:ilvl w:val="1"/>
          <w:numId w:val="26"/>
        </w:numPr>
      </w:pPr>
      <w:bookmarkStart w:id="16" w:name="_Toc441609322"/>
      <w:r w:rsidRPr="00DC183C">
        <w:t>Programme Organisation</w:t>
      </w:r>
      <w:bookmarkEnd w:id="16"/>
      <w:r w:rsidRPr="00DC183C">
        <w:t xml:space="preserve"> </w:t>
      </w:r>
    </w:p>
    <w:p w:rsidR="00A3244D" w:rsidRPr="004563FB" w:rsidRDefault="004563FB">
      <w:pPr>
        <w:pStyle w:val="Heading3"/>
      </w:pPr>
      <w:bookmarkStart w:id="17" w:name="_Toc441609323"/>
      <w:r>
        <w:t xml:space="preserve">3.1.1 </w:t>
      </w:r>
      <w:r w:rsidR="00A3244D" w:rsidRPr="004563FB">
        <w:t>UNDP support</w:t>
      </w:r>
      <w:bookmarkEnd w:id="17"/>
    </w:p>
    <w:p w:rsidR="00A3244D" w:rsidRPr="00DC183C" w:rsidRDefault="00507B4A" w:rsidP="00550B67">
      <w:r>
        <w:t xml:space="preserve">The </w:t>
      </w:r>
      <w:r w:rsidR="00A3244D" w:rsidRPr="00DC183C">
        <w:t>UNDP provides the overall institutional support to the NRA and UXO Lao</w:t>
      </w:r>
      <w:r w:rsidR="00332979">
        <w:t>,</w:t>
      </w:r>
      <w:r w:rsidR="00A3244D" w:rsidRPr="00DC183C">
        <w:t xml:space="preserve"> including financial oversight and assist</w:t>
      </w:r>
      <w:r w:rsidR="00332979">
        <w:t>ance to</w:t>
      </w:r>
      <w:r w:rsidR="00A3244D" w:rsidRPr="00DC183C">
        <w:t xml:space="preserve"> the government in framing UXO issue</w:t>
      </w:r>
      <w:r w:rsidR="00332979">
        <w:t>s</w:t>
      </w:r>
      <w:r>
        <w:t>. It also highlights</w:t>
      </w:r>
      <w:r w:rsidR="00A3244D" w:rsidRPr="00DC183C">
        <w:t xml:space="preserve"> </w:t>
      </w:r>
      <w:r>
        <w:t xml:space="preserve">the </w:t>
      </w:r>
      <w:r w:rsidR="00A3244D" w:rsidRPr="00DC183C">
        <w:t xml:space="preserve">strategic priorities within the broader development and international cooperation context. </w:t>
      </w:r>
      <w:r w:rsidR="00550B67" w:rsidRPr="00DC183C">
        <w:t>Financial support is mainly provided through the Trust fund or cost-sharing arrangements. Outside of these mechanisms, t</w:t>
      </w:r>
      <w:r w:rsidR="00A3244D" w:rsidRPr="00DC183C">
        <w:t xml:space="preserve">he NRA and UXO Lao </w:t>
      </w:r>
      <w:r w:rsidR="00550B67" w:rsidRPr="00DC183C">
        <w:t>a</w:t>
      </w:r>
      <w:r w:rsidR="00A3244D" w:rsidRPr="00DC183C">
        <w:t>re also supported by bilateral donors</w:t>
      </w:r>
      <w:r w:rsidR="00550B67" w:rsidRPr="00DC183C">
        <w:t>, which may include the provision of</w:t>
      </w:r>
      <w:r w:rsidR="00A3244D" w:rsidRPr="00DC183C">
        <w:t xml:space="preserve"> </w:t>
      </w:r>
      <w:r w:rsidR="00332979">
        <w:t>t</w:t>
      </w:r>
      <w:r w:rsidR="00A3244D" w:rsidRPr="00DC183C">
        <w:t xml:space="preserve">echnical </w:t>
      </w:r>
      <w:r w:rsidR="00332979">
        <w:t>a</w:t>
      </w:r>
      <w:r w:rsidR="00550B67" w:rsidRPr="00DC183C">
        <w:t xml:space="preserve">dvisors who are not necessarily coordinated by the UNDP advisors. The programme began as </w:t>
      </w:r>
      <w:r w:rsidR="00A3244D" w:rsidRPr="00DC183C">
        <w:t>a directly executed pro</w:t>
      </w:r>
      <w:r w:rsidR="00550B67" w:rsidRPr="00DC183C">
        <w:t xml:space="preserve">gramme modality (DEX or DIM) </w:t>
      </w:r>
      <w:r w:rsidR="00FB07DC">
        <w:t xml:space="preserve">and transitioned </w:t>
      </w:r>
      <w:r w:rsidR="00550B67" w:rsidRPr="00DC183C">
        <w:t xml:space="preserve">to a </w:t>
      </w:r>
      <w:r w:rsidR="00A3244D" w:rsidRPr="00DC183C">
        <w:t>nationally implemented modality (NIM)</w:t>
      </w:r>
      <w:r w:rsidR="00550B67" w:rsidRPr="00DC183C">
        <w:t xml:space="preserve">. The NIM means </w:t>
      </w:r>
      <w:r w:rsidR="00332979">
        <w:t xml:space="preserve">that </w:t>
      </w:r>
      <w:r w:rsidR="00550B67" w:rsidRPr="00DC183C">
        <w:t xml:space="preserve">the NRA and </w:t>
      </w:r>
      <w:r w:rsidR="00A3244D" w:rsidRPr="00DC183C">
        <w:t>UXO Lao</w:t>
      </w:r>
      <w:r w:rsidR="00332979">
        <w:t>,</w:t>
      </w:r>
      <w:r w:rsidR="00A3244D" w:rsidRPr="00DC183C">
        <w:t xml:space="preserve"> themselves</w:t>
      </w:r>
      <w:r w:rsidR="00332979">
        <w:t>,</w:t>
      </w:r>
      <w:r w:rsidR="00A3244D" w:rsidRPr="00DC183C">
        <w:t xml:space="preserve"> </w:t>
      </w:r>
      <w:r w:rsidR="00550B67" w:rsidRPr="00DC183C">
        <w:t>manage the</w:t>
      </w:r>
      <w:r w:rsidR="00A3244D" w:rsidRPr="00DC183C">
        <w:t xml:space="preserve"> daily management and operations</w:t>
      </w:r>
      <w:r w:rsidR="00DD1249">
        <w:t>.</w:t>
      </w:r>
      <w:r w:rsidR="00A3244D" w:rsidRPr="00DC183C">
        <w:t xml:space="preserve"> </w:t>
      </w:r>
    </w:p>
    <w:p w:rsidR="002A2519" w:rsidRPr="00DC183C" w:rsidRDefault="004563FB" w:rsidP="00AC1171">
      <w:pPr>
        <w:pStyle w:val="Heading3"/>
      </w:pPr>
      <w:bookmarkStart w:id="18" w:name="_Toc441609324"/>
      <w:r>
        <w:t xml:space="preserve">3.1.2 </w:t>
      </w:r>
      <w:r w:rsidR="00AC1171" w:rsidRPr="00DC183C">
        <w:t>The National Regulatory Authority for the UXO sector in the Lao PDR (NRA)</w:t>
      </w:r>
      <w:bookmarkEnd w:id="18"/>
      <w:r w:rsidR="00AC1171" w:rsidRPr="00DC183C">
        <w:t xml:space="preserve"> </w:t>
      </w:r>
    </w:p>
    <w:p w:rsidR="00DC40C2" w:rsidRPr="00DC183C" w:rsidRDefault="00AC1171" w:rsidP="00DC40C2">
      <w:r w:rsidRPr="00DC183C">
        <w:t>The NRA is the secretariat of the inter-ministerial NRA Board and the national coordinator of the UXO sector</w:t>
      </w:r>
      <w:r w:rsidR="00B634CA">
        <w:t>. It</w:t>
      </w:r>
      <w:r w:rsidRPr="00DC183C">
        <w:t xml:space="preserve"> was established with support from </w:t>
      </w:r>
      <w:r w:rsidR="00B634CA">
        <w:t xml:space="preserve">the </w:t>
      </w:r>
      <w:r w:rsidRPr="00DC183C">
        <w:t>UND</w:t>
      </w:r>
      <w:r w:rsidR="00B634CA">
        <w:t>P,</w:t>
      </w:r>
      <w:r w:rsidRPr="00DC183C">
        <w:t xml:space="preserve"> based on a recommendation from a sector evaluation in 2004. Formally operationalised in 2006, </w:t>
      </w:r>
      <w:r w:rsidR="00B634CA">
        <w:t>the NRA</w:t>
      </w:r>
      <w:r w:rsidR="00B634CA" w:rsidRPr="00DC183C">
        <w:t xml:space="preserve"> </w:t>
      </w:r>
      <w:r w:rsidRPr="00DC183C">
        <w:t xml:space="preserve">has </w:t>
      </w:r>
      <w:r w:rsidR="00B634CA">
        <w:t xml:space="preserve">the </w:t>
      </w:r>
      <w:r w:rsidRPr="00DC183C">
        <w:t xml:space="preserve">overall responsibility for coordination, regulation, and oversight of the UXO </w:t>
      </w:r>
      <w:r w:rsidR="00DC40C2" w:rsidRPr="00DC183C">
        <w:t>sector. It is</w:t>
      </w:r>
      <w:r w:rsidRPr="00DC183C">
        <w:t xml:space="preserve"> </w:t>
      </w:r>
      <w:r w:rsidR="00DC40C2" w:rsidRPr="00DC183C">
        <w:t>also</w:t>
      </w:r>
      <w:r w:rsidRPr="00DC183C">
        <w:t xml:space="preserve"> the focal point within the Government for </w:t>
      </w:r>
      <w:r w:rsidR="00B634CA">
        <w:t xml:space="preserve">the </w:t>
      </w:r>
      <w:r w:rsidRPr="00DC183C">
        <w:t>implementation of the</w:t>
      </w:r>
      <w:r w:rsidR="007B5D84">
        <w:t xml:space="preserve"> CCM’s</w:t>
      </w:r>
      <w:r w:rsidRPr="00DC183C">
        <w:t xml:space="preserve"> international treaty obligations (2008)</w:t>
      </w:r>
      <w:r w:rsidR="00B634CA">
        <w:t>. The treaty was</w:t>
      </w:r>
      <w:r w:rsidRPr="00DC183C">
        <w:t xml:space="preserve"> signed by Lao PDR in March 2009 and </w:t>
      </w:r>
      <w:r w:rsidR="00B634CA">
        <w:t>was</w:t>
      </w:r>
      <w:r w:rsidR="00B634CA" w:rsidRPr="00DC183C">
        <w:t xml:space="preserve"> </w:t>
      </w:r>
      <w:r w:rsidR="007B5D84">
        <w:t>enacted</w:t>
      </w:r>
      <w:r w:rsidR="00DC40C2" w:rsidRPr="00DC183C">
        <w:t xml:space="preserve"> in August, 2010. </w:t>
      </w:r>
      <w:r w:rsidRPr="00DC183C">
        <w:t xml:space="preserve">The framework for the UXO sector in Lao is </w:t>
      </w:r>
      <w:r w:rsidR="00DC40C2" w:rsidRPr="00DC183C">
        <w:t xml:space="preserve">set out in the sector strategy SPF II </w:t>
      </w:r>
      <w:r w:rsidRPr="00DC183C">
        <w:t>2010-2020</w:t>
      </w:r>
      <w:r w:rsidR="00DC40C2" w:rsidRPr="00DC183C">
        <w:t>. This sector strategy is also expected to act as a multiplier for MDGs 1-8</w:t>
      </w:r>
      <w:r w:rsidR="00B634CA">
        <w:t>,</w:t>
      </w:r>
      <w:r w:rsidR="00DC40C2" w:rsidRPr="00DC183C">
        <w:t xml:space="preserve"> as well as a means for achieving </w:t>
      </w:r>
      <w:r w:rsidR="004E6B55">
        <w:t xml:space="preserve">Lao </w:t>
      </w:r>
      <w:r w:rsidR="00DC40C2" w:rsidRPr="00DC183C">
        <w:t xml:space="preserve">MDG 9. </w:t>
      </w:r>
      <w:r w:rsidR="004301EB" w:rsidRPr="00DC183C">
        <w:t>A Prime Minister’s Decree in 2011</w:t>
      </w:r>
      <w:r w:rsidR="004301EB" w:rsidRPr="00DC183C">
        <w:rPr>
          <w:rStyle w:val="FootnoteReference"/>
        </w:rPr>
        <w:footnoteReference w:id="17"/>
      </w:r>
      <w:r w:rsidR="004301EB" w:rsidRPr="00DC183C">
        <w:t xml:space="preserve"> appointed a new NRA Board, chaired by the Minister to the Prime Minister’s Office and </w:t>
      </w:r>
      <w:r w:rsidR="00CC17B1">
        <w:t xml:space="preserve">Chair </w:t>
      </w:r>
      <w:r w:rsidR="004301EB" w:rsidRPr="00DC183C">
        <w:t>of the</w:t>
      </w:r>
      <w:r w:rsidR="00CC17B1">
        <w:t xml:space="preserve"> National Leading </w:t>
      </w:r>
      <w:r w:rsidR="004301EB" w:rsidRPr="00DC183C">
        <w:t xml:space="preserve">Steering Committee for Rural Development and Poverty Eradication. This shift </w:t>
      </w:r>
      <w:r w:rsidR="00B634CA">
        <w:t>in</w:t>
      </w:r>
      <w:r w:rsidR="00B634CA" w:rsidRPr="00DC183C">
        <w:t xml:space="preserve"> </w:t>
      </w:r>
      <w:r w:rsidR="004301EB" w:rsidRPr="00DC183C">
        <w:t>leadership and institutional alignment of the NRA Board was seen as a</w:t>
      </w:r>
      <w:r w:rsidR="00D3764F" w:rsidRPr="00DC183C">
        <w:t xml:space="preserve"> step </w:t>
      </w:r>
      <w:r w:rsidR="00B634CA">
        <w:t>towards</w:t>
      </w:r>
      <w:r w:rsidR="00B634CA" w:rsidRPr="00DC183C">
        <w:t xml:space="preserve"> </w:t>
      </w:r>
      <w:r w:rsidR="00D3764F" w:rsidRPr="00DC183C">
        <w:t xml:space="preserve">integrating </w:t>
      </w:r>
      <w:r w:rsidR="004301EB" w:rsidRPr="00DC183C">
        <w:t>the UXO sector into the broader p</w:t>
      </w:r>
      <w:r w:rsidR="00D3764F" w:rsidRPr="00DC183C">
        <w:t>overty reduction efforts of the government.</w:t>
      </w:r>
      <w:r w:rsidR="001F02E3">
        <w:t xml:space="preserve"> </w:t>
      </w:r>
      <w:r w:rsidR="00DC40C2" w:rsidRPr="00DC183C">
        <w:t>The main responsibilities of the NRA</w:t>
      </w:r>
      <w:r w:rsidR="00B634CA">
        <w:t>,</w:t>
      </w:r>
      <w:r w:rsidR="00DC40C2" w:rsidRPr="00DC183C">
        <w:t xml:space="preserve"> as contained in the SPF II</w:t>
      </w:r>
      <w:r w:rsidR="00B634CA">
        <w:t xml:space="preserve">, </w:t>
      </w:r>
      <w:r w:rsidR="00DC40C2" w:rsidRPr="00DC183C">
        <w:t>include:</w:t>
      </w:r>
    </w:p>
    <w:p w:rsidR="00DC40C2" w:rsidRPr="00DC183C" w:rsidRDefault="00DC40C2" w:rsidP="00DC40C2">
      <w:pPr>
        <w:pStyle w:val="ListParagraph"/>
        <w:numPr>
          <w:ilvl w:val="0"/>
          <w:numId w:val="4"/>
        </w:numPr>
      </w:pPr>
      <w:r w:rsidRPr="00DC183C">
        <w:t>Implementation and monitoring of the SPF II;</w:t>
      </w:r>
    </w:p>
    <w:p w:rsidR="00DC40C2" w:rsidRPr="00DC183C" w:rsidRDefault="00DC40C2" w:rsidP="00DC40C2">
      <w:pPr>
        <w:pStyle w:val="ListParagraph"/>
        <w:numPr>
          <w:ilvl w:val="0"/>
          <w:numId w:val="4"/>
        </w:numPr>
      </w:pPr>
      <w:r w:rsidRPr="00DC183C">
        <w:t>Provision of policy direction and prioriti</w:t>
      </w:r>
      <w:r w:rsidR="00B634CA">
        <w:t>s</w:t>
      </w:r>
      <w:r w:rsidRPr="00DC183C">
        <w:t>ation of operations within the sector;</w:t>
      </w:r>
    </w:p>
    <w:p w:rsidR="00DC40C2" w:rsidRPr="00DC183C" w:rsidRDefault="00DC40C2" w:rsidP="00DC40C2">
      <w:pPr>
        <w:pStyle w:val="ListParagraph"/>
        <w:numPr>
          <w:ilvl w:val="0"/>
          <w:numId w:val="4"/>
        </w:numPr>
      </w:pPr>
      <w:r w:rsidRPr="00DC183C">
        <w:t>Accr</w:t>
      </w:r>
      <w:r w:rsidR="0041726F">
        <w:t>editation and licensing of all Mine A</w:t>
      </w:r>
      <w:r w:rsidRPr="00DC183C">
        <w:t>ction operators;</w:t>
      </w:r>
    </w:p>
    <w:p w:rsidR="00DC40C2" w:rsidRPr="00DC183C" w:rsidRDefault="00DC40C2" w:rsidP="00DC40C2">
      <w:pPr>
        <w:pStyle w:val="ListParagraph"/>
        <w:numPr>
          <w:ilvl w:val="0"/>
          <w:numId w:val="4"/>
        </w:numPr>
      </w:pPr>
      <w:r w:rsidRPr="00DC183C">
        <w:t>Management of the national database;</w:t>
      </w:r>
    </w:p>
    <w:p w:rsidR="00DC40C2" w:rsidRPr="00DC183C" w:rsidRDefault="0041726F" w:rsidP="00DC40C2">
      <w:pPr>
        <w:pStyle w:val="ListParagraph"/>
        <w:numPr>
          <w:ilvl w:val="0"/>
          <w:numId w:val="4"/>
        </w:numPr>
      </w:pPr>
      <w:r>
        <w:t>Coordination of all UXO/Mine A</w:t>
      </w:r>
      <w:r w:rsidR="00DC40C2" w:rsidRPr="00DC183C">
        <w:t>ction activities in the country;</w:t>
      </w:r>
    </w:p>
    <w:p w:rsidR="00DC40C2" w:rsidRPr="00DC183C" w:rsidRDefault="0041726F" w:rsidP="00DC40C2">
      <w:pPr>
        <w:pStyle w:val="ListParagraph"/>
        <w:numPr>
          <w:ilvl w:val="0"/>
          <w:numId w:val="4"/>
        </w:numPr>
      </w:pPr>
      <w:r>
        <w:t>External QA/QC of all UXO/Mine A</w:t>
      </w:r>
      <w:r w:rsidR="00DC40C2" w:rsidRPr="00DC183C">
        <w:t>ction activities;</w:t>
      </w:r>
    </w:p>
    <w:p w:rsidR="00DC40C2" w:rsidRPr="00DC183C" w:rsidRDefault="00DC40C2" w:rsidP="00DC40C2">
      <w:pPr>
        <w:pStyle w:val="ListParagraph"/>
        <w:numPr>
          <w:ilvl w:val="0"/>
          <w:numId w:val="4"/>
        </w:numPr>
      </w:pPr>
      <w:r w:rsidRPr="00DC183C">
        <w:t>Conduct of impact assessments and other studies;</w:t>
      </w:r>
    </w:p>
    <w:p w:rsidR="00DC40C2" w:rsidRPr="00DC183C" w:rsidRDefault="00DC40C2" w:rsidP="00DC40C2">
      <w:pPr>
        <w:pStyle w:val="ListParagraph"/>
        <w:numPr>
          <w:ilvl w:val="0"/>
          <w:numId w:val="4"/>
        </w:numPr>
      </w:pPr>
      <w:r w:rsidRPr="00DC183C">
        <w:t>Representing the Government in relevant international fora; and</w:t>
      </w:r>
    </w:p>
    <w:p w:rsidR="00AC1171" w:rsidRDefault="00DC40C2" w:rsidP="00AC1171">
      <w:pPr>
        <w:pStyle w:val="ListParagraph"/>
        <w:numPr>
          <w:ilvl w:val="0"/>
          <w:numId w:val="4"/>
        </w:numPr>
      </w:pPr>
      <w:r w:rsidRPr="00DC183C">
        <w:t>Providing a secretariat function as related to international treaty obligations</w:t>
      </w:r>
    </w:p>
    <w:p w:rsidR="00B20F9B" w:rsidRDefault="00B20F9B" w:rsidP="00B20F9B"/>
    <w:p w:rsidR="00B20F9B" w:rsidRDefault="00B20F9B" w:rsidP="00B20F9B">
      <w:r>
        <w:t xml:space="preserve">Table 1 shows the number of staff working in the NRA in </w:t>
      </w:r>
      <w:r w:rsidR="001E60DA">
        <w:t xml:space="preserve">2013 and </w:t>
      </w:r>
      <w:r>
        <w:t xml:space="preserve">2014 (source: NRA Annual Report, </w:t>
      </w:r>
      <w:r w:rsidR="001E60DA">
        <w:t xml:space="preserve">2013, </w:t>
      </w:r>
      <w:r>
        <w:t>2014)</w:t>
      </w:r>
      <w:r w:rsidR="008D5941">
        <w:t>.</w:t>
      </w:r>
    </w:p>
    <w:p w:rsidR="00B20F9B" w:rsidRPr="00C4045A" w:rsidRDefault="00C4045A" w:rsidP="00C4045A">
      <w:pPr>
        <w:pStyle w:val="Caption"/>
        <w:rPr>
          <w:b w:val="0"/>
          <w:color w:val="auto"/>
          <w:sz w:val="22"/>
          <w:szCs w:val="22"/>
        </w:rPr>
      </w:pPr>
      <w:bookmarkStart w:id="19" w:name="_Toc440019922"/>
      <w:r w:rsidRPr="00C4045A">
        <w:rPr>
          <w:b w:val="0"/>
          <w:color w:val="auto"/>
          <w:sz w:val="22"/>
          <w:szCs w:val="22"/>
        </w:rPr>
        <w:t xml:space="preserve">Table </w:t>
      </w:r>
      <w:r w:rsidRPr="00C4045A">
        <w:rPr>
          <w:b w:val="0"/>
          <w:color w:val="auto"/>
          <w:sz w:val="22"/>
          <w:szCs w:val="22"/>
        </w:rPr>
        <w:fldChar w:fldCharType="begin"/>
      </w:r>
      <w:r w:rsidRPr="00C4045A">
        <w:rPr>
          <w:b w:val="0"/>
          <w:color w:val="auto"/>
          <w:sz w:val="22"/>
          <w:szCs w:val="22"/>
        </w:rPr>
        <w:instrText xml:space="preserve"> SEQ Table \* ARABIC </w:instrText>
      </w:r>
      <w:r w:rsidRPr="00C4045A">
        <w:rPr>
          <w:b w:val="0"/>
          <w:color w:val="auto"/>
          <w:sz w:val="22"/>
          <w:szCs w:val="22"/>
        </w:rPr>
        <w:fldChar w:fldCharType="separate"/>
      </w:r>
      <w:r w:rsidR="001F2335">
        <w:rPr>
          <w:b w:val="0"/>
          <w:noProof/>
          <w:color w:val="auto"/>
          <w:sz w:val="22"/>
          <w:szCs w:val="22"/>
        </w:rPr>
        <w:t>1</w:t>
      </w:r>
      <w:r w:rsidRPr="00C4045A">
        <w:rPr>
          <w:b w:val="0"/>
          <w:color w:val="auto"/>
          <w:sz w:val="22"/>
          <w:szCs w:val="22"/>
        </w:rPr>
        <w:fldChar w:fldCharType="end"/>
      </w:r>
      <w:r w:rsidRPr="00C4045A">
        <w:rPr>
          <w:b w:val="0"/>
          <w:color w:val="auto"/>
          <w:sz w:val="22"/>
          <w:szCs w:val="22"/>
        </w:rPr>
        <w:t xml:space="preserve"> Number of staff working in the NRA in 2013 and 2014</w:t>
      </w:r>
      <w:bookmarkEnd w:id="19"/>
    </w:p>
    <w:tbl>
      <w:tblPr>
        <w:tblW w:w="5000" w:type="pct"/>
        <w:tblBorders>
          <w:top w:val="single" w:sz="12" w:space="0" w:color="231F20"/>
          <w:bottom w:val="single" w:sz="4" w:space="0" w:color="00614F"/>
          <w:insideH w:val="single" w:sz="4" w:space="0" w:color="00614F"/>
          <w:insideV w:val="single" w:sz="4" w:space="0" w:color="00614F"/>
        </w:tblBorders>
        <w:tblCellMar>
          <w:left w:w="0" w:type="dxa"/>
          <w:right w:w="0" w:type="dxa"/>
        </w:tblCellMar>
        <w:tblLook w:val="0000" w:firstRow="0" w:lastRow="0" w:firstColumn="0" w:lastColumn="0" w:noHBand="0" w:noVBand="0"/>
      </w:tblPr>
      <w:tblGrid>
        <w:gridCol w:w="1226"/>
        <w:gridCol w:w="1123"/>
        <w:gridCol w:w="1236"/>
        <w:gridCol w:w="1123"/>
        <w:gridCol w:w="1187"/>
        <w:gridCol w:w="1191"/>
        <w:gridCol w:w="1187"/>
        <w:gridCol w:w="1076"/>
        <w:gridCol w:w="11"/>
      </w:tblGrid>
      <w:tr w:rsidR="00B20F9B" w:rsidTr="001C6EE0">
        <w:trPr>
          <w:trHeight w:hRule="exact" w:val="366"/>
        </w:trPr>
        <w:tc>
          <w:tcPr>
            <w:tcW w:w="4994" w:type="pct"/>
            <w:gridSpan w:val="8"/>
            <w:shd w:val="clear" w:color="auto" w:fill="auto"/>
          </w:tcPr>
          <w:p w:rsidR="00B20F9B" w:rsidRPr="00D23B35" w:rsidRDefault="00B20F9B" w:rsidP="00227F6F">
            <w:pPr>
              <w:autoSpaceDE w:val="0"/>
              <w:autoSpaceDN w:val="0"/>
              <w:adjustRightInd w:val="0"/>
              <w:spacing w:before="71" w:after="0"/>
              <w:ind w:left="1876" w:right="1850"/>
              <w:jc w:val="center"/>
              <w:rPr>
                <w:rFonts w:ascii="Calibri" w:hAnsi="Calibri" w:cs="Calibri"/>
                <w:b/>
                <w:bCs/>
                <w:iCs/>
                <w:color w:val="231F20"/>
                <w:w w:val="99"/>
                <w:sz w:val="19"/>
                <w:szCs w:val="19"/>
              </w:rPr>
            </w:pPr>
            <w:r>
              <w:rPr>
                <w:rFonts w:ascii="Calibri" w:hAnsi="Calibri" w:cs="Calibri"/>
                <w:b/>
                <w:bCs/>
                <w:iCs/>
                <w:color w:val="231F20"/>
                <w:w w:val="99"/>
                <w:sz w:val="19"/>
                <w:szCs w:val="19"/>
              </w:rPr>
              <w:t>NRA</w:t>
            </w:r>
            <w:r w:rsidRPr="00D23B35">
              <w:rPr>
                <w:rFonts w:ascii="Calibri" w:hAnsi="Calibri" w:cs="Calibri"/>
                <w:b/>
                <w:bCs/>
                <w:iCs/>
                <w:color w:val="231F20"/>
                <w:w w:val="99"/>
                <w:sz w:val="19"/>
                <w:szCs w:val="19"/>
              </w:rPr>
              <w:t xml:space="preserve"> staff </w:t>
            </w:r>
            <w:r w:rsidR="00227F6F">
              <w:rPr>
                <w:rFonts w:ascii="Calibri" w:hAnsi="Calibri" w:cs="Calibri"/>
                <w:b/>
                <w:bCs/>
                <w:iCs/>
                <w:color w:val="231F20"/>
                <w:w w:val="99"/>
                <w:sz w:val="19"/>
                <w:szCs w:val="19"/>
              </w:rPr>
              <w:t xml:space="preserve">2013 and </w:t>
            </w:r>
            <w:r w:rsidRPr="00D23B35">
              <w:rPr>
                <w:rFonts w:ascii="Calibri" w:hAnsi="Calibri" w:cs="Calibri"/>
                <w:b/>
                <w:bCs/>
                <w:iCs/>
                <w:color w:val="231F20"/>
                <w:w w:val="99"/>
                <w:sz w:val="19"/>
                <w:szCs w:val="19"/>
              </w:rPr>
              <w:t>2014</w:t>
            </w:r>
            <w:r>
              <w:rPr>
                <w:rFonts w:ascii="Calibri" w:hAnsi="Calibri" w:cs="Calibri"/>
                <w:b/>
                <w:bCs/>
                <w:iCs/>
                <w:color w:val="231F20"/>
                <w:w w:val="99"/>
                <w:sz w:val="19"/>
                <w:szCs w:val="19"/>
              </w:rPr>
              <w:t xml:space="preserve"> </w:t>
            </w:r>
          </w:p>
        </w:tc>
        <w:tc>
          <w:tcPr>
            <w:tcW w:w="6" w:type="pct"/>
          </w:tcPr>
          <w:p w:rsidR="00B20F9B" w:rsidRPr="00D23B35" w:rsidRDefault="00B20F9B" w:rsidP="00674BE4">
            <w:pPr>
              <w:autoSpaceDE w:val="0"/>
              <w:autoSpaceDN w:val="0"/>
              <w:adjustRightInd w:val="0"/>
              <w:spacing w:before="71" w:after="0"/>
              <w:ind w:left="1876" w:right="1850"/>
              <w:jc w:val="center"/>
              <w:rPr>
                <w:rFonts w:ascii="Calibri" w:hAnsi="Calibri" w:cs="Calibri"/>
                <w:b/>
                <w:bCs/>
                <w:iCs/>
                <w:color w:val="231F20"/>
                <w:w w:val="99"/>
                <w:sz w:val="19"/>
                <w:szCs w:val="19"/>
              </w:rPr>
            </w:pPr>
          </w:p>
        </w:tc>
      </w:tr>
      <w:tr w:rsidR="00B20F9B" w:rsidTr="001C6EE0">
        <w:trPr>
          <w:trHeight w:hRule="exact" w:val="366"/>
        </w:trPr>
        <w:tc>
          <w:tcPr>
            <w:tcW w:w="2515" w:type="pct"/>
            <w:gridSpan w:val="4"/>
            <w:shd w:val="clear" w:color="auto" w:fill="A7BBB5"/>
          </w:tcPr>
          <w:p w:rsidR="00B20F9B" w:rsidRDefault="00B20F9B" w:rsidP="00674BE4">
            <w:pPr>
              <w:autoSpaceDE w:val="0"/>
              <w:autoSpaceDN w:val="0"/>
              <w:adjustRightInd w:val="0"/>
              <w:spacing w:before="71" w:after="0"/>
              <w:ind w:left="1808" w:right="1784"/>
              <w:jc w:val="center"/>
              <w:rPr>
                <w:rFonts w:cs="Times New Roman"/>
                <w:szCs w:val="24"/>
              </w:rPr>
            </w:pPr>
            <w:r>
              <w:rPr>
                <w:rFonts w:ascii="Calibri" w:hAnsi="Calibri" w:cs="Calibri"/>
                <w:b/>
                <w:bCs/>
                <w:i/>
                <w:iCs/>
                <w:color w:val="231F20"/>
                <w:sz w:val="19"/>
                <w:szCs w:val="19"/>
              </w:rPr>
              <w:t>Offi</w:t>
            </w:r>
            <w:r>
              <w:rPr>
                <w:rFonts w:ascii="Calibri" w:hAnsi="Calibri" w:cs="Calibri"/>
                <w:b/>
                <w:bCs/>
                <w:i/>
                <w:iCs/>
                <w:color w:val="231F20"/>
                <w:spacing w:val="-1"/>
                <w:sz w:val="19"/>
                <w:szCs w:val="19"/>
              </w:rPr>
              <w:t>c</w:t>
            </w:r>
            <w:r>
              <w:rPr>
                <w:rFonts w:ascii="Calibri" w:hAnsi="Calibri" w:cs="Calibri"/>
                <w:b/>
                <w:bCs/>
                <w:i/>
                <w:iCs/>
                <w:color w:val="231F20"/>
                <w:sz w:val="19"/>
                <w:szCs w:val="19"/>
              </w:rPr>
              <w:t>e</w:t>
            </w:r>
            <w:r>
              <w:rPr>
                <w:rFonts w:ascii="Calibri" w:hAnsi="Calibri" w:cs="Calibri"/>
                <w:b/>
                <w:bCs/>
                <w:i/>
                <w:iCs/>
                <w:color w:val="231F20"/>
                <w:spacing w:val="-7"/>
                <w:sz w:val="19"/>
                <w:szCs w:val="19"/>
              </w:rPr>
              <w:t xml:space="preserve"> </w:t>
            </w:r>
            <w:r>
              <w:rPr>
                <w:rFonts w:ascii="Calibri" w:hAnsi="Calibri" w:cs="Calibri"/>
                <w:b/>
                <w:bCs/>
                <w:i/>
                <w:iCs/>
                <w:color w:val="231F20"/>
                <w:sz w:val="19"/>
                <w:szCs w:val="19"/>
              </w:rPr>
              <w:t>Support</w:t>
            </w:r>
          </w:p>
        </w:tc>
        <w:tc>
          <w:tcPr>
            <w:tcW w:w="2479" w:type="pct"/>
            <w:gridSpan w:val="4"/>
            <w:shd w:val="clear" w:color="auto" w:fill="A7BBB5"/>
          </w:tcPr>
          <w:p w:rsidR="00B20F9B" w:rsidRDefault="00B20F9B" w:rsidP="00674BE4">
            <w:pPr>
              <w:autoSpaceDE w:val="0"/>
              <w:autoSpaceDN w:val="0"/>
              <w:adjustRightInd w:val="0"/>
              <w:spacing w:before="71" w:after="0"/>
              <w:ind w:left="1876" w:right="1850"/>
              <w:jc w:val="center"/>
              <w:rPr>
                <w:rFonts w:cs="Times New Roman"/>
                <w:szCs w:val="24"/>
              </w:rPr>
            </w:pPr>
            <w:r>
              <w:rPr>
                <w:rFonts w:ascii="Calibri" w:hAnsi="Calibri" w:cs="Calibri"/>
                <w:b/>
                <w:bCs/>
                <w:i/>
                <w:iCs/>
                <w:color w:val="231F20"/>
                <w:w w:val="99"/>
                <w:sz w:val="19"/>
                <w:szCs w:val="19"/>
              </w:rPr>
              <w:t>Operations</w:t>
            </w:r>
          </w:p>
        </w:tc>
        <w:tc>
          <w:tcPr>
            <w:tcW w:w="6" w:type="pct"/>
            <w:shd w:val="clear" w:color="auto" w:fill="A7BBB5"/>
          </w:tcPr>
          <w:p w:rsidR="00B20F9B" w:rsidRDefault="00B20F9B" w:rsidP="00674BE4">
            <w:pPr>
              <w:autoSpaceDE w:val="0"/>
              <w:autoSpaceDN w:val="0"/>
              <w:adjustRightInd w:val="0"/>
              <w:spacing w:before="71" w:after="0"/>
              <w:ind w:left="1876" w:right="1850"/>
              <w:jc w:val="center"/>
              <w:rPr>
                <w:rFonts w:ascii="Calibri" w:hAnsi="Calibri" w:cs="Calibri"/>
                <w:b/>
                <w:bCs/>
                <w:i/>
                <w:iCs/>
                <w:color w:val="231F20"/>
                <w:w w:val="99"/>
                <w:sz w:val="19"/>
                <w:szCs w:val="19"/>
              </w:rPr>
            </w:pPr>
          </w:p>
        </w:tc>
      </w:tr>
      <w:tr w:rsidR="00B20F9B" w:rsidTr="001C6EE0">
        <w:trPr>
          <w:trHeight w:hRule="exact" w:val="369"/>
        </w:trPr>
        <w:tc>
          <w:tcPr>
            <w:tcW w:w="1255" w:type="pct"/>
            <w:gridSpan w:val="2"/>
          </w:tcPr>
          <w:p w:rsidR="00B20F9B" w:rsidRDefault="00B20F9B" w:rsidP="00674BE4">
            <w:pPr>
              <w:autoSpaceDE w:val="0"/>
              <w:autoSpaceDN w:val="0"/>
              <w:adjustRightInd w:val="0"/>
              <w:spacing w:before="70" w:after="0"/>
              <w:ind w:left="825" w:right="801"/>
              <w:jc w:val="center"/>
              <w:rPr>
                <w:rFonts w:cs="Times New Roman"/>
                <w:szCs w:val="24"/>
              </w:rPr>
            </w:pPr>
            <w:r>
              <w:rPr>
                <w:rFonts w:ascii="Calibri" w:hAnsi="Calibri" w:cs="Calibri"/>
                <w:b/>
                <w:bCs/>
                <w:i/>
                <w:iCs/>
                <w:color w:val="231F20"/>
                <w:w w:val="99"/>
                <w:sz w:val="19"/>
                <w:szCs w:val="19"/>
              </w:rPr>
              <w:t>National</w:t>
            </w:r>
          </w:p>
        </w:tc>
        <w:tc>
          <w:tcPr>
            <w:tcW w:w="1260" w:type="pct"/>
            <w:gridSpan w:val="2"/>
          </w:tcPr>
          <w:p w:rsidR="00B20F9B" w:rsidRDefault="00B20F9B" w:rsidP="00674BE4">
            <w:pPr>
              <w:autoSpaceDE w:val="0"/>
              <w:autoSpaceDN w:val="0"/>
              <w:adjustRightInd w:val="0"/>
              <w:spacing w:before="70" w:after="0"/>
              <w:ind w:left="681" w:right="-20"/>
              <w:rPr>
                <w:rFonts w:cs="Times New Roman"/>
                <w:szCs w:val="24"/>
              </w:rPr>
            </w:pPr>
            <w:r>
              <w:rPr>
                <w:rFonts w:ascii="Calibri" w:hAnsi="Calibri" w:cs="Calibri"/>
                <w:b/>
                <w:bCs/>
                <w:i/>
                <w:iCs/>
                <w:color w:val="231F20"/>
                <w:sz w:val="19"/>
                <w:szCs w:val="19"/>
              </w:rPr>
              <w:t>I</w:t>
            </w:r>
            <w:r>
              <w:rPr>
                <w:rFonts w:ascii="Calibri" w:hAnsi="Calibri" w:cs="Calibri"/>
                <w:b/>
                <w:bCs/>
                <w:i/>
                <w:iCs/>
                <w:color w:val="231F20"/>
                <w:spacing w:val="-2"/>
                <w:sz w:val="19"/>
                <w:szCs w:val="19"/>
              </w:rPr>
              <w:t>nt</w:t>
            </w:r>
            <w:r>
              <w:rPr>
                <w:rFonts w:ascii="Calibri" w:hAnsi="Calibri" w:cs="Calibri"/>
                <w:b/>
                <w:bCs/>
                <w:i/>
                <w:iCs/>
                <w:color w:val="231F20"/>
                <w:sz w:val="19"/>
                <w:szCs w:val="19"/>
              </w:rPr>
              <w:t>ernational</w:t>
            </w:r>
          </w:p>
        </w:tc>
        <w:tc>
          <w:tcPr>
            <w:tcW w:w="1270" w:type="pct"/>
            <w:gridSpan w:val="2"/>
          </w:tcPr>
          <w:p w:rsidR="00B20F9B" w:rsidRDefault="00B20F9B" w:rsidP="00674BE4">
            <w:pPr>
              <w:autoSpaceDE w:val="0"/>
              <w:autoSpaceDN w:val="0"/>
              <w:adjustRightInd w:val="0"/>
              <w:spacing w:before="70" w:after="0"/>
              <w:ind w:left="821" w:right="801"/>
              <w:jc w:val="center"/>
              <w:rPr>
                <w:rFonts w:cs="Times New Roman"/>
                <w:szCs w:val="24"/>
              </w:rPr>
            </w:pPr>
            <w:r>
              <w:rPr>
                <w:rFonts w:ascii="Calibri" w:hAnsi="Calibri" w:cs="Calibri"/>
                <w:b/>
                <w:bCs/>
                <w:i/>
                <w:iCs/>
                <w:color w:val="231F20"/>
                <w:w w:val="99"/>
                <w:sz w:val="19"/>
                <w:szCs w:val="19"/>
              </w:rPr>
              <w:t>National</w:t>
            </w:r>
          </w:p>
        </w:tc>
        <w:tc>
          <w:tcPr>
            <w:tcW w:w="1209" w:type="pct"/>
            <w:gridSpan w:val="2"/>
          </w:tcPr>
          <w:p w:rsidR="00B20F9B" w:rsidRDefault="00B20F9B" w:rsidP="00674BE4">
            <w:pPr>
              <w:autoSpaceDE w:val="0"/>
              <w:autoSpaceDN w:val="0"/>
              <w:adjustRightInd w:val="0"/>
              <w:spacing w:before="70" w:after="0"/>
              <w:ind w:left="629" w:right="-20"/>
              <w:rPr>
                <w:rFonts w:cs="Times New Roman"/>
                <w:szCs w:val="24"/>
              </w:rPr>
            </w:pPr>
            <w:r>
              <w:rPr>
                <w:rFonts w:ascii="Calibri" w:hAnsi="Calibri" w:cs="Calibri"/>
                <w:b/>
                <w:bCs/>
                <w:i/>
                <w:iCs/>
                <w:color w:val="231F20"/>
                <w:sz w:val="19"/>
                <w:szCs w:val="19"/>
              </w:rPr>
              <w:t>I</w:t>
            </w:r>
            <w:r>
              <w:rPr>
                <w:rFonts w:ascii="Calibri" w:hAnsi="Calibri" w:cs="Calibri"/>
                <w:b/>
                <w:bCs/>
                <w:i/>
                <w:iCs/>
                <w:color w:val="231F20"/>
                <w:spacing w:val="-2"/>
                <w:sz w:val="19"/>
                <w:szCs w:val="19"/>
              </w:rPr>
              <w:t>nt</w:t>
            </w:r>
            <w:r>
              <w:rPr>
                <w:rFonts w:ascii="Calibri" w:hAnsi="Calibri" w:cs="Calibri"/>
                <w:b/>
                <w:bCs/>
                <w:i/>
                <w:iCs/>
                <w:color w:val="231F20"/>
                <w:sz w:val="19"/>
                <w:szCs w:val="19"/>
              </w:rPr>
              <w:t>ernational</w:t>
            </w:r>
          </w:p>
        </w:tc>
        <w:tc>
          <w:tcPr>
            <w:tcW w:w="6" w:type="pct"/>
          </w:tcPr>
          <w:p w:rsidR="00B20F9B" w:rsidRDefault="00B20F9B" w:rsidP="00674BE4">
            <w:pPr>
              <w:autoSpaceDE w:val="0"/>
              <w:autoSpaceDN w:val="0"/>
              <w:adjustRightInd w:val="0"/>
              <w:spacing w:before="70" w:after="0"/>
              <w:ind w:left="629" w:right="-20"/>
              <w:rPr>
                <w:rFonts w:ascii="Calibri" w:hAnsi="Calibri" w:cs="Calibri"/>
                <w:b/>
                <w:bCs/>
                <w:i/>
                <w:iCs/>
                <w:color w:val="231F20"/>
                <w:sz w:val="19"/>
                <w:szCs w:val="19"/>
              </w:rPr>
            </w:pPr>
          </w:p>
        </w:tc>
      </w:tr>
      <w:tr w:rsidR="00B20F9B" w:rsidTr="001C6EE0">
        <w:trPr>
          <w:trHeight w:hRule="exact" w:val="369"/>
        </w:trPr>
        <w:tc>
          <w:tcPr>
            <w:tcW w:w="655" w:type="pct"/>
          </w:tcPr>
          <w:p w:rsidR="00B20F9B" w:rsidRPr="00D23B35" w:rsidRDefault="00B20F9B" w:rsidP="00674BE4">
            <w:pPr>
              <w:autoSpaceDE w:val="0"/>
              <w:autoSpaceDN w:val="0"/>
              <w:adjustRightInd w:val="0"/>
              <w:spacing w:before="70" w:after="0"/>
              <w:ind w:left="388" w:right="365"/>
              <w:jc w:val="center"/>
              <w:rPr>
                <w:rFonts w:cs="Times New Roman"/>
                <w:sz w:val="18"/>
                <w:szCs w:val="18"/>
              </w:rPr>
            </w:pPr>
            <w:r w:rsidRPr="00D23B35">
              <w:rPr>
                <w:rFonts w:ascii="Calibri" w:hAnsi="Calibri" w:cs="Calibri"/>
                <w:color w:val="231F20"/>
                <w:sz w:val="18"/>
                <w:szCs w:val="18"/>
              </w:rPr>
              <w:t>Mal</w:t>
            </w:r>
            <w:r>
              <w:rPr>
                <w:rFonts w:ascii="Calibri" w:hAnsi="Calibri" w:cs="Calibri"/>
                <w:color w:val="231F20"/>
                <w:sz w:val="18"/>
                <w:szCs w:val="18"/>
              </w:rPr>
              <w:t>e</w:t>
            </w:r>
          </w:p>
        </w:tc>
        <w:tc>
          <w:tcPr>
            <w:tcW w:w="600" w:type="pct"/>
          </w:tcPr>
          <w:p w:rsidR="00B20F9B" w:rsidRPr="00D23B35" w:rsidRDefault="00B20F9B" w:rsidP="00674BE4">
            <w:pPr>
              <w:autoSpaceDE w:val="0"/>
              <w:autoSpaceDN w:val="0"/>
              <w:adjustRightInd w:val="0"/>
              <w:spacing w:before="70" w:after="0"/>
              <w:ind w:left="294" w:right="-20"/>
              <w:rPr>
                <w:rFonts w:cs="Times New Roman"/>
                <w:sz w:val="18"/>
                <w:szCs w:val="18"/>
              </w:rPr>
            </w:pPr>
            <w:r>
              <w:rPr>
                <w:rFonts w:ascii="Calibri" w:hAnsi="Calibri" w:cs="Calibri"/>
                <w:color w:val="231F20"/>
                <w:spacing w:val="-8"/>
                <w:sz w:val="18"/>
                <w:szCs w:val="18"/>
              </w:rPr>
              <w:t xml:space="preserve">Female </w:t>
            </w:r>
          </w:p>
        </w:tc>
        <w:tc>
          <w:tcPr>
            <w:tcW w:w="660" w:type="pct"/>
          </w:tcPr>
          <w:p w:rsidR="00B20F9B" w:rsidRPr="00D23B35" w:rsidRDefault="00B20F9B" w:rsidP="00674BE4">
            <w:pPr>
              <w:autoSpaceDE w:val="0"/>
              <w:autoSpaceDN w:val="0"/>
              <w:adjustRightInd w:val="0"/>
              <w:spacing w:before="70" w:after="0"/>
              <w:ind w:left="385" w:right="365"/>
              <w:jc w:val="center"/>
              <w:rPr>
                <w:rFonts w:cs="Times New Roman"/>
                <w:sz w:val="18"/>
                <w:szCs w:val="18"/>
              </w:rPr>
            </w:pPr>
            <w:r w:rsidRPr="00D23B35">
              <w:rPr>
                <w:rFonts w:ascii="Calibri" w:hAnsi="Calibri" w:cs="Calibri"/>
                <w:color w:val="231F20"/>
                <w:sz w:val="18"/>
                <w:szCs w:val="18"/>
              </w:rPr>
              <w:t>Male</w:t>
            </w:r>
          </w:p>
        </w:tc>
        <w:tc>
          <w:tcPr>
            <w:tcW w:w="600" w:type="pct"/>
          </w:tcPr>
          <w:p w:rsidR="00B20F9B" w:rsidRPr="00D23B35" w:rsidRDefault="00B20F9B" w:rsidP="00674BE4">
            <w:pPr>
              <w:autoSpaceDE w:val="0"/>
              <w:autoSpaceDN w:val="0"/>
              <w:adjustRightInd w:val="0"/>
              <w:spacing w:before="70" w:after="0"/>
              <w:ind w:left="294" w:right="-20"/>
              <w:rPr>
                <w:rFonts w:cs="Times New Roman"/>
                <w:sz w:val="18"/>
                <w:szCs w:val="18"/>
              </w:rPr>
            </w:pPr>
            <w:r>
              <w:rPr>
                <w:rFonts w:ascii="Calibri" w:hAnsi="Calibri" w:cs="Calibri"/>
                <w:color w:val="231F20"/>
                <w:spacing w:val="-8"/>
                <w:sz w:val="18"/>
                <w:szCs w:val="18"/>
              </w:rPr>
              <w:t>Female</w:t>
            </w:r>
          </w:p>
        </w:tc>
        <w:tc>
          <w:tcPr>
            <w:tcW w:w="634" w:type="pct"/>
          </w:tcPr>
          <w:p w:rsidR="00B20F9B" w:rsidRPr="00D23B35" w:rsidRDefault="00B20F9B" w:rsidP="00674BE4">
            <w:pPr>
              <w:autoSpaceDE w:val="0"/>
              <w:autoSpaceDN w:val="0"/>
              <w:adjustRightInd w:val="0"/>
              <w:spacing w:before="70" w:after="0"/>
              <w:ind w:left="385" w:right="365"/>
              <w:jc w:val="center"/>
              <w:rPr>
                <w:rFonts w:cs="Times New Roman"/>
                <w:sz w:val="18"/>
                <w:szCs w:val="18"/>
              </w:rPr>
            </w:pPr>
            <w:r>
              <w:rPr>
                <w:rFonts w:ascii="Calibri" w:hAnsi="Calibri" w:cs="Calibri"/>
                <w:color w:val="231F20"/>
                <w:sz w:val="18"/>
                <w:szCs w:val="18"/>
              </w:rPr>
              <w:t>Male</w:t>
            </w:r>
          </w:p>
        </w:tc>
        <w:tc>
          <w:tcPr>
            <w:tcW w:w="636" w:type="pct"/>
          </w:tcPr>
          <w:p w:rsidR="00B20F9B" w:rsidRPr="00D23B35" w:rsidRDefault="00B20F9B" w:rsidP="00674BE4">
            <w:pPr>
              <w:autoSpaceDE w:val="0"/>
              <w:autoSpaceDN w:val="0"/>
              <w:adjustRightInd w:val="0"/>
              <w:spacing w:before="70" w:after="0"/>
              <w:ind w:left="294" w:right="-20"/>
              <w:rPr>
                <w:rFonts w:cs="Times New Roman"/>
                <w:sz w:val="18"/>
                <w:szCs w:val="18"/>
              </w:rPr>
            </w:pPr>
            <w:r>
              <w:rPr>
                <w:rFonts w:ascii="Calibri" w:hAnsi="Calibri" w:cs="Calibri"/>
                <w:color w:val="231F20"/>
                <w:spacing w:val="-8"/>
                <w:sz w:val="18"/>
                <w:szCs w:val="18"/>
              </w:rPr>
              <w:t>Female</w:t>
            </w:r>
          </w:p>
        </w:tc>
        <w:tc>
          <w:tcPr>
            <w:tcW w:w="634" w:type="pct"/>
          </w:tcPr>
          <w:p w:rsidR="00B20F9B" w:rsidRPr="00D23B35" w:rsidRDefault="00B20F9B" w:rsidP="00674BE4">
            <w:pPr>
              <w:autoSpaceDE w:val="0"/>
              <w:autoSpaceDN w:val="0"/>
              <w:adjustRightInd w:val="0"/>
              <w:spacing w:before="70" w:after="0"/>
              <w:ind w:left="385" w:right="365"/>
              <w:jc w:val="center"/>
              <w:rPr>
                <w:rFonts w:cs="Times New Roman"/>
                <w:sz w:val="18"/>
                <w:szCs w:val="18"/>
              </w:rPr>
            </w:pPr>
            <w:r>
              <w:rPr>
                <w:rFonts w:ascii="Calibri" w:hAnsi="Calibri" w:cs="Calibri"/>
                <w:color w:val="231F20"/>
                <w:sz w:val="18"/>
                <w:szCs w:val="18"/>
              </w:rPr>
              <w:t>Male</w:t>
            </w:r>
          </w:p>
        </w:tc>
        <w:tc>
          <w:tcPr>
            <w:tcW w:w="575" w:type="pct"/>
          </w:tcPr>
          <w:p w:rsidR="00B20F9B" w:rsidRPr="00D23B35" w:rsidRDefault="00B20F9B" w:rsidP="00674BE4">
            <w:pPr>
              <w:autoSpaceDE w:val="0"/>
              <w:autoSpaceDN w:val="0"/>
              <w:adjustRightInd w:val="0"/>
              <w:spacing w:before="70" w:after="0"/>
              <w:ind w:left="243" w:right="-20"/>
              <w:rPr>
                <w:rFonts w:cs="Times New Roman"/>
                <w:sz w:val="18"/>
                <w:szCs w:val="18"/>
              </w:rPr>
            </w:pPr>
            <w:r>
              <w:rPr>
                <w:rFonts w:ascii="Calibri" w:hAnsi="Calibri" w:cs="Calibri"/>
                <w:color w:val="231F20"/>
                <w:spacing w:val="-8"/>
                <w:sz w:val="18"/>
                <w:szCs w:val="18"/>
              </w:rPr>
              <w:t>Female</w:t>
            </w:r>
          </w:p>
        </w:tc>
        <w:tc>
          <w:tcPr>
            <w:tcW w:w="6" w:type="pct"/>
          </w:tcPr>
          <w:p w:rsidR="00B20F9B" w:rsidRDefault="00B20F9B" w:rsidP="00674BE4">
            <w:pPr>
              <w:autoSpaceDE w:val="0"/>
              <w:autoSpaceDN w:val="0"/>
              <w:adjustRightInd w:val="0"/>
              <w:spacing w:before="70" w:after="0"/>
              <w:ind w:left="243" w:right="-20"/>
              <w:rPr>
                <w:rFonts w:ascii="Calibri" w:hAnsi="Calibri" w:cs="Calibri"/>
                <w:color w:val="231F20"/>
                <w:spacing w:val="-8"/>
                <w:sz w:val="19"/>
                <w:szCs w:val="19"/>
              </w:rPr>
            </w:pPr>
          </w:p>
        </w:tc>
      </w:tr>
      <w:tr w:rsidR="00227F6F" w:rsidTr="001C6EE0">
        <w:trPr>
          <w:trHeight w:hRule="exact" w:val="369"/>
        </w:trPr>
        <w:tc>
          <w:tcPr>
            <w:tcW w:w="4994" w:type="pct"/>
            <w:gridSpan w:val="8"/>
          </w:tcPr>
          <w:p w:rsidR="00227F6F" w:rsidRPr="00227F6F" w:rsidRDefault="00227F6F" w:rsidP="00227F6F">
            <w:pPr>
              <w:autoSpaceDE w:val="0"/>
              <w:autoSpaceDN w:val="0"/>
              <w:adjustRightInd w:val="0"/>
              <w:spacing w:before="70" w:after="0"/>
              <w:ind w:left="243" w:right="-20"/>
              <w:jc w:val="center"/>
              <w:rPr>
                <w:rFonts w:ascii="Calibri" w:hAnsi="Calibri" w:cs="Calibri"/>
                <w:b/>
                <w:color w:val="231F20"/>
                <w:spacing w:val="-8"/>
                <w:sz w:val="18"/>
                <w:szCs w:val="18"/>
              </w:rPr>
            </w:pPr>
            <w:r w:rsidRPr="00227F6F">
              <w:rPr>
                <w:rFonts w:ascii="Calibri" w:hAnsi="Calibri" w:cs="Calibri"/>
                <w:b/>
                <w:color w:val="231F20"/>
                <w:spacing w:val="-8"/>
                <w:sz w:val="18"/>
                <w:szCs w:val="18"/>
              </w:rPr>
              <w:t>2013</w:t>
            </w:r>
            <w:r>
              <w:rPr>
                <w:rFonts w:ascii="Calibri" w:hAnsi="Calibri" w:cs="Calibri"/>
                <w:b/>
                <w:color w:val="231F20"/>
                <w:spacing w:val="-8"/>
                <w:sz w:val="18"/>
                <w:szCs w:val="18"/>
              </w:rPr>
              <w:t xml:space="preserve"> (N =  47)</w:t>
            </w:r>
          </w:p>
        </w:tc>
        <w:tc>
          <w:tcPr>
            <w:tcW w:w="6" w:type="pct"/>
          </w:tcPr>
          <w:p w:rsidR="00227F6F" w:rsidRDefault="00227F6F" w:rsidP="00674BE4">
            <w:pPr>
              <w:autoSpaceDE w:val="0"/>
              <w:autoSpaceDN w:val="0"/>
              <w:adjustRightInd w:val="0"/>
              <w:spacing w:before="70" w:after="0"/>
              <w:ind w:left="243" w:right="-20"/>
              <w:rPr>
                <w:rFonts w:ascii="Calibri" w:hAnsi="Calibri" w:cs="Calibri"/>
                <w:color w:val="231F20"/>
                <w:spacing w:val="-8"/>
                <w:sz w:val="19"/>
                <w:szCs w:val="19"/>
              </w:rPr>
            </w:pPr>
          </w:p>
        </w:tc>
      </w:tr>
      <w:tr w:rsidR="00227F6F" w:rsidTr="001C6EE0">
        <w:trPr>
          <w:trHeight w:hRule="exact" w:val="364"/>
        </w:trPr>
        <w:tc>
          <w:tcPr>
            <w:tcW w:w="655" w:type="pct"/>
          </w:tcPr>
          <w:p w:rsidR="00227F6F" w:rsidRDefault="00227F6F" w:rsidP="00674BE4">
            <w:pPr>
              <w:autoSpaceDE w:val="0"/>
              <w:autoSpaceDN w:val="0"/>
              <w:adjustRightInd w:val="0"/>
              <w:spacing w:before="70" w:after="0"/>
              <w:ind w:left="469" w:right="445"/>
              <w:jc w:val="center"/>
              <w:rPr>
                <w:rFonts w:ascii="Calibri" w:hAnsi="Calibri" w:cs="Calibri"/>
                <w:color w:val="231F20"/>
                <w:sz w:val="19"/>
                <w:szCs w:val="19"/>
              </w:rPr>
            </w:pPr>
            <w:r>
              <w:rPr>
                <w:rFonts w:ascii="Calibri" w:hAnsi="Calibri" w:cs="Calibri"/>
                <w:color w:val="231F20"/>
                <w:sz w:val="19"/>
                <w:szCs w:val="19"/>
              </w:rPr>
              <w:t>20</w:t>
            </w:r>
          </w:p>
        </w:tc>
        <w:tc>
          <w:tcPr>
            <w:tcW w:w="600" w:type="pct"/>
          </w:tcPr>
          <w:p w:rsidR="00227F6F" w:rsidRDefault="00227F6F" w:rsidP="00674BE4">
            <w:pPr>
              <w:autoSpaceDE w:val="0"/>
              <w:autoSpaceDN w:val="0"/>
              <w:adjustRightInd w:val="0"/>
              <w:spacing w:before="70" w:after="0"/>
              <w:ind w:left="466" w:right="446"/>
              <w:jc w:val="center"/>
              <w:rPr>
                <w:rFonts w:ascii="Calibri" w:hAnsi="Calibri" w:cs="Calibri"/>
                <w:color w:val="231F20"/>
                <w:sz w:val="19"/>
                <w:szCs w:val="19"/>
              </w:rPr>
            </w:pPr>
            <w:r>
              <w:rPr>
                <w:rFonts w:ascii="Calibri" w:hAnsi="Calibri" w:cs="Calibri"/>
                <w:color w:val="231F20"/>
                <w:sz w:val="19"/>
                <w:szCs w:val="19"/>
              </w:rPr>
              <w:t>14</w:t>
            </w:r>
          </w:p>
        </w:tc>
        <w:tc>
          <w:tcPr>
            <w:tcW w:w="660" w:type="pct"/>
          </w:tcPr>
          <w:p w:rsidR="00227F6F" w:rsidRDefault="00227F6F" w:rsidP="00674BE4">
            <w:pPr>
              <w:autoSpaceDE w:val="0"/>
              <w:autoSpaceDN w:val="0"/>
              <w:adjustRightInd w:val="0"/>
              <w:spacing w:before="70" w:after="0"/>
              <w:ind w:left="514" w:right="494"/>
              <w:jc w:val="center"/>
              <w:rPr>
                <w:rFonts w:ascii="Calibri" w:hAnsi="Calibri" w:cs="Calibri"/>
                <w:color w:val="231F20"/>
                <w:sz w:val="19"/>
                <w:szCs w:val="19"/>
              </w:rPr>
            </w:pPr>
            <w:r>
              <w:rPr>
                <w:rFonts w:ascii="Calibri" w:hAnsi="Calibri" w:cs="Calibri"/>
                <w:color w:val="231F20"/>
                <w:sz w:val="19"/>
                <w:szCs w:val="19"/>
              </w:rPr>
              <w:t>2</w:t>
            </w:r>
          </w:p>
        </w:tc>
        <w:tc>
          <w:tcPr>
            <w:tcW w:w="600" w:type="pct"/>
          </w:tcPr>
          <w:p w:rsidR="00227F6F" w:rsidRDefault="00227F6F" w:rsidP="00674BE4">
            <w:pPr>
              <w:autoSpaceDE w:val="0"/>
              <w:autoSpaceDN w:val="0"/>
              <w:adjustRightInd w:val="0"/>
              <w:spacing w:before="70" w:after="0"/>
              <w:ind w:left="514" w:right="494"/>
              <w:jc w:val="center"/>
              <w:rPr>
                <w:rFonts w:ascii="Calibri" w:hAnsi="Calibri" w:cs="Calibri"/>
                <w:color w:val="231F20"/>
                <w:sz w:val="19"/>
                <w:szCs w:val="19"/>
              </w:rPr>
            </w:pPr>
            <w:r>
              <w:rPr>
                <w:rFonts w:ascii="Calibri" w:hAnsi="Calibri" w:cs="Calibri"/>
                <w:color w:val="231F20"/>
                <w:sz w:val="19"/>
                <w:szCs w:val="19"/>
              </w:rPr>
              <w:t>0</w:t>
            </w:r>
          </w:p>
        </w:tc>
        <w:tc>
          <w:tcPr>
            <w:tcW w:w="634" w:type="pct"/>
          </w:tcPr>
          <w:p w:rsidR="00227F6F" w:rsidRDefault="00227F6F" w:rsidP="00674BE4">
            <w:pPr>
              <w:autoSpaceDE w:val="0"/>
              <w:autoSpaceDN w:val="0"/>
              <w:adjustRightInd w:val="0"/>
              <w:spacing w:before="70" w:after="0"/>
              <w:ind w:left="417" w:right="397"/>
              <w:jc w:val="center"/>
              <w:rPr>
                <w:rFonts w:ascii="Calibri" w:hAnsi="Calibri" w:cs="Calibri"/>
                <w:color w:val="231F20"/>
                <w:sz w:val="19"/>
                <w:szCs w:val="19"/>
              </w:rPr>
            </w:pPr>
            <w:r>
              <w:rPr>
                <w:rFonts w:ascii="Calibri" w:hAnsi="Calibri" w:cs="Calibri"/>
                <w:color w:val="231F20"/>
                <w:sz w:val="19"/>
                <w:szCs w:val="19"/>
              </w:rPr>
              <w:t>7</w:t>
            </w:r>
          </w:p>
        </w:tc>
        <w:tc>
          <w:tcPr>
            <w:tcW w:w="636" w:type="pct"/>
          </w:tcPr>
          <w:p w:rsidR="00227F6F" w:rsidRDefault="00227F6F" w:rsidP="00674BE4">
            <w:pPr>
              <w:autoSpaceDE w:val="0"/>
              <w:autoSpaceDN w:val="0"/>
              <w:adjustRightInd w:val="0"/>
              <w:spacing w:before="70" w:after="0"/>
              <w:ind w:left="417" w:right="397"/>
              <w:jc w:val="center"/>
              <w:rPr>
                <w:rFonts w:ascii="Calibri" w:hAnsi="Calibri" w:cs="Calibri"/>
                <w:color w:val="231F20"/>
                <w:sz w:val="19"/>
                <w:szCs w:val="19"/>
              </w:rPr>
            </w:pPr>
            <w:r>
              <w:rPr>
                <w:rFonts w:ascii="Calibri" w:hAnsi="Calibri" w:cs="Calibri"/>
                <w:color w:val="231F20"/>
                <w:sz w:val="19"/>
                <w:szCs w:val="19"/>
              </w:rPr>
              <w:t>2</w:t>
            </w:r>
          </w:p>
        </w:tc>
        <w:tc>
          <w:tcPr>
            <w:tcW w:w="634" w:type="pct"/>
          </w:tcPr>
          <w:p w:rsidR="00227F6F" w:rsidRDefault="00227F6F" w:rsidP="00674BE4">
            <w:pPr>
              <w:autoSpaceDE w:val="0"/>
              <w:autoSpaceDN w:val="0"/>
              <w:adjustRightInd w:val="0"/>
              <w:spacing w:before="70" w:after="0"/>
              <w:ind w:left="514" w:right="494"/>
              <w:jc w:val="center"/>
              <w:rPr>
                <w:rFonts w:ascii="Calibri" w:hAnsi="Calibri" w:cs="Calibri"/>
                <w:color w:val="231F20"/>
                <w:sz w:val="19"/>
                <w:szCs w:val="19"/>
              </w:rPr>
            </w:pPr>
            <w:r>
              <w:rPr>
                <w:rFonts w:ascii="Calibri" w:hAnsi="Calibri" w:cs="Calibri"/>
                <w:color w:val="231F20"/>
                <w:sz w:val="19"/>
                <w:szCs w:val="19"/>
              </w:rPr>
              <w:t>2</w:t>
            </w:r>
          </w:p>
        </w:tc>
        <w:tc>
          <w:tcPr>
            <w:tcW w:w="575" w:type="pct"/>
          </w:tcPr>
          <w:p w:rsidR="00227F6F" w:rsidRDefault="00227F6F" w:rsidP="00674BE4">
            <w:pPr>
              <w:autoSpaceDE w:val="0"/>
              <w:autoSpaceDN w:val="0"/>
              <w:adjustRightInd w:val="0"/>
              <w:spacing w:before="70" w:after="0"/>
              <w:ind w:left="462" w:right="436"/>
              <w:jc w:val="center"/>
              <w:rPr>
                <w:rFonts w:ascii="Calibri" w:hAnsi="Calibri" w:cs="Calibri"/>
                <w:color w:val="231F20"/>
                <w:sz w:val="19"/>
                <w:szCs w:val="19"/>
              </w:rPr>
            </w:pPr>
            <w:r>
              <w:rPr>
                <w:rFonts w:ascii="Calibri" w:hAnsi="Calibri" w:cs="Calibri"/>
                <w:color w:val="231F20"/>
                <w:sz w:val="19"/>
                <w:szCs w:val="19"/>
              </w:rPr>
              <w:t>0</w:t>
            </w:r>
          </w:p>
        </w:tc>
        <w:tc>
          <w:tcPr>
            <w:tcW w:w="6" w:type="pct"/>
          </w:tcPr>
          <w:p w:rsidR="00227F6F" w:rsidRDefault="00227F6F" w:rsidP="00674BE4">
            <w:pPr>
              <w:autoSpaceDE w:val="0"/>
              <w:autoSpaceDN w:val="0"/>
              <w:adjustRightInd w:val="0"/>
              <w:spacing w:before="70" w:after="0"/>
              <w:ind w:left="462" w:right="436"/>
              <w:jc w:val="center"/>
              <w:rPr>
                <w:rFonts w:ascii="Calibri" w:hAnsi="Calibri" w:cs="Calibri"/>
                <w:color w:val="231F20"/>
                <w:sz w:val="19"/>
                <w:szCs w:val="19"/>
              </w:rPr>
            </w:pPr>
          </w:p>
        </w:tc>
      </w:tr>
      <w:tr w:rsidR="00227F6F" w:rsidTr="001C6EE0">
        <w:trPr>
          <w:trHeight w:hRule="exact" w:val="364"/>
        </w:trPr>
        <w:tc>
          <w:tcPr>
            <w:tcW w:w="5000" w:type="pct"/>
            <w:gridSpan w:val="9"/>
          </w:tcPr>
          <w:p w:rsidR="00227F6F" w:rsidRPr="00227F6F" w:rsidRDefault="00227F6F" w:rsidP="00674BE4">
            <w:pPr>
              <w:autoSpaceDE w:val="0"/>
              <w:autoSpaceDN w:val="0"/>
              <w:adjustRightInd w:val="0"/>
              <w:spacing w:before="70" w:after="0"/>
              <w:ind w:left="462" w:right="436"/>
              <w:jc w:val="center"/>
              <w:rPr>
                <w:rFonts w:ascii="Calibri" w:hAnsi="Calibri" w:cs="Calibri"/>
                <w:b/>
                <w:color w:val="231F20"/>
                <w:sz w:val="19"/>
                <w:szCs w:val="19"/>
              </w:rPr>
            </w:pPr>
            <w:r w:rsidRPr="00227F6F">
              <w:rPr>
                <w:rFonts w:ascii="Calibri" w:hAnsi="Calibri" w:cs="Calibri"/>
                <w:b/>
                <w:color w:val="231F20"/>
                <w:sz w:val="19"/>
                <w:szCs w:val="19"/>
              </w:rPr>
              <w:t>2014</w:t>
            </w:r>
            <w:r>
              <w:rPr>
                <w:rFonts w:ascii="Calibri" w:hAnsi="Calibri" w:cs="Calibri"/>
                <w:b/>
                <w:color w:val="231F20"/>
                <w:sz w:val="19"/>
                <w:szCs w:val="19"/>
              </w:rPr>
              <w:t xml:space="preserve"> </w:t>
            </w:r>
            <w:r>
              <w:rPr>
                <w:rFonts w:ascii="Calibri" w:hAnsi="Calibri" w:cs="Calibri"/>
                <w:b/>
                <w:bCs/>
                <w:iCs/>
                <w:color w:val="231F20"/>
                <w:w w:val="99"/>
                <w:sz w:val="19"/>
                <w:szCs w:val="19"/>
              </w:rPr>
              <w:t>(N = 47)</w:t>
            </w:r>
          </w:p>
        </w:tc>
      </w:tr>
      <w:tr w:rsidR="00B20F9B" w:rsidTr="001C6EE0">
        <w:trPr>
          <w:trHeight w:hRule="exact" w:val="364"/>
        </w:trPr>
        <w:tc>
          <w:tcPr>
            <w:tcW w:w="655" w:type="pct"/>
          </w:tcPr>
          <w:p w:rsidR="00B20F9B" w:rsidRDefault="00B20F9B" w:rsidP="00674BE4">
            <w:pPr>
              <w:autoSpaceDE w:val="0"/>
              <w:autoSpaceDN w:val="0"/>
              <w:adjustRightInd w:val="0"/>
              <w:spacing w:before="70" w:after="0"/>
              <w:ind w:left="469" w:right="445"/>
              <w:jc w:val="center"/>
              <w:rPr>
                <w:rFonts w:ascii="Calibri" w:hAnsi="Calibri" w:cs="Calibri"/>
                <w:color w:val="231F20"/>
                <w:sz w:val="19"/>
                <w:szCs w:val="19"/>
              </w:rPr>
            </w:pPr>
            <w:r>
              <w:rPr>
                <w:rFonts w:ascii="Calibri" w:hAnsi="Calibri" w:cs="Calibri"/>
                <w:color w:val="231F20"/>
                <w:sz w:val="19"/>
                <w:szCs w:val="19"/>
              </w:rPr>
              <w:t>21</w:t>
            </w:r>
          </w:p>
        </w:tc>
        <w:tc>
          <w:tcPr>
            <w:tcW w:w="600" w:type="pct"/>
          </w:tcPr>
          <w:p w:rsidR="00B20F9B" w:rsidRDefault="00B20F9B" w:rsidP="00674BE4">
            <w:pPr>
              <w:autoSpaceDE w:val="0"/>
              <w:autoSpaceDN w:val="0"/>
              <w:adjustRightInd w:val="0"/>
              <w:spacing w:before="70" w:after="0"/>
              <w:ind w:left="466" w:right="446"/>
              <w:jc w:val="center"/>
              <w:rPr>
                <w:rFonts w:ascii="Calibri" w:hAnsi="Calibri" w:cs="Calibri"/>
                <w:color w:val="231F20"/>
                <w:sz w:val="19"/>
                <w:szCs w:val="19"/>
              </w:rPr>
            </w:pPr>
            <w:r>
              <w:rPr>
                <w:rFonts w:ascii="Calibri" w:hAnsi="Calibri" w:cs="Calibri"/>
                <w:color w:val="231F20"/>
                <w:sz w:val="19"/>
                <w:szCs w:val="19"/>
              </w:rPr>
              <w:t>15</w:t>
            </w:r>
          </w:p>
        </w:tc>
        <w:tc>
          <w:tcPr>
            <w:tcW w:w="660" w:type="pct"/>
          </w:tcPr>
          <w:p w:rsidR="00B20F9B" w:rsidRDefault="00B20F9B" w:rsidP="00674BE4">
            <w:pPr>
              <w:autoSpaceDE w:val="0"/>
              <w:autoSpaceDN w:val="0"/>
              <w:adjustRightInd w:val="0"/>
              <w:spacing w:before="70" w:after="0"/>
              <w:ind w:left="514" w:right="494"/>
              <w:jc w:val="center"/>
              <w:rPr>
                <w:rFonts w:ascii="Calibri" w:hAnsi="Calibri" w:cs="Calibri"/>
                <w:color w:val="231F20"/>
                <w:sz w:val="19"/>
                <w:szCs w:val="19"/>
              </w:rPr>
            </w:pPr>
            <w:r>
              <w:rPr>
                <w:rFonts w:ascii="Calibri" w:hAnsi="Calibri" w:cs="Calibri"/>
                <w:color w:val="231F20"/>
                <w:sz w:val="19"/>
                <w:szCs w:val="19"/>
              </w:rPr>
              <w:t>2</w:t>
            </w:r>
          </w:p>
        </w:tc>
        <w:tc>
          <w:tcPr>
            <w:tcW w:w="600" w:type="pct"/>
          </w:tcPr>
          <w:p w:rsidR="00B20F9B" w:rsidRDefault="00B20F9B" w:rsidP="00674BE4">
            <w:pPr>
              <w:autoSpaceDE w:val="0"/>
              <w:autoSpaceDN w:val="0"/>
              <w:adjustRightInd w:val="0"/>
              <w:spacing w:before="70" w:after="0"/>
              <w:ind w:left="514" w:right="494"/>
              <w:jc w:val="center"/>
              <w:rPr>
                <w:rFonts w:ascii="Calibri" w:hAnsi="Calibri" w:cs="Calibri"/>
                <w:color w:val="231F20"/>
                <w:sz w:val="19"/>
                <w:szCs w:val="19"/>
              </w:rPr>
            </w:pPr>
            <w:r>
              <w:rPr>
                <w:rFonts w:ascii="Calibri" w:hAnsi="Calibri" w:cs="Calibri"/>
                <w:color w:val="231F20"/>
                <w:sz w:val="19"/>
                <w:szCs w:val="19"/>
              </w:rPr>
              <w:t>0</w:t>
            </w:r>
          </w:p>
        </w:tc>
        <w:tc>
          <w:tcPr>
            <w:tcW w:w="634" w:type="pct"/>
          </w:tcPr>
          <w:p w:rsidR="00B20F9B" w:rsidRDefault="00B20F9B" w:rsidP="00674BE4">
            <w:pPr>
              <w:autoSpaceDE w:val="0"/>
              <w:autoSpaceDN w:val="0"/>
              <w:adjustRightInd w:val="0"/>
              <w:spacing w:before="70" w:after="0"/>
              <w:ind w:left="417" w:right="397"/>
              <w:jc w:val="center"/>
              <w:rPr>
                <w:rFonts w:ascii="Calibri" w:hAnsi="Calibri" w:cs="Calibri"/>
                <w:color w:val="231F20"/>
                <w:sz w:val="19"/>
                <w:szCs w:val="19"/>
              </w:rPr>
            </w:pPr>
            <w:r>
              <w:rPr>
                <w:rFonts w:ascii="Calibri" w:hAnsi="Calibri" w:cs="Calibri"/>
                <w:color w:val="231F20"/>
                <w:sz w:val="19"/>
                <w:szCs w:val="19"/>
              </w:rPr>
              <w:t>5</w:t>
            </w:r>
          </w:p>
        </w:tc>
        <w:tc>
          <w:tcPr>
            <w:tcW w:w="636" w:type="pct"/>
          </w:tcPr>
          <w:p w:rsidR="00B20F9B" w:rsidRDefault="00B20F9B" w:rsidP="00674BE4">
            <w:pPr>
              <w:autoSpaceDE w:val="0"/>
              <w:autoSpaceDN w:val="0"/>
              <w:adjustRightInd w:val="0"/>
              <w:spacing w:before="70" w:after="0"/>
              <w:ind w:left="417" w:right="397"/>
              <w:jc w:val="center"/>
              <w:rPr>
                <w:rFonts w:ascii="Calibri" w:hAnsi="Calibri" w:cs="Calibri"/>
                <w:color w:val="231F20"/>
                <w:sz w:val="19"/>
                <w:szCs w:val="19"/>
              </w:rPr>
            </w:pPr>
            <w:r>
              <w:rPr>
                <w:rFonts w:ascii="Calibri" w:hAnsi="Calibri" w:cs="Calibri"/>
                <w:color w:val="231F20"/>
                <w:sz w:val="19"/>
                <w:szCs w:val="19"/>
              </w:rPr>
              <w:t>2</w:t>
            </w:r>
          </w:p>
        </w:tc>
        <w:tc>
          <w:tcPr>
            <w:tcW w:w="634" w:type="pct"/>
          </w:tcPr>
          <w:p w:rsidR="00B20F9B" w:rsidRDefault="00B20F9B" w:rsidP="00674BE4">
            <w:pPr>
              <w:autoSpaceDE w:val="0"/>
              <w:autoSpaceDN w:val="0"/>
              <w:adjustRightInd w:val="0"/>
              <w:spacing w:before="70" w:after="0"/>
              <w:ind w:left="514" w:right="494"/>
              <w:jc w:val="center"/>
              <w:rPr>
                <w:rFonts w:ascii="Calibri" w:hAnsi="Calibri" w:cs="Calibri"/>
                <w:color w:val="231F20"/>
                <w:sz w:val="19"/>
                <w:szCs w:val="19"/>
              </w:rPr>
            </w:pPr>
            <w:r>
              <w:rPr>
                <w:rFonts w:ascii="Calibri" w:hAnsi="Calibri" w:cs="Calibri"/>
                <w:color w:val="231F20"/>
                <w:sz w:val="19"/>
                <w:szCs w:val="19"/>
              </w:rPr>
              <w:t>2</w:t>
            </w:r>
          </w:p>
        </w:tc>
        <w:tc>
          <w:tcPr>
            <w:tcW w:w="575" w:type="pct"/>
          </w:tcPr>
          <w:p w:rsidR="00B20F9B" w:rsidRDefault="00B20F9B" w:rsidP="00674BE4">
            <w:pPr>
              <w:autoSpaceDE w:val="0"/>
              <w:autoSpaceDN w:val="0"/>
              <w:adjustRightInd w:val="0"/>
              <w:spacing w:before="70" w:after="0"/>
              <w:ind w:left="462" w:right="436"/>
              <w:jc w:val="center"/>
              <w:rPr>
                <w:rFonts w:ascii="Calibri" w:hAnsi="Calibri" w:cs="Calibri"/>
                <w:color w:val="231F20"/>
                <w:sz w:val="19"/>
                <w:szCs w:val="19"/>
              </w:rPr>
            </w:pPr>
            <w:r>
              <w:rPr>
                <w:rFonts w:ascii="Calibri" w:hAnsi="Calibri" w:cs="Calibri"/>
                <w:color w:val="231F20"/>
                <w:sz w:val="19"/>
                <w:szCs w:val="19"/>
              </w:rPr>
              <w:t>0</w:t>
            </w:r>
          </w:p>
        </w:tc>
        <w:tc>
          <w:tcPr>
            <w:tcW w:w="6" w:type="pct"/>
          </w:tcPr>
          <w:p w:rsidR="00B20F9B" w:rsidRDefault="00B20F9B" w:rsidP="00674BE4">
            <w:pPr>
              <w:autoSpaceDE w:val="0"/>
              <w:autoSpaceDN w:val="0"/>
              <w:adjustRightInd w:val="0"/>
              <w:spacing w:before="70" w:after="0"/>
              <w:ind w:left="462" w:right="436"/>
              <w:jc w:val="center"/>
              <w:rPr>
                <w:rFonts w:ascii="Calibri" w:hAnsi="Calibri" w:cs="Calibri"/>
                <w:color w:val="231F20"/>
                <w:sz w:val="19"/>
                <w:szCs w:val="19"/>
              </w:rPr>
            </w:pPr>
          </w:p>
        </w:tc>
      </w:tr>
    </w:tbl>
    <w:p w:rsidR="00B20F9B" w:rsidRPr="00DC183C" w:rsidRDefault="00B20F9B" w:rsidP="00B20F9B"/>
    <w:p w:rsidR="002A2519" w:rsidRPr="00DC183C" w:rsidRDefault="004563FB" w:rsidP="00BE36A2">
      <w:pPr>
        <w:pStyle w:val="Heading3"/>
      </w:pPr>
      <w:bookmarkStart w:id="20" w:name="_Toc441609325"/>
      <w:r>
        <w:rPr>
          <w:rFonts w:cs="Calibri,BoldItalic"/>
          <w:bCs/>
          <w:iCs/>
          <w:szCs w:val="20"/>
        </w:rPr>
        <w:t xml:space="preserve">3.1.3 </w:t>
      </w:r>
      <w:r w:rsidR="005F4CBA" w:rsidRPr="00054A0C">
        <w:rPr>
          <w:rFonts w:cs="Calibri,BoldItalic"/>
          <w:bCs/>
          <w:iCs/>
          <w:szCs w:val="20"/>
        </w:rPr>
        <w:t>UXO</w:t>
      </w:r>
      <w:r w:rsidR="002A2519" w:rsidRPr="00DC183C">
        <w:t xml:space="preserve"> </w:t>
      </w:r>
      <w:r w:rsidR="00BE36A2" w:rsidRPr="00DC183C">
        <w:t>Lao</w:t>
      </w:r>
      <w:bookmarkEnd w:id="20"/>
    </w:p>
    <w:p w:rsidR="00B20F9B" w:rsidRDefault="00C620CE" w:rsidP="00B20F9B">
      <w:r w:rsidRPr="00CC17B1">
        <w:t xml:space="preserve">UXO Lao is the </w:t>
      </w:r>
      <w:r w:rsidR="00701B5D">
        <w:t>national UXO clearance operator</w:t>
      </w:r>
      <w:r w:rsidRPr="00CC17B1">
        <w:t xml:space="preserve"> and was established in 1996 to undertake pre-planned UXO clearance</w:t>
      </w:r>
      <w:r w:rsidR="00B5298E" w:rsidRPr="00CC17B1">
        <w:t>,</w:t>
      </w:r>
      <w:r w:rsidR="00EE4F5B" w:rsidRPr="00CC17B1">
        <w:t xml:space="preserve"> “roving” tasks</w:t>
      </w:r>
      <w:r w:rsidR="00B5298E" w:rsidRPr="00CC17B1">
        <w:t>,</w:t>
      </w:r>
      <w:r w:rsidRPr="00CC17B1">
        <w:t xml:space="preserve"> community-based surveys</w:t>
      </w:r>
      <w:r w:rsidR="00B5298E" w:rsidRPr="00CC17B1">
        <w:t>,</w:t>
      </w:r>
      <w:r w:rsidRPr="00CC17B1">
        <w:t xml:space="preserve"> and risk education. It currently works in nine of the most affected provinces. </w:t>
      </w:r>
      <w:r w:rsidR="00EE4F5B" w:rsidRPr="00CC17B1">
        <w:t xml:space="preserve">It maintains an office in Vientiane and has offices and operations in the nine most impacted provinces as identified by the </w:t>
      </w:r>
      <w:r w:rsidR="00B5298E" w:rsidRPr="00CC17B1">
        <w:t>1997 Handicap International Socio-Economic S</w:t>
      </w:r>
      <w:r w:rsidR="00EE4F5B" w:rsidRPr="00CC17B1">
        <w:t xml:space="preserve">urvey. </w:t>
      </w:r>
      <w:r w:rsidR="00B5298E" w:rsidRPr="00CC17B1">
        <w:t>The</w:t>
      </w:r>
      <w:r w:rsidR="00B5298E">
        <w:rPr>
          <w:rFonts w:cs="SpeakOT-Regular"/>
          <w:color w:val="000000"/>
        </w:rPr>
        <w:t xml:space="preserve"> o</w:t>
      </w:r>
      <w:r w:rsidR="00EE4F5B" w:rsidRPr="00902494">
        <w:rPr>
          <w:rFonts w:cs="SpeakOT-Regular"/>
          <w:color w:val="000000"/>
        </w:rPr>
        <w:t xml:space="preserve">perations </w:t>
      </w:r>
      <w:r w:rsidR="004F1A16">
        <w:rPr>
          <w:rFonts w:cs="SpeakOT-Regular"/>
          <w:color w:val="000000"/>
        </w:rPr>
        <w:t>reflect the generic pillars of Mine A</w:t>
      </w:r>
      <w:r w:rsidR="00EE4F5B" w:rsidRPr="00902494">
        <w:rPr>
          <w:rFonts w:cs="SpeakOT-Regular"/>
          <w:color w:val="000000"/>
        </w:rPr>
        <w:t>ction</w:t>
      </w:r>
      <w:r w:rsidR="00B5298E">
        <w:rPr>
          <w:rFonts w:cs="SpeakOT-Regular"/>
          <w:color w:val="000000"/>
        </w:rPr>
        <w:t>,</w:t>
      </w:r>
      <w:r w:rsidR="00EE4F5B" w:rsidRPr="00902494">
        <w:rPr>
          <w:rFonts w:cs="SpeakOT-Regular"/>
          <w:color w:val="000000"/>
        </w:rPr>
        <w:t xml:space="preserve"> but exclude advocacy and victim assistance. Quality management (QM) aims to ensure the effectiveness, efficiency</w:t>
      </w:r>
      <w:r w:rsidR="00B5298E">
        <w:rPr>
          <w:rFonts w:cs="SpeakOT-Regular"/>
          <w:color w:val="000000"/>
        </w:rPr>
        <w:t>,</w:t>
      </w:r>
      <w:r w:rsidR="00EE4F5B" w:rsidRPr="00902494">
        <w:rPr>
          <w:rFonts w:cs="SpeakOT-Regular"/>
          <w:color w:val="000000"/>
        </w:rPr>
        <w:t xml:space="preserve"> and safety of operations and is overseen by a QM Unit in Vientiane</w:t>
      </w:r>
      <w:r w:rsidR="00B5298E">
        <w:rPr>
          <w:rFonts w:cs="SpeakOT-Regular"/>
          <w:color w:val="000000"/>
        </w:rPr>
        <w:t xml:space="preserve">. The </w:t>
      </w:r>
      <w:r w:rsidR="00EE4F5B" w:rsidRPr="00902494">
        <w:rPr>
          <w:rFonts w:cs="SpeakOT-Regular"/>
          <w:color w:val="000000"/>
        </w:rPr>
        <w:t>increase in capacity</w:t>
      </w:r>
      <w:r w:rsidR="00B5298E">
        <w:rPr>
          <w:rFonts w:cs="SpeakOT-Regular"/>
          <w:color w:val="000000"/>
        </w:rPr>
        <w:t xml:space="preserve"> of the QM Unit</w:t>
      </w:r>
      <w:r w:rsidR="00EE4F5B" w:rsidRPr="00902494">
        <w:rPr>
          <w:rFonts w:cs="SpeakOT-Regular"/>
          <w:color w:val="000000"/>
        </w:rPr>
        <w:t xml:space="preserve"> has been concurrent with the decrease in international technical assistance at the provincial level. Quality management includes the Standard Operating Procedures, three mobile QM teams</w:t>
      </w:r>
      <w:r w:rsidR="00B5298E">
        <w:rPr>
          <w:rFonts w:cs="SpeakOT-Regular"/>
          <w:color w:val="000000"/>
        </w:rPr>
        <w:t>,</w:t>
      </w:r>
      <w:r w:rsidR="00EE4F5B" w:rsidRPr="00902494">
        <w:rPr>
          <w:rFonts w:cs="SpeakOT-Regular"/>
          <w:color w:val="000000"/>
        </w:rPr>
        <w:t xml:space="preserve"> and ten audit teams – one in Vientiane and one in each of the nine provinces where UXO Lao works. The work of UXO Lao is also guided by the Safe Path forward II.</w:t>
      </w:r>
      <w:r w:rsidR="00B20F9B">
        <w:rPr>
          <w:rFonts w:cs="SpeakOT-Regular"/>
          <w:color w:val="000000"/>
        </w:rPr>
        <w:t xml:space="preserve"> Table 2 shows the number of staff working in UXO Lao in </w:t>
      </w:r>
      <w:r w:rsidR="00227F6F">
        <w:rPr>
          <w:rFonts w:cs="SpeakOT-Regular"/>
          <w:color w:val="000000"/>
        </w:rPr>
        <w:t xml:space="preserve">2013 and </w:t>
      </w:r>
      <w:r w:rsidR="00B20F9B">
        <w:rPr>
          <w:rFonts w:cs="SpeakOT-Regular"/>
          <w:color w:val="000000"/>
        </w:rPr>
        <w:t xml:space="preserve">2014 </w:t>
      </w:r>
      <w:r w:rsidR="00B20F9B">
        <w:t xml:space="preserve">(source: NRA Annual Report, </w:t>
      </w:r>
      <w:r w:rsidR="00227F6F">
        <w:t xml:space="preserve">2013, </w:t>
      </w:r>
      <w:r w:rsidR="00B20F9B">
        <w:t>2014)</w:t>
      </w:r>
      <w:r w:rsidR="00701B5D">
        <w:t>.</w:t>
      </w:r>
    </w:p>
    <w:p w:rsidR="00C4045A" w:rsidRDefault="00C4045A" w:rsidP="00227F6F">
      <w:pPr>
        <w:pStyle w:val="Caption"/>
        <w:rPr>
          <w:color w:val="auto"/>
          <w:sz w:val="22"/>
          <w:szCs w:val="22"/>
        </w:rPr>
      </w:pPr>
    </w:p>
    <w:p w:rsidR="00C4045A" w:rsidRDefault="00C4045A" w:rsidP="00227F6F">
      <w:pPr>
        <w:pStyle w:val="Caption"/>
        <w:rPr>
          <w:color w:val="auto"/>
          <w:sz w:val="22"/>
          <w:szCs w:val="22"/>
        </w:rPr>
      </w:pPr>
    </w:p>
    <w:p w:rsidR="00C4045A" w:rsidRDefault="00C4045A" w:rsidP="00227F6F">
      <w:pPr>
        <w:pStyle w:val="Caption"/>
        <w:rPr>
          <w:color w:val="auto"/>
          <w:sz w:val="22"/>
          <w:szCs w:val="22"/>
        </w:rPr>
      </w:pPr>
    </w:p>
    <w:p w:rsidR="00C4045A" w:rsidRDefault="00C4045A" w:rsidP="00227F6F">
      <w:pPr>
        <w:pStyle w:val="Caption"/>
        <w:rPr>
          <w:color w:val="auto"/>
          <w:sz w:val="22"/>
          <w:szCs w:val="22"/>
        </w:rPr>
      </w:pPr>
    </w:p>
    <w:p w:rsidR="00C4045A" w:rsidRDefault="00C4045A" w:rsidP="00227F6F">
      <w:pPr>
        <w:pStyle w:val="Caption"/>
        <w:rPr>
          <w:color w:val="auto"/>
          <w:sz w:val="22"/>
          <w:szCs w:val="22"/>
        </w:rPr>
      </w:pPr>
    </w:p>
    <w:p w:rsidR="00C4045A" w:rsidRDefault="00C4045A" w:rsidP="00227F6F">
      <w:pPr>
        <w:pStyle w:val="Caption"/>
        <w:rPr>
          <w:color w:val="auto"/>
          <w:sz w:val="22"/>
          <w:szCs w:val="22"/>
        </w:rPr>
      </w:pPr>
    </w:p>
    <w:p w:rsidR="00C4045A" w:rsidRDefault="00C4045A" w:rsidP="00C4045A">
      <w:pPr>
        <w:pStyle w:val="Caption"/>
      </w:pPr>
    </w:p>
    <w:p w:rsidR="00C620CE" w:rsidRPr="00C4045A" w:rsidRDefault="00C4045A" w:rsidP="00C4045A">
      <w:pPr>
        <w:pStyle w:val="Caption"/>
        <w:rPr>
          <w:rFonts w:cs="SpeakOT-Regular"/>
          <w:b w:val="0"/>
          <w:color w:val="auto"/>
          <w:sz w:val="22"/>
          <w:szCs w:val="22"/>
        </w:rPr>
      </w:pPr>
      <w:bookmarkStart w:id="21" w:name="_Toc440019923"/>
      <w:r w:rsidRPr="00C4045A">
        <w:rPr>
          <w:color w:val="auto"/>
          <w:sz w:val="22"/>
          <w:szCs w:val="22"/>
        </w:rPr>
        <w:t xml:space="preserve">Table </w:t>
      </w:r>
      <w:r w:rsidRPr="00C4045A">
        <w:rPr>
          <w:color w:val="auto"/>
          <w:sz w:val="22"/>
          <w:szCs w:val="22"/>
        </w:rPr>
        <w:fldChar w:fldCharType="begin"/>
      </w:r>
      <w:r w:rsidRPr="00C4045A">
        <w:rPr>
          <w:color w:val="auto"/>
          <w:sz w:val="22"/>
          <w:szCs w:val="22"/>
        </w:rPr>
        <w:instrText xml:space="preserve"> SEQ Table \* ARABIC </w:instrText>
      </w:r>
      <w:r w:rsidRPr="00C4045A">
        <w:rPr>
          <w:color w:val="auto"/>
          <w:sz w:val="22"/>
          <w:szCs w:val="22"/>
        </w:rPr>
        <w:fldChar w:fldCharType="separate"/>
      </w:r>
      <w:r w:rsidR="001F2335">
        <w:rPr>
          <w:noProof/>
          <w:color w:val="auto"/>
          <w:sz w:val="22"/>
          <w:szCs w:val="22"/>
        </w:rPr>
        <w:t>2</w:t>
      </w:r>
      <w:r w:rsidRPr="00C4045A">
        <w:rPr>
          <w:color w:val="auto"/>
          <w:sz w:val="22"/>
          <w:szCs w:val="22"/>
        </w:rPr>
        <w:fldChar w:fldCharType="end"/>
      </w:r>
      <w:r w:rsidRPr="00C4045A">
        <w:rPr>
          <w:color w:val="auto"/>
          <w:sz w:val="22"/>
          <w:szCs w:val="22"/>
        </w:rPr>
        <w:t xml:space="preserve"> Number of staff working in UXO Lao in 2013 and 2014</w:t>
      </w:r>
      <w:bookmarkEnd w:id="21"/>
    </w:p>
    <w:tbl>
      <w:tblPr>
        <w:tblW w:w="5000" w:type="pct"/>
        <w:tblBorders>
          <w:top w:val="single" w:sz="12" w:space="0" w:color="231F20"/>
          <w:insideH w:val="single" w:sz="4" w:space="0" w:color="00614F"/>
          <w:insideV w:val="single" w:sz="4" w:space="0" w:color="00614F"/>
        </w:tblBorders>
        <w:tblCellMar>
          <w:left w:w="0" w:type="dxa"/>
          <w:right w:w="0" w:type="dxa"/>
        </w:tblCellMar>
        <w:tblLook w:val="0000" w:firstRow="0" w:lastRow="0" w:firstColumn="0" w:lastColumn="0" w:noHBand="0" w:noVBand="0"/>
      </w:tblPr>
      <w:tblGrid>
        <w:gridCol w:w="1226"/>
        <w:gridCol w:w="1123"/>
        <w:gridCol w:w="1236"/>
        <w:gridCol w:w="1123"/>
        <w:gridCol w:w="1187"/>
        <w:gridCol w:w="1191"/>
        <w:gridCol w:w="1187"/>
        <w:gridCol w:w="1076"/>
        <w:gridCol w:w="11"/>
      </w:tblGrid>
      <w:tr w:rsidR="00B20F9B">
        <w:trPr>
          <w:trHeight w:hRule="exact" w:val="366"/>
        </w:trPr>
        <w:tc>
          <w:tcPr>
            <w:tcW w:w="4994" w:type="pct"/>
            <w:gridSpan w:val="8"/>
            <w:shd w:val="clear" w:color="auto" w:fill="auto"/>
          </w:tcPr>
          <w:p w:rsidR="00B20F9B" w:rsidRPr="00D23B35" w:rsidRDefault="00B20F9B" w:rsidP="00674BE4">
            <w:pPr>
              <w:autoSpaceDE w:val="0"/>
              <w:autoSpaceDN w:val="0"/>
              <w:adjustRightInd w:val="0"/>
              <w:spacing w:before="71" w:after="0"/>
              <w:ind w:left="1876" w:right="1850"/>
              <w:jc w:val="center"/>
              <w:rPr>
                <w:rFonts w:ascii="Calibri" w:hAnsi="Calibri" w:cs="Calibri"/>
                <w:b/>
                <w:bCs/>
                <w:iCs/>
                <w:color w:val="231F20"/>
                <w:w w:val="99"/>
                <w:sz w:val="19"/>
                <w:szCs w:val="19"/>
              </w:rPr>
            </w:pPr>
            <w:r w:rsidRPr="00D23B35">
              <w:rPr>
                <w:rFonts w:ascii="Calibri" w:hAnsi="Calibri" w:cs="Calibri"/>
                <w:b/>
                <w:bCs/>
                <w:iCs/>
                <w:color w:val="231F20"/>
                <w:w w:val="99"/>
                <w:sz w:val="19"/>
                <w:szCs w:val="19"/>
              </w:rPr>
              <w:t>UXO Lao staff 2014</w:t>
            </w:r>
            <w:r w:rsidR="001E60DA">
              <w:rPr>
                <w:rFonts w:ascii="Calibri" w:hAnsi="Calibri" w:cs="Calibri"/>
                <w:b/>
                <w:bCs/>
                <w:iCs/>
                <w:color w:val="231F20"/>
                <w:w w:val="99"/>
                <w:sz w:val="19"/>
                <w:szCs w:val="19"/>
              </w:rPr>
              <w:t xml:space="preserve"> </w:t>
            </w:r>
          </w:p>
        </w:tc>
        <w:tc>
          <w:tcPr>
            <w:tcW w:w="6" w:type="pct"/>
          </w:tcPr>
          <w:p w:rsidR="00B20F9B" w:rsidRPr="00D23B35" w:rsidRDefault="00B20F9B" w:rsidP="00674BE4">
            <w:pPr>
              <w:autoSpaceDE w:val="0"/>
              <w:autoSpaceDN w:val="0"/>
              <w:adjustRightInd w:val="0"/>
              <w:spacing w:before="71" w:after="0"/>
              <w:ind w:left="1876" w:right="1850"/>
              <w:jc w:val="center"/>
              <w:rPr>
                <w:rFonts w:ascii="Calibri" w:hAnsi="Calibri" w:cs="Calibri"/>
                <w:b/>
                <w:bCs/>
                <w:iCs/>
                <w:color w:val="231F20"/>
                <w:w w:val="99"/>
                <w:sz w:val="19"/>
                <w:szCs w:val="19"/>
              </w:rPr>
            </w:pPr>
          </w:p>
        </w:tc>
      </w:tr>
      <w:tr w:rsidR="00B20F9B">
        <w:trPr>
          <w:trHeight w:hRule="exact" w:val="366"/>
        </w:trPr>
        <w:tc>
          <w:tcPr>
            <w:tcW w:w="2515" w:type="pct"/>
            <w:gridSpan w:val="4"/>
            <w:shd w:val="clear" w:color="auto" w:fill="A7BBB5"/>
          </w:tcPr>
          <w:p w:rsidR="00B20F9B" w:rsidRDefault="00B20F9B" w:rsidP="00674BE4">
            <w:pPr>
              <w:autoSpaceDE w:val="0"/>
              <w:autoSpaceDN w:val="0"/>
              <w:adjustRightInd w:val="0"/>
              <w:spacing w:before="71" w:after="0"/>
              <w:ind w:left="1808" w:right="1784"/>
              <w:jc w:val="center"/>
              <w:rPr>
                <w:rFonts w:cs="Times New Roman"/>
                <w:szCs w:val="24"/>
              </w:rPr>
            </w:pPr>
            <w:r>
              <w:rPr>
                <w:rFonts w:ascii="Calibri" w:hAnsi="Calibri" w:cs="Calibri"/>
                <w:b/>
                <w:bCs/>
                <w:i/>
                <w:iCs/>
                <w:color w:val="231F20"/>
                <w:sz w:val="19"/>
                <w:szCs w:val="19"/>
              </w:rPr>
              <w:t>Offi</w:t>
            </w:r>
            <w:r>
              <w:rPr>
                <w:rFonts w:ascii="Calibri" w:hAnsi="Calibri" w:cs="Calibri"/>
                <w:b/>
                <w:bCs/>
                <w:i/>
                <w:iCs/>
                <w:color w:val="231F20"/>
                <w:spacing w:val="-1"/>
                <w:sz w:val="19"/>
                <w:szCs w:val="19"/>
              </w:rPr>
              <w:t>c</w:t>
            </w:r>
            <w:r>
              <w:rPr>
                <w:rFonts w:ascii="Calibri" w:hAnsi="Calibri" w:cs="Calibri"/>
                <w:b/>
                <w:bCs/>
                <w:i/>
                <w:iCs/>
                <w:color w:val="231F20"/>
                <w:sz w:val="19"/>
                <w:szCs w:val="19"/>
              </w:rPr>
              <w:t>e</w:t>
            </w:r>
            <w:r>
              <w:rPr>
                <w:rFonts w:ascii="Calibri" w:hAnsi="Calibri" w:cs="Calibri"/>
                <w:b/>
                <w:bCs/>
                <w:i/>
                <w:iCs/>
                <w:color w:val="231F20"/>
                <w:spacing w:val="-7"/>
                <w:sz w:val="19"/>
                <w:szCs w:val="19"/>
              </w:rPr>
              <w:t xml:space="preserve"> </w:t>
            </w:r>
            <w:r>
              <w:rPr>
                <w:rFonts w:ascii="Calibri" w:hAnsi="Calibri" w:cs="Calibri"/>
                <w:b/>
                <w:bCs/>
                <w:i/>
                <w:iCs/>
                <w:color w:val="231F20"/>
                <w:sz w:val="19"/>
                <w:szCs w:val="19"/>
              </w:rPr>
              <w:t>Support</w:t>
            </w:r>
          </w:p>
        </w:tc>
        <w:tc>
          <w:tcPr>
            <w:tcW w:w="2479" w:type="pct"/>
            <w:gridSpan w:val="4"/>
            <w:shd w:val="clear" w:color="auto" w:fill="A7BBB5"/>
          </w:tcPr>
          <w:p w:rsidR="00B20F9B" w:rsidRDefault="00B20F9B" w:rsidP="00674BE4">
            <w:pPr>
              <w:autoSpaceDE w:val="0"/>
              <w:autoSpaceDN w:val="0"/>
              <w:adjustRightInd w:val="0"/>
              <w:spacing w:before="71" w:after="0"/>
              <w:ind w:left="1876" w:right="1850"/>
              <w:jc w:val="center"/>
              <w:rPr>
                <w:rFonts w:cs="Times New Roman"/>
                <w:szCs w:val="24"/>
              </w:rPr>
            </w:pPr>
            <w:r>
              <w:rPr>
                <w:rFonts w:ascii="Calibri" w:hAnsi="Calibri" w:cs="Calibri"/>
                <w:b/>
                <w:bCs/>
                <w:i/>
                <w:iCs/>
                <w:color w:val="231F20"/>
                <w:w w:val="99"/>
                <w:sz w:val="19"/>
                <w:szCs w:val="19"/>
              </w:rPr>
              <w:t>Operations</w:t>
            </w:r>
          </w:p>
        </w:tc>
        <w:tc>
          <w:tcPr>
            <w:tcW w:w="6" w:type="pct"/>
            <w:shd w:val="clear" w:color="auto" w:fill="A7BBB5"/>
          </w:tcPr>
          <w:p w:rsidR="00B20F9B" w:rsidRDefault="00B20F9B" w:rsidP="00674BE4">
            <w:pPr>
              <w:autoSpaceDE w:val="0"/>
              <w:autoSpaceDN w:val="0"/>
              <w:adjustRightInd w:val="0"/>
              <w:spacing w:before="71" w:after="0"/>
              <w:ind w:left="1876" w:right="1850"/>
              <w:jc w:val="center"/>
              <w:rPr>
                <w:rFonts w:ascii="Calibri" w:hAnsi="Calibri" w:cs="Calibri"/>
                <w:b/>
                <w:bCs/>
                <w:i/>
                <w:iCs/>
                <w:color w:val="231F20"/>
                <w:w w:val="99"/>
                <w:sz w:val="19"/>
                <w:szCs w:val="19"/>
              </w:rPr>
            </w:pPr>
          </w:p>
        </w:tc>
      </w:tr>
      <w:tr w:rsidR="00B20F9B">
        <w:trPr>
          <w:trHeight w:hRule="exact" w:val="369"/>
        </w:trPr>
        <w:tc>
          <w:tcPr>
            <w:tcW w:w="1255" w:type="pct"/>
            <w:gridSpan w:val="2"/>
          </w:tcPr>
          <w:p w:rsidR="00B20F9B" w:rsidRDefault="00B20F9B" w:rsidP="00674BE4">
            <w:pPr>
              <w:autoSpaceDE w:val="0"/>
              <w:autoSpaceDN w:val="0"/>
              <w:adjustRightInd w:val="0"/>
              <w:spacing w:before="70" w:after="0"/>
              <w:ind w:left="825" w:right="801"/>
              <w:jc w:val="center"/>
              <w:rPr>
                <w:rFonts w:cs="Times New Roman"/>
                <w:szCs w:val="24"/>
              </w:rPr>
            </w:pPr>
            <w:r>
              <w:rPr>
                <w:rFonts w:ascii="Calibri" w:hAnsi="Calibri" w:cs="Calibri"/>
                <w:b/>
                <w:bCs/>
                <w:i/>
                <w:iCs/>
                <w:color w:val="231F20"/>
                <w:w w:val="99"/>
                <w:sz w:val="19"/>
                <w:szCs w:val="19"/>
              </w:rPr>
              <w:t>National</w:t>
            </w:r>
          </w:p>
        </w:tc>
        <w:tc>
          <w:tcPr>
            <w:tcW w:w="1260" w:type="pct"/>
            <w:gridSpan w:val="2"/>
          </w:tcPr>
          <w:p w:rsidR="00B20F9B" w:rsidRDefault="00B20F9B" w:rsidP="00674BE4">
            <w:pPr>
              <w:autoSpaceDE w:val="0"/>
              <w:autoSpaceDN w:val="0"/>
              <w:adjustRightInd w:val="0"/>
              <w:spacing w:before="70" w:after="0"/>
              <w:ind w:left="681" w:right="-20"/>
              <w:rPr>
                <w:rFonts w:cs="Times New Roman"/>
                <w:szCs w:val="24"/>
              </w:rPr>
            </w:pPr>
            <w:r>
              <w:rPr>
                <w:rFonts w:ascii="Calibri" w:hAnsi="Calibri" w:cs="Calibri"/>
                <w:b/>
                <w:bCs/>
                <w:i/>
                <w:iCs/>
                <w:color w:val="231F20"/>
                <w:sz w:val="19"/>
                <w:szCs w:val="19"/>
              </w:rPr>
              <w:t>I</w:t>
            </w:r>
            <w:r>
              <w:rPr>
                <w:rFonts w:ascii="Calibri" w:hAnsi="Calibri" w:cs="Calibri"/>
                <w:b/>
                <w:bCs/>
                <w:i/>
                <w:iCs/>
                <w:color w:val="231F20"/>
                <w:spacing w:val="-2"/>
                <w:sz w:val="19"/>
                <w:szCs w:val="19"/>
              </w:rPr>
              <w:t>nt</w:t>
            </w:r>
            <w:r>
              <w:rPr>
                <w:rFonts w:ascii="Calibri" w:hAnsi="Calibri" w:cs="Calibri"/>
                <w:b/>
                <w:bCs/>
                <w:i/>
                <w:iCs/>
                <w:color w:val="231F20"/>
                <w:sz w:val="19"/>
                <w:szCs w:val="19"/>
              </w:rPr>
              <w:t>ernational</w:t>
            </w:r>
          </w:p>
        </w:tc>
        <w:tc>
          <w:tcPr>
            <w:tcW w:w="1270" w:type="pct"/>
            <w:gridSpan w:val="2"/>
          </w:tcPr>
          <w:p w:rsidR="00B20F9B" w:rsidRDefault="00B20F9B" w:rsidP="00674BE4">
            <w:pPr>
              <w:autoSpaceDE w:val="0"/>
              <w:autoSpaceDN w:val="0"/>
              <w:adjustRightInd w:val="0"/>
              <w:spacing w:before="70" w:after="0"/>
              <w:ind w:left="821" w:right="801"/>
              <w:jc w:val="center"/>
              <w:rPr>
                <w:rFonts w:cs="Times New Roman"/>
                <w:szCs w:val="24"/>
              </w:rPr>
            </w:pPr>
            <w:r>
              <w:rPr>
                <w:rFonts w:ascii="Calibri" w:hAnsi="Calibri" w:cs="Calibri"/>
                <w:b/>
                <w:bCs/>
                <w:i/>
                <w:iCs/>
                <w:color w:val="231F20"/>
                <w:w w:val="99"/>
                <w:sz w:val="19"/>
                <w:szCs w:val="19"/>
              </w:rPr>
              <w:t>National</w:t>
            </w:r>
          </w:p>
        </w:tc>
        <w:tc>
          <w:tcPr>
            <w:tcW w:w="1209" w:type="pct"/>
            <w:gridSpan w:val="2"/>
          </w:tcPr>
          <w:p w:rsidR="00B20F9B" w:rsidRDefault="00B20F9B" w:rsidP="00674BE4">
            <w:pPr>
              <w:autoSpaceDE w:val="0"/>
              <w:autoSpaceDN w:val="0"/>
              <w:adjustRightInd w:val="0"/>
              <w:spacing w:before="70" w:after="0"/>
              <w:ind w:left="629" w:right="-20"/>
              <w:rPr>
                <w:rFonts w:cs="Times New Roman"/>
                <w:szCs w:val="24"/>
              </w:rPr>
            </w:pPr>
            <w:r>
              <w:rPr>
                <w:rFonts w:ascii="Calibri" w:hAnsi="Calibri" w:cs="Calibri"/>
                <w:b/>
                <w:bCs/>
                <w:i/>
                <w:iCs/>
                <w:color w:val="231F20"/>
                <w:sz w:val="19"/>
                <w:szCs w:val="19"/>
              </w:rPr>
              <w:t>I</w:t>
            </w:r>
            <w:r>
              <w:rPr>
                <w:rFonts w:ascii="Calibri" w:hAnsi="Calibri" w:cs="Calibri"/>
                <w:b/>
                <w:bCs/>
                <w:i/>
                <w:iCs/>
                <w:color w:val="231F20"/>
                <w:spacing w:val="-2"/>
                <w:sz w:val="19"/>
                <w:szCs w:val="19"/>
              </w:rPr>
              <w:t>nt</w:t>
            </w:r>
            <w:r>
              <w:rPr>
                <w:rFonts w:ascii="Calibri" w:hAnsi="Calibri" w:cs="Calibri"/>
                <w:b/>
                <w:bCs/>
                <w:i/>
                <w:iCs/>
                <w:color w:val="231F20"/>
                <w:sz w:val="19"/>
                <w:szCs w:val="19"/>
              </w:rPr>
              <w:t>ernational</w:t>
            </w:r>
          </w:p>
        </w:tc>
        <w:tc>
          <w:tcPr>
            <w:tcW w:w="6" w:type="pct"/>
          </w:tcPr>
          <w:p w:rsidR="00B20F9B" w:rsidRDefault="00B20F9B" w:rsidP="00674BE4">
            <w:pPr>
              <w:autoSpaceDE w:val="0"/>
              <w:autoSpaceDN w:val="0"/>
              <w:adjustRightInd w:val="0"/>
              <w:spacing w:before="70" w:after="0"/>
              <w:ind w:left="629" w:right="-20"/>
              <w:rPr>
                <w:rFonts w:ascii="Calibri" w:hAnsi="Calibri" w:cs="Calibri"/>
                <w:b/>
                <w:bCs/>
                <w:i/>
                <w:iCs/>
                <w:color w:val="231F20"/>
                <w:sz w:val="19"/>
                <w:szCs w:val="19"/>
              </w:rPr>
            </w:pPr>
          </w:p>
        </w:tc>
      </w:tr>
      <w:tr w:rsidR="00B20F9B">
        <w:trPr>
          <w:trHeight w:hRule="exact" w:val="369"/>
        </w:trPr>
        <w:tc>
          <w:tcPr>
            <w:tcW w:w="655" w:type="pct"/>
            <w:tcBorders>
              <w:bottom w:val="single" w:sz="4" w:space="0" w:color="00614F"/>
            </w:tcBorders>
          </w:tcPr>
          <w:p w:rsidR="00B20F9B" w:rsidRPr="00D23B35" w:rsidRDefault="00B20F9B" w:rsidP="00674BE4">
            <w:pPr>
              <w:autoSpaceDE w:val="0"/>
              <w:autoSpaceDN w:val="0"/>
              <w:adjustRightInd w:val="0"/>
              <w:spacing w:before="70" w:after="0"/>
              <w:ind w:left="388" w:right="365"/>
              <w:jc w:val="center"/>
              <w:rPr>
                <w:rFonts w:cs="Times New Roman"/>
                <w:sz w:val="18"/>
                <w:szCs w:val="18"/>
              </w:rPr>
            </w:pPr>
            <w:r w:rsidRPr="00D23B35">
              <w:rPr>
                <w:rFonts w:ascii="Calibri" w:hAnsi="Calibri" w:cs="Calibri"/>
                <w:color w:val="231F20"/>
                <w:sz w:val="18"/>
                <w:szCs w:val="18"/>
              </w:rPr>
              <w:t>Mal</w:t>
            </w:r>
            <w:r>
              <w:rPr>
                <w:rFonts w:ascii="Calibri" w:hAnsi="Calibri" w:cs="Calibri"/>
                <w:color w:val="231F20"/>
                <w:sz w:val="18"/>
                <w:szCs w:val="18"/>
              </w:rPr>
              <w:t>e</w:t>
            </w:r>
          </w:p>
        </w:tc>
        <w:tc>
          <w:tcPr>
            <w:tcW w:w="600" w:type="pct"/>
            <w:tcBorders>
              <w:bottom w:val="single" w:sz="4" w:space="0" w:color="00614F"/>
            </w:tcBorders>
          </w:tcPr>
          <w:p w:rsidR="00B20F9B" w:rsidRPr="00D23B35" w:rsidRDefault="00B20F9B" w:rsidP="00674BE4">
            <w:pPr>
              <w:autoSpaceDE w:val="0"/>
              <w:autoSpaceDN w:val="0"/>
              <w:adjustRightInd w:val="0"/>
              <w:spacing w:before="70" w:after="0"/>
              <w:ind w:left="294" w:right="-20"/>
              <w:rPr>
                <w:rFonts w:cs="Times New Roman"/>
                <w:sz w:val="18"/>
                <w:szCs w:val="18"/>
              </w:rPr>
            </w:pPr>
            <w:r>
              <w:rPr>
                <w:rFonts w:ascii="Calibri" w:hAnsi="Calibri" w:cs="Calibri"/>
                <w:color w:val="231F20"/>
                <w:spacing w:val="-8"/>
                <w:sz w:val="18"/>
                <w:szCs w:val="18"/>
              </w:rPr>
              <w:t xml:space="preserve">Female </w:t>
            </w:r>
          </w:p>
        </w:tc>
        <w:tc>
          <w:tcPr>
            <w:tcW w:w="660" w:type="pct"/>
            <w:tcBorders>
              <w:bottom w:val="single" w:sz="4" w:space="0" w:color="00614F"/>
            </w:tcBorders>
          </w:tcPr>
          <w:p w:rsidR="00B20F9B" w:rsidRPr="00D23B35" w:rsidRDefault="00B20F9B" w:rsidP="00674BE4">
            <w:pPr>
              <w:autoSpaceDE w:val="0"/>
              <w:autoSpaceDN w:val="0"/>
              <w:adjustRightInd w:val="0"/>
              <w:spacing w:before="70" w:after="0"/>
              <w:ind w:left="385" w:right="365"/>
              <w:jc w:val="center"/>
              <w:rPr>
                <w:rFonts w:cs="Times New Roman"/>
                <w:sz w:val="18"/>
                <w:szCs w:val="18"/>
              </w:rPr>
            </w:pPr>
            <w:r w:rsidRPr="00D23B35">
              <w:rPr>
                <w:rFonts w:ascii="Calibri" w:hAnsi="Calibri" w:cs="Calibri"/>
                <w:color w:val="231F20"/>
                <w:sz w:val="18"/>
                <w:szCs w:val="18"/>
              </w:rPr>
              <w:t>Male</w:t>
            </w:r>
          </w:p>
        </w:tc>
        <w:tc>
          <w:tcPr>
            <w:tcW w:w="600" w:type="pct"/>
            <w:tcBorders>
              <w:bottom w:val="single" w:sz="4" w:space="0" w:color="00614F"/>
            </w:tcBorders>
          </w:tcPr>
          <w:p w:rsidR="00B20F9B" w:rsidRPr="00D23B35" w:rsidRDefault="00B20F9B" w:rsidP="00674BE4">
            <w:pPr>
              <w:autoSpaceDE w:val="0"/>
              <w:autoSpaceDN w:val="0"/>
              <w:adjustRightInd w:val="0"/>
              <w:spacing w:before="70" w:after="0"/>
              <w:ind w:left="294" w:right="-20"/>
              <w:rPr>
                <w:rFonts w:cs="Times New Roman"/>
                <w:sz w:val="18"/>
                <w:szCs w:val="18"/>
              </w:rPr>
            </w:pPr>
            <w:r>
              <w:rPr>
                <w:rFonts w:ascii="Calibri" w:hAnsi="Calibri" w:cs="Calibri"/>
                <w:color w:val="231F20"/>
                <w:spacing w:val="-8"/>
                <w:sz w:val="18"/>
                <w:szCs w:val="18"/>
              </w:rPr>
              <w:t>Female</w:t>
            </w:r>
          </w:p>
        </w:tc>
        <w:tc>
          <w:tcPr>
            <w:tcW w:w="634" w:type="pct"/>
            <w:tcBorders>
              <w:bottom w:val="single" w:sz="4" w:space="0" w:color="00614F"/>
            </w:tcBorders>
          </w:tcPr>
          <w:p w:rsidR="00B20F9B" w:rsidRPr="00D23B35" w:rsidRDefault="00B20F9B" w:rsidP="00674BE4">
            <w:pPr>
              <w:autoSpaceDE w:val="0"/>
              <w:autoSpaceDN w:val="0"/>
              <w:adjustRightInd w:val="0"/>
              <w:spacing w:before="70" w:after="0"/>
              <w:ind w:left="385" w:right="365"/>
              <w:jc w:val="center"/>
              <w:rPr>
                <w:rFonts w:cs="Times New Roman"/>
                <w:sz w:val="18"/>
                <w:szCs w:val="18"/>
              </w:rPr>
            </w:pPr>
            <w:r w:rsidRPr="00D23B35">
              <w:rPr>
                <w:rFonts w:ascii="Calibri" w:hAnsi="Calibri" w:cs="Calibri"/>
                <w:color w:val="231F20"/>
                <w:sz w:val="18"/>
                <w:szCs w:val="18"/>
              </w:rPr>
              <w:t>Male</w:t>
            </w:r>
          </w:p>
        </w:tc>
        <w:tc>
          <w:tcPr>
            <w:tcW w:w="636" w:type="pct"/>
            <w:tcBorders>
              <w:bottom w:val="single" w:sz="4" w:space="0" w:color="00614F"/>
            </w:tcBorders>
          </w:tcPr>
          <w:p w:rsidR="00B20F9B" w:rsidRPr="00D23B35" w:rsidRDefault="00B20F9B" w:rsidP="00674BE4">
            <w:pPr>
              <w:autoSpaceDE w:val="0"/>
              <w:autoSpaceDN w:val="0"/>
              <w:adjustRightInd w:val="0"/>
              <w:spacing w:before="70" w:after="0"/>
              <w:ind w:left="294" w:right="-20"/>
              <w:rPr>
                <w:rFonts w:cs="Times New Roman"/>
                <w:sz w:val="18"/>
                <w:szCs w:val="18"/>
              </w:rPr>
            </w:pPr>
            <w:r>
              <w:rPr>
                <w:rFonts w:ascii="Calibri" w:hAnsi="Calibri" w:cs="Calibri"/>
                <w:color w:val="231F20"/>
                <w:spacing w:val="-8"/>
                <w:sz w:val="18"/>
                <w:szCs w:val="18"/>
              </w:rPr>
              <w:t>Female</w:t>
            </w:r>
          </w:p>
        </w:tc>
        <w:tc>
          <w:tcPr>
            <w:tcW w:w="634" w:type="pct"/>
            <w:tcBorders>
              <w:bottom w:val="single" w:sz="4" w:space="0" w:color="00614F"/>
            </w:tcBorders>
          </w:tcPr>
          <w:p w:rsidR="00B20F9B" w:rsidRPr="00D23B35" w:rsidRDefault="00B20F9B" w:rsidP="00674BE4">
            <w:pPr>
              <w:autoSpaceDE w:val="0"/>
              <w:autoSpaceDN w:val="0"/>
              <w:adjustRightInd w:val="0"/>
              <w:spacing w:before="70" w:after="0"/>
              <w:ind w:left="385" w:right="365"/>
              <w:jc w:val="center"/>
              <w:rPr>
                <w:rFonts w:cs="Times New Roman"/>
                <w:sz w:val="18"/>
                <w:szCs w:val="18"/>
              </w:rPr>
            </w:pPr>
            <w:r w:rsidRPr="00D23B35">
              <w:rPr>
                <w:rFonts w:ascii="Calibri" w:hAnsi="Calibri" w:cs="Calibri"/>
                <w:color w:val="231F20"/>
                <w:sz w:val="18"/>
                <w:szCs w:val="18"/>
              </w:rPr>
              <w:t>Male</w:t>
            </w:r>
          </w:p>
        </w:tc>
        <w:tc>
          <w:tcPr>
            <w:tcW w:w="575" w:type="pct"/>
            <w:tcBorders>
              <w:bottom w:val="single" w:sz="4" w:space="0" w:color="00614F"/>
            </w:tcBorders>
          </w:tcPr>
          <w:p w:rsidR="00B20F9B" w:rsidRPr="00D23B35" w:rsidRDefault="00B20F9B" w:rsidP="00674BE4">
            <w:pPr>
              <w:autoSpaceDE w:val="0"/>
              <w:autoSpaceDN w:val="0"/>
              <w:adjustRightInd w:val="0"/>
              <w:spacing w:before="70" w:after="0"/>
              <w:ind w:left="243" w:right="-20"/>
              <w:rPr>
                <w:rFonts w:cs="Times New Roman"/>
                <w:sz w:val="18"/>
                <w:szCs w:val="18"/>
              </w:rPr>
            </w:pPr>
            <w:r>
              <w:rPr>
                <w:rFonts w:ascii="Calibri" w:hAnsi="Calibri" w:cs="Calibri"/>
                <w:color w:val="231F20"/>
                <w:spacing w:val="-8"/>
                <w:sz w:val="18"/>
                <w:szCs w:val="18"/>
              </w:rPr>
              <w:t>Female</w:t>
            </w:r>
          </w:p>
        </w:tc>
        <w:tc>
          <w:tcPr>
            <w:tcW w:w="6" w:type="pct"/>
            <w:tcBorders>
              <w:bottom w:val="single" w:sz="4" w:space="0" w:color="00614F"/>
            </w:tcBorders>
          </w:tcPr>
          <w:p w:rsidR="00B20F9B" w:rsidRDefault="00B20F9B" w:rsidP="00674BE4">
            <w:pPr>
              <w:autoSpaceDE w:val="0"/>
              <w:autoSpaceDN w:val="0"/>
              <w:adjustRightInd w:val="0"/>
              <w:spacing w:before="70" w:after="0"/>
              <w:ind w:left="243" w:right="-20"/>
              <w:rPr>
                <w:rFonts w:ascii="Calibri" w:hAnsi="Calibri" w:cs="Calibri"/>
                <w:color w:val="231F20"/>
                <w:spacing w:val="-8"/>
                <w:sz w:val="19"/>
                <w:szCs w:val="19"/>
              </w:rPr>
            </w:pPr>
          </w:p>
        </w:tc>
      </w:tr>
      <w:tr w:rsidR="00227F6F">
        <w:trPr>
          <w:trHeight w:hRule="exact" w:val="364"/>
        </w:trPr>
        <w:tc>
          <w:tcPr>
            <w:tcW w:w="5000" w:type="pct"/>
            <w:gridSpan w:val="9"/>
            <w:tcBorders>
              <w:top w:val="single" w:sz="4" w:space="0" w:color="00614F"/>
              <w:bottom w:val="single" w:sz="4" w:space="0" w:color="00614F"/>
            </w:tcBorders>
          </w:tcPr>
          <w:p w:rsidR="00227F6F" w:rsidRPr="00227F6F" w:rsidRDefault="00227F6F" w:rsidP="00674BE4">
            <w:pPr>
              <w:autoSpaceDE w:val="0"/>
              <w:autoSpaceDN w:val="0"/>
              <w:adjustRightInd w:val="0"/>
              <w:spacing w:before="70" w:after="0"/>
              <w:ind w:left="462" w:right="436"/>
              <w:jc w:val="center"/>
              <w:rPr>
                <w:rFonts w:ascii="Calibri" w:hAnsi="Calibri" w:cs="Calibri"/>
                <w:b/>
                <w:color w:val="231F20"/>
                <w:sz w:val="19"/>
                <w:szCs w:val="19"/>
              </w:rPr>
            </w:pPr>
            <w:r w:rsidRPr="00227F6F">
              <w:rPr>
                <w:rFonts w:ascii="Calibri" w:hAnsi="Calibri" w:cs="Calibri"/>
                <w:b/>
                <w:color w:val="231F20"/>
                <w:sz w:val="19"/>
                <w:szCs w:val="19"/>
              </w:rPr>
              <w:t>2013 (N = 1200)</w:t>
            </w:r>
          </w:p>
        </w:tc>
      </w:tr>
      <w:tr w:rsidR="00227F6F">
        <w:trPr>
          <w:trHeight w:hRule="exact" w:val="364"/>
        </w:trPr>
        <w:tc>
          <w:tcPr>
            <w:tcW w:w="655" w:type="pct"/>
            <w:tcBorders>
              <w:top w:val="single" w:sz="4" w:space="0" w:color="00614F"/>
              <w:bottom w:val="single" w:sz="4" w:space="0" w:color="00614F"/>
            </w:tcBorders>
          </w:tcPr>
          <w:p w:rsidR="00227F6F" w:rsidRDefault="00227F6F" w:rsidP="00674BE4">
            <w:pPr>
              <w:autoSpaceDE w:val="0"/>
              <w:autoSpaceDN w:val="0"/>
              <w:adjustRightInd w:val="0"/>
              <w:spacing w:before="70" w:after="0"/>
              <w:ind w:left="469" w:right="445"/>
              <w:jc w:val="center"/>
              <w:rPr>
                <w:rFonts w:ascii="Calibri" w:hAnsi="Calibri" w:cs="Calibri"/>
                <w:color w:val="231F20"/>
                <w:sz w:val="19"/>
                <w:szCs w:val="19"/>
              </w:rPr>
            </w:pPr>
            <w:r>
              <w:rPr>
                <w:rFonts w:ascii="Calibri" w:hAnsi="Calibri" w:cs="Calibri"/>
                <w:color w:val="231F20"/>
                <w:sz w:val="19"/>
                <w:szCs w:val="19"/>
              </w:rPr>
              <w:t>136</w:t>
            </w:r>
          </w:p>
        </w:tc>
        <w:tc>
          <w:tcPr>
            <w:tcW w:w="600" w:type="pct"/>
            <w:tcBorders>
              <w:top w:val="single" w:sz="4" w:space="0" w:color="00614F"/>
              <w:bottom w:val="single" w:sz="4" w:space="0" w:color="00614F"/>
            </w:tcBorders>
          </w:tcPr>
          <w:p w:rsidR="00227F6F" w:rsidRDefault="00227F6F" w:rsidP="00674BE4">
            <w:pPr>
              <w:autoSpaceDE w:val="0"/>
              <w:autoSpaceDN w:val="0"/>
              <w:adjustRightInd w:val="0"/>
              <w:spacing w:before="70" w:after="0"/>
              <w:ind w:left="466" w:right="446"/>
              <w:jc w:val="center"/>
              <w:rPr>
                <w:rFonts w:ascii="Calibri" w:hAnsi="Calibri" w:cs="Calibri"/>
                <w:color w:val="231F20"/>
                <w:sz w:val="19"/>
                <w:szCs w:val="19"/>
              </w:rPr>
            </w:pPr>
            <w:r>
              <w:rPr>
                <w:rFonts w:ascii="Calibri" w:hAnsi="Calibri" w:cs="Calibri"/>
                <w:color w:val="231F20"/>
                <w:sz w:val="19"/>
                <w:szCs w:val="19"/>
              </w:rPr>
              <w:t>53</w:t>
            </w:r>
          </w:p>
        </w:tc>
        <w:tc>
          <w:tcPr>
            <w:tcW w:w="660" w:type="pct"/>
            <w:tcBorders>
              <w:top w:val="single" w:sz="4" w:space="0" w:color="00614F"/>
              <w:bottom w:val="single" w:sz="4" w:space="0" w:color="00614F"/>
            </w:tcBorders>
          </w:tcPr>
          <w:p w:rsidR="00227F6F" w:rsidRDefault="00227F6F" w:rsidP="00674BE4">
            <w:pPr>
              <w:autoSpaceDE w:val="0"/>
              <w:autoSpaceDN w:val="0"/>
              <w:adjustRightInd w:val="0"/>
              <w:spacing w:before="70" w:after="0"/>
              <w:ind w:left="514" w:right="494"/>
              <w:jc w:val="center"/>
              <w:rPr>
                <w:rFonts w:ascii="Calibri" w:hAnsi="Calibri" w:cs="Calibri"/>
                <w:color w:val="231F20"/>
                <w:sz w:val="19"/>
                <w:szCs w:val="19"/>
              </w:rPr>
            </w:pPr>
            <w:r>
              <w:rPr>
                <w:rFonts w:ascii="Calibri" w:hAnsi="Calibri" w:cs="Calibri"/>
                <w:color w:val="231F20"/>
                <w:sz w:val="19"/>
                <w:szCs w:val="19"/>
              </w:rPr>
              <w:t>3</w:t>
            </w:r>
          </w:p>
        </w:tc>
        <w:tc>
          <w:tcPr>
            <w:tcW w:w="600" w:type="pct"/>
            <w:tcBorders>
              <w:top w:val="single" w:sz="4" w:space="0" w:color="00614F"/>
              <w:bottom w:val="single" w:sz="4" w:space="0" w:color="00614F"/>
            </w:tcBorders>
          </w:tcPr>
          <w:p w:rsidR="00227F6F" w:rsidRDefault="00227F6F" w:rsidP="00674BE4">
            <w:pPr>
              <w:autoSpaceDE w:val="0"/>
              <w:autoSpaceDN w:val="0"/>
              <w:adjustRightInd w:val="0"/>
              <w:spacing w:before="70" w:after="0"/>
              <w:ind w:left="514" w:right="494"/>
              <w:jc w:val="center"/>
              <w:rPr>
                <w:rFonts w:ascii="Calibri" w:hAnsi="Calibri" w:cs="Calibri"/>
                <w:color w:val="231F20"/>
                <w:sz w:val="19"/>
                <w:szCs w:val="19"/>
              </w:rPr>
            </w:pPr>
            <w:r>
              <w:rPr>
                <w:rFonts w:ascii="Calibri" w:hAnsi="Calibri" w:cs="Calibri"/>
                <w:color w:val="231F20"/>
                <w:sz w:val="19"/>
                <w:szCs w:val="19"/>
              </w:rPr>
              <w:t>1</w:t>
            </w:r>
          </w:p>
        </w:tc>
        <w:tc>
          <w:tcPr>
            <w:tcW w:w="634" w:type="pct"/>
            <w:tcBorders>
              <w:top w:val="single" w:sz="4" w:space="0" w:color="00614F"/>
              <w:bottom w:val="single" w:sz="4" w:space="0" w:color="00614F"/>
            </w:tcBorders>
          </w:tcPr>
          <w:p w:rsidR="00227F6F" w:rsidRDefault="00227F6F" w:rsidP="00674BE4">
            <w:pPr>
              <w:autoSpaceDE w:val="0"/>
              <w:autoSpaceDN w:val="0"/>
              <w:adjustRightInd w:val="0"/>
              <w:spacing w:before="70" w:after="0"/>
              <w:ind w:left="417" w:right="397"/>
              <w:jc w:val="center"/>
              <w:rPr>
                <w:rFonts w:ascii="Calibri" w:hAnsi="Calibri" w:cs="Calibri"/>
                <w:color w:val="231F20"/>
                <w:sz w:val="19"/>
                <w:szCs w:val="19"/>
              </w:rPr>
            </w:pPr>
            <w:r>
              <w:rPr>
                <w:rFonts w:ascii="Calibri" w:hAnsi="Calibri" w:cs="Calibri"/>
                <w:color w:val="231F20"/>
                <w:sz w:val="19"/>
                <w:szCs w:val="19"/>
              </w:rPr>
              <w:t>814</w:t>
            </w:r>
          </w:p>
        </w:tc>
        <w:tc>
          <w:tcPr>
            <w:tcW w:w="636" w:type="pct"/>
            <w:tcBorders>
              <w:top w:val="single" w:sz="4" w:space="0" w:color="00614F"/>
              <w:bottom w:val="single" w:sz="4" w:space="0" w:color="00614F"/>
            </w:tcBorders>
          </w:tcPr>
          <w:p w:rsidR="00227F6F" w:rsidRDefault="00227F6F" w:rsidP="00674BE4">
            <w:pPr>
              <w:autoSpaceDE w:val="0"/>
              <w:autoSpaceDN w:val="0"/>
              <w:adjustRightInd w:val="0"/>
              <w:spacing w:before="70" w:after="0"/>
              <w:ind w:left="417" w:right="397"/>
              <w:jc w:val="center"/>
              <w:rPr>
                <w:rFonts w:ascii="Calibri" w:hAnsi="Calibri" w:cs="Calibri"/>
                <w:color w:val="231F20"/>
                <w:sz w:val="19"/>
                <w:szCs w:val="19"/>
              </w:rPr>
            </w:pPr>
            <w:r>
              <w:rPr>
                <w:rFonts w:ascii="Calibri" w:hAnsi="Calibri" w:cs="Calibri"/>
                <w:color w:val="231F20"/>
                <w:sz w:val="19"/>
                <w:szCs w:val="19"/>
              </w:rPr>
              <w:t>193</w:t>
            </w:r>
          </w:p>
        </w:tc>
        <w:tc>
          <w:tcPr>
            <w:tcW w:w="634" w:type="pct"/>
            <w:tcBorders>
              <w:top w:val="single" w:sz="4" w:space="0" w:color="00614F"/>
              <w:bottom w:val="single" w:sz="4" w:space="0" w:color="00614F"/>
            </w:tcBorders>
          </w:tcPr>
          <w:p w:rsidR="00227F6F" w:rsidRDefault="00227F6F" w:rsidP="00674BE4">
            <w:pPr>
              <w:autoSpaceDE w:val="0"/>
              <w:autoSpaceDN w:val="0"/>
              <w:adjustRightInd w:val="0"/>
              <w:spacing w:before="70" w:after="0"/>
              <w:ind w:left="514" w:right="494"/>
              <w:jc w:val="center"/>
              <w:rPr>
                <w:rFonts w:ascii="Calibri" w:hAnsi="Calibri" w:cs="Calibri"/>
                <w:color w:val="231F20"/>
                <w:sz w:val="19"/>
                <w:szCs w:val="19"/>
              </w:rPr>
            </w:pPr>
            <w:r>
              <w:rPr>
                <w:rFonts w:ascii="Calibri" w:hAnsi="Calibri" w:cs="Calibri"/>
                <w:color w:val="231F20"/>
                <w:sz w:val="19"/>
                <w:szCs w:val="19"/>
              </w:rPr>
              <w:t>0</w:t>
            </w:r>
          </w:p>
        </w:tc>
        <w:tc>
          <w:tcPr>
            <w:tcW w:w="575" w:type="pct"/>
            <w:tcBorders>
              <w:top w:val="single" w:sz="4" w:space="0" w:color="00614F"/>
              <w:bottom w:val="single" w:sz="4" w:space="0" w:color="00614F"/>
            </w:tcBorders>
          </w:tcPr>
          <w:p w:rsidR="00227F6F" w:rsidRDefault="00227F6F" w:rsidP="00674BE4">
            <w:pPr>
              <w:autoSpaceDE w:val="0"/>
              <w:autoSpaceDN w:val="0"/>
              <w:adjustRightInd w:val="0"/>
              <w:spacing w:before="70" w:after="0"/>
              <w:ind w:left="462" w:right="436"/>
              <w:jc w:val="center"/>
              <w:rPr>
                <w:rFonts w:ascii="Calibri" w:hAnsi="Calibri" w:cs="Calibri"/>
                <w:color w:val="231F20"/>
                <w:sz w:val="19"/>
                <w:szCs w:val="19"/>
              </w:rPr>
            </w:pPr>
            <w:r>
              <w:rPr>
                <w:rFonts w:ascii="Calibri" w:hAnsi="Calibri" w:cs="Calibri"/>
                <w:color w:val="231F20"/>
                <w:sz w:val="19"/>
                <w:szCs w:val="19"/>
              </w:rPr>
              <w:t>0</w:t>
            </w:r>
          </w:p>
        </w:tc>
        <w:tc>
          <w:tcPr>
            <w:tcW w:w="6" w:type="pct"/>
            <w:tcBorders>
              <w:top w:val="single" w:sz="4" w:space="0" w:color="00614F"/>
              <w:bottom w:val="single" w:sz="4" w:space="0" w:color="00614F"/>
            </w:tcBorders>
          </w:tcPr>
          <w:p w:rsidR="00227F6F" w:rsidRDefault="00227F6F" w:rsidP="00674BE4">
            <w:pPr>
              <w:autoSpaceDE w:val="0"/>
              <w:autoSpaceDN w:val="0"/>
              <w:adjustRightInd w:val="0"/>
              <w:spacing w:before="70" w:after="0"/>
              <w:ind w:left="462" w:right="436"/>
              <w:jc w:val="center"/>
              <w:rPr>
                <w:rFonts w:ascii="Calibri" w:hAnsi="Calibri" w:cs="Calibri"/>
                <w:color w:val="231F20"/>
                <w:sz w:val="19"/>
                <w:szCs w:val="19"/>
              </w:rPr>
            </w:pPr>
          </w:p>
        </w:tc>
      </w:tr>
      <w:tr w:rsidR="00227F6F">
        <w:trPr>
          <w:trHeight w:hRule="exact" w:val="364"/>
        </w:trPr>
        <w:tc>
          <w:tcPr>
            <w:tcW w:w="5000" w:type="pct"/>
            <w:gridSpan w:val="9"/>
            <w:tcBorders>
              <w:top w:val="single" w:sz="4" w:space="0" w:color="00614F"/>
              <w:bottom w:val="single" w:sz="4" w:space="0" w:color="00614F"/>
            </w:tcBorders>
          </w:tcPr>
          <w:p w:rsidR="00227F6F" w:rsidRPr="001E60DA" w:rsidRDefault="00227F6F" w:rsidP="00674BE4">
            <w:pPr>
              <w:autoSpaceDE w:val="0"/>
              <w:autoSpaceDN w:val="0"/>
              <w:adjustRightInd w:val="0"/>
              <w:spacing w:before="70" w:after="0"/>
              <w:ind w:left="462" w:right="436"/>
              <w:jc w:val="center"/>
              <w:rPr>
                <w:rFonts w:ascii="Calibri" w:hAnsi="Calibri" w:cs="Calibri"/>
                <w:b/>
                <w:color w:val="231F20"/>
                <w:sz w:val="19"/>
                <w:szCs w:val="19"/>
              </w:rPr>
            </w:pPr>
            <w:r w:rsidRPr="001E60DA">
              <w:rPr>
                <w:rFonts w:ascii="Calibri" w:hAnsi="Calibri" w:cs="Calibri"/>
                <w:b/>
                <w:color w:val="231F20"/>
                <w:sz w:val="19"/>
                <w:szCs w:val="19"/>
              </w:rPr>
              <w:t>2014 (N = 980)</w:t>
            </w:r>
          </w:p>
        </w:tc>
      </w:tr>
      <w:tr w:rsidR="00B20F9B">
        <w:trPr>
          <w:trHeight w:hRule="exact" w:val="364"/>
        </w:trPr>
        <w:tc>
          <w:tcPr>
            <w:tcW w:w="655" w:type="pct"/>
            <w:tcBorders>
              <w:top w:val="single" w:sz="4" w:space="0" w:color="00614F"/>
              <w:bottom w:val="single" w:sz="4" w:space="0" w:color="00614F"/>
            </w:tcBorders>
          </w:tcPr>
          <w:p w:rsidR="00B20F9B" w:rsidRDefault="00B20F9B" w:rsidP="00674BE4">
            <w:pPr>
              <w:autoSpaceDE w:val="0"/>
              <w:autoSpaceDN w:val="0"/>
              <w:adjustRightInd w:val="0"/>
              <w:spacing w:before="70" w:after="0"/>
              <w:ind w:left="469" w:right="445"/>
              <w:jc w:val="center"/>
              <w:rPr>
                <w:rFonts w:cs="Times New Roman"/>
                <w:szCs w:val="24"/>
              </w:rPr>
            </w:pPr>
            <w:r>
              <w:rPr>
                <w:rFonts w:ascii="Calibri" w:hAnsi="Calibri" w:cs="Calibri"/>
                <w:color w:val="231F20"/>
                <w:sz w:val="19"/>
                <w:szCs w:val="19"/>
              </w:rPr>
              <w:t>88</w:t>
            </w:r>
          </w:p>
        </w:tc>
        <w:tc>
          <w:tcPr>
            <w:tcW w:w="600" w:type="pct"/>
            <w:tcBorders>
              <w:top w:val="single" w:sz="4" w:space="0" w:color="00614F"/>
              <w:bottom w:val="single" w:sz="4" w:space="0" w:color="00614F"/>
            </w:tcBorders>
          </w:tcPr>
          <w:p w:rsidR="00B20F9B" w:rsidRDefault="00B20F9B" w:rsidP="00674BE4">
            <w:pPr>
              <w:autoSpaceDE w:val="0"/>
              <w:autoSpaceDN w:val="0"/>
              <w:adjustRightInd w:val="0"/>
              <w:spacing w:before="70" w:after="0"/>
              <w:ind w:left="466" w:right="446"/>
              <w:jc w:val="center"/>
              <w:rPr>
                <w:rFonts w:cs="Times New Roman"/>
                <w:szCs w:val="24"/>
              </w:rPr>
            </w:pPr>
            <w:r>
              <w:rPr>
                <w:rFonts w:ascii="Calibri" w:hAnsi="Calibri" w:cs="Calibri"/>
                <w:color w:val="231F20"/>
                <w:sz w:val="19"/>
                <w:szCs w:val="19"/>
              </w:rPr>
              <w:t>32</w:t>
            </w:r>
          </w:p>
        </w:tc>
        <w:tc>
          <w:tcPr>
            <w:tcW w:w="660" w:type="pct"/>
            <w:tcBorders>
              <w:top w:val="single" w:sz="4" w:space="0" w:color="00614F"/>
              <w:bottom w:val="single" w:sz="4" w:space="0" w:color="00614F"/>
            </w:tcBorders>
          </w:tcPr>
          <w:p w:rsidR="00B20F9B" w:rsidRDefault="00B20F9B" w:rsidP="00674BE4">
            <w:pPr>
              <w:autoSpaceDE w:val="0"/>
              <w:autoSpaceDN w:val="0"/>
              <w:adjustRightInd w:val="0"/>
              <w:spacing w:before="70" w:after="0"/>
              <w:ind w:left="514" w:right="494"/>
              <w:jc w:val="center"/>
              <w:rPr>
                <w:rFonts w:cs="Times New Roman"/>
                <w:szCs w:val="24"/>
              </w:rPr>
            </w:pPr>
            <w:r>
              <w:rPr>
                <w:rFonts w:ascii="Calibri" w:hAnsi="Calibri" w:cs="Calibri"/>
                <w:color w:val="231F20"/>
                <w:sz w:val="19"/>
                <w:szCs w:val="19"/>
              </w:rPr>
              <w:t>3</w:t>
            </w:r>
          </w:p>
        </w:tc>
        <w:tc>
          <w:tcPr>
            <w:tcW w:w="600" w:type="pct"/>
            <w:tcBorders>
              <w:top w:val="single" w:sz="4" w:space="0" w:color="00614F"/>
              <w:bottom w:val="single" w:sz="4" w:space="0" w:color="00614F"/>
            </w:tcBorders>
          </w:tcPr>
          <w:p w:rsidR="00B20F9B" w:rsidRDefault="00B20F9B" w:rsidP="00674BE4">
            <w:pPr>
              <w:autoSpaceDE w:val="0"/>
              <w:autoSpaceDN w:val="0"/>
              <w:adjustRightInd w:val="0"/>
              <w:spacing w:before="70" w:after="0"/>
              <w:ind w:left="514" w:right="494"/>
              <w:jc w:val="center"/>
              <w:rPr>
                <w:rFonts w:cs="Times New Roman"/>
                <w:szCs w:val="24"/>
              </w:rPr>
            </w:pPr>
            <w:r>
              <w:rPr>
                <w:rFonts w:ascii="Calibri" w:hAnsi="Calibri" w:cs="Calibri"/>
                <w:color w:val="231F20"/>
                <w:sz w:val="19"/>
                <w:szCs w:val="19"/>
              </w:rPr>
              <w:t>0</w:t>
            </w:r>
          </w:p>
        </w:tc>
        <w:tc>
          <w:tcPr>
            <w:tcW w:w="634" w:type="pct"/>
            <w:tcBorders>
              <w:top w:val="single" w:sz="4" w:space="0" w:color="00614F"/>
              <w:bottom w:val="single" w:sz="4" w:space="0" w:color="00614F"/>
            </w:tcBorders>
          </w:tcPr>
          <w:p w:rsidR="00B20F9B" w:rsidRDefault="00B20F9B" w:rsidP="00674BE4">
            <w:pPr>
              <w:autoSpaceDE w:val="0"/>
              <w:autoSpaceDN w:val="0"/>
              <w:adjustRightInd w:val="0"/>
              <w:spacing w:before="70" w:after="0"/>
              <w:ind w:left="417" w:right="397"/>
              <w:jc w:val="center"/>
              <w:rPr>
                <w:rFonts w:cs="Times New Roman"/>
                <w:szCs w:val="24"/>
              </w:rPr>
            </w:pPr>
            <w:r>
              <w:rPr>
                <w:rFonts w:ascii="Calibri" w:hAnsi="Calibri" w:cs="Calibri"/>
                <w:color w:val="231F20"/>
                <w:sz w:val="19"/>
                <w:szCs w:val="19"/>
              </w:rPr>
              <w:t>722</w:t>
            </w:r>
          </w:p>
        </w:tc>
        <w:tc>
          <w:tcPr>
            <w:tcW w:w="636" w:type="pct"/>
            <w:tcBorders>
              <w:top w:val="single" w:sz="4" w:space="0" w:color="00614F"/>
              <w:bottom w:val="single" w:sz="4" w:space="0" w:color="00614F"/>
            </w:tcBorders>
          </w:tcPr>
          <w:p w:rsidR="00B20F9B" w:rsidRDefault="00B20F9B" w:rsidP="00674BE4">
            <w:pPr>
              <w:autoSpaceDE w:val="0"/>
              <w:autoSpaceDN w:val="0"/>
              <w:adjustRightInd w:val="0"/>
              <w:spacing w:before="70" w:after="0"/>
              <w:ind w:left="417" w:right="397"/>
              <w:jc w:val="center"/>
              <w:rPr>
                <w:rFonts w:cs="Times New Roman"/>
                <w:szCs w:val="24"/>
              </w:rPr>
            </w:pPr>
            <w:r>
              <w:rPr>
                <w:rFonts w:ascii="Calibri" w:hAnsi="Calibri" w:cs="Calibri"/>
                <w:color w:val="231F20"/>
                <w:sz w:val="19"/>
                <w:szCs w:val="19"/>
              </w:rPr>
              <w:t>135</w:t>
            </w:r>
          </w:p>
        </w:tc>
        <w:tc>
          <w:tcPr>
            <w:tcW w:w="634" w:type="pct"/>
            <w:tcBorders>
              <w:top w:val="single" w:sz="4" w:space="0" w:color="00614F"/>
              <w:bottom w:val="single" w:sz="4" w:space="0" w:color="00614F"/>
            </w:tcBorders>
          </w:tcPr>
          <w:p w:rsidR="00B20F9B" w:rsidRDefault="00B20F9B" w:rsidP="00674BE4">
            <w:pPr>
              <w:autoSpaceDE w:val="0"/>
              <w:autoSpaceDN w:val="0"/>
              <w:adjustRightInd w:val="0"/>
              <w:spacing w:before="70" w:after="0"/>
              <w:ind w:left="514" w:right="494"/>
              <w:jc w:val="center"/>
              <w:rPr>
                <w:rFonts w:cs="Times New Roman"/>
                <w:szCs w:val="24"/>
              </w:rPr>
            </w:pPr>
            <w:r>
              <w:rPr>
                <w:rFonts w:ascii="Calibri" w:hAnsi="Calibri" w:cs="Calibri"/>
                <w:color w:val="231F20"/>
                <w:sz w:val="19"/>
                <w:szCs w:val="19"/>
              </w:rPr>
              <w:t>0</w:t>
            </w:r>
          </w:p>
        </w:tc>
        <w:tc>
          <w:tcPr>
            <w:tcW w:w="575" w:type="pct"/>
            <w:tcBorders>
              <w:top w:val="single" w:sz="4" w:space="0" w:color="00614F"/>
              <w:bottom w:val="single" w:sz="4" w:space="0" w:color="00614F"/>
            </w:tcBorders>
          </w:tcPr>
          <w:p w:rsidR="00B20F9B" w:rsidRDefault="00B20F9B" w:rsidP="00674BE4">
            <w:pPr>
              <w:autoSpaceDE w:val="0"/>
              <w:autoSpaceDN w:val="0"/>
              <w:adjustRightInd w:val="0"/>
              <w:spacing w:before="70" w:after="0"/>
              <w:ind w:left="462" w:right="436"/>
              <w:jc w:val="center"/>
              <w:rPr>
                <w:rFonts w:cs="Times New Roman"/>
                <w:szCs w:val="24"/>
              </w:rPr>
            </w:pPr>
            <w:r>
              <w:rPr>
                <w:rFonts w:ascii="Calibri" w:hAnsi="Calibri" w:cs="Calibri"/>
                <w:color w:val="231F20"/>
                <w:sz w:val="19"/>
                <w:szCs w:val="19"/>
              </w:rPr>
              <w:t>0</w:t>
            </w:r>
          </w:p>
        </w:tc>
        <w:tc>
          <w:tcPr>
            <w:tcW w:w="6" w:type="pct"/>
            <w:tcBorders>
              <w:top w:val="single" w:sz="4" w:space="0" w:color="00614F"/>
              <w:bottom w:val="single" w:sz="4" w:space="0" w:color="00614F"/>
            </w:tcBorders>
          </w:tcPr>
          <w:p w:rsidR="00B20F9B" w:rsidRDefault="00B20F9B" w:rsidP="00674BE4">
            <w:pPr>
              <w:autoSpaceDE w:val="0"/>
              <w:autoSpaceDN w:val="0"/>
              <w:adjustRightInd w:val="0"/>
              <w:spacing w:before="70" w:after="0"/>
              <w:ind w:left="462" w:right="436"/>
              <w:jc w:val="center"/>
              <w:rPr>
                <w:rFonts w:ascii="Calibri" w:hAnsi="Calibri" w:cs="Calibri"/>
                <w:color w:val="231F20"/>
                <w:sz w:val="19"/>
                <w:szCs w:val="19"/>
              </w:rPr>
            </w:pPr>
          </w:p>
        </w:tc>
      </w:tr>
    </w:tbl>
    <w:p w:rsidR="00B20F9B" w:rsidRPr="00902494" w:rsidRDefault="00B20F9B" w:rsidP="00C620CE"/>
    <w:p w:rsidR="00A42680" w:rsidRPr="00DC183C" w:rsidRDefault="004563FB" w:rsidP="00C620CE">
      <w:pPr>
        <w:pStyle w:val="Heading3"/>
      </w:pPr>
      <w:bookmarkStart w:id="22" w:name="_Toc441609326"/>
      <w:r>
        <w:t xml:space="preserve">3.1.4 </w:t>
      </w:r>
      <w:r w:rsidR="00A42680" w:rsidRPr="00DC183C">
        <w:t>Sector working groups</w:t>
      </w:r>
      <w:bookmarkEnd w:id="22"/>
    </w:p>
    <w:p w:rsidR="00A42680" w:rsidRPr="00DC183C" w:rsidRDefault="00CC17B1" w:rsidP="00A42680">
      <w:r>
        <w:t>Within the Round T</w:t>
      </w:r>
      <w:r w:rsidR="00560A9B">
        <w:t>able P</w:t>
      </w:r>
      <w:r w:rsidR="00EE4F5B" w:rsidRPr="00DC183C">
        <w:t>rocess</w:t>
      </w:r>
      <w:r w:rsidR="009A1EB1">
        <w:t>,</w:t>
      </w:r>
      <w:r w:rsidR="00EE4F5B" w:rsidRPr="00DC183C">
        <w:t xml:space="preserve"> the Government of Lao PDR established a UXO Sector Working Group</w:t>
      </w:r>
      <w:r w:rsidR="009A1EB1">
        <w:t>,</w:t>
      </w:r>
      <w:r w:rsidR="00EE4F5B" w:rsidRPr="00DC183C">
        <w:t xml:space="preserve"> chaired by the NRA Board Chairman and co-chaired by the UNDP Resident Representative and the Ambassador of the United States. </w:t>
      </w:r>
      <w:r w:rsidR="00CD785F" w:rsidRPr="00DC183C">
        <w:t>This is in accordance with the Vientiane Declaration for Aid Effectiveness. The UXO Sector Working Group oversees the work of the three technical working groups facilitated by the NRA, that is, clearance, risk education</w:t>
      </w:r>
      <w:r w:rsidR="000024AA">
        <w:t>,</w:t>
      </w:r>
      <w:r w:rsidR="00CD785F" w:rsidRPr="00DC183C">
        <w:t xml:space="preserve"> and victim assistance. The intent of the UXO Sector Working Group and the technical working groups is to enhance coordination within the sector and promote effective and efficient use of assets.</w:t>
      </w:r>
    </w:p>
    <w:p w:rsidR="00CD785F" w:rsidRPr="00DC183C" w:rsidRDefault="00CD785F" w:rsidP="00CC17B1">
      <w:r w:rsidRPr="00DC183C">
        <w:t>In the programme period being evaluated</w:t>
      </w:r>
      <w:r w:rsidR="00AC498B">
        <w:t>,</w:t>
      </w:r>
      <w:r w:rsidRPr="00DC183C">
        <w:t xml:space="preserve"> the priority actions and activities for the sector were identified as survey and clearance, focussing on areas identified by the </w:t>
      </w:r>
      <w:r w:rsidR="000C0B7C">
        <w:t>National Leading Committee for</w:t>
      </w:r>
      <w:r w:rsidR="00AC498B">
        <w:t xml:space="preserve"> Rural Development and Poverty Eradication (</w:t>
      </w:r>
      <w:r w:rsidRPr="00DC183C">
        <w:t>NLCRDPE</w:t>
      </w:r>
      <w:r w:rsidR="00AC498B">
        <w:t>)</w:t>
      </w:r>
      <w:r w:rsidR="000C0B7C">
        <w:t xml:space="preserve">. These areas included </w:t>
      </w:r>
      <w:r w:rsidRPr="00DC183C">
        <w:t>further developing the capacity of the Lao army to undertake survey and clearance in accordance with national standards and under the oversight of the NRA</w:t>
      </w:r>
      <w:r w:rsidR="000C0B7C">
        <w:t xml:space="preserve">, </w:t>
      </w:r>
      <w:r w:rsidRPr="00DC183C">
        <w:t xml:space="preserve">and on-going community awareness and </w:t>
      </w:r>
      <w:r w:rsidR="006E4D1D" w:rsidRPr="00DC183C">
        <w:t xml:space="preserve">victim assistance activities. These activities were intended to contribute to </w:t>
      </w:r>
      <w:r w:rsidR="002C1C46">
        <w:t xml:space="preserve">the </w:t>
      </w:r>
      <w:r w:rsidR="006E4D1D" w:rsidRPr="00DC183C">
        <w:t>achievement of the objectives outlined in the Safe Path Forward II</w:t>
      </w:r>
      <w:r w:rsidR="002C1C46">
        <w:t xml:space="preserve"> and </w:t>
      </w:r>
      <w:r w:rsidR="006E4D1D" w:rsidRPr="00DC183C">
        <w:t>were planned to be supported by the UXO Trust Fund</w:t>
      </w:r>
      <w:r w:rsidR="00A32318">
        <w:t>. The Fund</w:t>
      </w:r>
      <w:r w:rsidR="006E4D1D" w:rsidRPr="00DC183C">
        <w:t xml:space="preserve"> was also committed to broaden</w:t>
      </w:r>
      <w:r w:rsidR="00A32318">
        <w:t>ing</w:t>
      </w:r>
      <w:r w:rsidR="006E4D1D" w:rsidRPr="00DC183C">
        <w:t xml:space="preserve"> its scope to include funding opportunities for non-government organisations and community</w:t>
      </w:r>
      <w:r w:rsidR="00A32318">
        <w:t>-</w:t>
      </w:r>
      <w:r w:rsidR="006E4D1D" w:rsidRPr="00DC183C">
        <w:t>based organisations</w:t>
      </w:r>
      <w:r w:rsidR="00A32318">
        <w:t>,</w:t>
      </w:r>
      <w:r w:rsidR="006E4D1D" w:rsidRPr="00DC183C">
        <w:t xml:space="preserve"> and</w:t>
      </w:r>
      <w:r w:rsidR="00A32318">
        <w:t>,</w:t>
      </w:r>
      <w:r w:rsidR="006E4D1D" w:rsidRPr="00DC183C">
        <w:t xml:space="preserve"> in particular, disability and victim assistance organisations working in the sector</w:t>
      </w:r>
      <w:r w:rsidR="00A32318">
        <w:t>,</w:t>
      </w:r>
      <w:r w:rsidR="006E4D1D" w:rsidRPr="00DC183C">
        <w:t xml:space="preserve"> as well as risk reduction activities. </w:t>
      </w:r>
      <w:r w:rsidR="00CC17B1">
        <w:t>According</w:t>
      </w:r>
      <w:r w:rsidR="004E20C7">
        <w:t xml:space="preserve"> to</w:t>
      </w:r>
      <w:r w:rsidR="00CC17B1">
        <w:t xml:space="preserve"> the Trust fund</w:t>
      </w:r>
      <w:r w:rsidR="004E20C7">
        <w:t>,</w:t>
      </w:r>
      <w:r w:rsidR="00CC17B1">
        <w:t xml:space="preserve"> for example, point 1 d reads</w:t>
      </w:r>
      <w:r w:rsidR="004E20C7">
        <w:t>:</w:t>
      </w:r>
      <w:r w:rsidR="00CC17B1">
        <w:t xml:space="preserve"> “As contributions for the purpose of co-financing a specific project or projects in support of victim assistance to be handled in accordance with UNDP’s policies and procedures for contribution arrangements</w:t>
      </w:r>
      <w:r w:rsidR="00366FAF">
        <w:t xml:space="preserve">”. </w:t>
      </w:r>
    </w:p>
    <w:p w:rsidR="00251DED" w:rsidRPr="00DC183C" w:rsidRDefault="00A20097" w:rsidP="00D16F23">
      <w:r>
        <w:t>It</w:t>
      </w:r>
      <w:r w:rsidR="0004525C" w:rsidRPr="00DC183C">
        <w:t xml:space="preserve"> is important to note that in UXO contaminated areas, people have become accustomed to living with the presence of UXO</w:t>
      </w:r>
      <w:r w:rsidR="00F50369">
        <w:t>,</w:t>
      </w:r>
      <w:r w:rsidR="0004525C" w:rsidRPr="00DC183C">
        <w:t xml:space="preserve"> and contaminated land is frequently cultivated. </w:t>
      </w:r>
      <w:r w:rsidR="00366FAF">
        <w:t>Indeed</w:t>
      </w:r>
      <w:r w:rsidR="00F50369">
        <w:t>,</w:t>
      </w:r>
      <w:r w:rsidR="00366FAF">
        <w:t xml:space="preserve"> even at the start of the programme in 1996, widespread cultivation of contaminated land was reported. </w:t>
      </w:r>
      <w:r w:rsidR="0004525C" w:rsidRPr="00DC183C">
        <w:t xml:space="preserve">This is likely to be because UXO and cluster munitions are not pressure activated </w:t>
      </w:r>
      <w:r>
        <w:t>like</w:t>
      </w:r>
      <w:r w:rsidRPr="00DC183C">
        <w:t xml:space="preserve"> </w:t>
      </w:r>
      <w:r w:rsidR="0004525C" w:rsidRPr="00DC183C">
        <w:t>landmine</w:t>
      </w:r>
      <w:r>
        <w:t xml:space="preserve">s, </w:t>
      </w:r>
      <w:r w:rsidR="0004525C" w:rsidRPr="00DC183C">
        <w:t xml:space="preserve">and people can often move surface items relatively safely and/or work around items. Indeed, </w:t>
      </w:r>
      <w:r w:rsidR="00E94BE4" w:rsidRPr="00DC183C">
        <w:t xml:space="preserve">the most common reason for not expanding land is </w:t>
      </w:r>
      <w:r>
        <w:t xml:space="preserve">a </w:t>
      </w:r>
      <w:r w:rsidR="00E94BE4" w:rsidRPr="00DC183C">
        <w:t>lack of</w:t>
      </w:r>
      <w:r w:rsidR="00170E3B" w:rsidRPr="00DC183C">
        <w:t xml:space="preserve"> labour and low productivity</w:t>
      </w:r>
      <w:r>
        <w:t>, primarily</w:t>
      </w:r>
      <w:r w:rsidR="00170E3B" w:rsidRPr="00DC183C">
        <w:t xml:space="preserve"> </w:t>
      </w:r>
      <w:r w:rsidR="00E94BE4" w:rsidRPr="00DC183C">
        <w:t>due to farming methods based on rain-fed agriculture with limited use of chemical fertilisers, lack of mechanisation</w:t>
      </w:r>
      <w:r>
        <w:t>,</w:t>
      </w:r>
      <w:r w:rsidR="00E94BE4" w:rsidRPr="00DC183C">
        <w:t xml:space="preserve"> and supply and demand-side factors related to limited access to markets</w:t>
      </w:r>
      <w:r w:rsidR="00366FAF">
        <w:rPr>
          <w:rStyle w:val="FootnoteReference"/>
        </w:rPr>
        <w:footnoteReference w:id="18"/>
      </w:r>
      <w:r w:rsidR="00170E3B" w:rsidRPr="00DC183C">
        <w:t xml:space="preserve">. </w:t>
      </w:r>
      <w:r w:rsidR="0097499D">
        <w:t>By</w:t>
      </w:r>
      <w:r w:rsidR="0004525C" w:rsidRPr="00DC183C">
        <w:t xml:space="preserve"> the time the programme started in 1996, UXO</w:t>
      </w:r>
      <w:r w:rsidR="00251DED" w:rsidRPr="00DC183C">
        <w:t>-related</w:t>
      </w:r>
      <w:r w:rsidR="0004525C" w:rsidRPr="00DC183C">
        <w:t xml:space="preserve"> injuries had already plateaued </w:t>
      </w:r>
      <w:r w:rsidR="0097499D">
        <w:t>to</w:t>
      </w:r>
      <w:r w:rsidR="0097499D" w:rsidRPr="00DC183C">
        <w:t xml:space="preserve"> </w:t>
      </w:r>
      <w:r w:rsidR="0004525C" w:rsidRPr="00DC183C">
        <w:t xml:space="preserve">300 per year </w:t>
      </w:r>
      <w:r w:rsidR="00251DED" w:rsidRPr="00DC183C">
        <w:t xml:space="preserve">and remained at this level until recently. </w:t>
      </w:r>
      <w:r w:rsidR="0097499D">
        <w:t>However, t</w:t>
      </w:r>
      <w:r w:rsidR="00251DED" w:rsidRPr="00DC183C">
        <w:t>he number of people who survive UXO injuries has increased. The reasons for this have not been examined</w:t>
      </w:r>
      <w:r w:rsidR="0097499D">
        <w:t>,</w:t>
      </w:r>
      <w:r w:rsidR="00251DED" w:rsidRPr="00DC183C">
        <w:t xml:space="preserve"> but may be due to different patterns of engagement with UXO or better access to </w:t>
      </w:r>
      <w:r w:rsidR="006E4D1D" w:rsidRPr="00DC183C">
        <w:t xml:space="preserve">health clinics or trauma care. </w:t>
      </w:r>
      <w:r w:rsidR="00462007" w:rsidRPr="00DC183C">
        <w:t>Survivors often, but not always</w:t>
      </w:r>
      <w:r w:rsidR="0097499D">
        <w:t>,</w:t>
      </w:r>
      <w:r w:rsidR="00462007" w:rsidRPr="00DC183C">
        <w:t xml:space="preserve"> continue to live with functional impairments and disability. </w:t>
      </w:r>
    </w:p>
    <w:p w:rsidR="00F37646" w:rsidRDefault="00A450D8" w:rsidP="00F37646">
      <w:pPr>
        <w:pStyle w:val="Heading2"/>
        <w:numPr>
          <w:ilvl w:val="1"/>
          <w:numId w:val="26"/>
        </w:numPr>
      </w:pPr>
      <w:r>
        <w:t xml:space="preserve"> </w:t>
      </w:r>
      <w:bookmarkStart w:id="23" w:name="_Toc441609327"/>
      <w:r w:rsidR="00F37646" w:rsidRPr="00F37646">
        <w:t>Issues to be addressed at beginning of project (2012)</w:t>
      </w:r>
      <w:bookmarkEnd w:id="23"/>
    </w:p>
    <w:p w:rsidR="00BE36A2" w:rsidRPr="00DC183C" w:rsidRDefault="00BE36A2" w:rsidP="00BE36A2">
      <w:r w:rsidRPr="00DC183C">
        <w:t xml:space="preserve">Prior to developing </w:t>
      </w:r>
      <w:r w:rsidR="002410F7">
        <w:t>the present programme (2013-2016</w:t>
      </w:r>
      <w:r w:rsidRPr="00DC183C">
        <w:t xml:space="preserve">), a review was undertaken in 2012 to inform </w:t>
      </w:r>
      <w:r w:rsidR="0058090E">
        <w:t xml:space="preserve">the </w:t>
      </w:r>
      <w:r w:rsidRPr="00DC183C">
        <w:t xml:space="preserve">UNDP’s approach for the </w:t>
      </w:r>
      <w:r w:rsidR="002410F7">
        <w:t>2013-2016</w:t>
      </w:r>
      <w:r w:rsidRPr="00DC183C">
        <w:t xml:space="preserve"> programme</w:t>
      </w:r>
      <w:r w:rsidR="00CC17B1">
        <w:rPr>
          <w:rStyle w:val="FootnoteReference"/>
        </w:rPr>
        <w:footnoteReference w:id="19"/>
      </w:r>
      <w:r w:rsidR="0058090E">
        <w:t>.  The review was also done</w:t>
      </w:r>
      <w:r w:rsidRPr="00DC183C">
        <w:t xml:space="preserve"> to support both </w:t>
      </w:r>
      <w:r w:rsidR="0058090E">
        <w:t xml:space="preserve">the </w:t>
      </w:r>
      <w:r w:rsidRPr="00DC183C">
        <w:t>UXO Lao and the NRA</w:t>
      </w:r>
      <w:r w:rsidR="0058090E">
        <w:t xml:space="preserve"> to </w:t>
      </w:r>
      <w:r w:rsidRPr="00DC183C">
        <w:t>ensure accountability for the expenditure and the delivery of outputs contributing to clearly formulated outcomes. This evaluation noted that tasks for UXO clearance were planned and prioriti</w:t>
      </w:r>
      <w:r w:rsidR="0058090E">
        <w:t>s</w:t>
      </w:r>
      <w:r w:rsidRPr="00DC183C">
        <w:t>ed somewhat ad hoc</w:t>
      </w:r>
      <w:r w:rsidR="0058090E">
        <w:t>,</w:t>
      </w:r>
      <w:r w:rsidRPr="00DC183C">
        <w:t xml:space="preserve"> with requests for clearance gathered at </w:t>
      </w:r>
      <w:r w:rsidR="0058090E">
        <w:t xml:space="preserve">the </w:t>
      </w:r>
      <w:r w:rsidRPr="00DC183C">
        <w:t>local level</w:t>
      </w:r>
      <w:r w:rsidR="0058090E">
        <w:t xml:space="preserve">. </w:t>
      </w:r>
      <w:r w:rsidRPr="00DC183C">
        <w:t xml:space="preserve"> </w:t>
      </w:r>
      <w:r w:rsidR="0058090E">
        <w:t>I</w:t>
      </w:r>
      <w:r w:rsidRPr="00DC183C">
        <w:t xml:space="preserve">n the case of UXO Lao, </w:t>
      </w:r>
      <w:r w:rsidR="0058090E">
        <w:t>tasks were</w:t>
      </w:r>
      <w:r w:rsidR="0058090E" w:rsidRPr="00DC183C">
        <w:t xml:space="preserve"> </w:t>
      </w:r>
      <w:r w:rsidRPr="00DC183C">
        <w:t>compiled up through various administrative levels</w:t>
      </w:r>
      <w:r w:rsidR="0058090E">
        <w:t>,</w:t>
      </w:r>
      <w:r w:rsidRPr="00DC183C">
        <w:t xml:space="preserve"> from village to district</w:t>
      </w:r>
      <w:r w:rsidR="0058090E">
        <w:t>,</w:t>
      </w:r>
      <w:r w:rsidRPr="00DC183C">
        <w:t xml:space="preserve"> and further to provincial and national levels</w:t>
      </w:r>
      <w:r w:rsidR="0058090E">
        <w:t>, whereby they were</w:t>
      </w:r>
      <w:r w:rsidRPr="00DC183C">
        <w:t xml:space="preserve"> integrated into provincial and national level workplans. The way in which this approach has developed may be partly due to the fact that people use contaminated land</w:t>
      </w:r>
      <w:r w:rsidR="00DB2486">
        <w:t>.</w:t>
      </w:r>
      <w:r w:rsidRPr="00DC183C">
        <w:t xml:space="preserve"> </w:t>
      </w:r>
      <w:r w:rsidR="00DB2486">
        <w:t>T</w:t>
      </w:r>
      <w:r w:rsidRPr="00DC183C">
        <w:t>hus</w:t>
      </w:r>
      <w:r w:rsidR="00C34E17">
        <w:t>,</w:t>
      </w:r>
      <w:r w:rsidRPr="00DC183C">
        <w:t xml:space="preserve"> at certain times of the year, farmers, especially subsistence or semi-subsistence</w:t>
      </w:r>
      <w:r w:rsidR="00C34E17">
        <w:t>,</w:t>
      </w:r>
      <w:r w:rsidRPr="00DC183C">
        <w:t xml:space="preserve"> do not want UXO clearance</w:t>
      </w:r>
      <w:r w:rsidR="00C34E17">
        <w:t>,</w:t>
      </w:r>
      <w:r w:rsidRPr="00DC183C">
        <w:t xml:space="preserve"> as they would lose their crop which would have catastrophic effects on their livelihoods. In addition, until relatively recently</w:t>
      </w:r>
      <w:r w:rsidR="00DB2486">
        <w:t>,</w:t>
      </w:r>
      <w:r w:rsidRPr="00DC183C">
        <w:t xml:space="preserve"> the road and communication infrastructure has been very weak</w:t>
      </w:r>
      <w:r w:rsidR="00C96299">
        <w:t>,</w:t>
      </w:r>
      <w:r w:rsidRPr="00DC183C">
        <w:t xml:space="preserve"> with UXO clearance in many districts</w:t>
      </w:r>
      <w:r w:rsidR="00DB2486">
        <w:t xml:space="preserve"> </w:t>
      </w:r>
      <w:r w:rsidRPr="00DC183C">
        <w:t xml:space="preserve">restricted to areas with all-weather access in the rainy season. Another issue is that there has been no national level technical survey that has identified the extent of the UXO contamination or confirmed hazardous areas. As not all service providers undertake a technical survey when they receive requests for UXO clearance, and because of this, some areas have been decontaminated </w:t>
      </w:r>
      <w:r w:rsidR="00DB78AD">
        <w:t xml:space="preserve">despite not being </w:t>
      </w:r>
      <w:r w:rsidRPr="00DC183C">
        <w:t xml:space="preserve">contaminated. This has been partly, but not limited to, areas where clearance was requested for specific infrastructure investment. These investments have typically been </w:t>
      </w:r>
      <w:r w:rsidR="00962E04">
        <w:t>World Food Programme (WFP)</w:t>
      </w:r>
      <w:r w:rsidR="00962E04" w:rsidRPr="00DC183C">
        <w:t xml:space="preserve"> </w:t>
      </w:r>
      <w:r w:rsidRPr="00DC183C">
        <w:t>projects, I</w:t>
      </w:r>
      <w:r w:rsidR="00962E04">
        <w:t>nternational Fund for Agricultural Development (</w:t>
      </w:r>
      <w:r w:rsidR="00E70963">
        <w:t>I</w:t>
      </w:r>
      <w:r w:rsidRPr="00DC183C">
        <w:t>FAD</w:t>
      </w:r>
      <w:r w:rsidR="00962E04">
        <w:t>)</w:t>
      </w:r>
      <w:r w:rsidRPr="00DC183C">
        <w:t xml:space="preserve"> projects</w:t>
      </w:r>
      <w:r w:rsidR="00962E04">
        <w:t>,</w:t>
      </w:r>
      <w:r w:rsidRPr="00DC183C">
        <w:t xml:space="preserve"> or NGO projects</w:t>
      </w:r>
      <w:r w:rsidR="00962E04">
        <w:t xml:space="preserve">. These projects </w:t>
      </w:r>
      <w:r w:rsidRPr="00DC183C">
        <w:t xml:space="preserve">have included </w:t>
      </w:r>
      <w:r w:rsidR="00962E04">
        <w:t xml:space="preserve">clearance </w:t>
      </w:r>
      <w:r w:rsidRPr="00DC183C">
        <w:t xml:space="preserve">requests </w:t>
      </w:r>
      <w:r w:rsidR="00962E04">
        <w:t>to</w:t>
      </w:r>
      <w:r w:rsidRPr="00DC183C">
        <w:t xml:space="preserve"> access roads or relatively small area</w:t>
      </w:r>
      <w:r w:rsidR="00962E04">
        <w:t>s, as well as to</w:t>
      </w:r>
      <w:r w:rsidRPr="00DC183C">
        <w:t xml:space="preserve"> spot tasks for school rehabilitation, fish ponds, weirs, irrigation canals, community water systems</w:t>
      </w:r>
      <w:r w:rsidR="00962E04">
        <w:t>,</w:t>
      </w:r>
      <w:r w:rsidRPr="00DC183C">
        <w:t xml:space="preserve"> and small plots of land for agriculture. These task</w:t>
      </w:r>
      <w:r w:rsidR="007957FA">
        <w:t>s</w:t>
      </w:r>
      <w:r w:rsidRPr="00DC183C">
        <w:t xml:space="preserve"> have typically been undertaken in areas where there is known </w:t>
      </w:r>
      <w:r w:rsidR="007957FA">
        <w:t xml:space="preserve">local </w:t>
      </w:r>
      <w:r w:rsidRPr="00DC183C">
        <w:t>UXO contamination, for example</w:t>
      </w:r>
      <w:r w:rsidR="007957FA">
        <w:t>,</w:t>
      </w:r>
      <w:r w:rsidRPr="00DC183C">
        <w:t xml:space="preserve"> in highly impacted districts</w:t>
      </w:r>
      <w:r w:rsidR="007957FA">
        <w:t>,</w:t>
      </w:r>
      <w:r w:rsidRPr="00DC183C">
        <w:t xml:space="preserve"> such as Boulapha</w:t>
      </w:r>
      <w:r w:rsidR="007957FA">
        <w:t>. The tasks</w:t>
      </w:r>
      <w:r w:rsidRPr="00DC183C">
        <w:t xml:space="preserve"> have been driven</w:t>
      </w:r>
      <w:r w:rsidR="007957FA">
        <w:t>,</w:t>
      </w:r>
      <w:r w:rsidRPr="00DC183C">
        <w:t xml:space="preserve"> in part</w:t>
      </w:r>
      <w:r w:rsidR="007957FA">
        <w:t>,</w:t>
      </w:r>
      <w:r w:rsidRPr="00DC183C">
        <w:t xml:space="preserve"> by international organisational risk management strategies (i.e. not wanting to put local people at risk by working in suspected contaminated areas) and also the drive to link mine/UXO action with ‘development’. In the latter, checking areas where known development inputs were available has often been seen </w:t>
      </w:r>
      <w:r w:rsidR="00137297">
        <w:t xml:space="preserve">as </w:t>
      </w:r>
      <w:r w:rsidRPr="00DC183C">
        <w:t>attractive in reporting terms</w:t>
      </w:r>
      <w:r w:rsidR="00137297">
        <w:t>. This is</w:t>
      </w:r>
      <w:r w:rsidRPr="00DC183C">
        <w:t xml:space="preserve"> because of the ability to link clearance with a new livelihood asset</w:t>
      </w:r>
      <w:r w:rsidR="00137297">
        <w:t xml:space="preserve">, for example, </w:t>
      </w:r>
      <w:r w:rsidRPr="00DC183C">
        <w:t>an access road</w:t>
      </w:r>
      <w:r w:rsidR="00137297">
        <w:t xml:space="preserve"> or </w:t>
      </w:r>
      <w:r w:rsidRPr="00DC183C">
        <w:t>a weir</w:t>
      </w:r>
      <w:r w:rsidR="00137297">
        <w:t xml:space="preserve">. Furthermore, it helps to </w:t>
      </w:r>
      <w:r w:rsidRPr="00DC183C">
        <w:t>demonstrate livelihood impact than the much slower return</w:t>
      </w:r>
      <w:r w:rsidR="0011200B">
        <w:t>,</w:t>
      </w:r>
      <w:r w:rsidRPr="00DC183C">
        <w:t xml:space="preserve"> in terms of ‘development impact’</w:t>
      </w:r>
      <w:r w:rsidR="00C96299">
        <w:t>,</w:t>
      </w:r>
      <w:r w:rsidRPr="00DC183C">
        <w:t xml:space="preserve"> on clearing agricultural land for subsistence farmers. </w:t>
      </w:r>
    </w:p>
    <w:p w:rsidR="00A44BDD" w:rsidRPr="00DC183C" w:rsidRDefault="00BE36A2" w:rsidP="00A44BDD">
      <w:r w:rsidRPr="00DC183C">
        <w:t xml:space="preserve">The </w:t>
      </w:r>
      <w:r w:rsidR="009974FE" w:rsidRPr="00DC183C">
        <w:t>2012</w:t>
      </w:r>
      <w:r w:rsidR="001112C1">
        <w:t>,</w:t>
      </w:r>
      <w:r w:rsidR="009974FE" w:rsidRPr="00DC183C">
        <w:t xml:space="preserve"> evaluation commended the NRA on </w:t>
      </w:r>
      <w:r w:rsidR="001F02E3" w:rsidRPr="00DC183C">
        <w:t>endeavouring</w:t>
      </w:r>
      <w:r w:rsidR="009974FE" w:rsidRPr="00DC183C">
        <w:t xml:space="preserve"> to </w:t>
      </w:r>
      <w:r w:rsidR="001F02E3" w:rsidRPr="00DC183C">
        <w:t>fulfil</w:t>
      </w:r>
      <w:r w:rsidR="009974FE" w:rsidRPr="00DC183C">
        <w:t xml:space="preserve"> </w:t>
      </w:r>
      <w:r w:rsidR="003D68CB">
        <w:t xml:space="preserve">each of </w:t>
      </w:r>
      <w:r w:rsidR="009974FE" w:rsidRPr="00DC183C">
        <w:t xml:space="preserve">its responsibilities and the progress it had made since its inception (for a full discussion refer to Sekkenes and Palmer, 2012). The report also noted that </w:t>
      </w:r>
      <w:r w:rsidR="002258CF">
        <w:t xml:space="preserve">the </w:t>
      </w:r>
      <w:r w:rsidR="009974FE" w:rsidRPr="00DC183C">
        <w:t>UXO Lao was generally regarded as competent</w:t>
      </w:r>
      <w:r w:rsidR="004301EB" w:rsidRPr="00DC183C">
        <w:t>, with a</w:t>
      </w:r>
      <w:r w:rsidR="009974FE" w:rsidRPr="00DC183C">
        <w:t xml:space="preserve"> </w:t>
      </w:r>
      <w:r w:rsidR="004301EB" w:rsidRPr="00DC183C">
        <w:t>positive work ethic, and a high level of understanding of how the different functions and work areas fit together</w:t>
      </w:r>
      <w:r w:rsidR="002258CF">
        <w:t>. It was also noted that the UXO Lao had</w:t>
      </w:r>
      <w:r w:rsidR="004301EB" w:rsidRPr="00DC183C">
        <w:t xml:space="preserve"> well-established standard operating and administrative procedures and a commitment to achieving annual targets and goals. </w:t>
      </w:r>
      <w:r w:rsidRPr="00DC183C">
        <w:t xml:space="preserve">The 2012 report provided a large number of recommendations for </w:t>
      </w:r>
      <w:r w:rsidR="002258CF">
        <w:t xml:space="preserve">the </w:t>
      </w:r>
      <w:r w:rsidRPr="00DC183C">
        <w:t xml:space="preserve">UNDP, the NRA and </w:t>
      </w:r>
      <w:r w:rsidR="002258CF">
        <w:t xml:space="preserve">the </w:t>
      </w:r>
      <w:r w:rsidRPr="00DC183C">
        <w:t>UXO Lao</w:t>
      </w:r>
      <w:r w:rsidR="00E70963">
        <w:t xml:space="preserve">, that </w:t>
      </w:r>
      <w:r w:rsidRPr="00DC183C">
        <w:t>are summarised</w:t>
      </w:r>
      <w:r w:rsidR="00E70963">
        <w:t xml:space="preserve"> here</w:t>
      </w:r>
      <w:r w:rsidRPr="00DC183C">
        <w:t xml:space="preserve">. The report highlighted that while the programme </w:t>
      </w:r>
      <w:r w:rsidR="00E70963">
        <w:t>was relatively</w:t>
      </w:r>
      <w:r w:rsidRPr="00DC183C">
        <w:t xml:space="preserve"> competent and efficient in relation to UXO </w:t>
      </w:r>
      <w:r w:rsidR="001112C1">
        <w:t xml:space="preserve">clearance, </w:t>
      </w:r>
      <w:r w:rsidRPr="00DC183C">
        <w:t>a more strategic, proactive, coordinated</w:t>
      </w:r>
      <w:r w:rsidR="002258CF">
        <w:t>,</w:t>
      </w:r>
      <w:r w:rsidRPr="00DC183C">
        <w:t xml:space="preserve"> and systematic approach for priority setting</w:t>
      </w:r>
      <w:r w:rsidR="002258CF">
        <w:t>,</w:t>
      </w:r>
      <w:r w:rsidRPr="00DC183C">
        <w:t xml:space="preserve"> with agreed</w:t>
      </w:r>
      <w:r w:rsidR="00D56E7E">
        <w:t xml:space="preserve"> upon</w:t>
      </w:r>
      <w:r w:rsidRPr="00DC183C">
        <w:t xml:space="preserve"> criteria</w:t>
      </w:r>
      <w:r w:rsidR="002258CF">
        <w:t>,</w:t>
      </w:r>
      <w:r w:rsidRPr="00DC183C">
        <w:t xml:space="preserve"> would improve cost-efficiency and cost effectiveness. Other </w:t>
      </w:r>
      <w:r w:rsidR="00D56E7E">
        <w:t>recommendations</w:t>
      </w:r>
      <w:r w:rsidR="00D56E7E" w:rsidRPr="00DC183C">
        <w:t xml:space="preserve"> </w:t>
      </w:r>
      <w:r w:rsidRPr="00DC183C">
        <w:t xml:space="preserve">included establishing the extent of UXO contamination (also consistent with the CCM); enhancing the capacity of the NRA to fully undertake its accreditation; </w:t>
      </w:r>
      <w:r w:rsidR="00D56E7E">
        <w:t>ensuring quality assurance (QA)</w:t>
      </w:r>
      <w:r w:rsidR="00D56E7E" w:rsidRPr="00DC183C">
        <w:t xml:space="preserve"> </w:t>
      </w:r>
      <w:r w:rsidRPr="00DC183C">
        <w:t xml:space="preserve">and </w:t>
      </w:r>
      <w:r w:rsidR="00D56E7E">
        <w:t>quality control (</w:t>
      </w:r>
      <w:r w:rsidRPr="00DC183C">
        <w:t>QC</w:t>
      </w:r>
      <w:r w:rsidR="00D56E7E">
        <w:t>)</w:t>
      </w:r>
      <w:r w:rsidRPr="00DC183C">
        <w:t xml:space="preserve"> responsibilities and compliance with </w:t>
      </w:r>
      <w:r w:rsidR="00D56E7E">
        <w:t xml:space="preserve">the </w:t>
      </w:r>
      <w:r w:rsidRPr="00DC183C">
        <w:t>National Standards; shifting from an approach where</w:t>
      </w:r>
      <w:r w:rsidR="00D56E7E">
        <w:t>by</w:t>
      </w:r>
      <w:r w:rsidRPr="00DC183C">
        <w:t xml:space="preserve"> only areas requested are cleared to also clearing adjacent land that is part of the ‘footprint’; continu</w:t>
      </w:r>
      <w:r w:rsidR="00D56E7E">
        <w:t>ing</w:t>
      </w:r>
      <w:r w:rsidRPr="00DC183C">
        <w:t xml:space="preserve"> to ensure targeted </w:t>
      </w:r>
      <w:r w:rsidR="008F299C">
        <w:t>Mine Risk Education (</w:t>
      </w:r>
      <w:r w:rsidRPr="00DC183C">
        <w:t>MRE</w:t>
      </w:r>
      <w:r w:rsidR="008F299C">
        <w:t>)</w:t>
      </w:r>
      <w:r w:rsidRPr="00DC183C">
        <w:t>; and integrat</w:t>
      </w:r>
      <w:r w:rsidR="00D56E7E">
        <w:t>ing</w:t>
      </w:r>
      <w:r w:rsidRPr="00DC183C">
        <w:t xml:space="preserve"> the </w:t>
      </w:r>
      <w:r w:rsidR="008F299C">
        <w:t>Victim Assistance (</w:t>
      </w:r>
      <w:r w:rsidRPr="00DC183C">
        <w:t>VA</w:t>
      </w:r>
      <w:r w:rsidR="008F299C">
        <w:t>)</w:t>
      </w:r>
      <w:r w:rsidRPr="00DC183C">
        <w:t xml:space="preserve"> activities of </w:t>
      </w:r>
      <w:r w:rsidR="00D56E7E">
        <w:t xml:space="preserve">the </w:t>
      </w:r>
      <w:r w:rsidRPr="00DC183C">
        <w:t xml:space="preserve">NRA and the newly established multi-stakeholder coordination body, led by </w:t>
      </w:r>
      <w:r w:rsidR="001112C1">
        <w:t xml:space="preserve">the </w:t>
      </w:r>
      <w:r w:rsidR="00D56E7E">
        <w:t>Ministry of Labour and Social Welfare (MLSW)</w:t>
      </w:r>
      <w:r w:rsidRPr="00DC183C">
        <w:t xml:space="preserve">, focusing on people with disabilities. </w:t>
      </w:r>
      <w:r w:rsidR="00D3764F" w:rsidRPr="00DC183C">
        <w:t xml:space="preserve">With regards to </w:t>
      </w:r>
      <w:r w:rsidR="007075C7">
        <w:t xml:space="preserve">the </w:t>
      </w:r>
      <w:r w:rsidR="00D3764F" w:rsidRPr="00DC183C">
        <w:t>UXO Lao</w:t>
      </w:r>
      <w:r w:rsidR="007075C7">
        <w:t>,</w:t>
      </w:r>
      <w:r w:rsidR="00D3764F" w:rsidRPr="00DC183C">
        <w:t xml:space="preserve"> the 2012 evaluation recommended promoting better use of data and application of lessons learned, continuing to improve efficacy and effectiveness, developing monitoring and evaluation procedures, </w:t>
      </w:r>
      <w:r w:rsidR="00A44BDD" w:rsidRPr="00DC183C">
        <w:t xml:space="preserve">providing </w:t>
      </w:r>
      <w:r w:rsidR="00D3764F" w:rsidRPr="00DC183C">
        <w:t>train</w:t>
      </w:r>
      <w:r w:rsidR="00A44BDD" w:rsidRPr="00DC183C">
        <w:t xml:space="preserve">ing </w:t>
      </w:r>
      <w:r w:rsidR="007075C7">
        <w:t xml:space="preserve">of </w:t>
      </w:r>
      <w:r w:rsidR="00A44BDD" w:rsidRPr="00DC183C">
        <w:t xml:space="preserve">basic financial management and </w:t>
      </w:r>
      <w:r w:rsidR="00D3764F" w:rsidRPr="00DC183C">
        <w:t xml:space="preserve">budget drafting </w:t>
      </w:r>
      <w:r w:rsidR="00A44BDD" w:rsidRPr="00DC183C">
        <w:t>to relevant staff</w:t>
      </w:r>
      <w:r w:rsidR="007075C7">
        <w:t>,</w:t>
      </w:r>
      <w:r w:rsidR="00A44BDD" w:rsidRPr="00DC183C">
        <w:t xml:space="preserve"> and integrating lessons learned to new budgets.  </w:t>
      </w:r>
      <w:r w:rsidR="00227DCF">
        <w:t>The r</w:t>
      </w:r>
      <w:r w:rsidR="00A44BDD" w:rsidRPr="00DC183C">
        <w:t>ecommendation</w:t>
      </w:r>
      <w:r w:rsidR="00227DCF">
        <w:t>s</w:t>
      </w:r>
      <w:r w:rsidR="00A44BDD" w:rsidRPr="00DC183C">
        <w:t xml:space="preserve"> for </w:t>
      </w:r>
      <w:r w:rsidR="00227DCF">
        <w:t xml:space="preserve">the </w:t>
      </w:r>
      <w:r w:rsidR="00A44BDD" w:rsidRPr="00DC183C">
        <w:t xml:space="preserve">UNDP </w:t>
      </w:r>
      <w:r w:rsidR="00E70963">
        <w:t>included</w:t>
      </w:r>
      <w:r w:rsidR="00A44BDD" w:rsidRPr="00DC183C">
        <w:t xml:space="preserve"> promoting results-oriented, outcome reporting</w:t>
      </w:r>
      <w:r w:rsidR="001112C1">
        <w:t>,</w:t>
      </w:r>
      <w:r w:rsidR="00A44BDD" w:rsidRPr="00DC183C">
        <w:t xml:space="preserve"> based on the output achieved, pro</w:t>
      </w:r>
      <w:r w:rsidR="001112C1">
        <w:t>viding training on new concepts and</w:t>
      </w:r>
      <w:r w:rsidR="00A44BDD" w:rsidRPr="00DC183C">
        <w:t xml:space="preserve"> methodologies</w:t>
      </w:r>
      <w:r w:rsidR="00227DCF">
        <w:t>,</w:t>
      </w:r>
      <w:r w:rsidR="00A44BDD" w:rsidRPr="00DC183C">
        <w:t xml:space="preserve"> strengthen</w:t>
      </w:r>
      <w:r w:rsidR="00E70963">
        <w:t>ing</w:t>
      </w:r>
      <w:r w:rsidR="00A44BDD" w:rsidRPr="00DC183C">
        <w:t xml:space="preserve"> critical thinking, support</w:t>
      </w:r>
      <w:r w:rsidR="00227DCF">
        <w:t>ing</w:t>
      </w:r>
      <w:r w:rsidR="00A44BDD" w:rsidRPr="00DC183C">
        <w:t xml:space="preserve"> the recapturing of perimeters of clearance done in the past to contribute to a more coherent baseline</w:t>
      </w:r>
      <w:r w:rsidR="00227DCF">
        <w:t>,</w:t>
      </w:r>
      <w:r w:rsidR="00A44BDD" w:rsidRPr="00DC183C">
        <w:t xml:space="preserve"> and reviewing salaries against labour market expectations. </w:t>
      </w:r>
    </w:p>
    <w:p w:rsidR="00E70963" w:rsidRDefault="00EF76BC" w:rsidP="00251DED">
      <w:r>
        <w:t xml:space="preserve">The </w:t>
      </w:r>
      <w:r w:rsidR="00A44BDD" w:rsidRPr="00DC183C">
        <w:t xml:space="preserve">UNDP also provides a Technical Advisor </w:t>
      </w:r>
      <w:r w:rsidR="001503B9" w:rsidRPr="00DC183C">
        <w:t xml:space="preserve">(TAs) </w:t>
      </w:r>
      <w:r w:rsidR="00A44BDD" w:rsidRPr="00DC183C">
        <w:t xml:space="preserve">to both the NRA and </w:t>
      </w:r>
      <w:r>
        <w:t xml:space="preserve">the </w:t>
      </w:r>
      <w:r w:rsidR="00A44BDD" w:rsidRPr="00DC183C">
        <w:t>UXO Lao. The 2012 evaluation recommended that</w:t>
      </w:r>
      <w:r>
        <w:t xml:space="preserve"> the</w:t>
      </w:r>
      <w:r w:rsidR="00A44BDD" w:rsidRPr="00DC183C">
        <w:t xml:space="preserve"> TA</w:t>
      </w:r>
      <w:r w:rsidR="001503B9" w:rsidRPr="00DC183C">
        <w:t xml:space="preserve">s </w:t>
      </w:r>
      <w:r w:rsidR="00A44BDD" w:rsidRPr="001F02E3">
        <w:t xml:space="preserve">provide </w:t>
      </w:r>
      <w:r w:rsidR="001503B9" w:rsidRPr="001F02E3">
        <w:t xml:space="preserve">more </w:t>
      </w:r>
      <w:r w:rsidR="00E70963" w:rsidRPr="001F02E3">
        <w:t>advice</w:t>
      </w:r>
      <w:r w:rsidR="00A44BDD" w:rsidRPr="001F02E3">
        <w:t xml:space="preserve"> </w:t>
      </w:r>
      <w:r w:rsidR="001503B9" w:rsidRPr="001F02E3">
        <w:t xml:space="preserve">on </w:t>
      </w:r>
      <w:r w:rsidR="00A44BDD" w:rsidRPr="001F02E3">
        <w:t>the stra</w:t>
      </w:r>
      <w:r w:rsidR="001503B9" w:rsidRPr="001F02E3">
        <w:t xml:space="preserve">tegic and integrated aspects of </w:t>
      </w:r>
      <w:r w:rsidR="00A44BDD" w:rsidRPr="001F02E3">
        <w:t>their work</w:t>
      </w:r>
      <w:r w:rsidR="001503B9" w:rsidRPr="001F02E3">
        <w:t>, rather than simply on the technical aspects. The report</w:t>
      </w:r>
      <w:r w:rsidR="001503B9" w:rsidRPr="00DC183C">
        <w:t xml:space="preserve"> also noted that as </w:t>
      </w:r>
      <w:r>
        <w:t xml:space="preserve">the </w:t>
      </w:r>
      <w:r w:rsidR="001503B9" w:rsidRPr="00DC183C">
        <w:t>UNDP is not the only organisation providing TA support to the NRA and UXO Lao</w:t>
      </w:r>
      <w:r>
        <w:t>,</w:t>
      </w:r>
      <w:r w:rsidR="001503B9" w:rsidRPr="00DC183C">
        <w:t xml:space="preserve"> there is a </w:t>
      </w:r>
      <w:r w:rsidR="00A44BDD" w:rsidRPr="00DC183C">
        <w:t>huge scope for fragmentation of TA support</w:t>
      </w:r>
      <w:r w:rsidR="00C80C8F">
        <w:t>. The report</w:t>
      </w:r>
      <w:r w:rsidR="00E70963">
        <w:t xml:space="preserve"> recommended </w:t>
      </w:r>
      <w:r w:rsidR="001503B9" w:rsidRPr="00DC183C">
        <w:rPr>
          <w:iCs/>
        </w:rPr>
        <w:t xml:space="preserve">a </w:t>
      </w:r>
      <w:r w:rsidR="001503B9" w:rsidRPr="00DC183C">
        <w:t xml:space="preserve">more coherent </w:t>
      </w:r>
      <w:r w:rsidR="00A44BDD" w:rsidRPr="00DC183C">
        <w:t xml:space="preserve">reporting and accountability structure </w:t>
      </w:r>
      <w:r w:rsidR="001503B9" w:rsidRPr="00DC183C">
        <w:t xml:space="preserve">that applied to </w:t>
      </w:r>
      <w:r w:rsidR="00A44BDD" w:rsidRPr="00DC183C">
        <w:rPr>
          <w:iCs/>
        </w:rPr>
        <w:t>all</w:t>
      </w:r>
      <w:r w:rsidR="00A44BDD" w:rsidRPr="00DC183C">
        <w:rPr>
          <w:i/>
          <w:iCs/>
        </w:rPr>
        <w:t xml:space="preserve"> </w:t>
      </w:r>
      <w:r w:rsidR="00A44BDD" w:rsidRPr="00DC183C">
        <w:t>TA</w:t>
      </w:r>
      <w:r w:rsidR="001503B9" w:rsidRPr="00DC183C">
        <w:t xml:space="preserve">s, regardless of </w:t>
      </w:r>
      <w:r w:rsidR="00A44BDD" w:rsidRPr="00DC183C">
        <w:t>which organi</w:t>
      </w:r>
      <w:r w:rsidR="005E1826">
        <w:t>s</w:t>
      </w:r>
      <w:r w:rsidR="00A44BDD" w:rsidRPr="00DC183C">
        <w:t>ation/donor pa</w:t>
      </w:r>
      <w:r w:rsidR="001503B9" w:rsidRPr="00DC183C">
        <w:t xml:space="preserve">id their </w:t>
      </w:r>
      <w:r w:rsidR="00A44BDD" w:rsidRPr="00DC183C">
        <w:t>salar</w:t>
      </w:r>
      <w:r w:rsidR="001503B9" w:rsidRPr="00DC183C">
        <w:t>ies</w:t>
      </w:r>
      <w:r w:rsidR="00A44BDD" w:rsidRPr="00DC183C">
        <w:t xml:space="preserve">. </w:t>
      </w:r>
      <w:r w:rsidR="00F9048E" w:rsidRPr="00DC183C">
        <w:t xml:space="preserve">Other recommendations for </w:t>
      </w:r>
      <w:r>
        <w:t xml:space="preserve">the </w:t>
      </w:r>
      <w:r w:rsidR="00F9048E" w:rsidRPr="00DC183C">
        <w:t xml:space="preserve">UNDP were to leverage </w:t>
      </w:r>
      <w:r>
        <w:t xml:space="preserve">the </w:t>
      </w:r>
      <w:r w:rsidR="00F9048E" w:rsidRPr="00DC183C">
        <w:t>UNDP’s other work</w:t>
      </w:r>
      <w:r>
        <w:t xml:space="preserve"> </w:t>
      </w:r>
      <w:r w:rsidR="00F9048E" w:rsidRPr="00DC183C">
        <w:t>in</w:t>
      </w:r>
      <w:r>
        <w:t>,</w:t>
      </w:r>
      <w:r w:rsidR="00F9048E" w:rsidRPr="00DC183C">
        <w:t xml:space="preserve"> for example</w:t>
      </w:r>
      <w:r>
        <w:t>,</w:t>
      </w:r>
      <w:r w:rsidR="00F9048E" w:rsidRPr="00DC183C">
        <w:t xml:space="preserve"> MDG locali</w:t>
      </w:r>
      <w:r>
        <w:t>s</w:t>
      </w:r>
      <w:r w:rsidR="00F9048E" w:rsidRPr="00DC183C">
        <w:t xml:space="preserve">ation, to support capacity development in the NRA and </w:t>
      </w:r>
      <w:r>
        <w:t xml:space="preserve">the </w:t>
      </w:r>
      <w:r w:rsidR="00F9048E" w:rsidRPr="00DC183C">
        <w:t>UXO Lao</w:t>
      </w:r>
      <w:r>
        <w:t>,</w:t>
      </w:r>
      <w:r w:rsidR="00F9048E" w:rsidRPr="00DC183C">
        <w:t xml:space="preserve"> and </w:t>
      </w:r>
      <w:r>
        <w:t xml:space="preserve">to </w:t>
      </w:r>
      <w:r w:rsidR="00F9048E" w:rsidRPr="00DC183C">
        <w:t>use NIM procedures as an opportunity for capacity development</w:t>
      </w:r>
      <w:r w:rsidR="00C80C8F">
        <w:t>,</w:t>
      </w:r>
      <w:r w:rsidR="00F9048E" w:rsidRPr="00DC183C">
        <w:t xml:space="preserve"> </w:t>
      </w:r>
      <w:r>
        <w:t>especially</w:t>
      </w:r>
      <w:r w:rsidR="00F9048E" w:rsidRPr="00DC183C">
        <w:t xml:space="preserve"> in areas such as programming, budgeti</w:t>
      </w:r>
      <w:r w:rsidR="00E70963">
        <w:t xml:space="preserve">ng, reporting, procurement, </w:t>
      </w:r>
      <w:r w:rsidR="00F9048E" w:rsidRPr="00DC183C">
        <w:t>monitoring</w:t>
      </w:r>
      <w:r w:rsidR="00E70963">
        <w:t xml:space="preserve"> and</w:t>
      </w:r>
      <w:r w:rsidR="00F9048E" w:rsidRPr="00DC183C">
        <w:t xml:space="preserve"> to improve communication</w:t>
      </w:r>
      <w:r w:rsidR="00A3244D" w:rsidRPr="00DC183C">
        <w:t>.</w:t>
      </w:r>
      <w:r w:rsidR="00F9048E" w:rsidRPr="00DC183C">
        <w:t xml:space="preserve"> </w:t>
      </w:r>
      <w:r w:rsidR="00D900C9" w:rsidRPr="00DC183C">
        <w:t>The report also noted that the government</w:t>
      </w:r>
      <w:r w:rsidR="004004CE">
        <w:t>’s</w:t>
      </w:r>
      <w:r w:rsidR="00D900C9" w:rsidRPr="00DC183C">
        <w:t xml:space="preserve"> financial contribution to the programme needed to be increased</w:t>
      </w:r>
      <w:r w:rsidR="00F37646">
        <w:t xml:space="preserve"> and properly reported</w:t>
      </w:r>
      <w:r w:rsidR="00D900C9" w:rsidRPr="00DC183C">
        <w:t>.</w:t>
      </w:r>
      <w:r w:rsidR="003F6DE2" w:rsidRPr="00DC183C">
        <w:t xml:space="preserve"> </w:t>
      </w:r>
    </w:p>
    <w:p w:rsidR="003119C7" w:rsidRPr="00DC183C" w:rsidRDefault="00E70963" w:rsidP="00251DED">
      <w:r>
        <w:t>The</w:t>
      </w:r>
      <w:r w:rsidR="003F6DE2" w:rsidRPr="00DC183C">
        <w:t xml:space="preserve"> </w:t>
      </w:r>
      <w:r w:rsidR="000B4616" w:rsidRPr="00DC183C">
        <w:t>evaluation</w:t>
      </w:r>
      <w:r>
        <w:t xml:space="preserve"> also</w:t>
      </w:r>
      <w:r w:rsidR="003F6DE2" w:rsidRPr="00DC183C">
        <w:t xml:space="preserve"> noted that many stakeholders were not entirely happy with the quality, timeliness</w:t>
      </w:r>
      <w:r w:rsidR="004004CE">
        <w:t>,</w:t>
      </w:r>
      <w:r w:rsidR="003F6DE2" w:rsidRPr="00DC183C">
        <w:t xml:space="preserve"> and transparency of </w:t>
      </w:r>
      <w:r w:rsidR="004004CE">
        <w:t xml:space="preserve">the </w:t>
      </w:r>
      <w:r w:rsidR="003F6DE2" w:rsidRPr="00DC183C">
        <w:t>UNDP’</w:t>
      </w:r>
      <w:r w:rsidR="000B4616" w:rsidRPr="00DC183C">
        <w:t>s communication</w:t>
      </w:r>
      <w:r>
        <w:t xml:space="preserve"> and the </w:t>
      </w:r>
      <w:r w:rsidR="000C7B75" w:rsidRPr="00DC183C">
        <w:t>lack of clarity over how tasks are prioriti</w:t>
      </w:r>
      <w:r w:rsidR="00F9077F">
        <w:t>s</w:t>
      </w:r>
      <w:r w:rsidR="000C7B75" w:rsidRPr="00DC183C">
        <w:t xml:space="preserve">ed (also mentioned in </w:t>
      </w:r>
      <w:r w:rsidR="00F9077F">
        <w:t xml:space="preserve">the </w:t>
      </w:r>
      <w:r w:rsidR="000C7B75" w:rsidRPr="00DC183C">
        <w:t>2002 and 2008 evaluations</w:t>
      </w:r>
      <w:r w:rsidR="00F9077F">
        <w:t xml:space="preserve"> and</w:t>
      </w:r>
      <w:r w:rsidR="000C7B75" w:rsidRPr="00DC183C">
        <w:t xml:space="preserve"> a 2010 impact assessment)</w:t>
      </w:r>
      <w:r w:rsidR="00F9077F">
        <w:t>. Stakeholders were also concerned about the lack of clarity regarding the</w:t>
      </w:r>
      <w:r w:rsidR="000B4616" w:rsidRPr="00DC183C">
        <w:t xml:space="preserve"> reporting of outputs (i.e. amount of land cleared, number of UXOs removed, n</w:t>
      </w:r>
      <w:r w:rsidR="00F9077F">
        <w:t>umber</w:t>
      </w:r>
      <w:r w:rsidR="000B4616" w:rsidRPr="00DC183C">
        <w:t xml:space="preserve"> of beneficiaries</w:t>
      </w:r>
      <w:r w:rsidR="00F9077F">
        <w:t>, et</w:t>
      </w:r>
      <w:r w:rsidR="0029062A">
        <w:t>c</w:t>
      </w:r>
      <w:r w:rsidR="00F9077F">
        <w:t>.</w:t>
      </w:r>
      <w:r w:rsidR="000B4616" w:rsidRPr="00DC183C">
        <w:t xml:space="preserve">) </w:t>
      </w:r>
      <w:r w:rsidR="001E65B9" w:rsidRPr="00DC183C">
        <w:t xml:space="preserve">with no monitoring of outcomes or impact. </w:t>
      </w:r>
      <w:r w:rsidR="000C7B75" w:rsidRPr="00DC183C">
        <w:t>T</w:t>
      </w:r>
      <w:r w:rsidR="00FC768F" w:rsidRPr="00DC183C">
        <w:t>he NRA</w:t>
      </w:r>
      <w:r w:rsidR="000C7B75" w:rsidRPr="00DC183C">
        <w:t xml:space="preserve"> support</w:t>
      </w:r>
      <w:r>
        <w:t>ed</w:t>
      </w:r>
      <w:r w:rsidR="000C7B75" w:rsidRPr="00DC183C">
        <w:t xml:space="preserve"> an impact evaluation in 2010</w:t>
      </w:r>
      <w:r w:rsidR="00714560">
        <w:t>,</w:t>
      </w:r>
      <w:r w:rsidR="000C7B75" w:rsidRPr="00DC183C">
        <w:t xml:space="preserve"> but </w:t>
      </w:r>
      <w:r>
        <w:t>lessons learned</w:t>
      </w:r>
      <w:r w:rsidR="00FC768F" w:rsidRPr="00DC183C">
        <w:t xml:space="preserve"> </w:t>
      </w:r>
      <w:r>
        <w:t>have not been</w:t>
      </w:r>
      <w:r w:rsidR="00FC768F" w:rsidRPr="00DC183C">
        <w:t xml:space="preserve"> </w:t>
      </w:r>
      <w:r>
        <w:t>systematically applied</w:t>
      </w:r>
      <w:r w:rsidR="00FC768F" w:rsidRPr="00DC183C">
        <w:t xml:space="preserve">. Similarly, in 2008, </w:t>
      </w:r>
      <w:r w:rsidR="00714560">
        <w:t xml:space="preserve">the </w:t>
      </w:r>
      <w:r w:rsidR="00FC768F" w:rsidRPr="00DC183C">
        <w:t>UNDP undertook a gender assessment</w:t>
      </w:r>
      <w:r w:rsidR="00714560">
        <w:t>,</w:t>
      </w:r>
      <w:r w:rsidR="00FC768F" w:rsidRPr="00DC183C">
        <w:t xml:space="preserve"> but </w:t>
      </w:r>
      <w:r>
        <w:t xml:space="preserve">efforts to implement the </w:t>
      </w:r>
      <w:r w:rsidR="00FC768F" w:rsidRPr="00DC183C">
        <w:t xml:space="preserve">recommendations </w:t>
      </w:r>
      <w:r>
        <w:t>and mainstream gender</w:t>
      </w:r>
      <w:r w:rsidR="003A7C85" w:rsidRPr="00DC183C">
        <w:t xml:space="preserve"> remained modest at best</w:t>
      </w:r>
      <w:r w:rsidR="00FC768F" w:rsidRPr="00DC183C">
        <w:t>.</w:t>
      </w:r>
    </w:p>
    <w:p w:rsidR="006565FE" w:rsidRPr="00DC183C" w:rsidRDefault="0070232B" w:rsidP="0070232B">
      <w:pPr>
        <w:pStyle w:val="Heading2"/>
        <w:numPr>
          <w:ilvl w:val="0"/>
          <w:numId w:val="0"/>
        </w:numPr>
      </w:pPr>
      <w:bookmarkStart w:id="24" w:name="_Toc441609328"/>
      <w:r>
        <w:t xml:space="preserve">3.3 </w:t>
      </w:r>
      <w:r w:rsidR="006565FE" w:rsidRPr="00DC183C">
        <w:t>Expected end-of-project situation</w:t>
      </w:r>
      <w:bookmarkEnd w:id="24"/>
    </w:p>
    <w:p w:rsidR="00354F95" w:rsidRPr="00DC183C" w:rsidRDefault="009A6ED4" w:rsidP="00354F95">
      <w:pPr>
        <w:rPr>
          <w:rFonts w:ascii="Calibri" w:hAnsi="Calibri" w:cs="Calibri"/>
        </w:rPr>
      </w:pPr>
      <w:r w:rsidRPr="00DC183C">
        <w:t xml:space="preserve">Based on the 2012 evaluation, the </w:t>
      </w:r>
      <w:r w:rsidR="008F299C">
        <w:t>Safe Path Forward II (</w:t>
      </w:r>
      <w:r w:rsidRPr="00DC183C">
        <w:t>SPII</w:t>
      </w:r>
      <w:r w:rsidR="008F299C">
        <w:t>)</w:t>
      </w:r>
      <w:r w:rsidRPr="00DC183C">
        <w:t xml:space="preserve"> and the 7</w:t>
      </w:r>
      <w:r w:rsidRPr="00DC183C">
        <w:rPr>
          <w:vertAlign w:val="superscript"/>
        </w:rPr>
        <w:t>th</w:t>
      </w:r>
      <w:r w:rsidRPr="00DC183C">
        <w:t xml:space="preserve"> </w:t>
      </w:r>
      <w:r w:rsidR="008E4D1E" w:rsidRPr="007F3C79">
        <w:rPr>
          <w:rFonts w:cs="Times New Roman"/>
        </w:rPr>
        <w:t xml:space="preserve">National Socio-Economic Development Plan </w:t>
      </w:r>
      <w:r w:rsidR="008E4D1E">
        <w:rPr>
          <w:rFonts w:cs="Times New Roman"/>
        </w:rPr>
        <w:t>(</w:t>
      </w:r>
      <w:r w:rsidRPr="00DC183C">
        <w:t>NESPD</w:t>
      </w:r>
      <w:r w:rsidR="008E4D1E">
        <w:t>)</w:t>
      </w:r>
      <w:r w:rsidRPr="00DC183C">
        <w:t>, the 2013-</w:t>
      </w:r>
      <w:r w:rsidR="002410F7">
        <w:t>2016</w:t>
      </w:r>
      <w:r w:rsidR="00925DA5" w:rsidRPr="00DC183C">
        <w:t xml:space="preserve"> </w:t>
      </w:r>
      <w:r w:rsidRPr="00DC183C">
        <w:rPr>
          <w:rFonts w:ascii="Calibri" w:hAnsi="Calibri" w:cs="Calibri"/>
        </w:rPr>
        <w:t xml:space="preserve">project </w:t>
      </w:r>
      <w:r w:rsidRPr="00DC183C">
        <w:rPr>
          <w:rFonts w:ascii="Calibri" w:hAnsi="Calibri" w:cs="Calibri"/>
          <w:i/>
        </w:rPr>
        <w:t>Support for the institutional Strengthening of the National Regulatory Authority for the UXO /Mine Action Sector (NRA) and of the Lao National UXO Programme (UXO Lao) 2013-201</w:t>
      </w:r>
      <w:r w:rsidR="002410F7">
        <w:rPr>
          <w:rFonts w:ascii="Calibri" w:hAnsi="Calibri" w:cs="Calibri"/>
          <w:i/>
        </w:rPr>
        <w:t>6</w:t>
      </w:r>
      <w:r w:rsidRPr="00DC183C">
        <w:rPr>
          <w:rFonts w:ascii="Calibri" w:hAnsi="Calibri" w:cs="Calibri"/>
        </w:rPr>
        <w:t xml:space="preserve"> - a cooperation between the UNDP and the Government of Lao PDR</w:t>
      </w:r>
      <w:r w:rsidR="00925DA5">
        <w:rPr>
          <w:rFonts w:ascii="Calibri" w:hAnsi="Calibri" w:cs="Calibri"/>
        </w:rPr>
        <w:t>,</w:t>
      </w:r>
      <w:r w:rsidRPr="00DC183C">
        <w:rPr>
          <w:rFonts w:ascii="Calibri" w:hAnsi="Calibri" w:cs="Calibri"/>
        </w:rPr>
        <w:t xml:space="preserve"> </w:t>
      </w:r>
      <w:r w:rsidRPr="00DC183C">
        <w:t>identified a number of priorities</w:t>
      </w:r>
      <w:r w:rsidR="00925DA5">
        <w:t>. This included a</w:t>
      </w:r>
      <w:r w:rsidRPr="00DC183C">
        <w:t xml:space="preserve"> survey and clearance</w:t>
      </w:r>
      <w:r w:rsidR="003B25FD">
        <w:t>,</w:t>
      </w:r>
      <w:r w:rsidRPr="00DC183C">
        <w:t xml:space="preserve"> with a focus </w:t>
      </w:r>
      <w:r w:rsidR="00925DA5">
        <w:t xml:space="preserve">on a </w:t>
      </w:r>
      <w:r w:rsidRPr="001F02E3">
        <w:t>rapid response explosive ordnance disposal (EOD) capacity and planned survey</w:t>
      </w:r>
      <w:r w:rsidR="003B25FD">
        <w:t xml:space="preserve"> and </w:t>
      </w:r>
      <w:r w:rsidRPr="001F02E3">
        <w:t xml:space="preserve">clearance </w:t>
      </w:r>
      <w:r w:rsidR="00925DA5">
        <w:t>i</w:t>
      </w:r>
      <w:r w:rsidRPr="001F02E3">
        <w:t xml:space="preserve">n areas identified as priority by the </w:t>
      </w:r>
      <w:r w:rsidR="00E70963">
        <w:t>NLCRDPE</w:t>
      </w:r>
      <w:r w:rsidR="008F299C">
        <w:t>. It also included</w:t>
      </w:r>
      <w:r w:rsidR="00925DA5">
        <w:t xml:space="preserve"> </w:t>
      </w:r>
      <w:r w:rsidR="009B0654" w:rsidRPr="001F02E3">
        <w:t>further developing the capacity of the army to und</w:t>
      </w:r>
      <w:r w:rsidR="003B25FD">
        <w:t>ertake UXO survey and clearance</w:t>
      </w:r>
      <w:r w:rsidR="009B0654" w:rsidRPr="001F02E3">
        <w:t xml:space="preserve"> </w:t>
      </w:r>
      <w:r w:rsidR="00354F95" w:rsidRPr="001F02E3">
        <w:t>and integration of some of the k</w:t>
      </w:r>
      <w:r w:rsidR="009B0654" w:rsidRPr="001F02E3">
        <w:t>ey recommendation</w:t>
      </w:r>
      <w:r w:rsidR="00354F95" w:rsidRPr="001F02E3">
        <w:t>s</w:t>
      </w:r>
      <w:r w:rsidR="009B0654" w:rsidRPr="001F02E3">
        <w:t xml:space="preserve"> of the 2012 evaluation</w:t>
      </w:r>
      <w:r w:rsidR="00354F95" w:rsidRPr="001F02E3">
        <w:t>. As stated earlier</w:t>
      </w:r>
      <w:r w:rsidR="00925DA5">
        <w:t>,</w:t>
      </w:r>
      <w:r w:rsidR="00354F95" w:rsidRPr="00DC183C">
        <w:t xml:space="preserve"> and repeated here for ease, t</w:t>
      </w:r>
      <w:r w:rsidR="00354F95" w:rsidRPr="00DC183C">
        <w:rPr>
          <w:rFonts w:ascii="Calibri" w:hAnsi="Calibri" w:cs="Calibri"/>
        </w:rPr>
        <w:t xml:space="preserve">he two expected outputs of the project are: </w:t>
      </w:r>
    </w:p>
    <w:p w:rsidR="00354F95" w:rsidRPr="00DC183C" w:rsidRDefault="00354F95" w:rsidP="00354F95">
      <w:pPr>
        <w:pStyle w:val="BodyText"/>
        <w:spacing w:after="0"/>
        <w:jc w:val="both"/>
        <w:rPr>
          <w:rFonts w:ascii="Calibri" w:hAnsi="Calibri" w:cs="Calibri"/>
          <w:sz w:val="22"/>
          <w:szCs w:val="22"/>
        </w:rPr>
      </w:pPr>
    </w:p>
    <w:p w:rsidR="00354F95" w:rsidRPr="00DC183C" w:rsidRDefault="00354F95" w:rsidP="00354F95">
      <w:pPr>
        <w:pStyle w:val="BodyText"/>
        <w:spacing w:after="0"/>
        <w:ind w:left="720"/>
        <w:jc w:val="both"/>
        <w:rPr>
          <w:rFonts w:ascii="Calibri" w:hAnsi="Calibri" w:cs="Calibri"/>
          <w:i/>
          <w:sz w:val="22"/>
          <w:szCs w:val="22"/>
        </w:rPr>
      </w:pPr>
      <w:r w:rsidRPr="001F02E3">
        <w:rPr>
          <w:rFonts w:ascii="Calibri" w:hAnsi="Calibri" w:cs="Calibri"/>
          <w:i/>
          <w:sz w:val="22"/>
          <w:szCs w:val="22"/>
        </w:rPr>
        <w:t>OUTPUT 1: The National Regulatory Authority is able to effectively develop and provide policy guidance and to coordinate and regulate the UXO sector in support of national development goals, the implementation of the national UXO sector strategy “Safe</w:t>
      </w:r>
      <w:r w:rsidRPr="00DC183C">
        <w:rPr>
          <w:rFonts w:ascii="Calibri" w:hAnsi="Calibri" w:cs="Calibri"/>
          <w:i/>
          <w:sz w:val="22"/>
          <w:szCs w:val="22"/>
        </w:rPr>
        <w:t xml:space="preserve"> Path Forward II”, and to ensure the </w:t>
      </w:r>
      <w:r w:rsidR="000C3B05" w:rsidRPr="00DC183C">
        <w:rPr>
          <w:rFonts w:ascii="Calibri" w:hAnsi="Calibri" w:cs="Calibri"/>
          <w:i/>
          <w:sz w:val="22"/>
          <w:szCs w:val="22"/>
        </w:rPr>
        <w:t>fulfilment</w:t>
      </w:r>
      <w:r w:rsidRPr="00DC183C">
        <w:rPr>
          <w:rFonts w:ascii="Calibri" w:hAnsi="Calibri" w:cs="Calibri"/>
          <w:i/>
          <w:sz w:val="22"/>
          <w:szCs w:val="22"/>
        </w:rPr>
        <w:t xml:space="preserve"> of relevant international treaty obligations</w:t>
      </w:r>
      <w:r w:rsidR="00DA246D">
        <w:rPr>
          <w:rFonts w:ascii="Calibri" w:hAnsi="Calibri" w:cs="Calibri"/>
          <w:i/>
          <w:sz w:val="22"/>
          <w:szCs w:val="22"/>
        </w:rPr>
        <w:t>.</w:t>
      </w:r>
    </w:p>
    <w:p w:rsidR="00354F95" w:rsidRPr="00DC183C" w:rsidRDefault="00354F95" w:rsidP="00354F95">
      <w:pPr>
        <w:pStyle w:val="BodyText"/>
        <w:spacing w:after="0"/>
        <w:ind w:left="720"/>
        <w:jc w:val="both"/>
        <w:rPr>
          <w:rFonts w:ascii="Calibri" w:hAnsi="Calibri" w:cs="Calibri"/>
          <w:i/>
          <w:sz w:val="22"/>
          <w:szCs w:val="22"/>
        </w:rPr>
      </w:pPr>
    </w:p>
    <w:p w:rsidR="00354F95" w:rsidRPr="00DC183C" w:rsidRDefault="00354F95" w:rsidP="00354F95">
      <w:pPr>
        <w:pStyle w:val="BodyText"/>
        <w:spacing w:after="0"/>
        <w:ind w:left="720"/>
        <w:jc w:val="both"/>
        <w:rPr>
          <w:rFonts w:ascii="Calibri" w:hAnsi="Calibri" w:cs="Calibri"/>
          <w:i/>
          <w:sz w:val="22"/>
          <w:szCs w:val="22"/>
        </w:rPr>
      </w:pPr>
      <w:r w:rsidRPr="001F02E3">
        <w:rPr>
          <w:rFonts w:ascii="Calibri" w:hAnsi="Calibri" w:cs="Calibri"/>
          <w:i/>
          <w:sz w:val="22"/>
          <w:szCs w:val="22"/>
        </w:rPr>
        <w:t>OUTPUT 2: UXO Lao is better able to manage clearance and risk education programmes for the needs of communities at risk</w:t>
      </w:r>
      <w:r w:rsidR="00DA246D">
        <w:rPr>
          <w:rFonts w:ascii="Calibri" w:hAnsi="Calibri" w:cs="Calibri"/>
          <w:i/>
          <w:sz w:val="22"/>
          <w:szCs w:val="22"/>
        </w:rPr>
        <w:t xml:space="preserve">. </w:t>
      </w:r>
    </w:p>
    <w:p w:rsidR="00354F95" w:rsidRPr="00DC183C" w:rsidRDefault="00354F95" w:rsidP="009A6ED4"/>
    <w:p w:rsidR="00291E76" w:rsidRPr="00DC183C" w:rsidRDefault="009B0654" w:rsidP="009A6ED4">
      <w:r w:rsidRPr="00DC183C">
        <w:t>In particular</w:t>
      </w:r>
      <w:r w:rsidR="00BF0A44">
        <w:t>,</w:t>
      </w:r>
      <w:r w:rsidRPr="00DC183C">
        <w:t xml:space="preserve"> the project aimed to further strengthen the capacity of the NRA and </w:t>
      </w:r>
      <w:r w:rsidR="00BF0A44">
        <w:t xml:space="preserve">the </w:t>
      </w:r>
      <w:r w:rsidRPr="00DC183C">
        <w:t>UXO Lao to meet t</w:t>
      </w:r>
      <w:r w:rsidR="00291E76" w:rsidRPr="00DC183C">
        <w:t xml:space="preserve">heir targets under the SPII; </w:t>
      </w:r>
      <w:r w:rsidRPr="00DC183C">
        <w:t xml:space="preserve">meet obligations under the CCM and other relevant treaties; </w:t>
      </w:r>
      <w:r w:rsidR="00E13F29">
        <w:t xml:space="preserve">and </w:t>
      </w:r>
      <w:r w:rsidR="006C3FC9" w:rsidRPr="00DC183C">
        <w:t>contribute to achie</w:t>
      </w:r>
      <w:r w:rsidR="00BF0A44">
        <w:t>ving</w:t>
      </w:r>
      <w:r w:rsidR="006C3FC9" w:rsidRPr="00DC183C">
        <w:t xml:space="preserve"> the MDGs and</w:t>
      </w:r>
      <w:r w:rsidR="00BF0A44">
        <w:t>,</w:t>
      </w:r>
      <w:r w:rsidR="006C3FC9" w:rsidRPr="00DC183C">
        <w:t xml:space="preserve"> in particular</w:t>
      </w:r>
      <w:r w:rsidR="00BF0A44">
        <w:t>,</w:t>
      </w:r>
      <w:r w:rsidR="003E35C8">
        <w:t xml:space="preserve"> </w:t>
      </w:r>
      <w:r w:rsidR="004E6B55">
        <w:t>Lao</w:t>
      </w:r>
      <w:r w:rsidR="006C3FC9" w:rsidRPr="00DC183C">
        <w:t xml:space="preserve"> MDG9</w:t>
      </w:r>
      <w:r w:rsidRPr="00DC183C">
        <w:t xml:space="preserve">. </w:t>
      </w:r>
      <w:r w:rsidR="00E13F29">
        <w:t xml:space="preserve">The </w:t>
      </w:r>
      <w:r w:rsidR="006C3FC9" w:rsidRPr="00DC183C">
        <w:t>UNDP support was mainly</w:t>
      </w:r>
      <w:r w:rsidR="00E13F29">
        <w:t xml:space="preserve"> to be</w:t>
      </w:r>
      <w:r w:rsidR="006C3FC9" w:rsidRPr="00DC183C">
        <w:t xml:space="preserve"> channelled through the Trust Fund to support </w:t>
      </w:r>
      <w:r w:rsidR="00E13F29">
        <w:t xml:space="preserve">the </w:t>
      </w:r>
      <w:r w:rsidR="006C3FC9" w:rsidRPr="00DC183C">
        <w:t>UXO Lao and the NRA</w:t>
      </w:r>
      <w:r w:rsidR="00E13F29">
        <w:t>,</w:t>
      </w:r>
      <w:r w:rsidR="006C3FC9" w:rsidRPr="00DC183C">
        <w:t xml:space="preserve"> but also non-</w:t>
      </w:r>
      <w:r w:rsidR="005C4422" w:rsidRPr="00DC183C">
        <w:t>government, national</w:t>
      </w:r>
      <w:r w:rsidR="00E13F29">
        <w:t>,</w:t>
      </w:r>
      <w:r w:rsidR="005C4422" w:rsidRPr="00DC183C">
        <w:t xml:space="preserve"> not-for-profit</w:t>
      </w:r>
      <w:r w:rsidR="00044E9A">
        <w:t>,</w:t>
      </w:r>
      <w:r w:rsidR="005C4422" w:rsidRPr="00DC183C">
        <w:t xml:space="preserve"> </w:t>
      </w:r>
      <w:r w:rsidR="006C3FC9" w:rsidRPr="00DC183C">
        <w:t>and community</w:t>
      </w:r>
      <w:r w:rsidR="00E13F29">
        <w:t>-</w:t>
      </w:r>
      <w:r w:rsidR="006C3FC9" w:rsidRPr="00DC183C">
        <w:t xml:space="preserve">based organisations. </w:t>
      </w:r>
      <w:r w:rsidR="005C4422" w:rsidRPr="00DC183C">
        <w:t xml:space="preserve">This was anticipated to be through disability organisations </w:t>
      </w:r>
      <w:r w:rsidR="001220E5">
        <w:t>to</w:t>
      </w:r>
      <w:r w:rsidR="001220E5" w:rsidRPr="00DC183C">
        <w:t xml:space="preserve"> </w:t>
      </w:r>
      <w:r w:rsidR="005C4422" w:rsidRPr="00DC183C">
        <w:t xml:space="preserve">support risk reduction. Channelling funds through the Trust Fund </w:t>
      </w:r>
      <w:r w:rsidR="00C13D09">
        <w:t>was</w:t>
      </w:r>
      <w:r w:rsidR="00C13D09" w:rsidRPr="00DC183C">
        <w:t xml:space="preserve"> </w:t>
      </w:r>
      <w:r w:rsidR="005C4422" w:rsidRPr="00DC183C">
        <w:t>expected to contribute to multi-year national planning, increased effectiveness and efficiency</w:t>
      </w:r>
      <w:r w:rsidR="00C13D09">
        <w:t>,</w:t>
      </w:r>
      <w:r w:rsidR="005C4422" w:rsidRPr="00DC183C">
        <w:t xml:space="preserve"> and improved links between the </w:t>
      </w:r>
      <w:r w:rsidR="0011110E">
        <w:t>MPI</w:t>
      </w:r>
      <w:r w:rsidR="005C4422" w:rsidRPr="00DC183C">
        <w:t xml:space="preserve"> and the NLCRDPE. Also identified as important</w:t>
      </w:r>
      <w:r w:rsidR="00BE7C5C">
        <w:t>,</w:t>
      </w:r>
      <w:r w:rsidR="005C4422" w:rsidRPr="00DC183C">
        <w:t xml:space="preserve"> was assisting the government to develop a long-term resource </w:t>
      </w:r>
      <w:r w:rsidR="00D900C9" w:rsidRPr="00DC183C">
        <w:t>mobilisation</w:t>
      </w:r>
      <w:r w:rsidR="005C4422" w:rsidRPr="00DC183C">
        <w:t xml:space="preserve"> </w:t>
      </w:r>
      <w:r w:rsidR="00D900C9" w:rsidRPr="00DC183C">
        <w:t xml:space="preserve">strategy to support </w:t>
      </w:r>
      <w:r w:rsidR="00BE7C5C">
        <w:t>the</w:t>
      </w:r>
      <w:r w:rsidR="00BE7C5C" w:rsidRPr="00DC183C">
        <w:t xml:space="preserve"> </w:t>
      </w:r>
      <w:r w:rsidR="00D900C9" w:rsidRPr="00DC183C">
        <w:t>transition to less reliance on international donor funding</w:t>
      </w:r>
      <w:r w:rsidR="00BE7C5C">
        <w:t>. This was also</w:t>
      </w:r>
      <w:r w:rsidR="00D900C9" w:rsidRPr="00DC183C">
        <w:t xml:space="preserve"> in response to the 2012 evaluation </w:t>
      </w:r>
      <w:r w:rsidR="00BE7C5C">
        <w:t>that noted</w:t>
      </w:r>
      <w:r w:rsidR="00BE7C5C" w:rsidRPr="00DC183C">
        <w:t xml:space="preserve"> </w:t>
      </w:r>
      <w:r w:rsidR="00D900C9" w:rsidRPr="00DC183C">
        <w:t>that government financial contribution</w:t>
      </w:r>
      <w:r w:rsidR="00D61644">
        <w:t>s</w:t>
      </w:r>
      <w:r w:rsidR="00D900C9" w:rsidRPr="00DC183C">
        <w:t xml:space="preserve"> to the programme needed to be increased. The strategy also outlined a commitment to continue to provide </w:t>
      </w:r>
      <w:r w:rsidR="00D61644">
        <w:t xml:space="preserve">the </w:t>
      </w:r>
      <w:r w:rsidR="00D900C9" w:rsidRPr="00DC183C">
        <w:t xml:space="preserve">UNDP-supported </w:t>
      </w:r>
      <w:r w:rsidR="0011110E" w:rsidRPr="00DC183C">
        <w:t>T</w:t>
      </w:r>
      <w:r w:rsidR="0011110E">
        <w:t>echnical Advisors (T</w:t>
      </w:r>
      <w:r w:rsidR="00D900C9" w:rsidRPr="00DC183C">
        <w:t>As</w:t>
      </w:r>
      <w:r w:rsidR="0011110E">
        <w:t>)</w:t>
      </w:r>
      <w:r w:rsidR="00D900C9" w:rsidRPr="00DC183C">
        <w:t xml:space="preserve"> to both </w:t>
      </w:r>
      <w:r w:rsidR="00D61644">
        <w:t xml:space="preserve">the </w:t>
      </w:r>
      <w:r w:rsidR="00D900C9" w:rsidRPr="00DC183C">
        <w:t>UXO Lao and the NRA</w:t>
      </w:r>
      <w:r w:rsidR="00D61644">
        <w:t>,</w:t>
      </w:r>
      <w:r w:rsidR="00D900C9" w:rsidRPr="00DC183C">
        <w:t xml:space="preserve"> and to undertake an </w:t>
      </w:r>
      <w:r w:rsidR="00FB07DC">
        <w:t xml:space="preserve">institutional </w:t>
      </w:r>
      <w:r w:rsidR="00D900C9" w:rsidRPr="00DC183C">
        <w:t xml:space="preserve">capacity development assessment to map </w:t>
      </w:r>
      <w:r w:rsidR="00131502" w:rsidRPr="00DC183C">
        <w:t>out current</w:t>
      </w:r>
      <w:r w:rsidR="00D900C9" w:rsidRPr="00DC183C">
        <w:t xml:space="preserve"> capacity baselines and</w:t>
      </w:r>
      <w:r w:rsidR="00D61644">
        <w:t xml:space="preserve"> to</w:t>
      </w:r>
      <w:r w:rsidR="00D900C9" w:rsidRPr="00DC183C">
        <w:t xml:space="preserve"> develop a three-year plan </w:t>
      </w:r>
      <w:r w:rsidR="001357C0" w:rsidRPr="00DC183C">
        <w:t>for the two organi</w:t>
      </w:r>
      <w:r w:rsidR="005E1826">
        <w:t>s</w:t>
      </w:r>
      <w:r w:rsidR="001357C0" w:rsidRPr="00DC183C">
        <w:t>ations.</w:t>
      </w:r>
      <w:r w:rsidR="00032651" w:rsidRPr="00DC183C">
        <w:t xml:space="preserve"> </w:t>
      </w:r>
      <w:r w:rsidR="00AE27D3">
        <w:t>The k</w:t>
      </w:r>
      <w:r w:rsidR="00131502" w:rsidRPr="00DC183C">
        <w:t>ey area</w:t>
      </w:r>
      <w:r w:rsidR="00032651" w:rsidRPr="00DC183C">
        <w:t>s</w:t>
      </w:r>
      <w:r w:rsidR="00131502" w:rsidRPr="00DC183C">
        <w:t xml:space="preserve"> of action</w:t>
      </w:r>
      <w:r w:rsidR="00AE27D3">
        <w:t>,</w:t>
      </w:r>
      <w:r w:rsidR="00131502" w:rsidRPr="00DC183C">
        <w:t xml:space="preserve"> with specific activities and goals</w:t>
      </w:r>
      <w:r w:rsidR="00AE27D3">
        <w:t>,</w:t>
      </w:r>
      <w:r w:rsidR="00131502" w:rsidRPr="00DC183C">
        <w:t xml:space="preserve"> were set </w:t>
      </w:r>
      <w:r w:rsidR="00032651" w:rsidRPr="00DC183C">
        <w:t>out</w:t>
      </w:r>
      <w:r w:rsidR="00131502" w:rsidRPr="00DC183C">
        <w:t xml:space="preserve"> for the NRA under survey and clearance, mine risk education, victim assistance</w:t>
      </w:r>
      <w:r w:rsidR="00AE27D3">
        <w:t>,</w:t>
      </w:r>
      <w:r w:rsidR="00131502" w:rsidRPr="00DC183C">
        <w:t xml:space="preserve"> and institutional capacity building. </w:t>
      </w:r>
      <w:r w:rsidR="00AE27D3">
        <w:t>They</w:t>
      </w:r>
      <w:r w:rsidR="00032651" w:rsidRPr="00DC183C">
        <w:t xml:space="preserve"> were </w:t>
      </w:r>
      <w:r w:rsidR="00AE27D3">
        <w:t xml:space="preserve">also </w:t>
      </w:r>
      <w:r w:rsidR="00032651" w:rsidRPr="00DC183C">
        <w:t xml:space="preserve">set out for </w:t>
      </w:r>
      <w:r w:rsidR="00AE27D3">
        <w:t>the UXO L</w:t>
      </w:r>
      <w:r w:rsidR="00032651" w:rsidRPr="00DC183C">
        <w:t>ao</w:t>
      </w:r>
      <w:r w:rsidR="00487127">
        <w:t>,</w:t>
      </w:r>
      <w:r w:rsidR="00032651" w:rsidRPr="00DC183C">
        <w:t xml:space="preserve"> relating to estimated number of hectares cleared and items removed</w:t>
      </w:r>
      <w:r w:rsidR="00487127">
        <w:t>, as well as</w:t>
      </w:r>
      <w:r w:rsidR="00032651" w:rsidRPr="00DC183C">
        <w:t xml:space="preserve"> estimated number of individuals supported. </w:t>
      </w:r>
      <w:r w:rsidR="00CB520C" w:rsidRPr="00DC183C">
        <w:t>Other action</w:t>
      </w:r>
      <w:r w:rsidR="006F6565">
        <w:t>s</w:t>
      </w:r>
      <w:r w:rsidR="00CB520C" w:rsidRPr="00DC183C">
        <w:t xml:space="preserve"> </w:t>
      </w:r>
      <w:r w:rsidR="006F6565">
        <w:t xml:space="preserve">were </w:t>
      </w:r>
      <w:r w:rsidR="00CB520C" w:rsidRPr="00DC183C">
        <w:t>related to clearance</w:t>
      </w:r>
      <w:r w:rsidR="006F6565">
        <w:t xml:space="preserve"> and </w:t>
      </w:r>
      <w:r w:rsidR="00CB520C" w:rsidRPr="00DC183C">
        <w:t>land release, risk education, survey, roving tasks, strengthening management capacity, providing training for UXO personnel (through the training centre)</w:t>
      </w:r>
      <w:r w:rsidR="006F6565">
        <w:t>,</w:t>
      </w:r>
      <w:r w:rsidR="00CB520C" w:rsidRPr="00DC183C">
        <w:t xml:space="preserve"> and adopting new technology and methods as appropriate.</w:t>
      </w:r>
    </w:p>
    <w:p w:rsidR="00FA3AF0" w:rsidRPr="00DC183C" w:rsidRDefault="00254258" w:rsidP="0070232B">
      <w:pPr>
        <w:pStyle w:val="Heading1"/>
        <w:numPr>
          <w:ilvl w:val="0"/>
          <w:numId w:val="26"/>
        </w:numPr>
      </w:pPr>
      <w:bookmarkStart w:id="25" w:name="_Toc441609329"/>
      <w:r w:rsidRPr="00DC183C">
        <w:t xml:space="preserve">UNDP </w:t>
      </w:r>
      <w:r w:rsidR="006C3FC9" w:rsidRPr="00DC183C">
        <w:t xml:space="preserve">program </w:t>
      </w:r>
      <w:r w:rsidRPr="00DC183C">
        <w:t>support 2013-2015</w:t>
      </w:r>
      <w:bookmarkEnd w:id="25"/>
    </w:p>
    <w:p w:rsidR="00CB520C" w:rsidRPr="00DC183C" w:rsidRDefault="00A450D8" w:rsidP="0070232B">
      <w:pPr>
        <w:pStyle w:val="Heading2"/>
        <w:numPr>
          <w:ilvl w:val="1"/>
          <w:numId w:val="26"/>
        </w:numPr>
      </w:pPr>
      <w:r>
        <w:t xml:space="preserve"> </w:t>
      </w:r>
      <w:bookmarkStart w:id="26" w:name="_Toc441609330"/>
      <w:r w:rsidR="00210A66" w:rsidRPr="00DC183C">
        <w:t>Summary of sup</w:t>
      </w:r>
      <w:r w:rsidR="00CB520C" w:rsidRPr="00DC183C">
        <w:t>port provided during this period</w:t>
      </w:r>
      <w:bookmarkEnd w:id="26"/>
    </w:p>
    <w:p w:rsidR="00FD2220" w:rsidRPr="00DC183C" w:rsidRDefault="00FD2220" w:rsidP="00291E76">
      <w:r w:rsidRPr="00DC183C">
        <w:t>In this section, the report summari</w:t>
      </w:r>
      <w:r w:rsidR="002816F6">
        <w:t>s</w:t>
      </w:r>
      <w:r w:rsidRPr="00DC183C">
        <w:t xml:space="preserve">es the support provided by </w:t>
      </w:r>
      <w:r w:rsidR="002816F6">
        <w:t xml:space="preserve">the </w:t>
      </w:r>
      <w:r w:rsidRPr="00DC183C">
        <w:t xml:space="preserve">UNDP under the </w:t>
      </w:r>
      <w:r w:rsidR="00291E76" w:rsidRPr="00DC183C">
        <w:t>specific parameters for the evaluation and subsequent recommendations</w:t>
      </w:r>
      <w:r w:rsidRPr="00DC183C">
        <w:t>. These relate to</w:t>
      </w:r>
      <w:r w:rsidR="00291E76" w:rsidRPr="00DC183C">
        <w:t>:</w:t>
      </w:r>
      <w:r w:rsidR="00771165">
        <w:t xml:space="preserve"> 1) s</w:t>
      </w:r>
      <w:r w:rsidRPr="00DC183C">
        <w:t>trategic positioning, concept</w:t>
      </w:r>
      <w:r w:rsidR="00771165">
        <w:t>,</w:t>
      </w:r>
      <w:r w:rsidRPr="00DC183C">
        <w:t xml:space="preserve"> and design; 2) </w:t>
      </w:r>
      <w:r w:rsidR="00771165">
        <w:t>implementation; 3) p</w:t>
      </w:r>
      <w:r w:rsidRPr="00DC183C">
        <w:t>a</w:t>
      </w:r>
      <w:r w:rsidR="00771165">
        <w:t>rtnership and coordination; 4) m</w:t>
      </w:r>
      <w:r w:rsidRPr="00DC183C">
        <w:t>onitoring, evaluation</w:t>
      </w:r>
      <w:r w:rsidR="00771165">
        <w:t>,</w:t>
      </w:r>
      <w:r w:rsidRPr="00DC183C">
        <w:t xml:space="preserve"> and risk management; </w:t>
      </w:r>
      <w:r w:rsidR="00200B1F" w:rsidRPr="00DC183C">
        <w:t xml:space="preserve">and </w:t>
      </w:r>
      <w:r w:rsidRPr="00DC183C">
        <w:t xml:space="preserve">5) </w:t>
      </w:r>
      <w:r w:rsidR="00DD6323">
        <w:t>Rights-Based A</w:t>
      </w:r>
      <w:r w:rsidR="00200B1F" w:rsidRPr="00DC183C">
        <w:t>pproach and gender mainstreaming. Th</w:t>
      </w:r>
      <w:r w:rsidR="002816F6">
        <w:t>is</w:t>
      </w:r>
      <w:r w:rsidR="00200B1F" w:rsidRPr="00DC183C">
        <w:t xml:space="preserve"> section will then proceed to discuss how efforts </w:t>
      </w:r>
      <w:r w:rsidR="002816F6">
        <w:t xml:space="preserve">were </w:t>
      </w:r>
      <w:r w:rsidR="00200B1F" w:rsidRPr="00DC183C">
        <w:t xml:space="preserve">undertaken </w:t>
      </w:r>
      <w:r w:rsidR="00771165">
        <w:t>to tackle</w:t>
      </w:r>
      <w:r w:rsidR="00200B1F" w:rsidRPr="00DC183C">
        <w:t xml:space="preserve"> the issues</w:t>
      </w:r>
      <w:r w:rsidRPr="00DC183C">
        <w:t xml:space="preserve"> “to be addressed” </w:t>
      </w:r>
      <w:r w:rsidR="00200B1F" w:rsidRPr="00DC183C">
        <w:t xml:space="preserve">identified at the </w:t>
      </w:r>
      <w:r w:rsidRPr="00DC183C">
        <w:t xml:space="preserve">beginning of </w:t>
      </w:r>
      <w:r w:rsidR="002816F6">
        <w:t xml:space="preserve">the </w:t>
      </w:r>
      <w:r w:rsidRPr="00DC183C">
        <w:t>project</w:t>
      </w:r>
      <w:r w:rsidR="00200B1F" w:rsidRPr="00DC183C">
        <w:t>.</w:t>
      </w:r>
    </w:p>
    <w:p w:rsidR="00291E76" w:rsidRPr="00DC183C" w:rsidRDefault="0007395B" w:rsidP="00200B1F">
      <w:pPr>
        <w:pStyle w:val="Heading3"/>
      </w:pPr>
      <w:bookmarkStart w:id="27" w:name="_Toc441609331"/>
      <w:r>
        <w:t xml:space="preserve">4.1.1 </w:t>
      </w:r>
      <w:r w:rsidR="00291E76" w:rsidRPr="00DC183C">
        <w:t>Strategic Positioning, Concept and Design</w:t>
      </w:r>
      <w:bookmarkEnd w:id="27"/>
    </w:p>
    <w:p w:rsidR="00266951" w:rsidRPr="0079227A" w:rsidRDefault="005C59EA" w:rsidP="0079227A">
      <w:pPr>
        <w:pStyle w:val="NormalModified"/>
        <w:rPr>
          <w:szCs w:val="22"/>
        </w:rPr>
      </w:pPr>
      <w:r>
        <w:rPr>
          <w:szCs w:val="22"/>
        </w:rPr>
        <w:t xml:space="preserve">The </w:t>
      </w:r>
      <w:r w:rsidR="00134FCE" w:rsidRPr="0079227A">
        <w:rPr>
          <w:szCs w:val="22"/>
        </w:rPr>
        <w:t xml:space="preserve">UNDP’s strategic positioning is </w:t>
      </w:r>
      <w:r w:rsidR="00BF33DA">
        <w:rPr>
          <w:szCs w:val="22"/>
        </w:rPr>
        <w:t>related</w:t>
      </w:r>
      <w:r w:rsidR="00134FCE" w:rsidRPr="0079227A">
        <w:rPr>
          <w:szCs w:val="22"/>
        </w:rPr>
        <w:t xml:space="preserve"> to the Government of Lao PDR’s priorities</w:t>
      </w:r>
      <w:r w:rsidR="00DD3CDB" w:rsidRPr="0079227A">
        <w:rPr>
          <w:szCs w:val="22"/>
        </w:rPr>
        <w:t xml:space="preserve"> and the design of </w:t>
      </w:r>
      <w:r>
        <w:rPr>
          <w:szCs w:val="22"/>
        </w:rPr>
        <w:t xml:space="preserve">the </w:t>
      </w:r>
      <w:r w:rsidR="00DD3CDB" w:rsidRPr="0079227A">
        <w:rPr>
          <w:szCs w:val="22"/>
        </w:rPr>
        <w:t>UN/UNDP’s overall intervention</w:t>
      </w:r>
      <w:r w:rsidR="00BF33DA">
        <w:rPr>
          <w:szCs w:val="22"/>
        </w:rPr>
        <w:t>. It also relates to the</w:t>
      </w:r>
      <w:r w:rsidR="00DD3CDB" w:rsidRPr="0079227A">
        <w:rPr>
          <w:szCs w:val="22"/>
        </w:rPr>
        <w:t xml:space="preserve"> </w:t>
      </w:r>
      <w:r w:rsidR="00DD3CDB" w:rsidRPr="0079227A">
        <w:rPr>
          <w:rFonts w:ascii="Calibri" w:hAnsi="Calibri" w:cs="Calibri"/>
          <w:szCs w:val="22"/>
        </w:rPr>
        <w:t>appropriateness of the objectives, planned outputs, activities</w:t>
      </w:r>
      <w:r>
        <w:rPr>
          <w:rFonts w:ascii="Calibri" w:hAnsi="Calibri" w:cs="Calibri"/>
          <w:szCs w:val="22"/>
        </w:rPr>
        <w:t>,</w:t>
      </w:r>
      <w:r w:rsidR="00DD3CDB" w:rsidRPr="0079227A">
        <w:rPr>
          <w:rFonts w:ascii="Calibri" w:hAnsi="Calibri" w:cs="Calibri"/>
          <w:szCs w:val="22"/>
        </w:rPr>
        <w:t xml:space="preserve"> and inputs</w:t>
      </w:r>
      <w:r>
        <w:rPr>
          <w:rFonts w:ascii="Calibri" w:hAnsi="Calibri" w:cs="Calibri"/>
          <w:szCs w:val="22"/>
        </w:rPr>
        <w:t>,</w:t>
      </w:r>
      <w:r w:rsidR="00DD3CDB" w:rsidRPr="0079227A">
        <w:rPr>
          <w:rFonts w:ascii="Calibri" w:hAnsi="Calibri" w:cs="Calibri"/>
          <w:szCs w:val="22"/>
        </w:rPr>
        <w:t xml:space="preserve"> as compared to cost-effective alternatives</w:t>
      </w:r>
      <w:r w:rsidR="00134FCE" w:rsidRPr="0079227A">
        <w:rPr>
          <w:szCs w:val="22"/>
        </w:rPr>
        <w:t xml:space="preserve">. </w:t>
      </w:r>
      <w:r>
        <w:rPr>
          <w:szCs w:val="22"/>
        </w:rPr>
        <w:t xml:space="preserve">The </w:t>
      </w:r>
      <w:r w:rsidR="00DD3CDB" w:rsidRPr="0079227A">
        <w:rPr>
          <w:szCs w:val="22"/>
        </w:rPr>
        <w:t>UNDP’s UXO programme is clearly relevant to</w:t>
      </w:r>
      <w:r>
        <w:rPr>
          <w:szCs w:val="22"/>
        </w:rPr>
        <w:t>,</w:t>
      </w:r>
      <w:r w:rsidR="00DD3CDB" w:rsidRPr="0079227A">
        <w:rPr>
          <w:szCs w:val="22"/>
        </w:rPr>
        <w:t xml:space="preserve"> and aligned with</w:t>
      </w:r>
      <w:r>
        <w:rPr>
          <w:szCs w:val="22"/>
        </w:rPr>
        <w:t>,</w:t>
      </w:r>
      <w:r w:rsidR="00DD3CDB" w:rsidRPr="0079227A">
        <w:rPr>
          <w:szCs w:val="22"/>
        </w:rPr>
        <w:t xml:space="preserve"> </w:t>
      </w:r>
      <w:r>
        <w:rPr>
          <w:szCs w:val="22"/>
        </w:rPr>
        <w:t xml:space="preserve">the </w:t>
      </w:r>
      <w:r w:rsidR="00134FCE" w:rsidRPr="0079227A">
        <w:rPr>
          <w:szCs w:val="22"/>
        </w:rPr>
        <w:t>national development objectives</w:t>
      </w:r>
      <w:r w:rsidR="00DD3CDB" w:rsidRPr="0079227A">
        <w:rPr>
          <w:szCs w:val="22"/>
        </w:rPr>
        <w:t xml:space="preserve"> as outlined in the 7</w:t>
      </w:r>
      <w:r w:rsidR="00DD3CDB" w:rsidRPr="0079227A">
        <w:rPr>
          <w:szCs w:val="22"/>
          <w:vertAlign w:val="superscript"/>
        </w:rPr>
        <w:t>th</w:t>
      </w:r>
      <w:r w:rsidR="00DD3CDB" w:rsidRPr="0079227A">
        <w:rPr>
          <w:szCs w:val="22"/>
        </w:rPr>
        <w:t xml:space="preserve"> </w:t>
      </w:r>
      <w:r w:rsidR="00EE5C6A" w:rsidRPr="0079227A">
        <w:rPr>
          <w:szCs w:val="22"/>
        </w:rPr>
        <w:t>NSEDP</w:t>
      </w:r>
      <w:r w:rsidR="00DD3CDB" w:rsidRPr="0079227A">
        <w:rPr>
          <w:szCs w:val="22"/>
        </w:rPr>
        <w:t xml:space="preserve"> and </w:t>
      </w:r>
      <w:r w:rsidR="004E6B55">
        <w:rPr>
          <w:szCs w:val="22"/>
        </w:rPr>
        <w:t xml:space="preserve">Lao </w:t>
      </w:r>
      <w:r w:rsidR="00DD3CDB" w:rsidRPr="0079227A">
        <w:rPr>
          <w:szCs w:val="22"/>
        </w:rPr>
        <w:t xml:space="preserve">MDG9. </w:t>
      </w:r>
      <w:r w:rsidR="00F04FDC" w:rsidRPr="0079227A">
        <w:rPr>
          <w:szCs w:val="22"/>
        </w:rPr>
        <w:t>UXO issues</w:t>
      </w:r>
      <w:r w:rsidR="00FB0AA4">
        <w:rPr>
          <w:szCs w:val="22"/>
        </w:rPr>
        <w:t>,</w:t>
      </w:r>
      <w:r w:rsidR="00F04FDC" w:rsidRPr="0079227A">
        <w:rPr>
          <w:szCs w:val="22"/>
        </w:rPr>
        <w:t xml:space="preserve"> </w:t>
      </w:r>
      <w:r w:rsidR="0043544A">
        <w:rPr>
          <w:szCs w:val="22"/>
        </w:rPr>
        <w:t>including new survey procedures</w:t>
      </w:r>
      <w:r w:rsidR="00FB0AA4">
        <w:rPr>
          <w:szCs w:val="22"/>
        </w:rPr>
        <w:t>,</w:t>
      </w:r>
      <w:r w:rsidR="0043544A">
        <w:rPr>
          <w:szCs w:val="22"/>
        </w:rPr>
        <w:t xml:space="preserve"> </w:t>
      </w:r>
      <w:r w:rsidR="00F04FDC" w:rsidRPr="0079227A">
        <w:rPr>
          <w:szCs w:val="22"/>
        </w:rPr>
        <w:t xml:space="preserve">are also </w:t>
      </w:r>
      <w:r w:rsidR="0043544A">
        <w:rPr>
          <w:szCs w:val="22"/>
        </w:rPr>
        <w:t>contained within</w:t>
      </w:r>
      <w:r w:rsidR="00F04FDC" w:rsidRPr="0079227A">
        <w:rPr>
          <w:szCs w:val="22"/>
        </w:rPr>
        <w:t xml:space="preserve"> the draft NSEDP, </w:t>
      </w:r>
      <w:r w:rsidR="00FB0AA4">
        <w:rPr>
          <w:szCs w:val="22"/>
        </w:rPr>
        <w:t>to be unveiled in December 2015.</w:t>
      </w:r>
      <w:r w:rsidR="00F04FDC" w:rsidRPr="0079227A">
        <w:rPr>
          <w:szCs w:val="22"/>
        </w:rPr>
        <w:t xml:space="preserve"> </w:t>
      </w:r>
      <w:r w:rsidR="00FB0AA4">
        <w:rPr>
          <w:szCs w:val="22"/>
        </w:rPr>
        <w:t>The</w:t>
      </w:r>
      <w:r w:rsidR="0011110E">
        <w:rPr>
          <w:szCs w:val="22"/>
        </w:rPr>
        <w:t xml:space="preserve"> UNDP was particularly active in advocating for its inclusion</w:t>
      </w:r>
      <w:r w:rsidR="00F04FDC" w:rsidRPr="0079227A">
        <w:rPr>
          <w:szCs w:val="22"/>
        </w:rPr>
        <w:t xml:space="preserve">. </w:t>
      </w:r>
      <w:r w:rsidR="00DD3CDB" w:rsidRPr="0079227A">
        <w:rPr>
          <w:szCs w:val="22"/>
        </w:rPr>
        <w:t xml:space="preserve">The programme is also aligned to </w:t>
      </w:r>
      <w:r w:rsidR="00367A39">
        <w:rPr>
          <w:szCs w:val="22"/>
        </w:rPr>
        <w:t xml:space="preserve">the </w:t>
      </w:r>
      <w:r w:rsidR="00DD3CDB" w:rsidRPr="0079227A">
        <w:rPr>
          <w:szCs w:val="22"/>
        </w:rPr>
        <w:t>UNDP’s core</w:t>
      </w:r>
      <w:r w:rsidR="00FB0AA4">
        <w:rPr>
          <w:szCs w:val="22"/>
        </w:rPr>
        <w:t xml:space="preserve"> focus of poverty reduction in achieving the MDGs</w:t>
      </w:r>
      <w:r w:rsidR="00134FCE" w:rsidRPr="0079227A">
        <w:rPr>
          <w:szCs w:val="22"/>
        </w:rPr>
        <w:t xml:space="preserve"> </w:t>
      </w:r>
      <w:r w:rsidR="0043544A">
        <w:rPr>
          <w:szCs w:val="22"/>
        </w:rPr>
        <w:t xml:space="preserve">and </w:t>
      </w:r>
      <w:r w:rsidR="0043544A" w:rsidRPr="0079227A">
        <w:rPr>
          <w:szCs w:val="22"/>
        </w:rPr>
        <w:t>institutional capacity development</w:t>
      </w:r>
      <w:r w:rsidR="00FB0AA4">
        <w:rPr>
          <w:szCs w:val="22"/>
        </w:rPr>
        <w:t xml:space="preserve"> goals</w:t>
      </w:r>
      <w:r w:rsidR="0043544A">
        <w:rPr>
          <w:szCs w:val="22"/>
        </w:rPr>
        <w:t>. It should be noted</w:t>
      </w:r>
      <w:r w:rsidR="00FB0AA4">
        <w:rPr>
          <w:szCs w:val="22"/>
        </w:rPr>
        <w:t>,</w:t>
      </w:r>
      <w:r w:rsidR="0043544A">
        <w:rPr>
          <w:szCs w:val="22"/>
        </w:rPr>
        <w:t xml:space="preserve"> however</w:t>
      </w:r>
      <w:r w:rsidR="00FB0AA4">
        <w:rPr>
          <w:szCs w:val="22"/>
        </w:rPr>
        <w:t>,</w:t>
      </w:r>
      <w:r w:rsidR="0043544A">
        <w:rPr>
          <w:szCs w:val="22"/>
        </w:rPr>
        <w:t xml:space="preserve"> that casual</w:t>
      </w:r>
      <w:r w:rsidR="00DD3CDB" w:rsidRPr="0079227A">
        <w:rPr>
          <w:szCs w:val="22"/>
        </w:rPr>
        <w:t xml:space="preserve"> links between poverty and UXO contamination have not</w:t>
      </w:r>
      <w:r w:rsidR="0043544A">
        <w:rPr>
          <w:szCs w:val="22"/>
        </w:rPr>
        <w:t xml:space="preserve"> </w:t>
      </w:r>
      <w:r w:rsidR="00DD3CDB" w:rsidRPr="0079227A">
        <w:rPr>
          <w:szCs w:val="22"/>
        </w:rPr>
        <w:t xml:space="preserve">been empirically </w:t>
      </w:r>
      <w:r w:rsidR="0043544A">
        <w:rPr>
          <w:szCs w:val="22"/>
        </w:rPr>
        <w:t>demonstrated</w:t>
      </w:r>
      <w:r w:rsidR="00D25CD4">
        <w:rPr>
          <w:szCs w:val="22"/>
        </w:rPr>
        <w:t xml:space="preserve">. </w:t>
      </w:r>
      <w:r w:rsidR="00FB0AA4">
        <w:rPr>
          <w:szCs w:val="22"/>
        </w:rPr>
        <w:t xml:space="preserve">In the period of 2012-2015, the </w:t>
      </w:r>
      <w:r w:rsidR="0043544A">
        <w:rPr>
          <w:szCs w:val="22"/>
        </w:rPr>
        <w:t>UNDP has not effectively supported the</w:t>
      </w:r>
      <w:r w:rsidR="00855D48" w:rsidRPr="0079227A">
        <w:rPr>
          <w:szCs w:val="22"/>
        </w:rPr>
        <w:t xml:space="preserve"> integration of other </w:t>
      </w:r>
      <w:r w:rsidR="00ED48CC" w:rsidRPr="0079227A">
        <w:rPr>
          <w:szCs w:val="22"/>
        </w:rPr>
        <w:t xml:space="preserve">relevant </w:t>
      </w:r>
      <w:r w:rsidR="00855D48" w:rsidRPr="0079227A">
        <w:rPr>
          <w:szCs w:val="22"/>
        </w:rPr>
        <w:t>strategic priorities</w:t>
      </w:r>
      <w:r w:rsidR="00FB0AA4">
        <w:rPr>
          <w:szCs w:val="22"/>
        </w:rPr>
        <w:t>,</w:t>
      </w:r>
      <w:r w:rsidR="00855D48" w:rsidRPr="0079227A">
        <w:rPr>
          <w:szCs w:val="22"/>
        </w:rPr>
        <w:t xml:space="preserve"> </w:t>
      </w:r>
      <w:r w:rsidR="0011110E">
        <w:rPr>
          <w:szCs w:val="22"/>
        </w:rPr>
        <w:t>including th</w:t>
      </w:r>
      <w:r w:rsidR="00ED48CC">
        <w:rPr>
          <w:szCs w:val="22"/>
        </w:rPr>
        <w:t xml:space="preserve">ose from the 2012 evaluation, </w:t>
      </w:r>
      <w:r w:rsidR="00FB0AA4">
        <w:rPr>
          <w:szCs w:val="22"/>
        </w:rPr>
        <w:t xml:space="preserve">such as </w:t>
      </w:r>
      <w:r w:rsidR="00ED48CC">
        <w:rPr>
          <w:szCs w:val="22"/>
        </w:rPr>
        <w:t>gender</w:t>
      </w:r>
      <w:r w:rsidR="00134FCE" w:rsidRPr="0079227A">
        <w:rPr>
          <w:szCs w:val="22"/>
        </w:rPr>
        <w:t xml:space="preserve"> equality and facilitating south-south approaches</w:t>
      </w:r>
      <w:r w:rsidR="00BC7A25">
        <w:rPr>
          <w:szCs w:val="22"/>
        </w:rPr>
        <w:t>,</w:t>
      </w:r>
      <w:r w:rsidR="00ED48CC">
        <w:rPr>
          <w:szCs w:val="22"/>
        </w:rPr>
        <w:t xml:space="preserve"> despite regional expertise</w:t>
      </w:r>
      <w:r w:rsidR="00134FCE" w:rsidRPr="0079227A">
        <w:rPr>
          <w:szCs w:val="22"/>
        </w:rPr>
        <w:t xml:space="preserve">.  </w:t>
      </w:r>
    </w:p>
    <w:p w:rsidR="00163917" w:rsidRPr="0079227A" w:rsidRDefault="00AE1EE2" w:rsidP="0079227A">
      <w:pPr>
        <w:pStyle w:val="NormalModified"/>
        <w:rPr>
          <w:szCs w:val="22"/>
        </w:rPr>
      </w:pPr>
      <w:r>
        <w:rPr>
          <w:szCs w:val="22"/>
        </w:rPr>
        <w:t xml:space="preserve">The </w:t>
      </w:r>
      <w:r w:rsidR="00266951" w:rsidRPr="0079227A">
        <w:rPr>
          <w:szCs w:val="22"/>
        </w:rPr>
        <w:t xml:space="preserve">UNDP plays a critical and valued role </w:t>
      </w:r>
      <w:r>
        <w:rPr>
          <w:szCs w:val="22"/>
        </w:rPr>
        <w:t>in</w:t>
      </w:r>
      <w:r w:rsidRPr="0079227A">
        <w:rPr>
          <w:szCs w:val="22"/>
        </w:rPr>
        <w:t xml:space="preserve"> </w:t>
      </w:r>
      <w:r w:rsidR="00560A9B">
        <w:rPr>
          <w:szCs w:val="22"/>
        </w:rPr>
        <w:t>the Round Table P</w:t>
      </w:r>
      <w:r w:rsidR="00266951" w:rsidRPr="0079227A">
        <w:rPr>
          <w:szCs w:val="22"/>
        </w:rPr>
        <w:t>rocess and co-chairs</w:t>
      </w:r>
      <w:r w:rsidR="0046485A">
        <w:rPr>
          <w:szCs w:val="22"/>
        </w:rPr>
        <w:t>,</w:t>
      </w:r>
      <w:r w:rsidR="00266951" w:rsidRPr="0079227A">
        <w:rPr>
          <w:szCs w:val="22"/>
        </w:rPr>
        <w:t xml:space="preserve"> with the US Ambassador</w:t>
      </w:r>
      <w:r w:rsidR="00ED48CC">
        <w:rPr>
          <w:szCs w:val="22"/>
        </w:rPr>
        <w:t xml:space="preserve">, </w:t>
      </w:r>
      <w:r w:rsidR="00266951" w:rsidRPr="0079227A">
        <w:rPr>
          <w:szCs w:val="22"/>
        </w:rPr>
        <w:t>the donor working groups for the UXO sector. This provides a relevant forum for promoting dialogue between key stakeholders and the government</w:t>
      </w:r>
      <w:r w:rsidR="0069212F">
        <w:rPr>
          <w:szCs w:val="22"/>
        </w:rPr>
        <w:t>. It</w:t>
      </w:r>
      <w:r w:rsidR="00266951" w:rsidRPr="0079227A">
        <w:rPr>
          <w:szCs w:val="22"/>
        </w:rPr>
        <w:t xml:space="preserve"> is </w:t>
      </w:r>
      <w:r w:rsidR="0069212F">
        <w:rPr>
          <w:szCs w:val="22"/>
        </w:rPr>
        <w:t xml:space="preserve">also </w:t>
      </w:r>
      <w:r>
        <w:rPr>
          <w:szCs w:val="22"/>
        </w:rPr>
        <w:t xml:space="preserve">a </w:t>
      </w:r>
      <w:r w:rsidR="00266951" w:rsidRPr="0079227A">
        <w:rPr>
          <w:szCs w:val="22"/>
        </w:rPr>
        <w:t>platform for forwarding the aid effectiveness agenda</w:t>
      </w:r>
      <w:r>
        <w:rPr>
          <w:szCs w:val="22"/>
        </w:rPr>
        <w:t>,</w:t>
      </w:r>
      <w:r w:rsidR="00266951" w:rsidRPr="0079227A">
        <w:rPr>
          <w:szCs w:val="22"/>
        </w:rPr>
        <w:t xml:space="preserve"> including the Vientiane Declaration on Aid Effectiveness, the Partnership for Effective Development Co-operation Framework</w:t>
      </w:r>
      <w:r>
        <w:rPr>
          <w:szCs w:val="22"/>
        </w:rPr>
        <w:t>,</w:t>
      </w:r>
      <w:r w:rsidR="00266951" w:rsidRPr="0079227A">
        <w:rPr>
          <w:szCs w:val="22"/>
        </w:rPr>
        <w:t xml:space="preserve"> and the Busan Partnership for Effective Development Co-operation. </w:t>
      </w:r>
    </w:p>
    <w:p w:rsidR="00C102B9" w:rsidRPr="00DC183C" w:rsidRDefault="00C23259" w:rsidP="00C102B9">
      <w:r>
        <w:t>The project document</w:t>
      </w:r>
      <w:r w:rsidR="00FD2220" w:rsidRPr="00DC183C">
        <w:t xml:space="preserve"> results and resources framework describes outputs and actions, primarily for the NRA and </w:t>
      </w:r>
      <w:r w:rsidR="00225FDB">
        <w:t xml:space="preserve">the </w:t>
      </w:r>
      <w:r w:rsidR="00FD2220" w:rsidRPr="00DC183C">
        <w:t>UXO Lao</w:t>
      </w:r>
      <w:r>
        <w:t xml:space="preserve">. </w:t>
      </w:r>
      <w:r w:rsidR="00ED48CC">
        <w:t xml:space="preserve"> </w:t>
      </w:r>
      <w:r>
        <w:t>M</w:t>
      </w:r>
      <w:r w:rsidR="00ED48CC">
        <w:t xml:space="preserve">ost of </w:t>
      </w:r>
      <w:r>
        <w:t xml:space="preserve">the </w:t>
      </w:r>
      <w:r w:rsidR="00ED48CC">
        <w:t>UNDP’s effort has been directed towards achieving these outputs</w:t>
      </w:r>
      <w:r w:rsidR="00FD2220" w:rsidRPr="00DC183C">
        <w:t xml:space="preserve">. </w:t>
      </w:r>
      <w:r w:rsidR="00ED48CC">
        <w:t xml:space="preserve">However, despite being an </w:t>
      </w:r>
      <w:r w:rsidR="00163917" w:rsidRPr="00DC183C">
        <w:t>institutional capacity development</w:t>
      </w:r>
      <w:r w:rsidR="00ED48CC">
        <w:t xml:space="preserve"> programme</w:t>
      </w:r>
      <w:r w:rsidR="00FD2220" w:rsidRPr="00DC183C">
        <w:t>, the project document</w:t>
      </w:r>
      <w:r w:rsidR="00ED48CC">
        <w:t xml:space="preserve"> </w:t>
      </w:r>
      <w:r w:rsidR="00FD2220" w:rsidRPr="00DC183C">
        <w:t xml:space="preserve">contains no definition of capacity building, how </w:t>
      </w:r>
      <w:r>
        <w:t>it</w:t>
      </w:r>
      <w:r w:rsidR="00FD2220" w:rsidRPr="00DC183C">
        <w:t xml:space="preserve"> will be achieved</w:t>
      </w:r>
      <w:r w:rsidR="00225FDB">
        <w:t>,</w:t>
      </w:r>
      <w:r w:rsidR="00FD2220" w:rsidRPr="00DC183C">
        <w:t xml:space="preserve"> or even specific capacity building indictors. This is an important omission because </w:t>
      </w:r>
      <w:r w:rsidR="0011110E">
        <w:t>it provides</w:t>
      </w:r>
      <w:r w:rsidR="00FD2220" w:rsidRPr="00DC183C">
        <w:t xml:space="preserve"> limited guidance for </w:t>
      </w:r>
      <w:r w:rsidR="00225FDB">
        <w:t xml:space="preserve">the </w:t>
      </w:r>
      <w:r w:rsidR="00FD2220" w:rsidRPr="00DC183C">
        <w:t>UNDP TAs</w:t>
      </w:r>
      <w:r w:rsidR="00225FDB">
        <w:t>,</w:t>
      </w:r>
      <w:r w:rsidR="00FD2220" w:rsidRPr="00DC183C">
        <w:t xml:space="preserve"> </w:t>
      </w:r>
      <w:r>
        <w:t>and</w:t>
      </w:r>
      <w:r w:rsidR="00225FDB">
        <w:t>,</w:t>
      </w:r>
      <w:r w:rsidR="00FD2220" w:rsidRPr="00DC183C">
        <w:t xml:space="preserve"> indeed</w:t>
      </w:r>
      <w:r w:rsidR="00225FDB">
        <w:t>,</w:t>
      </w:r>
      <w:r w:rsidR="00FD2220" w:rsidRPr="00DC183C">
        <w:t xml:space="preserve"> </w:t>
      </w:r>
      <w:r>
        <w:t xml:space="preserve">key information regarding </w:t>
      </w:r>
      <w:r w:rsidR="00FD2220" w:rsidRPr="00DC183C">
        <w:t xml:space="preserve">the skills that TAs </w:t>
      </w:r>
      <w:r>
        <w:t>are required</w:t>
      </w:r>
      <w:r w:rsidR="00FD2220" w:rsidRPr="00DC183C">
        <w:t xml:space="preserve"> to bring to the task. </w:t>
      </w:r>
      <w:r w:rsidR="00ED48CC">
        <w:t xml:space="preserve">Arguably, it also </w:t>
      </w:r>
      <w:r>
        <w:t>means that the</w:t>
      </w:r>
      <w:r w:rsidR="00ED48CC">
        <w:t xml:space="preserve"> UNDP’s effort </w:t>
      </w:r>
      <w:r>
        <w:t>is</w:t>
      </w:r>
      <w:r w:rsidR="00ED48CC">
        <w:t xml:space="preserve"> directed </w:t>
      </w:r>
      <w:r w:rsidR="00773AEB">
        <w:t>at the</w:t>
      </w:r>
      <w:r w:rsidR="00ED48CC">
        <w:t xml:space="preserve"> output level</w:t>
      </w:r>
      <w:r>
        <w:t>,</w:t>
      </w:r>
      <w:r w:rsidR="00ED48CC">
        <w:t xml:space="preserve"> with less attention given to </w:t>
      </w:r>
      <w:r>
        <w:t>higher-</w:t>
      </w:r>
      <w:r w:rsidR="00ED48CC">
        <w:t>level outcome</w:t>
      </w:r>
      <w:r>
        <w:t>s and impact level objectives.</w:t>
      </w:r>
      <w:r w:rsidR="00ED48CC">
        <w:t xml:space="preserve"> In addition, it means that </w:t>
      </w:r>
      <w:r w:rsidR="00773AEB">
        <w:t xml:space="preserve">the </w:t>
      </w:r>
      <w:r w:rsidR="00ED48CC">
        <w:t>UNDP supported reports are focussed at the output level</w:t>
      </w:r>
      <w:r w:rsidR="00773AEB">
        <w:t>,</w:t>
      </w:r>
      <w:r w:rsidR="00ED48CC">
        <w:t xml:space="preserve"> </w:t>
      </w:r>
      <w:r w:rsidR="004E6307">
        <w:t xml:space="preserve">with limited attention </w:t>
      </w:r>
      <w:r w:rsidR="00773AEB">
        <w:t xml:space="preserve">given </w:t>
      </w:r>
      <w:r w:rsidR="004E6307">
        <w:t>to documenting outcomes (including capacity building outcomes)</w:t>
      </w:r>
      <w:r w:rsidR="005940A4">
        <w:t xml:space="preserve">. In turn, this </w:t>
      </w:r>
      <w:r w:rsidR="0031644E" w:rsidRPr="00DC183C">
        <w:t>creates tension</w:t>
      </w:r>
      <w:r w:rsidR="004E6307">
        <w:t xml:space="preserve"> </w:t>
      </w:r>
      <w:r w:rsidR="005940A4">
        <w:t xml:space="preserve">regarding </w:t>
      </w:r>
      <w:r w:rsidR="004E6307">
        <w:t>the quality of reports provided to donors</w:t>
      </w:r>
      <w:r w:rsidR="005940A4">
        <w:t>, which should include</w:t>
      </w:r>
      <w:r w:rsidR="004E6307">
        <w:t xml:space="preserve"> </w:t>
      </w:r>
      <w:r w:rsidR="0031644E" w:rsidRPr="00DC183C">
        <w:t>donor reporting requirements and evidence of development</w:t>
      </w:r>
      <w:r w:rsidR="005940A4">
        <w:t>al</w:t>
      </w:r>
      <w:r w:rsidR="0031644E" w:rsidRPr="00DC183C">
        <w:t xml:space="preserve"> aid providing value for money</w:t>
      </w:r>
      <w:r w:rsidR="004E6307">
        <w:t xml:space="preserve"> and achieving donor objectives</w:t>
      </w:r>
      <w:r w:rsidR="001641E0" w:rsidRPr="00DC183C">
        <w:t xml:space="preserve">. This is particularly important in an environment of reduced budgets, </w:t>
      </w:r>
      <w:r w:rsidR="0045357A">
        <w:t>especially with</w:t>
      </w:r>
      <w:r w:rsidR="001641E0" w:rsidRPr="00DC183C">
        <w:t xml:space="preserve"> a shift from humanitarian</w:t>
      </w:r>
      <w:r w:rsidR="0045357A">
        <w:t xml:space="preserve"> </w:t>
      </w:r>
      <w:r w:rsidR="005940A4">
        <w:t xml:space="preserve">support </w:t>
      </w:r>
      <w:r w:rsidR="001641E0" w:rsidRPr="00DC183C">
        <w:t>to development aid</w:t>
      </w:r>
      <w:r w:rsidR="005940A4">
        <w:t>,</w:t>
      </w:r>
      <w:r w:rsidR="001641E0" w:rsidRPr="00DC183C">
        <w:t xml:space="preserve"> as Lao PDR progressed </w:t>
      </w:r>
      <w:r w:rsidR="005940A4">
        <w:t xml:space="preserve">from low-income status </w:t>
      </w:r>
      <w:r w:rsidR="001641E0" w:rsidRPr="00DC183C">
        <w:t xml:space="preserve">to lower-middle income country status.  </w:t>
      </w:r>
      <w:r w:rsidR="0031644E" w:rsidRPr="00DC183C">
        <w:t xml:space="preserve">  </w:t>
      </w:r>
    </w:p>
    <w:p w:rsidR="00183711" w:rsidRPr="00387AAF" w:rsidRDefault="00340E5F" w:rsidP="005B0B5A">
      <w:pPr>
        <w:rPr>
          <w:rFonts w:ascii="Calibri" w:eastAsiaTheme="minorEastAsia" w:hAnsi="Calibri" w:cs="Arial"/>
        </w:rPr>
      </w:pPr>
      <w:r w:rsidRPr="0070260E">
        <w:rPr>
          <w:rFonts w:ascii="Calibri" w:eastAsiaTheme="minorEastAsia" w:hAnsi="Calibri" w:cs="Arial"/>
        </w:rPr>
        <w:t xml:space="preserve">The Trust Fund administered by </w:t>
      </w:r>
      <w:r w:rsidR="009C78D5" w:rsidRPr="0070260E">
        <w:rPr>
          <w:rFonts w:ascii="Calibri" w:eastAsiaTheme="minorEastAsia" w:hAnsi="Calibri" w:cs="Arial"/>
        </w:rPr>
        <w:t xml:space="preserve">the </w:t>
      </w:r>
      <w:r w:rsidRPr="0070260E">
        <w:rPr>
          <w:rFonts w:ascii="Calibri" w:eastAsiaTheme="minorEastAsia" w:hAnsi="Calibri" w:cs="Arial"/>
        </w:rPr>
        <w:t>UNDP</w:t>
      </w:r>
      <w:r w:rsidR="00950D44">
        <w:rPr>
          <w:rFonts w:ascii="Calibri" w:eastAsiaTheme="minorEastAsia" w:hAnsi="Calibri" w:cs="Arial"/>
        </w:rPr>
        <w:t>,</w:t>
      </w:r>
      <w:r w:rsidRPr="0070260E">
        <w:rPr>
          <w:rFonts w:ascii="Calibri" w:eastAsiaTheme="minorEastAsia" w:hAnsi="Calibri" w:cs="Arial"/>
        </w:rPr>
        <w:t xml:space="preserve"> inc</w:t>
      </w:r>
      <w:r w:rsidR="00950D44">
        <w:rPr>
          <w:rFonts w:ascii="Calibri" w:eastAsiaTheme="minorEastAsia" w:hAnsi="Calibri" w:cs="Arial"/>
        </w:rPr>
        <w:t>l</w:t>
      </w:r>
      <w:r w:rsidRPr="0070260E">
        <w:rPr>
          <w:rFonts w:ascii="Calibri" w:eastAsiaTheme="minorEastAsia" w:hAnsi="Calibri" w:cs="Arial"/>
        </w:rPr>
        <w:t>udes an eight percent General Management Support (GMS) fee (seven percent for the EU), agreed</w:t>
      </w:r>
      <w:r w:rsidR="009C78D5" w:rsidRPr="0070260E">
        <w:rPr>
          <w:rFonts w:ascii="Calibri" w:eastAsiaTheme="minorEastAsia" w:hAnsi="Calibri" w:cs="Arial"/>
        </w:rPr>
        <w:t xml:space="preserve"> upon</w:t>
      </w:r>
      <w:r w:rsidRPr="0070260E">
        <w:rPr>
          <w:rFonts w:ascii="Calibri" w:eastAsiaTheme="minorEastAsia" w:hAnsi="Calibri" w:cs="Arial"/>
        </w:rPr>
        <w:t xml:space="preserve"> by member states</w:t>
      </w:r>
      <w:r w:rsidR="00950D44">
        <w:rPr>
          <w:rFonts w:ascii="Calibri" w:eastAsiaTheme="minorEastAsia" w:hAnsi="Calibri" w:cs="Arial"/>
        </w:rPr>
        <w:t>. This</w:t>
      </w:r>
      <w:r w:rsidR="005F26B8" w:rsidRPr="0070260E">
        <w:rPr>
          <w:rFonts w:ascii="Calibri" w:eastAsiaTheme="minorEastAsia" w:hAnsi="Calibri" w:cs="Arial"/>
        </w:rPr>
        <w:t xml:space="preserve"> applies to </w:t>
      </w:r>
      <w:r w:rsidR="00950D44">
        <w:rPr>
          <w:rFonts w:ascii="Calibri" w:eastAsiaTheme="minorEastAsia" w:hAnsi="Calibri" w:cs="Arial"/>
        </w:rPr>
        <w:t xml:space="preserve">both </w:t>
      </w:r>
      <w:r w:rsidR="005F26B8" w:rsidRPr="0070260E">
        <w:rPr>
          <w:rFonts w:ascii="Calibri" w:eastAsiaTheme="minorEastAsia" w:hAnsi="Calibri" w:cs="Arial"/>
        </w:rPr>
        <w:t>the Trust Fund and Cost-Sharing Agreements</w:t>
      </w:r>
      <w:r w:rsidR="00387AAF" w:rsidRPr="0070260E">
        <w:rPr>
          <w:rStyle w:val="FootnoteReference"/>
          <w:rFonts w:ascii="Calibri" w:eastAsiaTheme="minorEastAsia" w:hAnsi="Calibri" w:cs="Arial"/>
        </w:rPr>
        <w:footnoteReference w:id="20"/>
      </w:r>
      <w:r w:rsidR="005F26B8" w:rsidRPr="0070260E">
        <w:rPr>
          <w:rFonts w:ascii="Calibri" w:eastAsiaTheme="minorEastAsia" w:hAnsi="Calibri" w:cs="Arial"/>
        </w:rPr>
        <w:t>.</w:t>
      </w:r>
      <w:r w:rsidR="00387AAF">
        <w:rPr>
          <w:rFonts w:ascii="Calibri" w:eastAsiaTheme="minorEastAsia" w:hAnsi="Calibri" w:cs="Arial"/>
        </w:rPr>
        <w:t xml:space="preserve"> S</w:t>
      </w:r>
      <w:r w:rsidR="002F3B52" w:rsidRPr="00DC183C">
        <w:rPr>
          <w:rFonts w:ascii="Calibri" w:eastAsiaTheme="minorEastAsia" w:hAnsi="Calibri" w:cs="Arial"/>
        </w:rPr>
        <w:t xml:space="preserve">ervices provided from this fee </w:t>
      </w:r>
      <w:r w:rsidR="00950D44">
        <w:rPr>
          <w:rFonts w:ascii="Calibri" w:eastAsiaTheme="minorEastAsia" w:hAnsi="Calibri" w:cs="Arial"/>
        </w:rPr>
        <w:t xml:space="preserve">are </w:t>
      </w:r>
      <w:r w:rsidR="002F3B52" w:rsidRPr="00DC183C">
        <w:rPr>
          <w:rFonts w:ascii="Calibri" w:eastAsiaTheme="minorEastAsia" w:hAnsi="Calibri" w:cs="Arial"/>
        </w:rPr>
        <w:t xml:space="preserve">outlined in </w:t>
      </w:r>
      <w:r w:rsidR="009C78D5">
        <w:rPr>
          <w:rFonts w:ascii="Calibri" w:eastAsiaTheme="minorEastAsia" w:hAnsi="Calibri" w:cs="Arial"/>
        </w:rPr>
        <w:t xml:space="preserve">the </w:t>
      </w:r>
      <w:r w:rsidR="002F3B52" w:rsidRPr="00DC183C">
        <w:rPr>
          <w:rFonts w:ascii="Calibri" w:eastAsiaTheme="minorEastAsia" w:hAnsi="Calibri" w:cs="Arial"/>
        </w:rPr>
        <w:t>UNDP’s Policy on Cost Recovery from Regular and Other Resources</w:t>
      </w:r>
      <w:r w:rsidR="005B0B5A" w:rsidRPr="00DC183C">
        <w:rPr>
          <w:rFonts w:ascii="Calibri" w:eastAsiaTheme="minorEastAsia" w:hAnsi="Calibri" w:cs="Arial"/>
        </w:rPr>
        <w:t xml:space="preserve">. </w:t>
      </w:r>
      <w:r w:rsidR="004E6307">
        <w:rPr>
          <w:rFonts w:ascii="Calibri" w:eastAsiaTheme="minorEastAsia" w:hAnsi="Calibri" w:cs="Arial"/>
        </w:rPr>
        <w:t xml:space="preserve">While these are standard charges across </w:t>
      </w:r>
      <w:r w:rsidR="00950D44">
        <w:rPr>
          <w:rFonts w:ascii="Calibri" w:eastAsiaTheme="minorEastAsia" w:hAnsi="Calibri" w:cs="Arial"/>
        </w:rPr>
        <w:t xml:space="preserve">the </w:t>
      </w:r>
      <w:r w:rsidR="004E6307">
        <w:rPr>
          <w:rFonts w:ascii="Calibri" w:eastAsiaTheme="minorEastAsia" w:hAnsi="Calibri" w:cs="Arial"/>
        </w:rPr>
        <w:t xml:space="preserve">UNDP programmes, </w:t>
      </w:r>
      <w:r w:rsidR="00950D44">
        <w:rPr>
          <w:rFonts w:ascii="Calibri" w:eastAsiaTheme="minorEastAsia" w:hAnsi="Calibri" w:cs="Arial"/>
        </w:rPr>
        <w:t xml:space="preserve">the </w:t>
      </w:r>
      <w:r w:rsidR="004E6307">
        <w:rPr>
          <w:rFonts w:ascii="Calibri" w:eastAsiaTheme="minorEastAsia" w:hAnsi="Calibri" w:cs="Arial"/>
        </w:rPr>
        <w:t xml:space="preserve">UNDP has not consistently communicated to donors how these charges are used to secure sound financial management and protect donor investment. </w:t>
      </w:r>
      <w:r w:rsidR="005B0B5A" w:rsidRPr="00DC183C">
        <w:rPr>
          <w:rFonts w:ascii="Calibri" w:eastAsiaTheme="minorEastAsia" w:hAnsi="Calibri" w:cs="Arial"/>
        </w:rPr>
        <w:t xml:space="preserve">This </w:t>
      </w:r>
      <w:r w:rsidR="004E6307">
        <w:rPr>
          <w:rFonts w:ascii="Calibri" w:eastAsiaTheme="minorEastAsia" w:hAnsi="Calibri" w:cs="Arial"/>
        </w:rPr>
        <w:t>is further compounded for some donors by</w:t>
      </w:r>
      <w:r w:rsidR="00183711" w:rsidRPr="00DC183C">
        <w:t xml:space="preserve"> aggregated reports </w:t>
      </w:r>
      <w:r w:rsidR="004E6307">
        <w:t xml:space="preserve">that are </w:t>
      </w:r>
      <w:r w:rsidR="00183711" w:rsidRPr="00DC183C">
        <w:t>provided to</w:t>
      </w:r>
      <w:r w:rsidR="00F506E6">
        <w:t xml:space="preserve"> the</w:t>
      </w:r>
      <w:r w:rsidR="00183711" w:rsidRPr="00DC183C">
        <w:t xml:space="preserve"> Trust Fund</w:t>
      </w:r>
      <w:r w:rsidR="00E059D4">
        <w:t>,</w:t>
      </w:r>
      <w:r w:rsidR="00183711" w:rsidRPr="00DC183C">
        <w:t xml:space="preserve"> </w:t>
      </w:r>
      <w:r w:rsidR="004E6307">
        <w:t>mean</w:t>
      </w:r>
      <w:r w:rsidR="00E059D4">
        <w:t>ing</w:t>
      </w:r>
      <w:r w:rsidR="004269A0">
        <w:t xml:space="preserve"> it is not possible for donors to assess value for money</w:t>
      </w:r>
      <w:r w:rsidR="00183711" w:rsidRPr="00DC183C">
        <w:t>.</w:t>
      </w:r>
      <w:r w:rsidR="00183711" w:rsidRPr="00DC183C">
        <w:rPr>
          <w:rFonts w:eastAsiaTheme="minorEastAsia" w:cs="Arial"/>
          <w:sz w:val="20"/>
          <w:szCs w:val="20"/>
        </w:rPr>
        <w:t xml:space="preserve">  </w:t>
      </w:r>
    </w:p>
    <w:p w:rsidR="00291E76" w:rsidRPr="00DC183C" w:rsidRDefault="0007395B" w:rsidP="006B7458">
      <w:pPr>
        <w:pStyle w:val="Heading3"/>
      </w:pPr>
      <w:bookmarkStart w:id="28" w:name="_Toc441609332"/>
      <w:r>
        <w:t xml:space="preserve">4.1.2 </w:t>
      </w:r>
      <w:r w:rsidR="00291E76" w:rsidRPr="00DC183C">
        <w:t>Implementation</w:t>
      </w:r>
      <w:bookmarkEnd w:id="28"/>
    </w:p>
    <w:p w:rsidR="004269A0" w:rsidRDefault="00213DD0" w:rsidP="004269A0">
      <w:pPr>
        <w:pStyle w:val="NormalModified"/>
      </w:pPr>
      <w:r>
        <w:rPr>
          <w:rFonts w:ascii="Calibri" w:hAnsi="Calibri" w:cs="Calibri"/>
          <w:szCs w:val="22"/>
        </w:rPr>
        <w:t>T</w:t>
      </w:r>
      <w:r w:rsidR="00A56DA7" w:rsidRPr="00DC183C">
        <w:rPr>
          <w:rFonts w:ascii="Calibri" w:hAnsi="Calibri" w:cs="Calibri"/>
          <w:szCs w:val="22"/>
        </w:rPr>
        <w:t xml:space="preserve">he </w:t>
      </w:r>
      <w:r w:rsidR="005E6360" w:rsidRPr="00DC183C">
        <w:rPr>
          <w:rFonts w:ascii="Calibri" w:hAnsi="Calibri" w:cs="Calibri"/>
          <w:szCs w:val="22"/>
        </w:rPr>
        <w:t>evaluation</w:t>
      </w:r>
      <w:r w:rsidR="00A56DA7" w:rsidRPr="00DC183C">
        <w:rPr>
          <w:rFonts w:ascii="Calibri" w:hAnsi="Calibri" w:cs="Calibri"/>
          <w:szCs w:val="22"/>
        </w:rPr>
        <w:t xml:space="preserve"> also considered the activities </w:t>
      </w:r>
      <w:r w:rsidR="005E6360" w:rsidRPr="00DC183C">
        <w:rPr>
          <w:rFonts w:ascii="Calibri" w:hAnsi="Calibri" w:cs="Calibri"/>
          <w:szCs w:val="22"/>
        </w:rPr>
        <w:t xml:space="preserve">that have been </w:t>
      </w:r>
      <w:r w:rsidR="005E6360" w:rsidRPr="004269A0">
        <w:t xml:space="preserve">implemented </w:t>
      </w:r>
      <w:r w:rsidR="00A56DA7" w:rsidRPr="004269A0">
        <w:t>to</w:t>
      </w:r>
      <w:r w:rsidR="005E6360" w:rsidRPr="004269A0">
        <w:t xml:space="preserve"> generate outputs. </w:t>
      </w:r>
      <w:r w:rsidR="001D070C" w:rsidRPr="004269A0">
        <w:t>Positioning the UXO programme as a national implement</w:t>
      </w:r>
      <w:r w:rsidR="007D748F" w:rsidRPr="004269A0">
        <w:t>ation strategy</w:t>
      </w:r>
      <w:r w:rsidR="001D070C" w:rsidRPr="004269A0">
        <w:t xml:space="preserve"> seems relevant</w:t>
      </w:r>
      <w:r w:rsidR="007D748F" w:rsidRPr="004269A0">
        <w:t>,</w:t>
      </w:r>
      <w:r w:rsidR="001D070C" w:rsidRPr="004269A0">
        <w:t xml:space="preserve"> given that the government is directly concerned with the programme’s activities and results</w:t>
      </w:r>
      <w:r>
        <w:t>. This is</w:t>
      </w:r>
      <w:r w:rsidR="001D070C" w:rsidRPr="004269A0">
        <w:t xml:space="preserve"> evidenced by the integration</w:t>
      </w:r>
      <w:r w:rsidR="007D748F" w:rsidRPr="004269A0">
        <w:t xml:space="preserve"> </w:t>
      </w:r>
      <w:r w:rsidR="001D070C" w:rsidRPr="004269A0">
        <w:t xml:space="preserve">of UXO issues into poverty reduction plans and the shift of the UXO sector to the Prime Minister’s Office under the NLCRDPE. </w:t>
      </w:r>
      <w:r w:rsidR="00584EB5" w:rsidRPr="004269A0">
        <w:t xml:space="preserve">Both the NRA and </w:t>
      </w:r>
      <w:r w:rsidR="004307E1" w:rsidRPr="004269A0">
        <w:t xml:space="preserve">the </w:t>
      </w:r>
      <w:r w:rsidR="00584EB5" w:rsidRPr="004269A0">
        <w:t>UXO Lao</w:t>
      </w:r>
      <w:r>
        <w:t>,</w:t>
      </w:r>
      <w:r w:rsidR="00584EB5" w:rsidRPr="004269A0">
        <w:t xml:space="preserve"> </w:t>
      </w:r>
      <w:r w:rsidR="004269A0">
        <w:t xml:space="preserve">however, </w:t>
      </w:r>
      <w:r w:rsidR="00584EB5" w:rsidRPr="004269A0">
        <w:t>have a somewhat ambiguous status</w:t>
      </w:r>
      <w:r w:rsidR="004307E1" w:rsidRPr="004269A0">
        <w:t xml:space="preserve">. While </w:t>
      </w:r>
      <w:r w:rsidR="00584EB5" w:rsidRPr="004269A0">
        <w:t xml:space="preserve">technically a nationally implemented UNDP supported project, they also </w:t>
      </w:r>
      <w:r w:rsidR="004269A0">
        <w:t xml:space="preserve">have many of the characteristics of </w:t>
      </w:r>
      <w:r w:rsidR="00584EB5" w:rsidRPr="004269A0">
        <w:t>a government department and unit</w:t>
      </w:r>
      <w:r w:rsidR="004307E1" w:rsidRPr="004269A0">
        <w:t>,</w:t>
      </w:r>
      <w:r w:rsidR="00584EB5" w:rsidRPr="004269A0">
        <w:t xml:space="preserve"> but receive no government funding</w:t>
      </w:r>
      <w:r w:rsidR="00D25CD4" w:rsidRPr="004269A0">
        <w:t xml:space="preserve">. </w:t>
      </w:r>
      <w:r w:rsidR="004269A0">
        <w:t>In general</w:t>
      </w:r>
      <w:r>
        <w:t>,</w:t>
      </w:r>
      <w:r w:rsidR="004269A0">
        <w:t xml:space="preserve"> it was felt that </w:t>
      </w:r>
      <w:r w:rsidR="004E6307">
        <w:t xml:space="preserve">UNDP support contributed to </w:t>
      </w:r>
      <w:r w:rsidR="00584EB5" w:rsidRPr="004269A0">
        <w:t>the NRA succeed</w:t>
      </w:r>
      <w:r w:rsidR="004E6307">
        <w:t>ing</w:t>
      </w:r>
      <w:r w:rsidR="00584EB5" w:rsidRPr="004269A0">
        <w:t xml:space="preserve"> in </w:t>
      </w:r>
      <w:r w:rsidR="004F1A16">
        <w:t>coordinating UXO/Mine A</w:t>
      </w:r>
      <w:r w:rsidR="00584EB5" w:rsidRPr="004269A0">
        <w:t>ction activities</w:t>
      </w:r>
      <w:r w:rsidR="004C186F" w:rsidRPr="004269A0">
        <w:t xml:space="preserve"> </w:t>
      </w:r>
      <w:r w:rsidR="004E6307">
        <w:t>– particularly those of the not-for-profit sector. P</w:t>
      </w:r>
      <w:r w:rsidR="004307E1" w:rsidRPr="004269A0">
        <w:t xml:space="preserve">articularly </w:t>
      </w:r>
      <w:r w:rsidR="004E6307">
        <w:t xml:space="preserve">useful has been the support provided by </w:t>
      </w:r>
      <w:r w:rsidR="004C186F" w:rsidRPr="004269A0">
        <w:t xml:space="preserve">the </w:t>
      </w:r>
      <w:r w:rsidR="004E6307">
        <w:t xml:space="preserve">UNDP </w:t>
      </w:r>
      <w:r w:rsidR="004C186F" w:rsidRPr="004269A0">
        <w:t>TAs in planning and chairing meetings and Technical Working Groups</w:t>
      </w:r>
      <w:r w:rsidR="00584EB5" w:rsidRPr="004269A0">
        <w:t xml:space="preserve">. </w:t>
      </w:r>
      <w:r w:rsidR="004E6307">
        <w:t>T</w:t>
      </w:r>
      <w:r w:rsidR="004307E1" w:rsidRPr="004269A0">
        <w:t xml:space="preserve">he </w:t>
      </w:r>
      <w:r w:rsidR="004E6307">
        <w:t xml:space="preserve">Ministry of Foreign Affairs and the </w:t>
      </w:r>
      <w:r w:rsidR="004307E1" w:rsidRPr="004269A0">
        <w:t>NRA</w:t>
      </w:r>
      <w:r>
        <w:t>,</w:t>
      </w:r>
      <w:r w:rsidR="004C186F" w:rsidRPr="004269A0">
        <w:t xml:space="preserve"> </w:t>
      </w:r>
      <w:r w:rsidR="004E6307">
        <w:t>in particular, have</w:t>
      </w:r>
      <w:r w:rsidR="004C186F" w:rsidRPr="004269A0">
        <w:t xml:space="preserve"> benefited from </w:t>
      </w:r>
      <w:r w:rsidR="004307E1" w:rsidRPr="004269A0">
        <w:t xml:space="preserve">the </w:t>
      </w:r>
      <w:r w:rsidR="004C186F" w:rsidRPr="004269A0">
        <w:t xml:space="preserve">UNDP support in terms of meeting its CCM </w:t>
      </w:r>
      <w:r w:rsidR="00F259B5" w:rsidRPr="004269A0">
        <w:t xml:space="preserve">compliance </w:t>
      </w:r>
      <w:r w:rsidR="004C186F" w:rsidRPr="004269A0">
        <w:t xml:space="preserve">requirements </w:t>
      </w:r>
      <w:r w:rsidR="00F259B5" w:rsidRPr="004269A0">
        <w:t>(Articles 1,3,4,5,6,7,9, and 11) a</w:t>
      </w:r>
      <w:r w:rsidR="004C186F" w:rsidRPr="004269A0">
        <w:t xml:space="preserve">nd </w:t>
      </w:r>
      <w:r w:rsidR="004269A0">
        <w:t>being adequately prepared for</w:t>
      </w:r>
      <w:r>
        <w:t>,</w:t>
      </w:r>
      <w:r w:rsidR="004269A0">
        <w:t xml:space="preserve"> and participating</w:t>
      </w:r>
      <w:r>
        <w:t xml:space="preserve"> in,</w:t>
      </w:r>
      <w:r w:rsidR="004C186F" w:rsidRPr="004269A0">
        <w:t xml:space="preserve"> international meetings.</w:t>
      </w:r>
      <w:r w:rsidR="00584EB5" w:rsidRPr="004269A0">
        <w:t xml:space="preserve"> </w:t>
      </w:r>
    </w:p>
    <w:p w:rsidR="003617FA" w:rsidRPr="004269A0" w:rsidRDefault="00292E04" w:rsidP="004269A0">
      <w:pPr>
        <w:pStyle w:val="NormalModified"/>
      </w:pPr>
      <w:r>
        <w:t xml:space="preserve">An area </w:t>
      </w:r>
      <w:r w:rsidR="004269A0">
        <w:t xml:space="preserve">in which respondents </w:t>
      </w:r>
      <w:r w:rsidR="00383965">
        <w:t>felt</w:t>
      </w:r>
      <w:r w:rsidR="004269A0">
        <w:t xml:space="preserve"> less confident </w:t>
      </w:r>
      <w:r>
        <w:t xml:space="preserve">was </w:t>
      </w:r>
      <w:r w:rsidR="004269A0">
        <w:t>t</w:t>
      </w:r>
      <w:r w:rsidR="00D72121" w:rsidRPr="004269A0">
        <w:t xml:space="preserve">he </w:t>
      </w:r>
      <w:r w:rsidR="004E6307">
        <w:t xml:space="preserve">effectiveness of UNDP support </w:t>
      </w:r>
      <w:r>
        <w:t>in</w:t>
      </w:r>
      <w:r w:rsidR="004E6307">
        <w:t xml:space="preserve"> developing the </w:t>
      </w:r>
      <w:r w:rsidR="004269A0">
        <w:t xml:space="preserve">capacity of the </w:t>
      </w:r>
      <w:r w:rsidR="00D72121" w:rsidRPr="004269A0">
        <w:t>NRA to meet its Quality Assurance/ Quality Control obligations</w:t>
      </w:r>
      <w:r w:rsidR="004E6307">
        <w:t>. Some respondents were also</w:t>
      </w:r>
      <w:r w:rsidR="004269A0">
        <w:t xml:space="preserve"> </w:t>
      </w:r>
      <w:r w:rsidR="009732AE" w:rsidRPr="004269A0">
        <w:t xml:space="preserve">somewhat ambiguous about the effectiveness and efficiency of the NRA </w:t>
      </w:r>
      <w:r w:rsidR="004269A0">
        <w:t xml:space="preserve">in terms of ensuring maximum </w:t>
      </w:r>
      <w:r w:rsidR="009732AE" w:rsidRPr="004269A0">
        <w:t>impact</w:t>
      </w:r>
      <w:r w:rsidR="004269A0">
        <w:t xml:space="preserve"> for investment</w:t>
      </w:r>
      <w:r w:rsidR="00584EB5" w:rsidRPr="004269A0">
        <w:t xml:space="preserve">. </w:t>
      </w:r>
      <w:r>
        <w:t>International NGOs</w:t>
      </w:r>
      <w:r w:rsidR="00383965">
        <w:t>,</w:t>
      </w:r>
      <w:r>
        <w:t xml:space="preserve"> in particular</w:t>
      </w:r>
      <w:r w:rsidR="00383965">
        <w:t>,</w:t>
      </w:r>
      <w:r>
        <w:t xml:space="preserve"> expressed frustration </w:t>
      </w:r>
      <w:r w:rsidR="00383965">
        <w:t>regarding the length of time taken to process MOUs and the UNDP</w:t>
      </w:r>
      <w:r>
        <w:t>’s capacity to influence this. This has been a long-standing issue</w:t>
      </w:r>
      <w:r w:rsidR="00383965">
        <w:t>,</w:t>
      </w:r>
      <w:r>
        <w:t xml:space="preserve"> but is not one restricted to the UXO/mine action sector</w:t>
      </w:r>
      <w:r w:rsidR="00383965">
        <w:t>.</w:t>
      </w:r>
      <w:r>
        <w:t xml:space="preserve"> </w:t>
      </w:r>
      <w:r w:rsidR="00383965">
        <w:t>It</w:t>
      </w:r>
      <w:r>
        <w:t xml:space="preserve"> relates more broadly to overall administrative capacity and has been a subject of much discussion in NGO and government forums. In general, </w:t>
      </w:r>
      <w:r w:rsidR="00383965">
        <w:t xml:space="preserve">the </w:t>
      </w:r>
      <w:r>
        <w:t xml:space="preserve">processing of MOUs for the UXO/mine action sector do not seem to take significantly longer than those in other sectors. </w:t>
      </w:r>
      <w:r w:rsidR="009732AE" w:rsidRPr="004269A0">
        <w:t xml:space="preserve">Further, </w:t>
      </w:r>
      <w:r w:rsidR="009F4D52">
        <w:t xml:space="preserve">respondents </w:t>
      </w:r>
      <w:r w:rsidR="009732AE" w:rsidRPr="004269A0">
        <w:t>felt that while the NRA asserts its authority over NGOs, it takes a more relaxed approach to the activities of other service providers, notably for-profit</w:t>
      </w:r>
      <w:r w:rsidR="00F14AA6" w:rsidRPr="004269A0">
        <w:t xml:space="preserve"> services</w:t>
      </w:r>
      <w:r w:rsidR="009732AE" w:rsidRPr="004269A0">
        <w:t xml:space="preserve"> and the army</w:t>
      </w:r>
      <w:r w:rsidR="009F4D52">
        <w:t xml:space="preserve">. </w:t>
      </w:r>
      <w:r w:rsidR="004269A0">
        <w:t xml:space="preserve"> </w:t>
      </w:r>
      <w:r w:rsidR="009F4D52">
        <w:t>The</w:t>
      </w:r>
      <w:r w:rsidR="004269A0">
        <w:t xml:space="preserve"> UNDP could support the </w:t>
      </w:r>
      <w:r w:rsidR="004C186F" w:rsidRPr="004269A0">
        <w:t xml:space="preserve">NRA </w:t>
      </w:r>
      <w:r w:rsidR="004269A0">
        <w:t xml:space="preserve">further </w:t>
      </w:r>
      <w:r w:rsidR="004C186F" w:rsidRPr="004269A0">
        <w:t xml:space="preserve">to ensure that there is no </w:t>
      </w:r>
      <w:r w:rsidR="004269A0">
        <w:t xml:space="preserve">real or perceived </w:t>
      </w:r>
      <w:r w:rsidR="004C186F" w:rsidRPr="004269A0">
        <w:t>conflict of interests</w:t>
      </w:r>
      <w:r w:rsidR="00F259B5" w:rsidRPr="00DC183C">
        <w:t>.</w:t>
      </w:r>
      <w:r w:rsidR="00D72121" w:rsidRPr="00DC183C">
        <w:t xml:space="preserve"> </w:t>
      </w:r>
      <w:r w:rsidR="00F259B5" w:rsidRPr="00DC183C">
        <w:t xml:space="preserve">In the second quarter of </w:t>
      </w:r>
      <w:r w:rsidR="004F7C59" w:rsidRPr="00DC183C">
        <w:t>2014,</w:t>
      </w:r>
      <w:r w:rsidR="00F259B5" w:rsidRPr="00DC183C">
        <w:t xml:space="preserve"> </w:t>
      </w:r>
      <w:r w:rsidR="00F14AA6">
        <w:t xml:space="preserve">the </w:t>
      </w:r>
      <w:r w:rsidR="00F259B5" w:rsidRPr="00DC183C">
        <w:t xml:space="preserve">UNDP supported a participatory capacity assessment </w:t>
      </w:r>
      <w:r w:rsidR="009A2AD3">
        <w:t xml:space="preserve">and is </w:t>
      </w:r>
      <w:r w:rsidR="009F4D52">
        <w:t xml:space="preserve">currently </w:t>
      </w:r>
      <w:r w:rsidR="009A2AD3">
        <w:t xml:space="preserve">advocating for increased government commitment in terms of financing the NRA and </w:t>
      </w:r>
      <w:r w:rsidR="009F4D52">
        <w:t xml:space="preserve">the </w:t>
      </w:r>
      <w:r w:rsidR="009A2AD3">
        <w:t>UXO Lao</w:t>
      </w:r>
      <w:r w:rsidR="00D25CD4">
        <w:t xml:space="preserve">. </w:t>
      </w:r>
      <w:r w:rsidR="007E09CC" w:rsidRPr="00DC183C">
        <w:t xml:space="preserve">This is also an issue for some donors who </w:t>
      </w:r>
      <w:r w:rsidR="009F4D52">
        <w:t>feel frustrated at the lack of g</w:t>
      </w:r>
      <w:r w:rsidR="007E09CC" w:rsidRPr="00DC183C">
        <w:t>overnment budgetary contributions</w:t>
      </w:r>
      <w:r w:rsidR="009F4D52">
        <w:t>,</w:t>
      </w:r>
      <w:r w:rsidR="009A2AD3">
        <w:t xml:space="preserve"> but</w:t>
      </w:r>
      <w:r w:rsidR="009F4D52">
        <w:t>,</w:t>
      </w:r>
      <w:r w:rsidR="009A2AD3">
        <w:t xml:space="preserve"> to date</w:t>
      </w:r>
      <w:r w:rsidR="009F4D52">
        <w:t>,</w:t>
      </w:r>
      <w:r w:rsidR="009A2AD3">
        <w:t xml:space="preserve"> progress against this has been limited</w:t>
      </w:r>
      <w:r w:rsidR="007E09CC" w:rsidRPr="00DC183C">
        <w:t xml:space="preserve">. </w:t>
      </w:r>
    </w:p>
    <w:p w:rsidR="00611588" w:rsidRDefault="00EC4C82" w:rsidP="008F299C">
      <w:pPr>
        <w:rPr>
          <w:rFonts w:cs="Times New Roman"/>
        </w:rPr>
      </w:pPr>
      <w:r w:rsidRPr="00DC183C">
        <w:t xml:space="preserve">Overall, </w:t>
      </w:r>
      <w:r w:rsidR="00E54CF7">
        <w:t xml:space="preserve">the </w:t>
      </w:r>
      <w:r w:rsidRPr="00DC183C">
        <w:t xml:space="preserve">UXO Lao is seen as </w:t>
      </w:r>
      <w:r w:rsidR="00E54CF7">
        <w:t xml:space="preserve">a </w:t>
      </w:r>
      <w:r w:rsidRPr="00DC183C">
        <w:t>competent provider of UXO clearance services</w:t>
      </w:r>
      <w:r w:rsidR="00224905">
        <w:t>.</w:t>
      </w:r>
      <w:r w:rsidR="00292E04">
        <w:t xml:space="preserve"> </w:t>
      </w:r>
      <w:r w:rsidR="00224905">
        <w:t>The</w:t>
      </w:r>
      <w:r w:rsidR="00292E04">
        <w:t xml:space="preserve"> UNDP support, alongside other organisational support over the years, has contributed to this. I</w:t>
      </w:r>
      <w:r w:rsidR="00C8615B" w:rsidRPr="00DC183C">
        <w:t>mproving</w:t>
      </w:r>
      <w:r w:rsidR="00E54CF7">
        <w:t xml:space="preserve"> the</w:t>
      </w:r>
      <w:r w:rsidR="00C8615B" w:rsidRPr="00DC183C">
        <w:t xml:space="preserve"> efficiency and effectiveness of UXO clearance operations </w:t>
      </w:r>
      <w:r w:rsidR="00292E04">
        <w:t>is</w:t>
      </w:r>
      <w:r w:rsidR="00224905">
        <w:t>,</w:t>
      </w:r>
      <w:r w:rsidR="00292E04">
        <w:t xml:space="preserve"> however</w:t>
      </w:r>
      <w:r w:rsidR="00224905">
        <w:t>,</w:t>
      </w:r>
      <w:r w:rsidR="00292E04">
        <w:t xml:space="preserve"> </w:t>
      </w:r>
      <w:r w:rsidR="00C8615B" w:rsidRPr="00DC183C">
        <w:t xml:space="preserve">an on-going endeavour, including piloting different methods of land release. Since the CCM came into force </w:t>
      </w:r>
      <w:r w:rsidR="00E54CF7">
        <w:t xml:space="preserve">in </w:t>
      </w:r>
      <w:r w:rsidR="00C8615B" w:rsidRPr="00DC183C">
        <w:t>2010</w:t>
      </w:r>
      <w:r w:rsidR="00E54CF7">
        <w:t>,</w:t>
      </w:r>
      <w:r w:rsidR="00C8615B" w:rsidRPr="00DC183C">
        <w:t xml:space="preserve"> having a more accurate understanding of the scope of UXO contamination </w:t>
      </w:r>
      <w:r w:rsidR="00BF4428" w:rsidRPr="00DC183C">
        <w:t>has become particularly important in order to comply with Article 4</w:t>
      </w:r>
      <w:r w:rsidR="00224905">
        <w:t>. It has</w:t>
      </w:r>
      <w:r w:rsidR="00BF4428" w:rsidRPr="00DC183C">
        <w:t xml:space="preserve"> </w:t>
      </w:r>
      <w:r w:rsidR="00224905">
        <w:t>also</w:t>
      </w:r>
      <w:r w:rsidR="00BF4428" w:rsidRPr="00DC183C">
        <w:t xml:space="preserve"> led to the trialling of technical survey methods to identify confirmed hazardous areas (CHAs). </w:t>
      </w:r>
      <w:r w:rsidR="007E09CC" w:rsidRPr="00DC183C">
        <w:t xml:space="preserve">This </w:t>
      </w:r>
      <w:r w:rsidR="00224905">
        <w:t>was a direct response</w:t>
      </w:r>
      <w:r w:rsidR="007E09CC" w:rsidRPr="00DC183C">
        <w:t xml:space="preserve"> to some </w:t>
      </w:r>
      <w:r w:rsidR="007E09CC" w:rsidRPr="009E1859">
        <w:t xml:space="preserve">donor demands </w:t>
      </w:r>
      <w:r w:rsidR="007E09CC" w:rsidRPr="008F299C">
        <w:rPr>
          <w:rFonts w:eastAsiaTheme="minorEastAsia" w:cs="Calibri"/>
        </w:rPr>
        <w:t>for more information on the extent of the contamination problem</w:t>
      </w:r>
      <w:r w:rsidR="00224905">
        <w:rPr>
          <w:rFonts w:eastAsiaTheme="minorEastAsia" w:cs="Calibri"/>
        </w:rPr>
        <w:t>. Donors expressed</w:t>
      </w:r>
      <w:r w:rsidR="00D46281" w:rsidRPr="008F299C">
        <w:rPr>
          <w:rFonts w:eastAsiaTheme="minorEastAsia" w:cs="Calibri"/>
        </w:rPr>
        <w:t xml:space="preserve"> concern that an analysis of the IMSMA database revealed that many of the completed clearance tasks did not find any UXO</w:t>
      </w:r>
      <w:r w:rsidR="007E09CC" w:rsidRPr="008F299C">
        <w:rPr>
          <w:rFonts w:eastAsiaTheme="minorEastAsia" w:cs="Calibri"/>
        </w:rPr>
        <w:t xml:space="preserve">. </w:t>
      </w:r>
      <w:r w:rsidR="00224905">
        <w:rPr>
          <w:rFonts w:eastAsiaTheme="minorEastAsia" w:cs="Calibri"/>
        </w:rPr>
        <w:t>While</w:t>
      </w:r>
      <w:r w:rsidR="00292E04">
        <w:rPr>
          <w:rFonts w:eastAsiaTheme="minorEastAsia" w:cs="Calibri"/>
        </w:rPr>
        <w:t xml:space="preserve"> a collective effort </w:t>
      </w:r>
      <w:r w:rsidR="00224905">
        <w:rPr>
          <w:rFonts w:eastAsiaTheme="minorEastAsia" w:cs="Calibri"/>
        </w:rPr>
        <w:t>with</w:t>
      </w:r>
      <w:r w:rsidR="00292E04">
        <w:rPr>
          <w:rFonts w:eastAsiaTheme="minorEastAsia" w:cs="Calibri"/>
        </w:rPr>
        <w:t xml:space="preserve"> international and national actors, </w:t>
      </w:r>
      <w:r w:rsidR="00224905">
        <w:rPr>
          <w:rFonts w:eastAsiaTheme="minorEastAsia" w:cs="Calibri"/>
        </w:rPr>
        <w:t xml:space="preserve">the </w:t>
      </w:r>
      <w:r w:rsidR="00292E04">
        <w:rPr>
          <w:rFonts w:eastAsiaTheme="minorEastAsia" w:cs="Calibri"/>
        </w:rPr>
        <w:t>UNDP has been instrumental in facilitating this process</w:t>
      </w:r>
      <w:r w:rsidR="00224905">
        <w:rPr>
          <w:rFonts w:eastAsiaTheme="minorEastAsia" w:cs="Calibri"/>
        </w:rPr>
        <w:t>,</w:t>
      </w:r>
      <w:r w:rsidR="00292E04">
        <w:rPr>
          <w:rFonts w:eastAsiaTheme="minorEastAsia" w:cs="Calibri"/>
        </w:rPr>
        <w:t xml:space="preserve"> which has resulted in </w:t>
      </w:r>
      <w:r w:rsidR="00EA419A" w:rsidRPr="008F299C">
        <w:rPr>
          <w:rFonts w:eastAsiaTheme="minorEastAsia" w:cs="Calibri"/>
        </w:rPr>
        <w:t xml:space="preserve">the </w:t>
      </w:r>
      <w:r w:rsidR="009A2AD3">
        <w:rPr>
          <w:rFonts w:eastAsiaTheme="minorEastAsia" w:cs="Calibri"/>
        </w:rPr>
        <w:t>CMTS</w:t>
      </w:r>
      <w:r w:rsidR="00EA419A" w:rsidRPr="008F299C">
        <w:rPr>
          <w:rFonts w:eastAsiaTheme="minorEastAsia" w:cs="Calibri"/>
        </w:rPr>
        <w:t xml:space="preserve"> </w:t>
      </w:r>
      <w:r w:rsidR="002410F7">
        <w:rPr>
          <w:rFonts w:eastAsiaTheme="minorEastAsia" w:cs="Calibri"/>
        </w:rPr>
        <w:t xml:space="preserve">and other survey </w:t>
      </w:r>
      <w:r w:rsidR="00EA419A" w:rsidRPr="008F299C">
        <w:rPr>
          <w:rFonts w:eastAsiaTheme="minorEastAsia" w:cs="Calibri"/>
        </w:rPr>
        <w:t>process</w:t>
      </w:r>
      <w:r w:rsidR="002410F7">
        <w:rPr>
          <w:rFonts w:eastAsiaTheme="minorEastAsia" w:cs="Calibri"/>
        </w:rPr>
        <w:t>es</w:t>
      </w:r>
      <w:r w:rsidR="00292E04">
        <w:rPr>
          <w:rFonts w:eastAsiaTheme="minorEastAsia" w:cs="Calibri"/>
        </w:rPr>
        <w:t xml:space="preserve"> being </w:t>
      </w:r>
      <w:r w:rsidR="00EA419A" w:rsidRPr="008F299C">
        <w:rPr>
          <w:rFonts w:eastAsiaTheme="minorEastAsia" w:cs="Calibri"/>
        </w:rPr>
        <w:t xml:space="preserve">approved by the NRA Board. The CMTS has already demonstrated the potential to increase </w:t>
      </w:r>
      <w:r w:rsidR="00EA419A" w:rsidRPr="009E1859">
        <w:rPr>
          <w:rFonts w:cs="Times New Roman"/>
        </w:rPr>
        <w:t>effectiveness</w:t>
      </w:r>
      <w:r w:rsidR="008076CC">
        <w:rPr>
          <w:rFonts w:cs="Times New Roman"/>
        </w:rPr>
        <w:t>,</w:t>
      </w:r>
      <w:r w:rsidR="00EA419A" w:rsidRPr="009E1859">
        <w:rPr>
          <w:rFonts w:cs="Times New Roman"/>
        </w:rPr>
        <w:t xml:space="preserve"> in terms of </w:t>
      </w:r>
      <w:r w:rsidR="00E54CF7">
        <w:rPr>
          <w:rFonts w:cs="Times New Roman"/>
        </w:rPr>
        <w:t xml:space="preserve">the </w:t>
      </w:r>
      <w:r w:rsidR="00EA419A" w:rsidRPr="009E1859">
        <w:rPr>
          <w:rFonts w:cs="Times New Roman"/>
        </w:rPr>
        <w:t xml:space="preserve">number of cluster munitions removed per hectare. The challenge will be to ensure </w:t>
      </w:r>
      <w:r w:rsidR="00E54CF7">
        <w:rPr>
          <w:rFonts w:cs="Times New Roman"/>
        </w:rPr>
        <w:t>a</w:t>
      </w:r>
      <w:r w:rsidR="00E54CF7" w:rsidRPr="009E1859">
        <w:rPr>
          <w:rFonts w:cs="Times New Roman"/>
        </w:rPr>
        <w:t xml:space="preserve"> </w:t>
      </w:r>
      <w:r w:rsidR="00EA419A" w:rsidRPr="009E1859">
        <w:rPr>
          <w:rFonts w:cs="Times New Roman"/>
        </w:rPr>
        <w:t>balance between survey and clearance resources</w:t>
      </w:r>
      <w:r w:rsidR="00E54CF7">
        <w:rPr>
          <w:rFonts w:cs="Times New Roman"/>
        </w:rPr>
        <w:t>,</w:t>
      </w:r>
      <w:r w:rsidR="00EA419A" w:rsidRPr="009E1859">
        <w:rPr>
          <w:rFonts w:cs="Times New Roman"/>
        </w:rPr>
        <w:t xml:space="preserve"> </w:t>
      </w:r>
      <w:r w:rsidR="008076CC">
        <w:rPr>
          <w:rFonts w:cs="Times New Roman"/>
        </w:rPr>
        <w:t xml:space="preserve">such </w:t>
      </w:r>
      <w:r w:rsidR="00EA419A" w:rsidRPr="009E1859">
        <w:rPr>
          <w:rFonts w:cs="Times New Roman"/>
        </w:rPr>
        <w:t>that clearance continues at the same pace</w:t>
      </w:r>
      <w:r w:rsidR="008076CC">
        <w:rPr>
          <w:rFonts w:cs="Times New Roman"/>
        </w:rPr>
        <w:t xml:space="preserve"> while</w:t>
      </w:r>
      <w:r w:rsidR="00EA419A" w:rsidRPr="009E1859">
        <w:rPr>
          <w:rFonts w:cs="Times New Roman"/>
        </w:rPr>
        <w:t xml:space="preserve"> </w:t>
      </w:r>
      <w:r w:rsidR="00EA419A" w:rsidRPr="00E54CF7">
        <w:rPr>
          <w:rFonts w:cs="Times New Roman"/>
        </w:rPr>
        <w:t xml:space="preserve">the CMTS is being implemented. </w:t>
      </w:r>
      <w:r w:rsidRPr="00E54CF7">
        <w:rPr>
          <w:rFonts w:cs="Times New Roman"/>
        </w:rPr>
        <w:t xml:space="preserve">With </w:t>
      </w:r>
      <w:r w:rsidR="00830C43">
        <w:rPr>
          <w:rFonts w:cs="Times New Roman"/>
        </w:rPr>
        <w:t xml:space="preserve">the </w:t>
      </w:r>
      <w:r w:rsidRPr="009E1859">
        <w:rPr>
          <w:rFonts w:cs="Times New Roman"/>
        </w:rPr>
        <w:t>UNDP support</w:t>
      </w:r>
      <w:r w:rsidR="00830C43">
        <w:rPr>
          <w:rFonts w:cs="Times New Roman"/>
        </w:rPr>
        <w:t>,</w:t>
      </w:r>
      <w:r w:rsidRPr="009E1859">
        <w:rPr>
          <w:rFonts w:cs="Times New Roman"/>
        </w:rPr>
        <w:t xml:space="preserve"> t</w:t>
      </w:r>
      <w:r w:rsidR="00EA419A" w:rsidRPr="009E1859">
        <w:rPr>
          <w:rFonts w:cs="Times New Roman"/>
        </w:rPr>
        <w:t xml:space="preserve">he </w:t>
      </w:r>
      <w:r w:rsidR="00EA419A" w:rsidRPr="00E54CF7">
        <w:rPr>
          <w:rFonts w:cs="Times New Roman"/>
        </w:rPr>
        <w:t>8</w:t>
      </w:r>
      <w:r w:rsidR="00EA419A" w:rsidRPr="00E54CF7">
        <w:rPr>
          <w:rFonts w:cs="Times New Roman"/>
          <w:vertAlign w:val="superscript"/>
        </w:rPr>
        <w:t>th</w:t>
      </w:r>
      <w:r w:rsidR="008C04C6">
        <w:rPr>
          <w:rFonts w:cs="Times New Roman"/>
        </w:rPr>
        <w:t xml:space="preserve"> </w:t>
      </w:r>
      <w:r w:rsidR="00C116C5">
        <w:rPr>
          <w:rFonts w:cs="Times New Roman"/>
        </w:rPr>
        <w:t>5</w:t>
      </w:r>
      <w:r w:rsidR="00EA419A" w:rsidRPr="00E54CF7">
        <w:rPr>
          <w:rFonts w:cs="Times New Roman"/>
        </w:rPr>
        <w:t>-year NESPD</w:t>
      </w:r>
      <w:r w:rsidR="00830C43" w:rsidRPr="00830C43">
        <w:rPr>
          <w:rFonts w:cs="Times New Roman"/>
        </w:rPr>
        <w:t xml:space="preserve"> </w:t>
      </w:r>
      <w:r w:rsidR="00830C43" w:rsidRPr="00395A9B">
        <w:rPr>
          <w:rFonts w:cs="Times New Roman"/>
        </w:rPr>
        <w:t>draft</w:t>
      </w:r>
      <w:r w:rsidR="00EA419A" w:rsidRPr="009E1859">
        <w:rPr>
          <w:rFonts w:cs="Times New Roman"/>
        </w:rPr>
        <w:t xml:space="preserve"> </w:t>
      </w:r>
      <w:r w:rsidRPr="009E1859">
        <w:rPr>
          <w:rFonts w:cs="Times New Roman"/>
        </w:rPr>
        <w:t>has included</w:t>
      </w:r>
      <w:r w:rsidR="00EA419A" w:rsidRPr="00E54CF7">
        <w:rPr>
          <w:rFonts w:cs="Times New Roman"/>
        </w:rPr>
        <w:t xml:space="preserve"> indicators to undertake </w:t>
      </w:r>
      <w:r w:rsidR="00830C43">
        <w:rPr>
          <w:rFonts w:cs="Times New Roman"/>
        </w:rPr>
        <w:t xml:space="preserve">the </w:t>
      </w:r>
      <w:r w:rsidR="00EA419A" w:rsidRPr="009E1859">
        <w:rPr>
          <w:rFonts w:cs="Times New Roman"/>
        </w:rPr>
        <w:t>CMTS in priority</w:t>
      </w:r>
      <w:r w:rsidR="00EA419A" w:rsidRPr="00DC183C">
        <w:rPr>
          <w:rFonts w:cs="Times New Roman"/>
        </w:rPr>
        <w:t xml:space="preserve"> focal development areas and</w:t>
      </w:r>
      <w:r w:rsidR="00830C43">
        <w:rPr>
          <w:rFonts w:cs="Times New Roman"/>
        </w:rPr>
        <w:t xml:space="preserve"> the</w:t>
      </w:r>
      <w:r w:rsidR="00EA419A" w:rsidRPr="00DC183C">
        <w:rPr>
          <w:rFonts w:cs="Times New Roman"/>
        </w:rPr>
        <w:t xml:space="preserve"> non-technical survey in the remaining areas of the nine provinces where </w:t>
      </w:r>
      <w:r w:rsidR="00830C43">
        <w:rPr>
          <w:rFonts w:cs="Times New Roman"/>
        </w:rPr>
        <w:t xml:space="preserve">the </w:t>
      </w:r>
      <w:r w:rsidR="00EA419A" w:rsidRPr="00DC183C">
        <w:rPr>
          <w:rFonts w:cs="Times New Roman"/>
        </w:rPr>
        <w:t xml:space="preserve">UXO Lao works. </w:t>
      </w:r>
    </w:p>
    <w:p w:rsidR="00ED2AE2" w:rsidRPr="00DC183C" w:rsidRDefault="00E34286" w:rsidP="00E13734">
      <w:r w:rsidRPr="00DC183C">
        <w:t>In terms of Victim Assistance related outputs</w:t>
      </w:r>
      <w:r w:rsidR="00237DEB" w:rsidRPr="00DC183C">
        <w:t>,</w:t>
      </w:r>
      <w:r w:rsidRPr="00DC183C">
        <w:t xml:space="preserve"> </w:t>
      </w:r>
      <w:r w:rsidR="00237DEB" w:rsidRPr="00DC183C">
        <w:t xml:space="preserve">many of the proposed outputs have been achieved, </w:t>
      </w:r>
      <w:r w:rsidR="00EE41A8" w:rsidRPr="00DC183C">
        <w:t xml:space="preserve">including approval of the first UXO Victim </w:t>
      </w:r>
      <w:r w:rsidR="008325AF">
        <w:t>Assistance Strategy for the NRA. However,</w:t>
      </w:r>
      <w:r w:rsidR="00EE41A8" w:rsidRPr="00DC183C">
        <w:t xml:space="preserve"> </w:t>
      </w:r>
      <w:r w:rsidR="005C6B90">
        <w:t xml:space="preserve">the </w:t>
      </w:r>
      <w:r w:rsidR="00237DEB" w:rsidRPr="00DC183C">
        <w:t>UNDP’s contribution has been relatively small</w:t>
      </w:r>
      <w:r w:rsidR="00EE41A8" w:rsidRPr="00DC183C">
        <w:t xml:space="preserve">. </w:t>
      </w:r>
      <w:r w:rsidR="008A49A3" w:rsidRPr="00DC183C">
        <w:t xml:space="preserve">Further, as noted earlier, the </w:t>
      </w:r>
      <w:r w:rsidR="00141DF7">
        <w:t xml:space="preserve">programme </w:t>
      </w:r>
      <w:r w:rsidR="008A49A3" w:rsidRPr="00DC183C">
        <w:t xml:space="preserve">focus </w:t>
      </w:r>
      <w:r w:rsidR="008325AF">
        <w:t>excludes</w:t>
      </w:r>
      <w:r w:rsidR="008A49A3" w:rsidRPr="00DC183C">
        <w:t xml:space="preserve"> </w:t>
      </w:r>
      <w:r w:rsidR="008F299C" w:rsidRPr="00DC183C">
        <w:t>outcomes</w:t>
      </w:r>
      <w:r w:rsidR="008325AF">
        <w:t>, thus making</w:t>
      </w:r>
      <w:r w:rsidR="008A49A3" w:rsidRPr="00DC183C">
        <w:t xml:space="preserve"> the purpose of some of the achieved outputs unclear. For example, </w:t>
      </w:r>
      <w:r w:rsidR="00C55AD7">
        <w:t>one</w:t>
      </w:r>
      <w:r w:rsidR="008A49A3" w:rsidRPr="00DC183C">
        <w:t xml:space="preserve"> target is to</w:t>
      </w:r>
      <w:r w:rsidR="008325AF">
        <w:t xml:space="preserve"> track survivors of UXO injury. This is </w:t>
      </w:r>
      <w:r w:rsidR="008A49A3" w:rsidRPr="00DC183C">
        <w:t>necessary because the 2008 national survey reco</w:t>
      </w:r>
      <w:r w:rsidR="008325AF">
        <w:t>rded injuries but not survivors. However,</w:t>
      </w:r>
      <w:r w:rsidR="008A49A3" w:rsidRPr="00DC183C">
        <w:t xml:space="preserve"> the purpose of this data collection and how it will be used is not clear. </w:t>
      </w:r>
      <w:r w:rsidR="001F7280" w:rsidRPr="00DC183C">
        <w:t>Thus,</w:t>
      </w:r>
      <w:r w:rsidR="008A49A3" w:rsidRPr="00DC183C">
        <w:t xml:space="preserve"> this output can </w:t>
      </w:r>
      <w:r w:rsidR="002204AF" w:rsidRPr="00DC183C">
        <w:t xml:space="preserve">potentially </w:t>
      </w:r>
      <w:r w:rsidR="001F7280" w:rsidRPr="00DC183C">
        <w:t>be achieved</w:t>
      </w:r>
      <w:r w:rsidR="002204AF" w:rsidRPr="00DC183C">
        <w:t xml:space="preserve"> without having any impact o</w:t>
      </w:r>
      <w:r w:rsidR="00C55AD7">
        <w:t>n</w:t>
      </w:r>
      <w:r w:rsidR="002204AF" w:rsidRPr="00DC183C">
        <w:t xml:space="preserve"> the lives of people injured by UXO. </w:t>
      </w:r>
      <w:r w:rsidR="008A49A3" w:rsidRPr="00DC183C">
        <w:t xml:space="preserve"> </w:t>
      </w:r>
      <w:r w:rsidR="009A2AD3">
        <w:t>UNICEF</w:t>
      </w:r>
      <w:r w:rsidR="004F7C59" w:rsidRPr="00DC183C">
        <w:t xml:space="preserve"> has provided limited inputs to the </w:t>
      </w:r>
      <w:r w:rsidR="009A2AD3">
        <w:t>MRE u</w:t>
      </w:r>
      <w:r w:rsidR="004F7C59" w:rsidRPr="00DC183C">
        <w:t>nits</w:t>
      </w:r>
      <w:r w:rsidR="00B45410">
        <w:t>,</w:t>
      </w:r>
      <w:r w:rsidR="004F7C59" w:rsidRPr="00DC183C">
        <w:t xml:space="preserve"> in both </w:t>
      </w:r>
      <w:r w:rsidR="00C55AD7">
        <w:t xml:space="preserve">the </w:t>
      </w:r>
      <w:r w:rsidR="004F7C59" w:rsidRPr="00DC183C">
        <w:t xml:space="preserve">UXO Lao and the NRA. </w:t>
      </w:r>
      <w:r w:rsidR="00E535F3" w:rsidRPr="00DC183C">
        <w:t>The MRE unit, in cooperation with the Ministry of Information and Culture, develop</w:t>
      </w:r>
      <w:r w:rsidR="00D72121" w:rsidRPr="00DC183C">
        <w:t>ed</w:t>
      </w:r>
      <w:r w:rsidR="00E535F3" w:rsidRPr="00DC183C">
        <w:t xml:space="preserve"> specific risk education messages related to making fires</w:t>
      </w:r>
      <w:r w:rsidR="00B45410">
        <w:t xml:space="preserve">, </w:t>
      </w:r>
      <w:r w:rsidR="00E535F3" w:rsidRPr="00DC183C">
        <w:t>a major cause of injuries</w:t>
      </w:r>
      <w:r w:rsidR="00B45410">
        <w:t xml:space="preserve">. These messages </w:t>
      </w:r>
      <w:r w:rsidR="00E535F3" w:rsidRPr="00DC183C">
        <w:t>were broadcasted via radio to vulnerable communities in two severely contaminated provinces</w:t>
      </w:r>
      <w:r w:rsidR="008F299C">
        <w:t xml:space="preserve">, </w:t>
      </w:r>
      <w:r w:rsidR="0061128C" w:rsidRPr="00DC183C">
        <w:t>Xieng Khuang</w:t>
      </w:r>
      <w:r w:rsidR="00E535F3" w:rsidRPr="00DC183C">
        <w:t xml:space="preserve"> and Saravane</w:t>
      </w:r>
      <w:r w:rsidR="00D72121" w:rsidRPr="00DC183C">
        <w:t>.</w:t>
      </w:r>
      <w:r w:rsidR="0061128C" w:rsidRPr="00DC183C">
        <w:t xml:space="preserve"> </w:t>
      </w:r>
      <w:r w:rsidR="00ED2AE2" w:rsidRPr="00DC183C">
        <w:t xml:space="preserve">UXO Education textbooks for primary school were </w:t>
      </w:r>
      <w:r w:rsidR="0061128C" w:rsidRPr="00DC183C">
        <w:t xml:space="preserve">also </w:t>
      </w:r>
      <w:r w:rsidR="00ED2AE2" w:rsidRPr="00DC183C">
        <w:t xml:space="preserve">updated in </w:t>
      </w:r>
      <w:r w:rsidR="0061128C" w:rsidRPr="00DC183C">
        <w:t>this project period</w:t>
      </w:r>
      <w:r w:rsidR="004F71CB">
        <w:t>.</w:t>
      </w:r>
      <w:r w:rsidR="0061128C" w:rsidRPr="00DC183C">
        <w:t xml:space="preserve"> </w:t>
      </w:r>
    </w:p>
    <w:p w:rsidR="00E34286" w:rsidRPr="00DC183C" w:rsidRDefault="0061128C" w:rsidP="00EE41A8">
      <w:r w:rsidRPr="00DC183C">
        <w:t xml:space="preserve">In </w:t>
      </w:r>
      <w:r w:rsidR="00611588">
        <w:t xml:space="preserve">2014, </w:t>
      </w:r>
      <w:r w:rsidR="00FF4C83">
        <w:t xml:space="preserve">the </w:t>
      </w:r>
      <w:r w:rsidR="00611588">
        <w:t xml:space="preserve">UNDP supported a participatory capacity development assessment for </w:t>
      </w:r>
      <w:r w:rsidR="00FF4C83">
        <w:t xml:space="preserve">the </w:t>
      </w:r>
      <w:r w:rsidR="00611588">
        <w:t>UXO Lao and the NRA</w:t>
      </w:r>
      <w:r w:rsidR="00FF4C83">
        <w:t>,</w:t>
      </w:r>
      <w:r w:rsidR="00611588">
        <w:t xml:space="preserve"> w</w:t>
      </w:r>
      <w:r w:rsidR="00FF4C83">
        <w:t xml:space="preserve">hich was welcomed by donors, </w:t>
      </w:r>
      <w:r w:rsidR="00611588">
        <w:t>the NRA</w:t>
      </w:r>
      <w:r w:rsidR="00FF4C83">
        <w:t>,</w:t>
      </w:r>
      <w:r w:rsidR="00611588">
        <w:t xml:space="preserve"> and UXO Lao</w:t>
      </w:r>
      <w:r w:rsidR="00FF4C83">
        <w:t>. The assessment</w:t>
      </w:r>
      <w:r w:rsidR="00611588">
        <w:t xml:space="preserve"> has resulted in action plans for each organisation.  </w:t>
      </w:r>
      <w:r w:rsidR="009A2AD3">
        <w:t xml:space="preserve">Overall, the evaluation found </w:t>
      </w:r>
      <w:r w:rsidR="008B187F" w:rsidRPr="00DC183C">
        <w:t>limited evidence of adaptive management practices</w:t>
      </w:r>
      <w:r w:rsidR="00CF2183">
        <w:t>,</w:t>
      </w:r>
      <w:r w:rsidR="008B187F" w:rsidRPr="00DC183C">
        <w:t xml:space="preserve"> with management tending to be reactive rather than based on active monitoring of context</w:t>
      </w:r>
      <w:r w:rsidR="00862373">
        <w:t>.</w:t>
      </w:r>
      <w:r w:rsidR="00862373" w:rsidRPr="00DC183C">
        <w:t xml:space="preserve"> </w:t>
      </w:r>
      <w:r w:rsidR="008B187F" w:rsidRPr="00DC183C">
        <w:t xml:space="preserve">An important step in promoting adaptive management is </w:t>
      </w:r>
      <w:r w:rsidR="00CF2183">
        <w:t xml:space="preserve">the use of </w:t>
      </w:r>
      <w:r w:rsidR="008B187F" w:rsidRPr="00DC183C">
        <w:t>information management (including</w:t>
      </w:r>
      <w:r w:rsidR="00CF2183">
        <w:t xml:space="preserve"> </w:t>
      </w:r>
      <w:r w:rsidR="008B187F" w:rsidRPr="00DC183C">
        <w:t>HR, finance, operations</w:t>
      </w:r>
      <w:r w:rsidR="00CF2183">
        <w:t>,</w:t>
      </w:r>
      <w:r w:rsidR="008B187F" w:rsidRPr="00DC183C">
        <w:t xml:space="preserve"> etc</w:t>
      </w:r>
      <w:r w:rsidR="00CF2183">
        <w:t>.</w:t>
      </w:r>
      <w:r w:rsidR="008B187F" w:rsidRPr="00DC183C">
        <w:t>)</w:t>
      </w:r>
      <w:r w:rsidR="00CF2183">
        <w:t>,</w:t>
      </w:r>
      <w:r w:rsidR="008B187F" w:rsidRPr="00DC183C">
        <w:t xml:space="preserve"> but as mentioned previously</w:t>
      </w:r>
      <w:r w:rsidR="00CF2183">
        <w:t>,</w:t>
      </w:r>
      <w:r w:rsidR="008B187F" w:rsidRPr="00DC183C">
        <w:t xml:space="preserve"> there is limited evidence of proactive information management strategies</w:t>
      </w:r>
      <w:r w:rsidR="00CF2183">
        <w:t>. There is also limited</w:t>
      </w:r>
      <w:r w:rsidR="008B187F" w:rsidRPr="00DC183C">
        <w:t xml:space="preserve"> learning from implementation successes and failures to improve subsequent policies and actions over time. </w:t>
      </w:r>
      <w:r w:rsidR="00541BEC" w:rsidRPr="00DC183C">
        <w:t xml:space="preserve">In 2014, </w:t>
      </w:r>
      <w:r w:rsidR="009A2AD3">
        <w:t xml:space="preserve">for example, </w:t>
      </w:r>
      <w:r w:rsidR="00541BEC" w:rsidRPr="00DC183C">
        <w:t xml:space="preserve">the GMAP undertook </w:t>
      </w:r>
      <w:r w:rsidR="00FF4C83">
        <w:t>an</w:t>
      </w:r>
      <w:r w:rsidR="00541BEC" w:rsidRPr="00DC183C">
        <w:t xml:space="preserve"> assessment of the Gender for UXO sector in Vientiane, Lao PDR</w:t>
      </w:r>
      <w:r w:rsidR="00CF2183">
        <w:t>,</w:t>
      </w:r>
      <w:r w:rsidR="00541BEC" w:rsidRPr="00DC183C">
        <w:t xml:space="preserve"> noting that recommendations from a 2008 assessment were still to be implemented. </w:t>
      </w:r>
    </w:p>
    <w:p w:rsidR="00291E76" w:rsidRPr="00DC183C" w:rsidRDefault="0007395B" w:rsidP="0061128C">
      <w:pPr>
        <w:pStyle w:val="Heading3"/>
      </w:pPr>
      <w:bookmarkStart w:id="29" w:name="_Toc441609333"/>
      <w:r>
        <w:t xml:space="preserve">4.1.3 </w:t>
      </w:r>
      <w:r w:rsidR="00291E76" w:rsidRPr="00DC183C">
        <w:t>Partnership and Coordination</w:t>
      </w:r>
      <w:bookmarkEnd w:id="29"/>
    </w:p>
    <w:p w:rsidR="000B48D0" w:rsidRDefault="001D55AE" w:rsidP="002A694F">
      <w:pPr>
        <w:pStyle w:val="NormalModified"/>
      </w:pPr>
      <w:r>
        <w:t xml:space="preserve">The </w:t>
      </w:r>
      <w:r w:rsidR="008B187F" w:rsidRPr="00DC183C">
        <w:t>UNDP is the major development partner in Lao PDR</w:t>
      </w:r>
      <w:r w:rsidR="006C170E">
        <w:t>,</w:t>
      </w:r>
      <w:r w:rsidR="008B187F" w:rsidRPr="00DC183C">
        <w:t xml:space="preserve"> in terms of its strategic influence on the government and </w:t>
      </w:r>
      <w:r>
        <w:t>its</w:t>
      </w:r>
      <w:r w:rsidR="008B187F" w:rsidRPr="00DC183C">
        <w:t xml:space="preserve"> relationships with government partners. An important part of </w:t>
      </w:r>
      <w:r w:rsidR="009A2AD3" w:rsidRPr="00DC183C">
        <w:t>this</w:t>
      </w:r>
      <w:r w:rsidR="008B187F" w:rsidRPr="00DC183C">
        <w:t xml:space="preserve"> is the Round Table Process where </w:t>
      </w:r>
      <w:r w:rsidR="006C3658">
        <w:t xml:space="preserve">the </w:t>
      </w:r>
      <w:r w:rsidR="008B187F" w:rsidRPr="00DC183C">
        <w:t>UNDP is a co-chair</w:t>
      </w:r>
      <w:r w:rsidR="006C170E">
        <w:t>,</w:t>
      </w:r>
      <w:r w:rsidR="008B187F" w:rsidRPr="00DC183C">
        <w:t xml:space="preserve"> with the </w:t>
      </w:r>
      <w:r w:rsidR="002A694F">
        <w:t xml:space="preserve">US Ambassador, </w:t>
      </w:r>
      <w:r w:rsidR="006C170E">
        <w:t>of the UXO Sector Working G</w:t>
      </w:r>
      <w:r w:rsidR="008B187F" w:rsidRPr="00DC183C">
        <w:t xml:space="preserve">roup. </w:t>
      </w:r>
      <w:r w:rsidR="006C170E">
        <w:t>The UNDP’s role in the Ro</w:t>
      </w:r>
      <w:r w:rsidR="00926620">
        <w:t>und Table</w:t>
      </w:r>
      <w:r w:rsidR="006C170E">
        <w:t xml:space="preserve"> P</w:t>
      </w:r>
      <w:r w:rsidR="00926620">
        <w:t>rocess was valued by donors and government alike</w:t>
      </w:r>
      <w:r w:rsidR="006C170E">
        <w:t>,</w:t>
      </w:r>
      <w:r w:rsidR="00926620">
        <w:t xml:space="preserve"> although many donors interviewed felt that </w:t>
      </w:r>
      <w:r w:rsidR="006C170E">
        <w:t xml:space="preserve">the </w:t>
      </w:r>
      <w:r w:rsidR="00926620">
        <w:t>UNDP’s role could be more impactful. The</w:t>
      </w:r>
      <w:r w:rsidR="006C3658">
        <w:t xml:space="preserve"> </w:t>
      </w:r>
      <w:r w:rsidR="009A0D81" w:rsidRPr="00DC183C">
        <w:t xml:space="preserve">UNDP </w:t>
      </w:r>
      <w:r w:rsidR="00926620">
        <w:t xml:space="preserve">also </w:t>
      </w:r>
      <w:r w:rsidR="009A0D81" w:rsidRPr="00DC183C">
        <w:t>convenes regular meetings among development partners to exc</w:t>
      </w:r>
      <w:r w:rsidR="001641F4">
        <w:t xml:space="preserve">hange ideas and information, </w:t>
      </w:r>
      <w:r w:rsidR="006C3658">
        <w:t xml:space="preserve">organises </w:t>
      </w:r>
      <w:r w:rsidR="009A0D81" w:rsidRPr="00DC183C">
        <w:t>ad hoc meetings as required</w:t>
      </w:r>
      <w:r w:rsidR="006C3658">
        <w:t>,</w:t>
      </w:r>
      <w:r w:rsidR="009A0D81" w:rsidRPr="00DC183C">
        <w:t xml:space="preserve"> </w:t>
      </w:r>
      <w:r w:rsidR="006C170E">
        <w:t>and provides</w:t>
      </w:r>
      <w:r w:rsidR="009A0D81" w:rsidRPr="00DC183C">
        <w:t xml:space="preserve"> </w:t>
      </w:r>
      <w:r w:rsidR="001D0F90">
        <w:t>TAs</w:t>
      </w:r>
      <w:r w:rsidR="00387AAF">
        <w:t xml:space="preserve"> </w:t>
      </w:r>
      <w:r w:rsidR="006C170E">
        <w:t>to</w:t>
      </w:r>
      <w:r w:rsidR="009A0D81" w:rsidRPr="00DC183C">
        <w:t xml:space="preserve"> </w:t>
      </w:r>
      <w:r w:rsidR="00387AAF">
        <w:t xml:space="preserve">both </w:t>
      </w:r>
      <w:r w:rsidR="006C170E">
        <w:t xml:space="preserve">the </w:t>
      </w:r>
      <w:r w:rsidR="00387AAF">
        <w:t xml:space="preserve">UXO Lao and </w:t>
      </w:r>
      <w:r w:rsidR="009A0D81" w:rsidRPr="00DC183C">
        <w:t>the NRA</w:t>
      </w:r>
      <w:r w:rsidR="006C170E">
        <w:t>. B</w:t>
      </w:r>
      <w:r w:rsidR="002A694F" w:rsidRPr="000B48D0">
        <w:t>etween 2012 and 2015</w:t>
      </w:r>
      <w:r w:rsidR="006C170E">
        <w:t>,</w:t>
      </w:r>
      <w:r w:rsidR="002A694F" w:rsidRPr="000B48D0">
        <w:t xml:space="preserve"> </w:t>
      </w:r>
      <w:r w:rsidR="006C170E">
        <w:t xml:space="preserve">there has been one senior </w:t>
      </w:r>
      <w:r w:rsidR="001D0F90">
        <w:t>TA</w:t>
      </w:r>
      <w:r w:rsidR="002A694F" w:rsidRPr="000B48D0">
        <w:t xml:space="preserve"> in both the NRA and </w:t>
      </w:r>
      <w:r w:rsidR="006C170E">
        <w:t xml:space="preserve">the </w:t>
      </w:r>
      <w:r w:rsidR="002A694F" w:rsidRPr="000B48D0">
        <w:t xml:space="preserve">UXO Lao, and </w:t>
      </w:r>
      <w:r w:rsidR="006C170E">
        <w:t>one</w:t>
      </w:r>
      <w:r w:rsidR="002A694F" w:rsidRPr="000B48D0">
        <w:t xml:space="preserve"> finance advisor</w:t>
      </w:r>
      <w:r w:rsidR="000B48D0" w:rsidRPr="000B48D0">
        <w:t xml:space="preserve"> for some of the time</w:t>
      </w:r>
      <w:r w:rsidR="009A0D81" w:rsidRPr="000B48D0">
        <w:t xml:space="preserve">. </w:t>
      </w:r>
      <w:r w:rsidR="001641F4" w:rsidRPr="000B48D0">
        <w:t>A policy forum was established in 2013</w:t>
      </w:r>
      <w:r w:rsidR="00702EB4">
        <w:t>,</w:t>
      </w:r>
      <w:r w:rsidR="001641F4" w:rsidRPr="000B48D0">
        <w:t xml:space="preserve"> with the first meeting held in October 2014 with encouragement</w:t>
      </w:r>
      <w:r w:rsidR="001641F4" w:rsidRPr="001641F4">
        <w:t xml:space="preserve"> from </w:t>
      </w:r>
      <w:r w:rsidR="00702EB4">
        <w:t xml:space="preserve">the </w:t>
      </w:r>
      <w:r w:rsidR="001641F4" w:rsidRPr="001641F4">
        <w:t>UNDP</w:t>
      </w:r>
      <w:r w:rsidR="00702EB4">
        <w:t>.</w:t>
      </w:r>
      <w:r w:rsidR="001641F4" w:rsidRPr="001641F4">
        <w:t xml:space="preserve"> </w:t>
      </w:r>
      <w:r w:rsidR="00702EB4">
        <w:t>A</w:t>
      </w:r>
      <w:r w:rsidR="001641F4" w:rsidRPr="001641F4">
        <w:t xml:space="preserve">nother was held in 2015. </w:t>
      </w:r>
      <w:r w:rsidR="00DE7D77">
        <w:t>The</w:t>
      </w:r>
      <w:r w:rsidR="001641F4">
        <w:t xml:space="preserve"> forum aims to address the “strategic middle ground” in between Technical Work</w:t>
      </w:r>
      <w:r w:rsidR="00560A9B">
        <w:t>ing Groups and the Round Table P</w:t>
      </w:r>
      <w:r w:rsidR="001641F4">
        <w:t xml:space="preserve">rocess. </w:t>
      </w:r>
      <w:r w:rsidR="000B48D0">
        <w:t>Reports are also provided to donors</w:t>
      </w:r>
      <w:r w:rsidR="00DE7D77">
        <w:t>,</w:t>
      </w:r>
      <w:r w:rsidR="000B48D0">
        <w:t xml:space="preserve"> but these were reported to be of poor quality and of limited use. This partly relates to </w:t>
      </w:r>
      <w:r w:rsidR="002B699A">
        <w:t xml:space="preserve">limited </w:t>
      </w:r>
      <w:r w:rsidR="000B48D0">
        <w:t>capacity within the NRA and UXO Lao and inadequate attention to</w:t>
      </w:r>
      <w:r w:rsidR="002B699A">
        <w:t xml:space="preserve"> capacity building in this area. It also relates</w:t>
      </w:r>
      <w:r w:rsidR="000B48D0">
        <w:t xml:space="preserve"> </w:t>
      </w:r>
      <w:r w:rsidR="002B699A">
        <w:t>to</w:t>
      </w:r>
      <w:r w:rsidR="000B48D0">
        <w:t xml:space="preserve"> poor understanding of donor needs and their reporting requirements. This has been a long-standing issue and a lack of real or perceived responsiveness to these concerns was a source of much frustration.  While it was recognised that in 2015 there have been some improvements, </w:t>
      </w:r>
      <w:r w:rsidR="00DA7663">
        <w:t xml:space="preserve">many respondents </w:t>
      </w:r>
      <w:r w:rsidR="000B48D0">
        <w:t>remained</w:t>
      </w:r>
      <w:r w:rsidR="00DA7663">
        <w:t xml:space="preserve"> dissatisfied with </w:t>
      </w:r>
      <w:r w:rsidR="002B699A">
        <w:t xml:space="preserve">the </w:t>
      </w:r>
      <w:r w:rsidR="00DA7663">
        <w:t>UNDP’s coordination</w:t>
      </w:r>
      <w:r w:rsidR="001C6EE0">
        <w:t xml:space="preserve"> and a clear communication strategy is not evident</w:t>
      </w:r>
      <w:r w:rsidR="00DA7663">
        <w:t xml:space="preserve">.  </w:t>
      </w:r>
    </w:p>
    <w:p w:rsidR="002A694F" w:rsidRPr="00DC183C" w:rsidRDefault="002B699A" w:rsidP="002A694F">
      <w:pPr>
        <w:pStyle w:val="NormalModified"/>
      </w:pPr>
      <w:r>
        <w:t xml:space="preserve">The </w:t>
      </w:r>
      <w:r w:rsidR="002A694F">
        <w:t>UNDP’s capacity to recruit advisors with experience in the sector was noted</w:t>
      </w:r>
      <w:r w:rsidR="009A0D81" w:rsidRPr="00DC183C">
        <w:t xml:space="preserve">. </w:t>
      </w:r>
      <w:r w:rsidR="002A694F">
        <w:t>As noted previously</w:t>
      </w:r>
      <w:r>
        <w:t>,</w:t>
      </w:r>
      <w:r w:rsidR="002A694F">
        <w:t xml:space="preserve"> however</w:t>
      </w:r>
      <w:r>
        <w:t>,</w:t>
      </w:r>
      <w:r w:rsidR="002A694F">
        <w:t xml:space="preserve"> senior advisors </w:t>
      </w:r>
      <w:r>
        <w:t>have</w:t>
      </w:r>
      <w:r w:rsidR="002A694F">
        <w:t xml:space="preserve"> primarily directed </w:t>
      </w:r>
      <w:r>
        <w:t xml:space="preserve">their efforts </w:t>
      </w:r>
      <w:r w:rsidR="002A694F">
        <w:t xml:space="preserve">to the programme outputs and </w:t>
      </w:r>
      <w:r>
        <w:t>the CCM. In this project period,</w:t>
      </w:r>
      <w:r w:rsidR="002A694F">
        <w:t xml:space="preserve"> tensions and a lack of consensus among </w:t>
      </w:r>
      <w:r>
        <w:t xml:space="preserve">the </w:t>
      </w:r>
      <w:r w:rsidR="002A694F" w:rsidRPr="00DC183C">
        <w:t xml:space="preserve">UNDP </w:t>
      </w:r>
      <w:r w:rsidR="002A694F">
        <w:t>advisors had</w:t>
      </w:r>
      <w:r w:rsidR="002A694F" w:rsidRPr="00DC183C">
        <w:t xml:space="preserve"> </w:t>
      </w:r>
      <w:r w:rsidR="002A694F">
        <w:t>a deleterious effect</w:t>
      </w:r>
      <w:r w:rsidR="002A694F" w:rsidRPr="00DC183C">
        <w:t xml:space="preserve"> on </w:t>
      </w:r>
      <w:r w:rsidR="002A694F">
        <w:t xml:space="preserve">coordination, </w:t>
      </w:r>
      <w:r w:rsidR="002A694F" w:rsidRPr="00DC183C">
        <w:t>credibility</w:t>
      </w:r>
      <w:r>
        <w:t>,</w:t>
      </w:r>
      <w:r w:rsidR="002A694F">
        <w:t xml:space="preserve"> and progressing innovation and change</w:t>
      </w:r>
      <w:r w:rsidR="002A694F" w:rsidRPr="00DC183C">
        <w:t xml:space="preserve">. </w:t>
      </w:r>
      <w:r w:rsidR="0091637B">
        <w:t xml:space="preserve">The </w:t>
      </w:r>
      <w:r w:rsidR="004F1A16">
        <w:t>UNDP also works with UXO/Mine A</w:t>
      </w:r>
      <w:r w:rsidR="009A0D81" w:rsidRPr="00DC183C">
        <w:t xml:space="preserve">ction </w:t>
      </w:r>
      <w:r w:rsidR="00926620">
        <w:t>civil service</w:t>
      </w:r>
      <w:r w:rsidR="009A0D81" w:rsidRPr="00DC183C">
        <w:t xml:space="preserve"> providers to harness expertise from </w:t>
      </w:r>
      <w:r>
        <w:t>external advisors</w:t>
      </w:r>
      <w:r w:rsidR="009A0D81" w:rsidRPr="00DC183C">
        <w:t xml:space="preserve"> and draw</w:t>
      </w:r>
      <w:r w:rsidR="0091637B">
        <w:t>s</w:t>
      </w:r>
      <w:r w:rsidR="009A0D81" w:rsidRPr="00DC183C">
        <w:t xml:space="preserve"> on the innovations of </w:t>
      </w:r>
      <w:r w:rsidR="004F1A16">
        <w:t xml:space="preserve">international NGOs. </w:t>
      </w:r>
      <w:r w:rsidR="002A694F">
        <w:t>With regards to INGOs</w:t>
      </w:r>
      <w:r>
        <w:t>, the</w:t>
      </w:r>
      <w:r w:rsidR="002A694F">
        <w:t xml:space="preserve"> UNDP’s support seems to have been relatively effective</w:t>
      </w:r>
      <w:r>
        <w:t>,</w:t>
      </w:r>
      <w:r w:rsidR="002A694F">
        <w:t xml:space="preserve"> as evidenced by the development and approval of new survey procedures.  </w:t>
      </w:r>
      <w:r w:rsidR="002A694F" w:rsidRPr="00DC183C">
        <w:t xml:space="preserve">Aside from </w:t>
      </w:r>
      <w:r w:rsidR="002A694F">
        <w:t xml:space="preserve">the </w:t>
      </w:r>
      <w:r w:rsidR="002A694F" w:rsidRPr="00DC183C">
        <w:t>UNDP, other donors</w:t>
      </w:r>
      <w:r w:rsidR="002A694F">
        <w:t xml:space="preserve"> </w:t>
      </w:r>
      <w:r w:rsidR="002A694F" w:rsidRPr="00DC183C">
        <w:t xml:space="preserve">provide </w:t>
      </w:r>
      <w:r w:rsidR="001D0F90">
        <w:t>TAs</w:t>
      </w:r>
      <w:r>
        <w:t xml:space="preserve">, particularly to the NRA. </w:t>
      </w:r>
      <w:r w:rsidR="005847F1">
        <w:t xml:space="preserve"> </w:t>
      </w:r>
      <w:r>
        <w:t>W</w:t>
      </w:r>
      <w:r w:rsidR="005847F1">
        <w:t xml:space="preserve">hile there is </w:t>
      </w:r>
      <w:r>
        <w:t>some</w:t>
      </w:r>
      <w:r w:rsidR="005847F1">
        <w:t xml:space="preserve"> level of </w:t>
      </w:r>
      <w:r w:rsidR="005847F1" w:rsidRPr="005847F1">
        <w:t xml:space="preserve">coordination </w:t>
      </w:r>
      <w:r w:rsidR="005847F1">
        <w:t xml:space="preserve">and information sharing between the different advisors, </w:t>
      </w:r>
      <w:r w:rsidR="002A694F">
        <w:t>p</w:t>
      </w:r>
      <w:r w:rsidR="002A694F" w:rsidRPr="00DC183C">
        <w:t>oor coordin</w:t>
      </w:r>
      <w:r>
        <w:t xml:space="preserve">ation and/or agreement on roles, </w:t>
      </w:r>
      <w:r w:rsidR="002A694F" w:rsidRPr="00DC183C">
        <w:t>responsibilities</w:t>
      </w:r>
      <w:r>
        <w:t>,</w:t>
      </w:r>
      <w:r w:rsidR="002A694F" w:rsidRPr="00DC183C">
        <w:t xml:space="preserve"> and reporting</w:t>
      </w:r>
      <w:r>
        <w:t>,</w:t>
      </w:r>
      <w:r w:rsidR="002A694F" w:rsidRPr="00DC183C">
        <w:t xml:space="preserve"> has contributed to seemingly parallel project advisory teams</w:t>
      </w:r>
      <w:r>
        <w:t xml:space="preserve"> and fragmented advice</w:t>
      </w:r>
      <w:r w:rsidR="002A694F" w:rsidRPr="00DC183C">
        <w:t xml:space="preserve">, particularly in the NRA. </w:t>
      </w:r>
    </w:p>
    <w:p w:rsidR="005B6346" w:rsidRDefault="00D51701" w:rsidP="00DC183C">
      <w:pPr>
        <w:pStyle w:val="NormalModified"/>
      </w:pPr>
      <w:r>
        <w:t xml:space="preserve">The </w:t>
      </w:r>
      <w:r w:rsidR="005847F1">
        <w:t xml:space="preserve">UNDP has a generally good </w:t>
      </w:r>
      <w:r w:rsidR="00EC3C55" w:rsidRPr="00DC183C">
        <w:t xml:space="preserve">relationship with the government </w:t>
      </w:r>
      <w:r w:rsidR="005847F1">
        <w:t>and meets regularly with the Ministry of Foreign Affairs, The Ministry of Planning and Investment</w:t>
      </w:r>
      <w:r>
        <w:t>,</w:t>
      </w:r>
      <w:r w:rsidR="005847F1">
        <w:t xml:space="preserve"> </w:t>
      </w:r>
      <w:r>
        <w:t>and</w:t>
      </w:r>
      <w:r w:rsidR="005847F1">
        <w:t xml:space="preserve"> the NRA. </w:t>
      </w:r>
      <w:r w:rsidR="001641F4">
        <w:t>Some frustrations were expressed</w:t>
      </w:r>
      <w:r w:rsidR="006B0A1E">
        <w:t>,</w:t>
      </w:r>
      <w:r w:rsidR="001641F4">
        <w:t xml:space="preserve"> however</w:t>
      </w:r>
      <w:r w:rsidR="006B0A1E">
        <w:t>,</w:t>
      </w:r>
      <w:r w:rsidR="001641F4">
        <w:t xml:space="preserve"> </w:t>
      </w:r>
      <w:r w:rsidR="006B0A1E">
        <w:t>with</w:t>
      </w:r>
      <w:r w:rsidR="001641F4">
        <w:t xml:space="preserve"> UNDP processes </w:t>
      </w:r>
      <w:r w:rsidR="00926620">
        <w:t>and inadequate attention</w:t>
      </w:r>
      <w:r w:rsidR="006B0A1E">
        <w:t xml:space="preserve"> given</w:t>
      </w:r>
      <w:r w:rsidR="00926620">
        <w:t xml:space="preserve"> to capacity building</w:t>
      </w:r>
      <w:r w:rsidR="006B0A1E">
        <w:t xml:space="preserve"> strategies</w:t>
      </w:r>
      <w:r w:rsidR="00926620">
        <w:t xml:space="preserve"> to manage these processes. </w:t>
      </w:r>
      <w:r w:rsidR="00CA0331" w:rsidRPr="00DC183C">
        <w:t xml:space="preserve">There are also tensions </w:t>
      </w:r>
      <w:r w:rsidR="006B0A1E">
        <w:t>with the</w:t>
      </w:r>
      <w:r w:rsidR="00CA0331" w:rsidRPr="00DC183C">
        <w:t xml:space="preserve"> Trust Fund. </w:t>
      </w:r>
      <w:r w:rsidR="005B6346">
        <w:t xml:space="preserve">While the </w:t>
      </w:r>
      <w:r w:rsidR="00CA0331" w:rsidRPr="00DC183C">
        <w:t xml:space="preserve">Fund was established to support the </w:t>
      </w:r>
      <w:r w:rsidR="00D46CBA">
        <w:t xml:space="preserve">full implementation of the largely </w:t>
      </w:r>
      <w:r w:rsidR="005B6346">
        <w:t xml:space="preserve">output focussed </w:t>
      </w:r>
      <w:r w:rsidR="00CA0331" w:rsidRPr="00DC183C">
        <w:t>CCM and</w:t>
      </w:r>
      <w:r w:rsidR="00625BBC">
        <w:t>,</w:t>
      </w:r>
      <w:r w:rsidR="00CA0331" w:rsidRPr="00DC183C">
        <w:t xml:space="preserve"> implicitly</w:t>
      </w:r>
      <w:r w:rsidR="00625BBC">
        <w:t>,</w:t>
      </w:r>
      <w:r w:rsidR="00CA0331" w:rsidRPr="00DC183C">
        <w:t xml:space="preserve"> </w:t>
      </w:r>
      <w:r w:rsidR="00625BBC">
        <w:t xml:space="preserve">the </w:t>
      </w:r>
      <w:r w:rsidR="003814F9">
        <w:t xml:space="preserve">Lao </w:t>
      </w:r>
      <w:r w:rsidR="00CA0331" w:rsidRPr="00DC183C">
        <w:t xml:space="preserve">MDG9, </w:t>
      </w:r>
      <w:r w:rsidR="005B6346">
        <w:t>many</w:t>
      </w:r>
      <w:r w:rsidR="00CA0331" w:rsidRPr="00DC183C">
        <w:t xml:space="preserve"> </w:t>
      </w:r>
      <w:r w:rsidR="005B6346">
        <w:t xml:space="preserve">Trust Fund </w:t>
      </w:r>
      <w:r w:rsidR="00CA0331" w:rsidRPr="00DC183C">
        <w:t>donor</w:t>
      </w:r>
      <w:r w:rsidR="005B6346">
        <w:t xml:space="preserve">s’ </w:t>
      </w:r>
      <w:r w:rsidR="00CA0331" w:rsidRPr="00DC183C">
        <w:t xml:space="preserve">priorities are </w:t>
      </w:r>
      <w:r w:rsidR="005B6346">
        <w:t xml:space="preserve">outcome focused and relate to </w:t>
      </w:r>
      <w:r w:rsidR="00CA0331" w:rsidRPr="00DC183C">
        <w:t>poverty reduction</w:t>
      </w:r>
      <w:r w:rsidR="006B0A1E">
        <w:t xml:space="preserve">. </w:t>
      </w:r>
      <w:r w:rsidR="00926620">
        <w:t xml:space="preserve"> </w:t>
      </w:r>
      <w:r w:rsidR="006B0A1E">
        <w:t xml:space="preserve">Since </w:t>
      </w:r>
      <w:r w:rsidR="00926620">
        <w:t>the Trust Fund has been operational for five years, some donors expressed an interest in reviewing its Terms of Reference</w:t>
      </w:r>
      <w:r w:rsidR="00CA0331" w:rsidRPr="00DC183C">
        <w:t xml:space="preserve">. </w:t>
      </w:r>
      <w:r w:rsidR="00DA7663">
        <w:t>Furthermore, donors were frustrated that the UNDP</w:t>
      </w:r>
      <w:r w:rsidR="006B0A1E">
        <w:t>’s</w:t>
      </w:r>
      <w:r w:rsidR="00DA7663">
        <w:t xml:space="preserve"> </w:t>
      </w:r>
      <w:r w:rsidR="000B48D0">
        <w:t xml:space="preserve">communication and </w:t>
      </w:r>
      <w:r w:rsidR="00DA7663">
        <w:t xml:space="preserve">coordination of the Trust Fund </w:t>
      </w:r>
      <w:r w:rsidR="006B0A1E">
        <w:t>was</w:t>
      </w:r>
      <w:r w:rsidR="00DA7663">
        <w:t xml:space="preserve"> inefficient in relation to opening the funding window for civil society</w:t>
      </w:r>
      <w:r w:rsidR="006B0A1E">
        <w:t>. A</w:t>
      </w:r>
      <w:r w:rsidR="00DA7663">
        <w:t>lthough</w:t>
      </w:r>
      <w:r w:rsidR="006B0A1E">
        <w:t>,</w:t>
      </w:r>
      <w:r w:rsidR="00DA7663">
        <w:t xml:space="preserve"> it should be noted</w:t>
      </w:r>
      <w:r w:rsidR="006B0A1E">
        <w:t>,</w:t>
      </w:r>
      <w:r w:rsidR="00DA7663">
        <w:t xml:space="preserve"> that </w:t>
      </w:r>
      <w:r w:rsidR="00D46CBA">
        <w:t xml:space="preserve">there has been progress on </w:t>
      </w:r>
      <w:r w:rsidR="00DA7663">
        <w:t>this at the time of the evaluation</w:t>
      </w:r>
      <w:r w:rsidR="00D46CBA">
        <w:t xml:space="preserve"> with aa tender process for survey. </w:t>
      </w:r>
      <w:r w:rsidR="00CA0331" w:rsidRPr="00DC183C">
        <w:t xml:space="preserve">On the government side, some officials felt that more ownership of the Fund </w:t>
      </w:r>
      <w:r w:rsidR="00D46CBA">
        <w:t>and its administration should</w:t>
      </w:r>
      <w:r w:rsidR="00CA0331" w:rsidRPr="00DC183C">
        <w:t xml:space="preserve"> be handed </w:t>
      </w:r>
      <w:r w:rsidR="00625BBC">
        <w:t xml:space="preserve">over </w:t>
      </w:r>
      <w:r w:rsidR="00CA0331" w:rsidRPr="00DC183C">
        <w:t xml:space="preserve">to the government. </w:t>
      </w:r>
      <w:r w:rsidR="00D46CBA">
        <w:t xml:space="preserve">Furthermore, while on the one hand, donors have been frustrated with the protracted process in opening the civil society window, the definition of civil society as it relates to the Trust Fund, is contested with donors viewing international NGOS as eligible for the civil society window, while the government perspective is that civil society pertains to Lao not-for-profits. This has been particularly problematic in terms of the recent process for survey, as there are no Lao not-for-profits that undertake survey,  that can also be considered as civil society organisations. </w:t>
      </w:r>
      <w:r w:rsidR="000B48D0">
        <w:t>As with donors, the government and the NRA and UXO Lao</w:t>
      </w:r>
      <w:r w:rsidR="006B0A1E">
        <w:t>,</w:t>
      </w:r>
      <w:r w:rsidR="000B48D0">
        <w:t xml:space="preserve"> in particular, would appreciate clearer and </w:t>
      </w:r>
      <w:r w:rsidR="00A862E4">
        <w:t>timelier</w:t>
      </w:r>
      <w:r w:rsidR="000B48D0">
        <w:t xml:space="preserve"> </w:t>
      </w:r>
      <w:r w:rsidR="006B0A1E">
        <w:t>communication. A</w:t>
      </w:r>
      <w:r w:rsidR="00867D5E">
        <w:t>lthough</w:t>
      </w:r>
      <w:r w:rsidR="006B0A1E">
        <w:t xml:space="preserve"> </w:t>
      </w:r>
      <w:r w:rsidR="00867D5E">
        <w:t>in recent months</w:t>
      </w:r>
      <w:r w:rsidR="006B0A1E">
        <w:t>,</w:t>
      </w:r>
      <w:r w:rsidR="00867D5E">
        <w:t xml:space="preserve"> this was reported to be improving. </w:t>
      </w:r>
    </w:p>
    <w:p w:rsidR="00291E76" w:rsidRPr="00DC183C" w:rsidRDefault="0007395B" w:rsidP="00C514DC">
      <w:pPr>
        <w:pStyle w:val="Heading3"/>
      </w:pPr>
      <w:bookmarkStart w:id="30" w:name="_Toc441609334"/>
      <w:r>
        <w:t xml:space="preserve">4.1.4 </w:t>
      </w:r>
      <w:r w:rsidR="00291E76" w:rsidRPr="00DC183C">
        <w:t>Monitoring, Evaluation and Risk Management</w:t>
      </w:r>
      <w:bookmarkEnd w:id="30"/>
    </w:p>
    <w:p w:rsidR="00036C2C" w:rsidRPr="000F1426" w:rsidRDefault="00FC74F4" w:rsidP="00036C2C">
      <w:pPr>
        <w:pStyle w:val="NormalModified"/>
      </w:pPr>
      <w:r>
        <w:t xml:space="preserve">The </w:t>
      </w:r>
      <w:r w:rsidR="000F1426">
        <w:t xml:space="preserve">UNDP provides </w:t>
      </w:r>
      <w:r w:rsidR="000F1426" w:rsidRPr="00DC183C">
        <w:t>financial oversight</w:t>
      </w:r>
      <w:r w:rsidR="00036C2C">
        <w:t xml:space="preserve"> and risk management processes</w:t>
      </w:r>
      <w:r w:rsidR="00801C03">
        <w:t>,</w:t>
      </w:r>
      <w:r w:rsidR="00036C2C">
        <w:t xml:space="preserve"> but has had limited effectiveness in building the capacity of the NRA and UXO Lao in these areas (nor are there related objectives in the project document). </w:t>
      </w:r>
      <w:r w:rsidR="00036C2C" w:rsidRPr="000F1426">
        <w:t xml:space="preserve">Of particular concern, is that while </w:t>
      </w:r>
      <w:r w:rsidR="00036C2C">
        <w:t xml:space="preserve">the </w:t>
      </w:r>
      <w:r w:rsidR="00036C2C" w:rsidRPr="000F1426">
        <w:t>UNDP has risk management processes in place, these do not include</w:t>
      </w:r>
      <w:r w:rsidR="00801C03">
        <w:t xml:space="preserve"> the</w:t>
      </w:r>
      <w:r w:rsidR="00036C2C" w:rsidRPr="000F1426">
        <w:t xml:space="preserve"> monitoring of </w:t>
      </w:r>
      <w:r w:rsidR="00036C2C">
        <w:t xml:space="preserve">the </w:t>
      </w:r>
      <w:r w:rsidR="00036C2C" w:rsidRPr="000F1426">
        <w:t xml:space="preserve">UNDP’s Social and Environmental Screening Procedures. While it is acknowledged that these did not come into operation until </w:t>
      </w:r>
      <w:r w:rsidR="00036C2C" w:rsidRPr="0015766C">
        <w:t xml:space="preserve">2015, </w:t>
      </w:r>
      <w:r w:rsidR="00036C2C">
        <w:t xml:space="preserve">and </w:t>
      </w:r>
      <w:r w:rsidR="00036C2C" w:rsidRPr="0015766C">
        <w:t xml:space="preserve">there </w:t>
      </w:r>
      <w:r w:rsidR="00036C2C">
        <w:t>were</w:t>
      </w:r>
      <w:r w:rsidR="00036C2C" w:rsidRPr="0015766C">
        <w:t xml:space="preserve"> no expectations that the</w:t>
      </w:r>
      <w:r w:rsidR="00036C2C">
        <w:t>se</w:t>
      </w:r>
      <w:r w:rsidR="00036C2C" w:rsidRPr="0015766C">
        <w:t xml:space="preserve"> safeguards would be utilised prior to 2015</w:t>
      </w:r>
      <w:r w:rsidR="00036C2C">
        <w:t>, the lack of such safeguards and monitoring potentially elevates the risk of UNDP supported UXO clearance being used inappropriately.  This was of particular concern fo</w:t>
      </w:r>
      <w:r w:rsidR="00801C03">
        <w:t>r some donors in the context of the</w:t>
      </w:r>
      <w:r w:rsidR="00036C2C">
        <w:t xml:space="preserve"> resettlement of some communities and the recognition that if poorly executed, resettlement </w:t>
      </w:r>
      <w:r w:rsidR="00801C03">
        <w:t>could</w:t>
      </w:r>
      <w:r w:rsidR="00036C2C">
        <w:t xml:space="preserve"> potentially cause harm to individuals and communities. A</w:t>
      </w:r>
      <w:r w:rsidR="00036C2C" w:rsidRPr="000F1426">
        <w:t>t the time of the evaluation</w:t>
      </w:r>
      <w:r w:rsidR="00801C03">
        <w:t>,</w:t>
      </w:r>
      <w:r w:rsidR="00036C2C" w:rsidRPr="000F1426">
        <w:t xml:space="preserve"> </w:t>
      </w:r>
      <w:r w:rsidR="00036C2C">
        <w:t xml:space="preserve">however, </w:t>
      </w:r>
      <w:r w:rsidR="00036C2C" w:rsidRPr="000F1426">
        <w:t>specific plan</w:t>
      </w:r>
      <w:r w:rsidR="00036C2C">
        <w:t>s</w:t>
      </w:r>
      <w:r w:rsidR="00036C2C" w:rsidRPr="000F1426">
        <w:t xml:space="preserve"> on how </w:t>
      </w:r>
      <w:r w:rsidR="00801C03">
        <w:t xml:space="preserve">the </w:t>
      </w:r>
      <w:r w:rsidR="00036C2C">
        <w:t xml:space="preserve">UNDP’s new </w:t>
      </w:r>
      <w:r w:rsidR="00036C2C" w:rsidRPr="00C5670B">
        <w:t>social and environmental safeguards</w:t>
      </w:r>
      <w:r w:rsidR="00036C2C" w:rsidRPr="000F1426">
        <w:t xml:space="preserve"> would be introduced and applied</w:t>
      </w:r>
      <w:r w:rsidR="00801C03">
        <w:t>,</w:t>
      </w:r>
      <w:r w:rsidR="00036C2C" w:rsidRPr="000F1426">
        <w:t xml:space="preserve"> were not clear. In their absence</w:t>
      </w:r>
      <w:r w:rsidR="00036C2C">
        <w:t>,</w:t>
      </w:r>
      <w:r w:rsidR="00036C2C" w:rsidRPr="000F1426">
        <w:t xml:space="preserve"> ensuring </w:t>
      </w:r>
      <w:r w:rsidR="00036C2C">
        <w:t xml:space="preserve">that </w:t>
      </w:r>
      <w:r w:rsidR="00036C2C" w:rsidRPr="000F1426">
        <w:t>appropriate safeguards were in place to protect individuals, families, and communities</w:t>
      </w:r>
      <w:r w:rsidR="00801C03">
        <w:t>,</w:t>
      </w:r>
      <w:r w:rsidR="00036C2C" w:rsidRPr="000F1426">
        <w:t xml:space="preserve"> </w:t>
      </w:r>
      <w:r w:rsidR="00036C2C">
        <w:t>was not</w:t>
      </w:r>
      <w:r w:rsidR="00036C2C" w:rsidRPr="000F1426">
        <w:t xml:space="preserve"> a priority or a focus o</w:t>
      </w:r>
      <w:r w:rsidR="00036C2C">
        <w:t>f the</w:t>
      </w:r>
      <w:r w:rsidR="00036C2C" w:rsidRPr="000F1426">
        <w:t xml:space="preserve"> UNDP’s risk management processes. </w:t>
      </w:r>
      <w:r w:rsidR="00036C2C">
        <w:t>This risk is elevated by the lack of a transparent and auditable task prioritisation process.</w:t>
      </w:r>
    </w:p>
    <w:p w:rsidR="00291E76" w:rsidRPr="000F1426" w:rsidRDefault="00036C2C" w:rsidP="000F1426">
      <w:pPr>
        <w:pStyle w:val="NormalModified"/>
      </w:pPr>
      <w:r>
        <w:t xml:space="preserve">As in other areas, much of </w:t>
      </w:r>
      <w:r w:rsidR="00801C03">
        <w:t xml:space="preserve">the </w:t>
      </w:r>
      <w:r>
        <w:t>UNDP</w:t>
      </w:r>
      <w:r w:rsidR="00F12790" w:rsidRPr="000F1426">
        <w:t xml:space="preserve"> effort </w:t>
      </w:r>
      <w:r>
        <w:t>has</w:t>
      </w:r>
      <w:r w:rsidR="00F12790" w:rsidRPr="000F1426">
        <w:t xml:space="preserve"> focussed on </w:t>
      </w:r>
      <w:r>
        <w:t xml:space="preserve">monitoring </w:t>
      </w:r>
      <w:r w:rsidR="005B6346">
        <w:t>clearance processes and outputs</w:t>
      </w:r>
      <w:r w:rsidR="008E206E">
        <w:t>,</w:t>
      </w:r>
      <w:r>
        <w:t xml:space="preserve"> with limited attention to outcome and impact monitoring</w:t>
      </w:r>
      <w:r w:rsidR="008E206E">
        <w:t xml:space="preserve"> </w:t>
      </w:r>
      <w:r>
        <w:t xml:space="preserve">and </w:t>
      </w:r>
      <w:r w:rsidR="008E206E">
        <w:t xml:space="preserve">the </w:t>
      </w:r>
      <w:r>
        <w:t>evaluation or monitoring of issues such as gender and pro-poor outcomes. Developing i</w:t>
      </w:r>
      <w:r w:rsidR="00FF77BA" w:rsidRPr="000F1426">
        <w:t>nformation management</w:t>
      </w:r>
      <w:r w:rsidR="005B6346">
        <w:t xml:space="preserve"> </w:t>
      </w:r>
      <w:r>
        <w:t xml:space="preserve">capacity </w:t>
      </w:r>
      <w:r w:rsidR="008E206E">
        <w:t>has primarily focused on</w:t>
      </w:r>
      <w:r w:rsidR="00257507">
        <w:t xml:space="preserve"> supporting the staffing of the database unit and updating </w:t>
      </w:r>
      <w:r w:rsidR="00257507" w:rsidRPr="000F1426">
        <w:t>the IMSMA database</w:t>
      </w:r>
      <w:r w:rsidR="00257507">
        <w:t xml:space="preserve"> (with other actors such as the GICHD and the US funded advisors). While important, limited effort has been directed at building the capacity to analyse, interpret, disseminate</w:t>
      </w:r>
      <w:r w:rsidR="008E206E">
        <w:t xml:space="preserve">, and use data. </w:t>
      </w:r>
      <w:r w:rsidR="00257507">
        <w:t>An</w:t>
      </w:r>
      <w:r w:rsidR="00FF77BA" w:rsidRPr="000F1426">
        <w:t xml:space="preserve"> </w:t>
      </w:r>
      <w:r w:rsidR="00D46281" w:rsidRPr="000F1426">
        <w:t xml:space="preserve">analysis of the IMSMA database </w:t>
      </w:r>
      <w:r w:rsidR="00257507">
        <w:t>by advisors</w:t>
      </w:r>
      <w:r w:rsidR="008E206E">
        <w:t>,</w:t>
      </w:r>
      <w:r w:rsidR="00257507">
        <w:t xml:space="preserve"> however, revealed</w:t>
      </w:r>
      <w:r w:rsidR="00D46281" w:rsidRPr="000F1426">
        <w:t xml:space="preserve"> that 33% of all completed clearance tasks and 94% of all tech</w:t>
      </w:r>
      <w:r w:rsidR="008E206E">
        <w:t>nical survey tasks, between 2009 and mid-</w:t>
      </w:r>
      <w:r w:rsidR="008E206E" w:rsidRPr="000F1426">
        <w:t>2011</w:t>
      </w:r>
      <w:r w:rsidR="008E206E">
        <w:t>,</w:t>
      </w:r>
      <w:r w:rsidR="00D46281" w:rsidRPr="000F1426">
        <w:t xml:space="preserve"> had no items found.</w:t>
      </w:r>
      <w:r w:rsidR="00FF77BA" w:rsidRPr="000F1426">
        <w:t xml:space="preserve"> </w:t>
      </w:r>
      <w:r w:rsidR="005B6346">
        <w:t xml:space="preserve">Robust </w:t>
      </w:r>
      <w:r w:rsidR="00FF77BA" w:rsidRPr="000F1426">
        <w:t xml:space="preserve">monitoring </w:t>
      </w:r>
      <w:r w:rsidR="005B6346">
        <w:t xml:space="preserve">processes </w:t>
      </w:r>
      <w:r w:rsidR="00FF77BA" w:rsidRPr="000F1426">
        <w:t xml:space="preserve">would have </w:t>
      </w:r>
      <w:r w:rsidR="005B6346">
        <w:t xml:space="preserve">identified </w:t>
      </w:r>
      <w:r w:rsidR="00FF77BA" w:rsidRPr="000F1426">
        <w:t xml:space="preserve">this earlier and could </w:t>
      </w:r>
      <w:r w:rsidR="00F37646">
        <w:t xml:space="preserve">have enabled some discussion and reflection on the effectiveness of this approach. </w:t>
      </w:r>
      <w:r w:rsidR="000A21DC" w:rsidRPr="000F1426">
        <w:t xml:space="preserve">In addition, the lack of rights-based or gender related indicators means </w:t>
      </w:r>
      <w:r w:rsidR="00FC74F4">
        <w:t>that</w:t>
      </w:r>
      <w:r w:rsidR="00FC74F4" w:rsidRPr="000F1426">
        <w:t xml:space="preserve"> </w:t>
      </w:r>
      <w:r w:rsidR="000A21DC" w:rsidRPr="000F1426">
        <w:t xml:space="preserve">important UNDP and donor concerns do not get monitored </w:t>
      </w:r>
      <w:r w:rsidR="008E206E">
        <w:t>or</w:t>
      </w:r>
      <w:r w:rsidR="000A21DC" w:rsidRPr="000F1426">
        <w:t xml:space="preserve"> reported</w:t>
      </w:r>
      <w:r w:rsidR="00862373" w:rsidRPr="000F1426">
        <w:t xml:space="preserve">. </w:t>
      </w:r>
    </w:p>
    <w:p w:rsidR="00291E76" w:rsidRPr="00DC183C" w:rsidRDefault="0007395B" w:rsidP="00E36053">
      <w:pPr>
        <w:pStyle w:val="Heading3"/>
      </w:pPr>
      <w:bookmarkStart w:id="31" w:name="_Toc441609335"/>
      <w:r>
        <w:t>4.1.</w:t>
      </w:r>
      <w:r w:rsidR="00E863BE">
        <w:t>5</w:t>
      </w:r>
      <w:r w:rsidR="004F1A16">
        <w:t xml:space="preserve"> </w:t>
      </w:r>
      <w:r w:rsidR="004F1A16" w:rsidRPr="004F1A16">
        <w:t>Gender and Human Rights-Based Approach</w:t>
      </w:r>
      <w:bookmarkEnd w:id="31"/>
    </w:p>
    <w:p w:rsidR="00E3443E" w:rsidRPr="00DC183C" w:rsidRDefault="000F1426" w:rsidP="000F1426">
      <w:pPr>
        <w:rPr>
          <w:rFonts w:cs="Times New Roman"/>
        </w:rPr>
      </w:pPr>
      <w:r>
        <w:t xml:space="preserve">While some effort has been made to address issues of gender, </w:t>
      </w:r>
      <w:r w:rsidR="00813EC4">
        <w:t>t</w:t>
      </w:r>
      <w:r w:rsidR="004445B0">
        <w:t xml:space="preserve">he </w:t>
      </w:r>
      <w:r w:rsidR="00E36053" w:rsidRPr="00DC183C">
        <w:t xml:space="preserve">UNDP has not systematically provided gender analysis and training, or monitored the extent to which gender is taken into account in policies and </w:t>
      </w:r>
      <w:r w:rsidR="00813EC4">
        <w:t>practice</w:t>
      </w:r>
      <w:r w:rsidR="00E36053" w:rsidRPr="00DC183C">
        <w:t xml:space="preserve">. For example, there are no strategic tools for pro-poor gender-sensitive planning </w:t>
      </w:r>
      <w:r w:rsidR="00813EC4">
        <w:t>in</w:t>
      </w:r>
      <w:r w:rsidR="00E36053" w:rsidRPr="00DC183C">
        <w:t xml:space="preserve"> task identification and prioriti</w:t>
      </w:r>
      <w:r w:rsidR="004445B0">
        <w:t>s</w:t>
      </w:r>
      <w:r w:rsidR="00E36053" w:rsidRPr="00DC183C">
        <w:t>ation processes. Furthermore, there is no evidence to suggest that</w:t>
      </w:r>
      <w:r w:rsidR="004445B0">
        <w:t xml:space="preserve"> the</w:t>
      </w:r>
      <w:r w:rsidR="00E36053" w:rsidRPr="00DC183C">
        <w:t xml:space="preserve"> </w:t>
      </w:r>
      <w:r w:rsidR="00E36053" w:rsidRPr="00DC183C">
        <w:rPr>
          <w:rFonts w:cs="Times New Roman"/>
        </w:rPr>
        <w:t xml:space="preserve">UNDP has built capacity of the NRA or </w:t>
      </w:r>
      <w:r w:rsidR="004445B0">
        <w:rPr>
          <w:rFonts w:cs="Times New Roman"/>
        </w:rPr>
        <w:t xml:space="preserve">the </w:t>
      </w:r>
      <w:r w:rsidR="00E36053" w:rsidRPr="00DC183C">
        <w:rPr>
          <w:rFonts w:cs="Times New Roman"/>
        </w:rPr>
        <w:t xml:space="preserve">UXO Lao (or the wider sector) to provide an enabling environment for women and men to participate in </w:t>
      </w:r>
      <w:r w:rsidR="00927AEC">
        <w:rPr>
          <w:rFonts w:cs="Times New Roman"/>
        </w:rPr>
        <w:t xml:space="preserve">the </w:t>
      </w:r>
      <w:r w:rsidR="00E36053" w:rsidRPr="00DC183C">
        <w:rPr>
          <w:rFonts w:cs="Times New Roman"/>
        </w:rPr>
        <w:t>prioriti</w:t>
      </w:r>
      <w:r w:rsidR="004445B0">
        <w:rPr>
          <w:rFonts w:cs="Times New Roman"/>
        </w:rPr>
        <w:t>s</w:t>
      </w:r>
      <w:r w:rsidR="00E36053" w:rsidRPr="00DC183C">
        <w:rPr>
          <w:rFonts w:cs="Times New Roman"/>
        </w:rPr>
        <w:t xml:space="preserve">ation </w:t>
      </w:r>
      <w:r w:rsidR="00813EC4">
        <w:rPr>
          <w:rFonts w:cs="Times New Roman"/>
        </w:rPr>
        <w:t>process, including in the recently adopted CMTS</w:t>
      </w:r>
      <w:r w:rsidR="00E36053" w:rsidRPr="00DC183C">
        <w:rPr>
          <w:rFonts w:cs="Times New Roman"/>
        </w:rPr>
        <w:t xml:space="preserve">. </w:t>
      </w:r>
      <w:r w:rsidR="00297012" w:rsidRPr="00DC183C">
        <w:rPr>
          <w:rFonts w:cs="Times New Roman"/>
        </w:rPr>
        <w:t xml:space="preserve">Similarly, there </w:t>
      </w:r>
      <w:r w:rsidR="004445B0">
        <w:rPr>
          <w:rFonts w:cs="Times New Roman"/>
        </w:rPr>
        <w:t>is</w:t>
      </w:r>
      <w:r w:rsidR="004445B0" w:rsidRPr="00DC183C">
        <w:rPr>
          <w:rFonts w:cs="Times New Roman"/>
        </w:rPr>
        <w:t xml:space="preserve"> </w:t>
      </w:r>
      <w:r w:rsidR="00297012" w:rsidRPr="00DC183C">
        <w:rPr>
          <w:rFonts w:cs="Times New Roman"/>
        </w:rPr>
        <w:t xml:space="preserve">limited evidence </w:t>
      </w:r>
      <w:r w:rsidR="004445B0">
        <w:rPr>
          <w:rFonts w:cs="Times New Roman"/>
        </w:rPr>
        <w:t xml:space="preserve">to suggest </w:t>
      </w:r>
      <w:r w:rsidR="00297012" w:rsidRPr="00DC183C">
        <w:rPr>
          <w:rFonts w:cs="Times New Roman"/>
        </w:rPr>
        <w:t xml:space="preserve">that attention has been given to </w:t>
      </w:r>
      <w:r w:rsidR="00DD6323">
        <w:rPr>
          <w:rFonts w:cs="Times New Roman"/>
        </w:rPr>
        <w:t>a Rights-Based A</w:t>
      </w:r>
      <w:r w:rsidR="004F1A16">
        <w:rPr>
          <w:rFonts w:cs="Times New Roman"/>
        </w:rPr>
        <w:t>pproach to UXO/Mine A</w:t>
      </w:r>
      <w:r w:rsidR="00297012" w:rsidRPr="00DC183C">
        <w:rPr>
          <w:rFonts w:cs="Times New Roman"/>
        </w:rPr>
        <w:t xml:space="preserve">ction. </w:t>
      </w:r>
      <w:r w:rsidR="00E3443E" w:rsidRPr="00DC183C">
        <w:rPr>
          <w:rFonts w:cs="Times New Roman"/>
        </w:rPr>
        <w:t xml:space="preserve">A particular area </w:t>
      </w:r>
      <w:r w:rsidR="00813EC4">
        <w:rPr>
          <w:rFonts w:cs="Times New Roman"/>
        </w:rPr>
        <w:t>of</w:t>
      </w:r>
      <w:r w:rsidR="00E3443E" w:rsidRPr="00DC183C">
        <w:rPr>
          <w:rFonts w:cs="Times New Roman"/>
        </w:rPr>
        <w:t xml:space="preserve"> concern is </w:t>
      </w:r>
      <w:r w:rsidR="00813EC4">
        <w:rPr>
          <w:rFonts w:cs="Times New Roman"/>
        </w:rPr>
        <w:t xml:space="preserve">the lack of analysis related to areas where </w:t>
      </w:r>
      <w:r w:rsidR="00E3443E" w:rsidRPr="00DC183C">
        <w:rPr>
          <w:rFonts w:cs="Times New Roman"/>
        </w:rPr>
        <w:t xml:space="preserve">UXO clearance </w:t>
      </w:r>
      <w:r w:rsidR="00813EC4">
        <w:rPr>
          <w:rFonts w:cs="Times New Roman"/>
        </w:rPr>
        <w:t xml:space="preserve">is undertaken </w:t>
      </w:r>
      <w:r w:rsidR="00E3443E" w:rsidRPr="00DC183C">
        <w:rPr>
          <w:rFonts w:cs="Times New Roman"/>
        </w:rPr>
        <w:t xml:space="preserve">in support of relocation. </w:t>
      </w:r>
    </w:p>
    <w:p w:rsidR="00254258" w:rsidRDefault="00A450D8" w:rsidP="00E94E89">
      <w:pPr>
        <w:pStyle w:val="Heading2"/>
        <w:numPr>
          <w:ilvl w:val="1"/>
          <w:numId w:val="26"/>
        </w:numPr>
        <w:spacing w:before="0"/>
      </w:pPr>
      <w:r>
        <w:t xml:space="preserve"> </w:t>
      </w:r>
      <w:bookmarkStart w:id="32" w:name="_Toc441609336"/>
      <w:r w:rsidR="00254258" w:rsidRPr="001F02E3">
        <w:t>Efforts to address issues “to be addressed” at beginning of project</w:t>
      </w:r>
      <w:bookmarkEnd w:id="32"/>
    </w:p>
    <w:p w:rsidR="00655CC6" w:rsidRPr="00DC183C" w:rsidRDefault="001F02E3" w:rsidP="00E94E89">
      <w:pPr>
        <w:spacing w:after="0"/>
      </w:pPr>
      <w:r>
        <w:t xml:space="preserve">In the absence of baseline data at the beginning of the </w:t>
      </w:r>
      <w:r w:rsidRPr="008F299C">
        <w:rPr>
          <w:i/>
        </w:rPr>
        <w:t>UNDP Support to M</w:t>
      </w:r>
      <w:r w:rsidR="002410F7">
        <w:rPr>
          <w:i/>
        </w:rPr>
        <w:t>ine Action in Lao PDR, 2013-2016</w:t>
      </w:r>
      <w:r>
        <w:t xml:space="preserve">, it is not possible to measure change against the two main programme objectives. Nevertheless, overall, the programme has achieved many of </w:t>
      </w:r>
      <w:r w:rsidR="00FB3DE6">
        <w:t xml:space="preserve">its </w:t>
      </w:r>
      <w:r>
        <w:t xml:space="preserve">targets and undertaken many of the actions outlined in the results framework. </w:t>
      </w:r>
      <w:r w:rsidR="00813EC4">
        <w:t>An important achievement</w:t>
      </w:r>
      <w:r w:rsidR="0072540F">
        <w:t xml:space="preserve"> is the approval and implementation of the CMTS</w:t>
      </w:r>
      <w:r w:rsidR="00927AEC">
        <w:t>,</w:t>
      </w:r>
      <w:r w:rsidR="0072540F">
        <w:t xml:space="preserve"> </w:t>
      </w:r>
      <w:r w:rsidR="00813EC4">
        <w:t xml:space="preserve">which is expected to </w:t>
      </w:r>
      <w:r w:rsidR="0072540F">
        <w:t xml:space="preserve">contribute to more efficient, evidence-based clearance practices. </w:t>
      </w:r>
      <w:r w:rsidR="00927AEC">
        <w:t xml:space="preserve">However, the </w:t>
      </w:r>
      <w:r w:rsidR="00813EC4">
        <w:t xml:space="preserve">UNDP has made limited progress in supporting the NRA and UXO Lao in a number of areas </w:t>
      </w:r>
      <w:r w:rsidR="00927AEC">
        <w:t xml:space="preserve">as </w:t>
      </w:r>
      <w:r w:rsidR="00813EC4">
        <w:t xml:space="preserve">identified in the 2012 </w:t>
      </w:r>
      <w:r w:rsidR="00655CC6">
        <w:t>evaluation</w:t>
      </w:r>
      <w:r w:rsidR="00813EC4">
        <w:t xml:space="preserve">. </w:t>
      </w:r>
      <w:r w:rsidR="00655CC6">
        <w:t xml:space="preserve">In particular, there has been limited progress on ensuring </w:t>
      </w:r>
      <w:r w:rsidR="00813EC4" w:rsidRPr="00DC183C">
        <w:t>a strategic, proactive</w:t>
      </w:r>
      <w:r w:rsidR="00927AEC">
        <w:t>,</w:t>
      </w:r>
      <w:r w:rsidR="00813EC4" w:rsidRPr="00DC183C">
        <w:t xml:space="preserve"> systematic</w:t>
      </w:r>
      <w:r w:rsidR="00927AEC">
        <w:t>,</w:t>
      </w:r>
      <w:r w:rsidR="00813EC4" w:rsidRPr="00DC183C">
        <w:t xml:space="preserve"> </w:t>
      </w:r>
      <w:r w:rsidR="00655CC6">
        <w:t xml:space="preserve">and transparent </w:t>
      </w:r>
      <w:r w:rsidR="00813EC4" w:rsidRPr="00DC183C">
        <w:t>approach for priority setting</w:t>
      </w:r>
      <w:r w:rsidR="00813EC4">
        <w:t>,</w:t>
      </w:r>
      <w:r w:rsidR="00813EC4" w:rsidRPr="00DC183C">
        <w:t xml:space="preserve"> with agreed</w:t>
      </w:r>
      <w:r w:rsidR="00813EC4">
        <w:t xml:space="preserve"> upon</w:t>
      </w:r>
      <w:r w:rsidR="00813EC4" w:rsidRPr="00DC183C">
        <w:t xml:space="preserve"> criteria. </w:t>
      </w:r>
      <w:r w:rsidR="00655CC6">
        <w:t xml:space="preserve">Further work needs to be undertaken to enable the </w:t>
      </w:r>
      <w:r w:rsidR="00813EC4" w:rsidRPr="00DC183C">
        <w:t>NRA to fully undertake its accreditation</w:t>
      </w:r>
      <w:r w:rsidR="00655CC6">
        <w:t xml:space="preserve"> and QA/QC</w:t>
      </w:r>
      <w:r w:rsidR="00813EC4" w:rsidRPr="00DC183C">
        <w:t xml:space="preserve"> </w:t>
      </w:r>
      <w:r w:rsidR="00655CC6">
        <w:t>responsibilities. T</w:t>
      </w:r>
      <w:r w:rsidR="00813EC4" w:rsidRPr="00DC183C">
        <w:t xml:space="preserve">he </w:t>
      </w:r>
      <w:r w:rsidR="00655CC6">
        <w:t>UNDP efforts have also been limited</w:t>
      </w:r>
      <w:r w:rsidR="00927AEC">
        <w:t>,</w:t>
      </w:r>
      <w:r w:rsidR="00655CC6">
        <w:t xml:space="preserve"> in terms of </w:t>
      </w:r>
      <w:r w:rsidR="00813EC4" w:rsidRPr="00DC183C">
        <w:t xml:space="preserve">promoting better data </w:t>
      </w:r>
      <w:r w:rsidR="00655CC6">
        <w:t xml:space="preserve">management processes or </w:t>
      </w:r>
      <w:r w:rsidR="00813EC4" w:rsidRPr="00DC183C">
        <w:t>outcome reporting</w:t>
      </w:r>
      <w:r w:rsidR="00655CC6">
        <w:t>.</w:t>
      </w:r>
      <w:r w:rsidR="00813EC4" w:rsidRPr="00DC183C">
        <w:t xml:space="preserve"> </w:t>
      </w:r>
      <w:r w:rsidR="00655CC6">
        <w:t>The issue</w:t>
      </w:r>
      <w:r w:rsidR="005E245F">
        <w:t>s</w:t>
      </w:r>
      <w:r w:rsidR="00655CC6">
        <w:t xml:space="preserve"> of fragmented advice and the lack of a coordinated approach to donor supported TAs</w:t>
      </w:r>
      <w:r w:rsidR="005E245F">
        <w:t>,</w:t>
      </w:r>
      <w:r w:rsidR="00655CC6">
        <w:t xml:space="preserve"> </w:t>
      </w:r>
      <w:r w:rsidR="005E245F">
        <w:t>have</w:t>
      </w:r>
      <w:r w:rsidR="00655CC6">
        <w:t xml:space="preserve"> not been addressed and </w:t>
      </w:r>
      <w:r w:rsidR="005E245F">
        <w:t>were</w:t>
      </w:r>
      <w:r w:rsidR="00655CC6">
        <w:t xml:space="preserve"> further aggravated by </w:t>
      </w:r>
      <w:r w:rsidR="005E245F">
        <w:t xml:space="preserve">the </w:t>
      </w:r>
      <w:r w:rsidR="00655CC6">
        <w:t>UNDP itself. Some progress ha</w:t>
      </w:r>
      <w:r w:rsidR="005E245F">
        <w:t xml:space="preserve">s been made in recent months in donor communication. A number of in-country donors, </w:t>
      </w:r>
      <w:r w:rsidR="00655CC6">
        <w:t xml:space="preserve">however, expressed discontent with the </w:t>
      </w:r>
      <w:r w:rsidR="00813EC4" w:rsidRPr="00DC183C">
        <w:t>quality, timeliness</w:t>
      </w:r>
      <w:r w:rsidR="00813EC4">
        <w:t>,</w:t>
      </w:r>
      <w:r w:rsidR="00813EC4" w:rsidRPr="00DC183C">
        <w:t xml:space="preserve"> and transparency of </w:t>
      </w:r>
      <w:r w:rsidR="00813EC4">
        <w:t xml:space="preserve">the </w:t>
      </w:r>
      <w:r w:rsidR="00813EC4" w:rsidRPr="00DC183C">
        <w:t>UNDP’s communication</w:t>
      </w:r>
      <w:r w:rsidR="00813EC4">
        <w:t xml:space="preserve"> </w:t>
      </w:r>
      <w:r w:rsidR="00655CC6">
        <w:t>and application of safeguards. Also of concern</w:t>
      </w:r>
      <w:r w:rsidR="005E245F">
        <w:t>,</w:t>
      </w:r>
      <w:r w:rsidR="00655CC6">
        <w:t xml:space="preserve"> is the limited progress on </w:t>
      </w:r>
      <w:r w:rsidRPr="00DC183C">
        <w:t>develop</w:t>
      </w:r>
      <w:r w:rsidR="0072540F">
        <w:t>ing</w:t>
      </w:r>
      <w:r w:rsidRPr="00DC183C">
        <w:t xml:space="preserve"> a longer-term resource mobilisation strategy </w:t>
      </w:r>
      <w:r w:rsidR="005E245F">
        <w:t>that</w:t>
      </w:r>
      <w:r w:rsidRPr="00DC183C">
        <w:t xml:space="preserve"> support</w:t>
      </w:r>
      <w:r w:rsidR="005E245F">
        <w:t>s</w:t>
      </w:r>
      <w:r w:rsidRPr="00DC183C">
        <w:t xml:space="preserve"> </w:t>
      </w:r>
      <w:r w:rsidR="00FB3DE6">
        <w:t>the</w:t>
      </w:r>
      <w:r w:rsidRPr="00DC183C">
        <w:t xml:space="preserve"> transition to less reliance on international donor funding</w:t>
      </w:r>
      <w:r w:rsidR="0072540F">
        <w:t xml:space="preserve">. </w:t>
      </w:r>
    </w:p>
    <w:p w:rsidR="00254258" w:rsidRPr="00DC183C" w:rsidRDefault="00A450D8" w:rsidP="00E94E89">
      <w:pPr>
        <w:pStyle w:val="Heading2"/>
        <w:numPr>
          <w:ilvl w:val="1"/>
          <w:numId w:val="26"/>
        </w:numPr>
        <w:spacing w:before="0"/>
      </w:pPr>
      <w:r>
        <w:t xml:space="preserve"> </w:t>
      </w:r>
      <w:bookmarkStart w:id="33" w:name="_Toc441609337"/>
      <w:r w:rsidR="00366FD2" w:rsidRPr="00DC183C">
        <w:t>F</w:t>
      </w:r>
      <w:r w:rsidR="00254258" w:rsidRPr="00DC183C">
        <w:t>inancial support</w:t>
      </w:r>
      <w:r w:rsidR="00366FD2" w:rsidRPr="00DC183C">
        <w:t xml:space="preserve"> and management of Trust Fund</w:t>
      </w:r>
      <w:bookmarkEnd w:id="33"/>
      <w:r w:rsidR="00366FD2" w:rsidRPr="00DC183C">
        <w:t xml:space="preserve"> </w:t>
      </w:r>
    </w:p>
    <w:p w:rsidR="006B314C" w:rsidRPr="006B314C" w:rsidRDefault="00B807FD" w:rsidP="001B5712">
      <w:pPr>
        <w:rPr>
          <w:rFonts w:cs="Calibri"/>
        </w:rPr>
      </w:pPr>
      <w:r w:rsidRPr="00E30727">
        <w:t xml:space="preserve">Funding is channelled through </w:t>
      </w:r>
      <w:r w:rsidR="005D610C" w:rsidRPr="00E30727">
        <w:t xml:space="preserve">the </w:t>
      </w:r>
      <w:r w:rsidRPr="00E30727">
        <w:t>UNDP via the Trust Fund or cost-sharing agreements. The Trust Fund was reported to be expensive to set up and administer</w:t>
      </w:r>
      <w:r w:rsidR="00E30727">
        <w:t>. However, it does</w:t>
      </w:r>
      <w:r w:rsidRPr="00E30727">
        <w:t xml:space="preserve"> provide a mechanism for donors who want to specifically support </w:t>
      </w:r>
      <w:r w:rsidR="005D610C" w:rsidRPr="00E30727">
        <w:t xml:space="preserve">the </w:t>
      </w:r>
      <w:r w:rsidRPr="00E30727">
        <w:t xml:space="preserve">implementation of the CCM or do not have an in-country presence to adequately oversee </w:t>
      </w:r>
      <w:r w:rsidR="005D610C" w:rsidRPr="00E30727">
        <w:t xml:space="preserve">the </w:t>
      </w:r>
      <w:r w:rsidRPr="00E30727">
        <w:t xml:space="preserve">administration of their funds. </w:t>
      </w:r>
      <w:r w:rsidR="001E60DA" w:rsidRPr="00E30727">
        <w:t>In 201</w:t>
      </w:r>
      <w:r w:rsidR="00CF79BF" w:rsidRPr="00E30727">
        <w:t>3</w:t>
      </w:r>
      <w:r w:rsidR="00E30727">
        <w:t>,</w:t>
      </w:r>
      <w:r w:rsidR="001E60DA" w:rsidRPr="00E30727">
        <w:t xml:space="preserve"> </w:t>
      </w:r>
      <w:r w:rsidR="00E30727">
        <w:t>a</w:t>
      </w:r>
      <w:r w:rsidR="001E60DA" w:rsidRPr="00E30727">
        <w:t xml:space="preserve"> total</w:t>
      </w:r>
      <w:r w:rsidR="00E30727">
        <w:t xml:space="preserve"> of</w:t>
      </w:r>
      <w:r w:rsidR="001E60DA" w:rsidRPr="00E30727">
        <w:t xml:space="preserve"> USD 1,683,067 contributions were made to the NRA</w:t>
      </w:r>
      <w:r w:rsidR="00E30727">
        <w:t>,</w:t>
      </w:r>
      <w:r w:rsidR="001E60DA" w:rsidRPr="00E30727">
        <w:t xml:space="preserve"> with expenditure</w:t>
      </w:r>
      <w:r w:rsidR="00E30727">
        <w:t xml:space="preserve"> of</w:t>
      </w:r>
      <w:r w:rsidR="001E60DA" w:rsidRPr="00E30727">
        <w:t xml:space="preserve"> USD </w:t>
      </w:r>
      <w:r w:rsidR="008D2906" w:rsidRPr="008D2906">
        <w:t>1,522,571</w:t>
      </w:r>
      <w:r w:rsidR="001E60DA" w:rsidRPr="00E30727">
        <w:t xml:space="preserve">. Of the total contributions, USD </w:t>
      </w:r>
      <w:r w:rsidR="008D2906" w:rsidRPr="008D2906">
        <w:t>1,592,320</w:t>
      </w:r>
      <w:r w:rsidR="008D2906">
        <w:t xml:space="preserve"> </w:t>
      </w:r>
      <w:r w:rsidR="008D2906" w:rsidRPr="00E30727">
        <w:t>was</w:t>
      </w:r>
      <w:r w:rsidR="001E60DA" w:rsidRPr="00E30727">
        <w:t xml:space="preserve"> channelled through </w:t>
      </w:r>
      <w:r w:rsidR="00E30727">
        <w:t xml:space="preserve">the </w:t>
      </w:r>
      <w:r w:rsidR="001E60DA" w:rsidRPr="00E30727">
        <w:t>UNDP</w:t>
      </w:r>
      <w:r w:rsidR="008D2906">
        <w:t xml:space="preserve"> with expenditure USD </w:t>
      </w:r>
      <w:r w:rsidR="008D2906" w:rsidRPr="008D2906">
        <w:t>1,393,980</w:t>
      </w:r>
      <w:r w:rsidR="001E60DA" w:rsidRPr="00E30727">
        <w:t>. In 2013</w:t>
      </w:r>
      <w:r w:rsidR="00E30727">
        <w:t>,</w:t>
      </w:r>
      <w:r w:rsidR="001E60DA" w:rsidRPr="00E30727">
        <w:t xml:space="preserve"> </w:t>
      </w:r>
      <w:r w:rsidR="00E30727">
        <w:t>a</w:t>
      </w:r>
      <w:r w:rsidR="001E60DA" w:rsidRPr="00E30727">
        <w:t xml:space="preserve"> total</w:t>
      </w:r>
      <w:r w:rsidR="00E30727">
        <w:t xml:space="preserve"> of</w:t>
      </w:r>
      <w:r w:rsidR="001E60DA" w:rsidRPr="00E30727">
        <w:t xml:space="preserve"> USD 6,204,648 contributions were made to </w:t>
      </w:r>
      <w:r w:rsidR="00E30727">
        <w:t xml:space="preserve">the </w:t>
      </w:r>
      <w:r w:rsidR="001E60DA" w:rsidRPr="00E30727">
        <w:t>UXO Lao</w:t>
      </w:r>
      <w:r w:rsidR="00E30727">
        <w:t>,</w:t>
      </w:r>
      <w:r w:rsidR="001E60DA" w:rsidRPr="00E30727">
        <w:t xml:space="preserve"> with expenditure</w:t>
      </w:r>
      <w:r w:rsidR="00E30727">
        <w:t xml:space="preserve"> of</w:t>
      </w:r>
      <w:r w:rsidR="001E60DA" w:rsidRPr="00E30727">
        <w:t xml:space="preserve"> </w:t>
      </w:r>
      <w:r w:rsidR="00E30727">
        <w:t xml:space="preserve">USD </w:t>
      </w:r>
      <w:r w:rsidR="008D2906">
        <w:t>8,819,955</w:t>
      </w:r>
      <w:r w:rsidR="008D2906">
        <w:rPr>
          <w:rStyle w:val="FootnoteReference"/>
        </w:rPr>
        <w:footnoteReference w:id="21"/>
      </w:r>
      <w:r w:rsidR="001E60DA" w:rsidRPr="00E30727">
        <w:t xml:space="preserve">. </w:t>
      </w:r>
      <w:r w:rsidR="008D2906">
        <w:t xml:space="preserve"> </w:t>
      </w:r>
      <w:r w:rsidR="001B5712">
        <w:t>There is</w:t>
      </w:r>
      <w:r w:rsidR="003F61C3">
        <w:t xml:space="preserve"> some </w:t>
      </w:r>
      <w:r w:rsidR="001B5712">
        <w:t>inefficiency</w:t>
      </w:r>
      <w:r w:rsidR="003F61C3">
        <w:t xml:space="preserve"> in budget management in regards to budget versus </w:t>
      </w:r>
      <w:r w:rsidR="001B5712">
        <w:t>spending</w:t>
      </w:r>
      <w:r w:rsidR="003F61C3">
        <w:t xml:space="preserve"> </w:t>
      </w:r>
      <w:r w:rsidR="001B5712">
        <w:t xml:space="preserve">as </w:t>
      </w:r>
      <w:r w:rsidR="001B5712" w:rsidRPr="00E30727">
        <w:t>is</w:t>
      </w:r>
      <w:r w:rsidR="003F61C3" w:rsidRPr="00E30727">
        <w:t xml:space="preserve"> </w:t>
      </w:r>
      <w:r w:rsidR="003F61C3">
        <w:t>evident,</w:t>
      </w:r>
      <w:r w:rsidR="003F61C3" w:rsidRPr="00E30727">
        <w:t xml:space="preserve"> for example</w:t>
      </w:r>
      <w:r w:rsidR="003F61C3">
        <w:t>,</w:t>
      </w:r>
      <w:r w:rsidR="003F61C3" w:rsidRPr="00E30727">
        <w:t xml:space="preserve"> in </w:t>
      </w:r>
      <w:r w:rsidR="003F61C3">
        <w:t xml:space="preserve">2013 where </w:t>
      </w:r>
      <w:r w:rsidR="003F61C3" w:rsidRPr="00E30727">
        <w:t xml:space="preserve">overall available funding </w:t>
      </w:r>
      <w:r w:rsidR="003F61C3">
        <w:t>was</w:t>
      </w:r>
      <w:r w:rsidR="003F61C3" w:rsidRPr="00E30727">
        <w:t xml:space="preserve"> greater than contributions. </w:t>
      </w:r>
      <w:r w:rsidR="003F61C3">
        <w:t xml:space="preserve"> In both 2013 and 2014 however improvements were observed compared to previous years. Nevertheless, </w:t>
      </w:r>
      <w:r w:rsidR="003F61C3" w:rsidRPr="00E30727">
        <w:rPr>
          <w:rFonts w:cs="Calibri"/>
        </w:rPr>
        <w:t xml:space="preserve">while </w:t>
      </w:r>
      <w:r w:rsidR="003F61C3">
        <w:rPr>
          <w:rFonts w:cs="Calibri"/>
        </w:rPr>
        <w:t xml:space="preserve">end of year </w:t>
      </w:r>
      <w:r w:rsidR="003F61C3" w:rsidRPr="00E30727">
        <w:rPr>
          <w:rFonts w:cs="Calibri"/>
        </w:rPr>
        <w:t xml:space="preserve">figures suggest </w:t>
      </w:r>
      <w:r w:rsidR="003F61C3">
        <w:rPr>
          <w:rFonts w:cs="Calibri"/>
        </w:rPr>
        <w:t xml:space="preserve">improved efficiencies, </w:t>
      </w:r>
      <w:r w:rsidR="003F61C3" w:rsidRPr="00E30727">
        <w:rPr>
          <w:rFonts w:cs="Calibri"/>
        </w:rPr>
        <w:t>against</w:t>
      </w:r>
      <w:r w:rsidR="003F61C3">
        <w:rPr>
          <w:rFonts w:cs="Calibri"/>
        </w:rPr>
        <w:t xml:space="preserve"> </w:t>
      </w:r>
      <w:r w:rsidR="003F61C3" w:rsidRPr="00E30727">
        <w:rPr>
          <w:rFonts w:cs="Calibri"/>
        </w:rPr>
        <w:t>each quarter the figures look less efficient</w:t>
      </w:r>
      <w:r w:rsidR="003F61C3">
        <w:rPr>
          <w:rFonts w:cs="Calibri"/>
        </w:rPr>
        <w:t xml:space="preserve">, partly </w:t>
      </w:r>
      <w:r w:rsidR="003F61C3" w:rsidRPr="00E30727">
        <w:rPr>
          <w:rFonts w:cs="Calibri"/>
        </w:rPr>
        <w:t xml:space="preserve">due to delays in work plans being signed off. For </w:t>
      </w:r>
      <w:r w:rsidR="003F61C3">
        <w:rPr>
          <w:rFonts w:cs="Calibri"/>
        </w:rPr>
        <w:t xml:space="preserve">in </w:t>
      </w:r>
      <w:r w:rsidR="003F61C3" w:rsidRPr="00E30727">
        <w:rPr>
          <w:rFonts w:cs="Calibri"/>
        </w:rPr>
        <w:t>UXO Lao</w:t>
      </w:r>
      <w:r w:rsidR="003F61C3">
        <w:rPr>
          <w:rFonts w:cs="Calibri"/>
        </w:rPr>
        <w:t xml:space="preserve"> in</w:t>
      </w:r>
      <w:r w:rsidR="003F61C3" w:rsidRPr="00E30727">
        <w:rPr>
          <w:rFonts w:cs="Calibri"/>
        </w:rPr>
        <w:t xml:space="preserve"> </w:t>
      </w:r>
      <w:r w:rsidR="003F61C3">
        <w:rPr>
          <w:rFonts w:cs="Calibri"/>
        </w:rPr>
        <w:t>particular</w:t>
      </w:r>
      <w:r w:rsidR="008D2906">
        <w:rPr>
          <w:rFonts w:cs="Calibri"/>
        </w:rPr>
        <w:t>,</w:t>
      </w:r>
      <w:r w:rsidR="003F61C3">
        <w:rPr>
          <w:rFonts w:cs="Calibri"/>
        </w:rPr>
        <w:t xml:space="preserve"> in </w:t>
      </w:r>
      <w:r w:rsidR="003F61C3" w:rsidRPr="00E30727">
        <w:rPr>
          <w:rFonts w:cs="Calibri"/>
        </w:rPr>
        <w:t xml:space="preserve">2014 </w:t>
      </w:r>
      <w:r w:rsidR="008D2906">
        <w:rPr>
          <w:rFonts w:cs="Calibri"/>
        </w:rPr>
        <w:t>provided</w:t>
      </w:r>
      <w:r w:rsidR="008D2906">
        <w:rPr>
          <w:rFonts w:cs="Calibri"/>
          <w:color w:val="221E1F"/>
          <w:sz w:val="21"/>
          <w:szCs w:val="21"/>
        </w:rPr>
        <w:t xml:space="preserve"> a difficult funding environment and reduced budgets</w:t>
      </w:r>
      <w:r w:rsidR="001B5712">
        <w:rPr>
          <w:rFonts w:cs="Calibri"/>
          <w:color w:val="221E1F"/>
          <w:sz w:val="21"/>
          <w:szCs w:val="21"/>
        </w:rPr>
        <w:t xml:space="preserve"> and </w:t>
      </w:r>
      <w:r w:rsidR="00523D18">
        <w:rPr>
          <w:rFonts w:cs="Calibri"/>
          <w:color w:val="221E1F"/>
          <w:sz w:val="21"/>
          <w:szCs w:val="21"/>
        </w:rPr>
        <w:t xml:space="preserve">approximately 200 </w:t>
      </w:r>
      <w:r w:rsidR="001B5712">
        <w:rPr>
          <w:rFonts w:cs="Calibri"/>
          <w:color w:val="221E1F"/>
          <w:sz w:val="21"/>
          <w:szCs w:val="21"/>
        </w:rPr>
        <w:t xml:space="preserve">staff being released.  </w:t>
      </w:r>
    </w:p>
    <w:p w:rsidR="00F37646" w:rsidRDefault="0043631C" w:rsidP="00DC183C">
      <w:pPr>
        <w:pStyle w:val="NormalModified"/>
      </w:pPr>
      <w:r>
        <w:t xml:space="preserve">Specifically established in 2010 to support CCM implementation, </w:t>
      </w:r>
      <w:r w:rsidR="00A62F85">
        <w:t>the Fund has not been as effective as envisioned in mobilising funds.</w:t>
      </w:r>
      <w:r>
        <w:t xml:space="preserve"> </w:t>
      </w:r>
      <w:r w:rsidR="001D0F90">
        <w:t>Nevertheless, f</w:t>
      </w:r>
      <w:r w:rsidR="00B807FD" w:rsidRPr="00DC183C">
        <w:t>or donors</w:t>
      </w:r>
      <w:r w:rsidR="00A62F85">
        <w:t xml:space="preserve"> who use the Trust Fund mechanism</w:t>
      </w:r>
      <w:r w:rsidR="002B7E03">
        <w:t>,</w:t>
      </w:r>
      <w:r w:rsidR="00A62F85">
        <w:t xml:space="preserve"> it provides</w:t>
      </w:r>
      <w:r w:rsidR="00B807FD" w:rsidRPr="00DC183C">
        <w:t xml:space="preserve"> a lower risk </w:t>
      </w:r>
      <w:r w:rsidR="000F1426">
        <w:t xml:space="preserve">option than bilateral funding. </w:t>
      </w:r>
      <w:r w:rsidR="00B807FD" w:rsidRPr="00DC183C">
        <w:t>The Trust Fun</w:t>
      </w:r>
      <w:r w:rsidR="005D610C">
        <w:t>d</w:t>
      </w:r>
      <w:r w:rsidR="00B807FD" w:rsidRPr="00DC183C">
        <w:t xml:space="preserve"> is also relevant to the Vientiane Declaration on Aid Effectiveness. </w:t>
      </w:r>
      <w:r w:rsidR="002B7E03">
        <w:t>Although the</w:t>
      </w:r>
      <w:r w:rsidR="00B807FD" w:rsidRPr="00DC183C">
        <w:t xml:space="preserve"> Trust Fund includes a window for civil society</w:t>
      </w:r>
      <w:r w:rsidR="002B7E03">
        <w:t>, some</w:t>
      </w:r>
      <w:r w:rsidR="00B807FD" w:rsidRPr="00DC183C">
        <w:t xml:space="preserve"> donors were particularly concerned that this had not bee</w:t>
      </w:r>
      <w:r w:rsidR="00655CC6">
        <w:t xml:space="preserve">n progressed in a timely manner. A tender process was </w:t>
      </w:r>
      <w:r w:rsidR="005D610C" w:rsidRPr="00DC183C">
        <w:t>initiated</w:t>
      </w:r>
      <w:r w:rsidR="002B7E03">
        <w:t>,</w:t>
      </w:r>
      <w:r w:rsidR="005D610C" w:rsidRPr="00DC183C">
        <w:t xml:space="preserve"> </w:t>
      </w:r>
      <w:r w:rsidR="00655CC6">
        <w:t xml:space="preserve">however </w:t>
      </w:r>
      <w:r w:rsidR="005D610C">
        <w:t>(</w:t>
      </w:r>
      <w:r w:rsidR="005D610C" w:rsidRPr="000F1426">
        <w:t>that closed at the end of June</w:t>
      </w:r>
      <w:r w:rsidR="005D610C">
        <w:t>)</w:t>
      </w:r>
      <w:r w:rsidR="00B807FD" w:rsidRPr="00DC183C">
        <w:t xml:space="preserve">, </w:t>
      </w:r>
      <w:r w:rsidR="006D3310">
        <w:t>and was generally seen as being</w:t>
      </w:r>
      <w:r w:rsidR="00B807FD" w:rsidRPr="000F1426">
        <w:t xml:space="preserve"> well-run</w:t>
      </w:r>
      <w:r w:rsidR="005D610C">
        <w:t xml:space="preserve"> </w:t>
      </w:r>
      <w:r w:rsidR="00B807FD" w:rsidRPr="000F1426">
        <w:t xml:space="preserve">and an effective process. </w:t>
      </w:r>
      <w:r w:rsidR="00DC183C" w:rsidRPr="000F1426">
        <w:t xml:space="preserve">The Trust Fund can </w:t>
      </w:r>
      <w:r w:rsidR="001D0F90">
        <w:t>however,</w:t>
      </w:r>
      <w:r w:rsidR="00DC183C" w:rsidRPr="000F1426">
        <w:t xml:space="preserve"> be unwieldy to administer, especially where donors earmark funds for specific geographic areas. For example, in 2014 an esti</w:t>
      </w:r>
      <w:r w:rsidR="00523D18">
        <w:t>mated $2m shortfall lead</w:t>
      </w:r>
      <w:r w:rsidR="00DC183C" w:rsidRPr="000F1426">
        <w:t xml:space="preserve"> to </w:t>
      </w:r>
      <w:r w:rsidR="005D610C">
        <w:t xml:space="preserve">the </w:t>
      </w:r>
      <w:r w:rsidR="00DC183C" w:rsidRPr="000F1426">
        <w:t xml:space="preserve">standing down of 19 clearance </w:t>
      </w:r>
      <w:r w:rsidR="00523D18">
        <w:t>teams</w:t>
      </w:r>
      <w:r w:rsidR="005D610C">
        <w:t>.</w:t>
      </w:r>
      <w:r w:rsidR="00DC183C" w:rsidRPr="000F1426">
        <w:t xml:space="preserve"> </w:t>
      </w:r>
      <w:r w:rsidR="005D610C">
        <w:t>Y</w:t>
      </w:r>
      <w:r w:rsidR="00DC183C" w:rsidRPr="000F1426">
        <w:t>et</w:t>
      </w:r>
      <w:r w:rsidR="005D610C">
        <w:t>,</w:t>
      </w:r>
      <w:r w:rsidR="00DC183C" w:rsidRPr="000F1426">
        <w:t xml:space="preserve"> this </w:t>
      </w:r>
      <w:r w:rsidR="005D610C">
        <w:t>could have</w:t>
      </w:r>
      <w:r w:rsidR="000F1426">
        <w:t xml:space="preserve"> been mitigated </w:t>
      </w:r>
      <w:r w:rsidR="00DC183C" w:rsidRPr="000F1426">
        <w:t>if all available funds had been un</w:t>
      </w:r>
      <w:r w:rsidR="002B7E03">
        <w:t>-</w:t>
      </w:r>
      <w:r w:rsidR="00DC183C" w:rsidRPr="000F1426">
        <w:t xml:space="preserve">earmarked. Furthermore, </w:t>
      </w:r>
      <w:r w:rsidR="005D610C">
        <w:t xml:space="preserve">the </w:t>
      </w:r>
      <w:r w:rsidR="00DC183C" w:rsidRPr="000F1426">
        <w:t xml:space="preserve">UNDP has not provided </w:t>
      </w:r>
      <w:r w:rsidR="005D610C">
        <w:t xml:space="preserve">consistent </w:t>
      </w:r>
      <w:r w:rsidR="000F1426">
        <w:t>financial technical</w:t>
      </w:r>
      <w:r w:rsidR="00DC183C" w:rsidRPr="000F1426">
        <w:t xml:space="preserve"> support to the UXO programme</w:t>
      </w:r>
      <w:r w:rsidR="005D610C">
        <w:t xml:space="preserve">. As a result, the </w:t>
      </w:r>
      <w:r w:rsidR="00DC183C" w:rsidRPr="000F1426">
        <w:t xml:space="preserve">UXO Lao and the NRA often struggle with </w:t>
      </w:r>
      <w:r w:rsidR="005D610C">
        <w:t xml:space="preserve">the </w:t>
      </w:r>
      <w:r w:rsidR="00DC183C" w:rsidRPr="000F1426">
        <w:t>UNDP’s real, or perceived, complex processes</w:t>
      </w:r>
      <w:r w:rsidR="002B7E03">
        <w:t>.</w:t>
      </w:r>
      <w:r w:rsidR="00DC183C" w:rsidRPr="000F1426">
        <w:t xml:space="preserve"> </w:t>
      </w:r>
      <w:r w:rsidR="002B7E03">
        <w:t>Thus, t</w:t>
      </w:r>
      <w:r w:rsidR="00DC183C" w:rsidRPr="000F1426">
        <w:t>he programme frequently struggles to pr</w:t>
      </w:r>
      <w:r w:rsidR="000F1426">
        <w:t xml:space="preserve">ovide timely donor reports. </w:t>
      </w:r>
      <w:r w:rsidR="00F37646">
        <w:t xml:space="preserve"> This may also be because limited effort was placed on building these management capacities of the NRA and UXO Lao to meet the requirements of the Trust Fund</w:t>
      </w:r>
      <w:r w:rsidR="007F6D74">
        <w:t xml:space="preserve">. There is insufficient data to determine the extent to which </w:t>
      </w:r>
      <w:r w:rsidR="002B7E03">
        <w:t xml:space="preserve">the </w:t>
      </w:r>
      <w:r w:rsidR="007F6D74">
        <w:t xml:space="preserve">UNDP supported </w:t>
      </w:r>
      <w:r w:rsidR="00387AAF">
        <w:t>the Government</w:t>
      </w:r>
      <w:r w:rsidR="00F37646">
        <w:t xml:space="preserve"> of Lao </w:t>
      </w:r>
      <w:r w:rsidR="007F6D74">
        <w:t>PDR to identify and resource these capacity needs</w:t>
      </w:r>
      <w:r w:rsidR="00F37646">
        <w:t xml:space="preserve">.  </w:t>
      </w:r>
    </w:p>
    <w:p w:rsidR="006D2B26" w:rsidRDefault="006D2B26" w:rsidP="006D2B26">
      <w:pPr>
        <w:pStyle w:val="NormalModified"/>
      </w:pPr>
      <w:r>
        <w:t xml:space="preserve">Figure 2 shows the Trust Fund trend comparing the resources mobilised versus resources required showing that while the Fund has mobilised less resources than initially envisaged, it has generally been able to </w:t>
      </w:r>
      <w:r w:rsidRPr="006D2B26">
        <w:rPr>
          <w:lang w:val="en-US"/>
        </w:rPr>
        <w:t>mobilize the resources needed</w:t>
      </w:r>
      <w:r>
        <w:rPr>
          <w:lang w:val="en-US"/>
        </w:rPr>
        <w:t xml:space="preserve">. Further, UNDP has generally been able to fill some </w:t>
      </w:r>
      <w:r w:rsidRPr="006D2B26">
        <w:rPr>
          <w:lang w:val="en-US"/>
        </w:rPr>
        <w:t>Trust Fund</w:t>
      </w:r>
      <w:r>
        <w:rPr>
          <w:lang w:val="en-US"/>
        </w:rPr>
        <w:t xml:space="preserve"> gaps through non-Trust Fund resources, notwithstanding </w:t>
      </w:r>
      <w:r w:rsidR="00C4045A">
        <w:rPr>
          <w:lang w:val="en-US"/>
        </w:rPr>
        <w:t>the 2014</w:t>
      </w:r>
      <w:r>
        <w:rPr>
          <w:lang w:val="en-US"/>
        </w:rPr>
        <w:t xml:space="preserve"> financial crisis.</w:t>
      </w:r>
    </w:p>
    <w:p w:rsidR="006D2B26" w:rsidRDefault="006D2B26" w:rsidP="00DC183C">
      <w:pPr>
        <w:pStyle w:val="NormalModified"/>
      </w:pPr>
    </w:p>
    <w:p w:rsidR="003E469D" w:rsidRPr="003E469D" w:rsidRDefault="003E469D" w:rsidP="003E469D">
      <w:pPr>
        <w:pStyle w:val="Caption"/>
        <w:rPr>
          <w:color w:val="auto"/>
          <w:sz w:val="22"/>
          <w:szCs w:val="22"/>
        </w:rPr>
      </w:pPr>
      <w:bookmarkStart w:id="34" w:name="_Toc440019921"/>
      <w:r w:rsidRPr="003E469D">
        <w:rPr>
          <w:color w:val="auto"/>
          <w:sz w:val="22"/>
          <w:szCs w:val="22"/>
        </w:rPr>
        <w:t xml:space="preserve">Figure </w:t>
      </w:r>
      <w:r w:rsidRPr="003E469D">
        <w:rPr>
          <w:color w:val="auto"/>
          <w:sz w:val="22"/>
          <w:szCs w:val="22"/>
        </w:rPr>
        <w:fldChar w:fldCharType="begin"/>
      </w:r>
      <w:r w:rsidRPr="003E469D">
        <w:rPr>
          <w:color w:val="auto"/>
          <w:sz w:val="22"/>
          <w:szCs w:val="22"/>
        </w:rPr>
        <w:instrText xml:space="preserve"> SEQ Figure \* ARABIC </w:instrText>
      </w:r>
      <w:r w:rsidRPr="003E469D">
        <w:rPr>
          <w:color w:val="auto"/>
          <w:sz w:val="22"/>
          <w:szCs w:val="22"/>
        </w:rPr>
        <w:fldChar w:fldCharType="separate"/>
      </w:r>
      <w:r w:rsidR="001F2335">
        <w:rPr>
          <w:noProof/>
          <w:color w:val="auto"/>
          <w:sz w:val="22"/>
          <w:szCs w:val="22"/>
        </w:rPr>
        <w:t>2</w:t>
      </w:r>
      <w:r w:rsidRPr="003E469D">
        <w:rPr>
          <w:color w:val="auto"/>
          <w:sz w:val="22"/>
          <w:szCs w:val="22"/>
        </w:rPr>
        <w:fldChar w:fldCharType="end"/>
      </w:r>
      <w:r w:rsidR="006D2B26">
        <w:rPr>
          <w:color w:val="auto"/>
          <w:sz w:val="22"/>
          <w:szCs w:val="22"/>
        </w:rPr>
        <w:t xml:space="preserve"> Trust F</w:t>
      </w:r>
      <w:r w:rsidRPr="003E469D">
        <w:rPr>
          <w:color w:val="auto"/>
          <w:sz w:val="22"/>
          <w:szCs w:val="22"/>
        </w:rPr>
        <w:t>und trend: Resources mobilised versus resources required</w:t>
      </w:r>
      <w:r w:rsidR="00C4045A">
        <w:rPr>
          <w:rStyle w:val="FootnoteReference"/>
          <w:color w:val="auto"/>
          <w:sz w:val="22"/>
          <w:szCs w:val="22"/>
        </w:rPr>
        <w:footnoteReference w:id="22"/>
      </w:r>
      <w:bookmarkEnd w:id="34"/>
    </w:p>
    <w:p w:rsidR="003E469D" w:rsidRPr="000F1426" w:rsidRDefault="003E469D" w:rsidP="00DC183C">
      <w:pPr>
        <w:pStyle w:val="NormalModified"/>
      </w:pPr>
      <w:r w:rsidRPr="003E469D">
        <w:rPr>
          <w:noProof/>
          <w:lang w:val="en-US"/>
        </w:rPr>
        <w:drawing>
          <wp:inline distT="0" distB="0" distL="0" distR="0" wp14:anchorId="11892B8E" wp14:editId="56588F45">
            <wp:extent cx="5943600" cy="326834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2B26" w:rsidRDefault="006D2B26" w:rsidP="006D3310"/>
    <w:p w:rsidR="006D2B26" w:rsidRDefault="006D2B26" w:rsidP="006D3310"/>
    <w:p w:rsidR="006D2B26" w:rsidRDefault="006D2B26" w:rsidP="006D3310"/>
    <w:p w:rsidR="006D2B26" w:rsidRDefault="00C4045A" w:rsidP="006D3310">
      <w:r>
        <w:t xml:space="preserve">Table 1 shows the </w:t>
      </w:r>
      <w:r w:rsidRPr="006D2B26">
        <w:rPr>
          <w:lang w:val="en-US"/>
        </w:rPr>
        <w:t>total signed agreements</w:t>
      </w:r>
      <w:r>
        <w:rPr>
          <w:lang w:val="en-US"/>
        </w:rPr>
        <w:t xml:space="preserve"> until to December 2014)</w:t>
      </w:r>
      <w:r w:rsidRPr="006D2B26">
        <w:rPr>
          <w:lang w:val="en-US"/>
        </w:rPr>
        <w:t xml:space="preserve">, total received funds and overall expenditure </w:t>
      </w:r>
      <w:r>
        <w:rPr>
          <w:lang w:val="en-US"/>
        </w:rPr>
        <w:t xml:space="preserve">resources mobilized by UNDP, through the Trust Fund </w:t>
      </w:r>
      <w:r w:rsidRPr="00C4045A">
        <w:rPr>
          <w:lang w:val="en-US"/>
        </w:rPr>
        <w:t>or through cost-sharing</w:t>
      </w:r>
      <w:r>
        <w:rPr>
          <w:lang w:val="en-US"/>
        </w:rPr>
        <w:t xml:space="preserve">. </w:t>
      </w:r>
    </w:p>
    <w:p w:rsidR="006D2B26" w:rsidRDefault="006D2B26" w:rsidP="006D3310"/>
    <w:p w:rsidR="00C4045A" w:rsidRPr="00C4045A" w:rsidRDefault="00C4045A" w:rsidP="00C4045A">
      <w:pPr>
        <w:pStyle w:val="Caption"/>
        <w:rPr>
          <w:b w:val="0"/>
          <w:color w:val="auto"/>
          <w:lang w:val="en-US"/>
        </w:rPr>
      </w:pPr>
      <w:bookmarkStart w:id="35" w:name="_Toc440019924"/>
      <w:r w:rsidRPr="00C4045A">
        <w:rPr>
          <w:color w:val="auto"/>
          <w:sz w:val="22"/>
          <w:szCs w:val="22"/>
        </w:rPr>
        <w:t xml:space="preserve">Table </w:t>
      </w:r>
      <w:r w:rsidRPr="00C4045A">
        <w:rPr>
          <w:color w:val="auto"/>
          <w:sz w:val="22"/>
          <w:szCs w:val="22"/>
        </w:rPr>
        <w:fldChar w:fldCharType="begin"/>
      </w:r>
      <w:r w:rsidRPr="00C4045A">
        <w:rPr>
          <w:color w:val="auto"/>
          <w:sz w:val="22"/>
          <w:szCs w:val="22"/>
        </w:rPr>
        <w:instrText xml:space="preserve"> SEQ Table \* ARABIC </w:instrText>
      </w:r>
      <w:r w:rsidRPr="00C4045A">
        <w:rPr>
          <w:color w:val="auto"/>
          <w:sz w:val="22"/>
          <w:szCs w:val="22"/>
        </w:rPr>
        <w:fldChar w:fldCharType="separate"/>
      </w:r>
      <w:r w:rsidR="001F2335">
        <w:rPr>
          <w:noProof/>
          <w:color w:val="auto"/>
          <w:sz w:val="22"/>
          <w:szCs w:val="22"/>
        </w:rPr>
        <w:t>3</w:t>
      </w:r>
      <w:r w:rsidRPr="00C4045A">
        <w:rPr>
          <w:color w:val="auto"/>
          <w:sz w:val="22"/>
          <w:szCs w:val="22"/>
        </w:rPr>
        <w:fldChar w:fldCharType="end"/>
      </w:r>
      <w:r w:rsidRPr="00C4045A">
        <w:rPr>
          <w:color w:val="auto"/>
          <w:sz w:val="22"/>
          <w:szCs w:val="22"/>
        </w:rPr>
        <w:t xml:space="preserve"> Overview of other resources mobilized by UNDP</w:t>
      </w:r>
      <w:r>
        <w:rPr>
          <w:rStyle w:val="FootnoteReference"/>
          <w:b w:val="0"/>
          <w:lang w:val="en-US"/>
        </w:rPr>
        <w:footnoteReference w:id="23"/>
      </w:r>
      <w:bookmarkEnd w:id="35"/>
      <w:r w:rsidRPr="00C4045A">
        <w:rPr>
          <w:b w:val="0"/>
          <w:color w:val="auto"/>
          <w:lang w:val="en-US"/>
        </w:rPr>
        <w:t xml:space="preserve"> </w:t>
      </w:r>
    </w:p>
    <w:tbl>
      <w:tblPr>
        <w:tblW w:w="5000" w:type="pct"/>
        <w:tblCellMar>
          <w:left w:w="0" w:type="dxa"/>
          <w:right w:w="0" w:type="dxa"/>
        </w:tblCellMar>
        <w:tblLook w:val="0600" w:firstRow="0" w:lastRow="0" w:firstColumn="0" w:lastColumn="0" w:noHBand="1" w:noVBand="1"/>
      </w:tblPr>
      <w:tblGrid>
        <w:gridCol w:w="1174"/>
        <w:gridCol w:w="1593"/>
        <w:gridCol w:w="1425"/>
        <w:gridCol w:w="1243"/>
        <w:gridCol w:w="1356"/>
        <w:gridCol w:w="1258"/>
        <w:gridCol w:w="1341"/>
      </w:tblGrid>
      <w:tr w:rsidR="006D2B26" w:rsidRPr="006D2B26" w:rsidTr="00C4045A">
        <w:trPr>
          <w:trHeight w:val="1488"/>
        </w:trPr>
        <w:tc>
          <w:tcPr>
            <w:tcW w:w="625" w:type="pct"/>
            <w:tcBorders>
              <w:top w:val="single" w:sz="2" w:space="0" w:color="auto"/>
              <w:bottom w:val="single" w:sz="2" w:space="0" w:color="auto"/>
              <w:right w:val="single" w:sz="2" w:space="0" w:color="auto"/>
            </w:tcBorders>
            <w:shd w:val="clear" w:color="auto" w:fill="auto"/>
            <w:tcMar>
              <w:top w:w="15" w:type="dxa"/>
              <w:left w:w="15" w:type="dxa"/>
              <w:bottom w:w="0" w:type="dxa"/>
              <w:right w:w="15" w:type="dxa"/>
            </w:tcMar>
            <w:vAlign w:val="center"/>
            <w:hideMark/>
          </w:tcPr>
          <w:p w:rsidR="00C4045A" w:rsidRPr="006D2B26" w:rsidRDefault="00C4045A" w:rsidP="006D2B26">
            <w:pPr>
              <w:rPr>
                <w:sz w:val="20"/>
                <w:szCs w:val="20"/>
              </w:rPr>
            </w:pPr>
            <w:r>
              <w:rPr>
                <w:lang w:val="en-US"/>
              </w:rPr>
              <w:t xml:space="preserve"> </w:t>
            </w:r>
            <w:r w:rsidR="006D2B26" w:rsidRPr="006D2B26">
              <w:rPr>
                <w:b/>
                <w:bCs/>
                <w:sz w:val="20"/>
                <w:szCs w:val="20"/>
                <w:lang w:val="en-US"/>
              </w:rPr>
              <w:t>SOURCE OF FUND</w:t>
            </w:r>
          </w:p>
        </w:tc>
        <w:tc>
          <w:tcPr>
            <w:tcW w:w="848" w:type="pct"/>
            <w:tcBorders>
              <w:top w:val="single" w:sz="2" w:space="0" w:color="auto"/>
              <w:left w:val="single" w:sz="2" w:space="0" w:color="auto"/>
              <w:bottom w:val="single" w:sz="2" w:space="0" w:color="auto"/>
              <w:right w:val="single" w:sz="2" w:space="0" w:color="auto"/>
            </w:tcBorders>
            <w:shd w:val="clear" w:color="auto" w:fill="auto"/>
            <w:tcMar>
              <w:top w:w="15" w:type="dxa"/>
              <w:left w:w="15" w:type="dxa"/>
              <w:bottom w:w="0" w:type="dxa"/>
              <w:right w:w="15" w:type="dxa"/>
            </w:tcMar>
            <w:vAlign w:val="center"/>
            <w:hideMark/>
          </w:tcPr>
          <w:p w:rsidR="00C4045A" w:rsidRPr="006D2B26" w:rsidRDefault="006D2B26" w:rsidP="006D2B26">
            <w:pPr>
              <w:rPr>
                <w:sz w:val="20"/>
                <w:szCs w:val="20"/>
              </w:rPr>
            </w:pPr>
            <w:r w:rsidRPr="006D2B26">
              <w:rPr>
                <w:b/>
                <w:bCs/>
                <w:sz w:val="20"/>
                <w:szCs w:val="20"/>
                <w:lang w:val="en-US"/>
              </w:rPr>
              <w:t>DONORS</w:t>
            </w:r>
          </w:p>
        </w:tc>
        <w:tc>
          <w:tcPr>
            <w:tcW w:w="759" w:type="pct"/>
            <w:tcBorders>
              <w:top w:val="single" w:sz="2" w:space="0" w:color="auto"/>
              <w:left w:val="single" w:sz="2" w:space="0" w:color="auto"/>
              <w:bottom w:val="single" w:sz="2" w:space="0" w:color="auto"/>
            </w:tcBorders>
            <w:shd w:val="clear" w:color="auto" w:fill="auto"/>
            <w:tcMar>
              <w:top w:w="15" w:type="dxa"/>
              <w:left w:w="15" w:type="dxa"/>
              <w:bottom w:w="0" w:type="dxa"/>
              <w:right w:w="15" w:type="dxa"/>
            </w:tcMar>
            <w:vAlign w:val="center"/>
            <w:hideMark/>
          </w:tcPr>
          <w:p w:rsidR="00C4045A" w:rsidRPr="006D2B26" w:rsidRDefault="006D2B26" w:rsidP="006D2B26">
            <w:pPr>
              <w:rPr>
                <w:sz w:val="20"/>
                <w:szCs w:val="20"/>
              </w:rPr>
            </w:pPr>
            <w:r w:rsidRPr="006D2B26">
              <w:rPr>
                <w:b/>
                <w:bCs/>
                <w:sz w:val="20"/>
                <w:szCs w:val="20"/>
                <w:lang w:val="en-US"/>
              </w:rPr>
              <w:t>TOTAL SIGNED AGREEMENTS (USD)</w:t>
            </w:r>
          </w:p>
        </w:tc>
        <w:tc>
          <w:tcPr>
            <w:tcW w:w="662" w:type="pct"/>
            <w:tcBorders>
              <w:top w:val="single" w:sz="2" w:space="0" w:color="auto"/>
              <w:bottom w:val="single" w:sz="2" w:space="0" w:color="auto"/>
            </w:tcBorders>
            <w:shd w:val="clear" w:color="auto" w:fill="auto"/>
            <w:tcMar>
              <w:top w:w="15" w:type="dxa"/>
              <w:left w:w="15" w:type="dxa"/>
              <w:bottom w:w="0" w:type="dxa"/>
              <w:right w:w="15" w:type="dxa"/>
            </w:tcMar>
            <w:vAlign w:val="center"/>
            <w:hideMark/>
          </w:tcPr>
          <w:p w:rsidR="00C4045A" w:rsidRPr="006D2B26" w:rsidRDefault="006D2B26" w:rsidP="006D2B26">
            <w:pPr>
              <w:rPr>
                <w:sz w:val="20"/>
                <w:szCs w:val="20"/>
              </w:rPr>
            </w:pPr>
            <w:r w:rsidRPr="006D2B26">
              <w:rPr>
                <w:b/>
                <w:bCs/>
                <w:sz w:val="20"/>
                <w:szCs w:val="20"/>
                <w:lang w:val="en-US"/>
              </w:rPr>
              <w:t xml:space="preserve">TOTAL RECEIVED FUNDS (USD) </w:t>
            </w:r>
          </w:p>
        </w:tc>
        <w:tc>
          <w:tcPr>
            <w:tcW w:w="722" w:type="pct"/>
            <w:tcBorders>
              <w:top w:val="single" w:sz="2" w:space="0" w:color="auto"/>
              <w:bottom w:val="single" w:sz="2" w:space="0" w:color="auto"/>
            </w:tcBorders>
            <w:shd w:val="clear" w:color="auto" w:fill="auto"/>
            <w:tcMar>
              <w:top w:w="15" w:type="dxa"/>
              <w:left w:w="15" w:type="dxa"/>
              <w:bottom w:w="0" w:type="dxa"/>
              <w:right w:w="15" w:type="dxa"/>
            </w:tcMar>
            <w:vAlign w:val="center"/>
            <w:hideMark/>
          </w:tcPr>
          <w:p w:rsidR="00C4045A" w:rsidRPr="006D2B26" w:rsidRDefault="006D2B26" w:rsidP="006D2B26">
            <w:pPr>
              <w:rPr>
                <w:sz w:val="20"/>
                <w:szCs w:val="20"/>
              </w:rPr>
            </w:pPr>
            <w:r w:rsidRPr="006D2B26">
              <w:rPr>
                <w:b/>
                <w:bCs/>
                <w:sz w:val="20"/>
                <w:szCs w:val="20"/>
                <w:lang w:val="en-US"/>
              </w:rPr>
              <w:t>TOTAL EXPENDITURE FOR THE YEAR ENDED 31 DEC 2014</w:t>
            </w:r>
          </w:p>
        </w:tc>
        <w:tc>
          <w:tcPr>
            <w:tcW w:w="670" w:type="pct"/>
            <w:tcBorders>
              <w:top w:val="single" w:sz="2" w:space="0" w:color="auto"/>
              <w:bottom w:val="single" w:sz="2" w:space="0" w:color="auto"/>
            </w:tcBorders>
            <w:shd w:val="clear" w:color="auto" w:fill="auto"/>
            <w:tcMar>
              <w:top w:w="15" w:type="dxa"/>
              <w:left w:w="15" w:type="dxa"/>
              <w:bottom w:w="0" w:type="dxa"/>
              <w:right w:w="15" w:type="dxa"/>
            </w:tcMar>
            <w:vAlign w:val="center"/>
            <w:hideMark/>
          </w:tcPr>
          <w:p w:rsidR="00C4045A" w:rsidRPr="006D2B26" w:rsidRDefault="006D2B26" w:rsidP="006D2B26">
            <w:pPr>
              <w:rPr>
                <w:sz w:val="20"/>
                <w:szCs w:val="20"/>
              </w:rPr>
            </w:pPr>
            <w:r w:rsidRPr="006D2B26">
              <w:rPr>
                <w:b/>
                <w:bCs/>
                <w:sz w:val="20"/>
                <w:szCs w:val="20"/>
                <w:lang w:val="en-US"/>
              </w:rPr>
              <w:t xml:space="preserve"> AVAILABLE CASH (AS OF 01 JAN 2015)</w:t>
            </w:r>
          </w:p>
        </w:tc>
        <w:tc>
          <w:tcPr>
            <w:tcW w:w="714" w:type="pct"/>
            <w:tcBorders>
              <w:top w:val="single" w:sz="2" w:space="0" w:color="auto"/>
              <w:bottom w:val="single" w:sz="2" w:space="0" w:color="auto"/>
            </w:tcBorders>
            <w:shd w:val="clear" w:color="auto" w:fill="auto"/>
            <w:tcMar>
              <w:top w:w="15" w:type="dxa"/>
              <w:left w:w="15" w:type="dxa"/>
              <w:bottom w:w="0" w:type="dxa"/>
              <w:right w:w="15" w:type="dxa"/>
            </w:tcMar>
            <w:vAlign w:val="center"/>
            <w:hideMark/>
          </w:tcPr>
          <w:p w:rsidR="00C4045A" w:rsidRPr="006D2B26" w:rsidRDefault="006D2B26" w:rsidP="006D2B26">
            <w:pPr>
              <w:rPr>
                <w:sz w:val="20"/>
                <w:szCs w:val="20"/>
              </w:rPr>
            </w:pPr>
            <w:r w:rsidRPr="006D2B26">
              <w:rPr>
                <w:b/>
                <w:bCs/>
                <w:sz w:val="20"/>
                <w:szCs w:val="20"/>
                <w:lang w:val="en-US"/>
              </w:rPr>
              <w:t>AGREEMENT BALANCE 2015</w:t>
            </w:r>
          </w:p>
        </w:tc>
      </w:tr>
      <w:tr w:rsidR="00C4045A" w:rsidRPr="006D2B26" w:rsidTr="00C4045A">
        <w:trPr>
          <w:trHeight w:val="611"/>
        </w:trPr>
        <w:tc>
          <w:tcPr>
            <w:tcW w:w="625" w:type="pct"/>
            <w:vMerge w:val="restart"/>
            <w:tcBorders>
              <w:top w:val="single" w:sz="2" w:space="0" w:color="auto"/>
              <w:right w:val="single" w:sz="2" w:space="0" w:color="auto"/>
            </w:tcBorders>
            <w:shd w:val="clear" w:color="auto" w:fill="auto"/>
            <w:tcMar>
              <w:top w:w="15" w:type="dxa"/>
              <w:left w:w="15" w:type="dxa"/>
              <w:bottom w:w="0" w:type="dxa"/>
              <w:right w:w="15" w:type="dxa"/>
            </w:tcMar>
            <w:vAlign w:val="center"/>
            <w:hideMark/>
          </w:tcPr>
          <w:p w:rsidR="00C4045A" w:rsidRPr="006D2B26" w:rsidRDefault="006D2B26" w:rsidP="006D2B26">
            <w:pPr>
              <w:rPr>
                <w:sz w:val="20"/>
                <w:szCs w:val="20"/>
              </w:rPr>
            </w:pPr>
            <w:r w:rsidRPr="006D2B26">
              <w:rPr>
                <w:b/>
                <w:bCs/>
                <w:sz w:val="20"/>
                <w:szCs w:val="20"/>
                <w:lang w:val="en-US"/>
              </w:rPr>
              <w:t xml:space="preserve">COST SHARING </w:t>
            </w:r>
          </w:p>
        </w:tc>
        <w:tc>
          <w:tcPr>
            <w:tcW w:w="848" w:type="pct"/>
            <w:tcBorders>
              <w:top w:val="single" w:sz="2" w:space="0" w:color="auto"/>
              <w:left w:val="single" w:sz="2" w:space="0" w:color="auto"/>
              <w:righ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AUSTRALIA C/S</w:t>
            </w:r>
          </w:p>
        </w:tc>
        <w:tc>
          <w:tcPr>
            <w:tcW w:w="759" w:type="pct"/>
            <w:tcBorders>
              <w:top w:val="single" w:sz="2" w:space="0" w:color="auto"/>
              <w:lef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2,504,817 </w:t>
            </w:r>
          </w:p>
        </w:tc>
        <w:tc>
          <w:tcPr>
            <w:tcW w:w="662" w:type="pct"/>
            <w:tcBorders>
              <w:top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2,504,817 </w:t>
            </w:r>
          </w:p>
        </w:tc>
        <w:tc>
          <w:tcPr>
            <w:tcW w:w="722" w:type="pct"/>
            <w:tcBorders>
              <w:top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2,129,094 </w:t>
            </w:r>
          </w:p>
        </w:tc>
        <w:tc>
          <w:tcPr>
            <w:tcW w:w="670" w:type="pct"/>
            <w:tcBorders>
              <w:top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375,723 </w:t>
            </w:r>
          </w:p>
        </w:tc>
        <w:tc>
          <w:tcPr>
            <w:tcW w:w="714" w:type="pct"/>
            <w:tcBorders>
              <w:top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375,723 </w:t>
            </w:r>
          </w:p>
        </w:tc>
      </w:tr>
      <w:tr w:rsidR="00C4045A" w:rsidRPr="006D2B26" w:rsidTr="00C4045A">
        <w:trPr>
          <w:trHeight w:val="480"/>
        </w:trPr>
        <w:tc>
          <w:tcPr>
            <w:tcW w:w="625" w:type="pct"/>
            <w:vMerge/>
            <w:tcBorders>
              <w:right w:val="single" w:sz="2" w:space="0" w:color="auto"/>
            </w:tcBorders>
            <w:shd w:val="clear" w:color="auto" w:fill="auto"/>
            <w:vAlign w:val="center"/>
            <w:hideMark/>
          </w:tcPr>
          <w:p w:rsidR="006D2B26" w:rsidRPr="006D2B26" w:rsidRDefault="006D2B26" w:rsidP="006D2B26">
            <w:pPr>
              <w:rPr>
                <w:sz w:val="20"/>
                <w:szCs w:val="20"/>
              </w:rPr>
            </w:pPr>
          </w:p>
        </w:tc>
        <w:tc>
          <w:tcPr>
            <w:tcW w:w="848" w:type="pct"/>
            <w:tcBorders>
              <w:left w:val="single" w:sz="2" w:space="0" w:color="auto"/>
              <w:righ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AUSTRALIA  RL </w:t>
            </w:r>
          </w:p>
        </w:tc>
        <w:tc>
          <w:tcPr>
            <w:tcW w:w="759" w:type="pct"/>
            <w:tcBorders>
              <w:lef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1,633,572 </w:t>
            </w:r>
          </w:p>
        </w:tc>
        <w:tc>
          <w:tcPr>
            <w:tcW w:w="662"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1,633,572 </w:t>
            </w:r>
          </w:p>
        </w:tc>
        <w:tc>
          <w:tcPr>
            <w:tcW w:w="722"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887,680 </w:t>
            </w:r>
          </w:p>
        </w:tc>
        <w:tc>
          <w:tcPr>
            <w:tcW w:w="670"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745,892 </w:t>
            </w:r>
          </w:p>
        </w:tc>
        <w:tc>
          <w:tcPr>
            <w:tcW w:w="714"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745,892 </w:t>
            </w:r>
          </w:p>
        </w:tc>
      </w:tr>
      <w:tr w:rsidR="00C4045A" w:rsidRPr="006D2B26" w:rsidTr="00C4045A">
        <w:trPr>
          <w:trHeight w:val="374"/>
        </w:trPr>
        <w:tc>
          <w:tcPr>
            <w:tcW w:w="625" w:type="pct"/>
            <w:vMerge/>
            <w:tcBorders>
              <w:right w:val="single" w:sz="2" w:space="0" w:color="auto"/>
            </w:tcBorders>
            <w:shd w:val="clear" w:color="auto" w:fill="auto"/>
            <w:vAlign w:val="center"/>
            <w:hideMark/>
          </w:tcPr>
          <w:p w:rsidR="006D2B26" w:rsidRPr="006D2B26" w:rsidRDefault="006D2B26" w:rsidP="006D2B26">
            <w:pPr>
              <w:rPr>
                <w:sz w:val="20"/>
                <w:szCs w:val="20"/>
              </w:rPr>
            </w:pPr>
          </w:p>
        </w:tc>
        <w:tc>
          <w:tcPr>
            <w:tcW w:w="848" w:type="pct"/>
            <w:tcBorders>
              <w:left w:val="single" w:sz="2" w:space="0" w:color="auto"/>
              <w:righ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i/>
                <w:iCs/>
                <w:sz w:val="20"/>
                <w:szCs w:val="20"/>
                <w:lang w:val="en-US"/>
              </w:rPr>
              <w:t xml:space="preserve">  </w:t>
            </w:r>
            <w:r w:rsidRPr="006D2B26">
              <w:rPr>
                <w:sz w:val="20"/>
                <w:szCs w:val="20"/>
                <w:lang w:val="en-US"/>
              </w:rPr>
              <w:t>BELGIUM</w:t>
            </w:r>
          </w:p>
        </w:tc>
        <w:tc>
          <w:tcPr>
            <w:tcW w:w="759" w:type="pct"/>
            <w:tcBorders>
              <w:lef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133,489 </w:t>
            </w:r>
          </w:p>
        </w:tc>
        <w:tc>
          <w:tcPr>
            <w:tcW w:w="662"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133,489 </w:t>
            </w:r>
          </w:p>
        </w:tc>
        <w:tc>
          <w:tcPr>
            <w:tcW w:w="722"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133,489</w:t>
            </w:r>
          </w:p>
        </w:tc>
        <w:tc>
          <w:tcPr>
            <w:tcW w:w="670"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   </w:t>
            </w:r>
          </w:p>
        </w:tc>
        <w:tc>
          <w:tcPr>
            <w:tcW w:w="714"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   </w:t>
            </w:r>
          </w:p>
        </w:tc>
      </w:tr>
      <w:tr w:rsidR="00C4045A" w:rsidRPr="006D2B26" w:rsidTr="00C4045A">
        <w:trPr>
          <w:trHeight w:val="374"/>
        </w:trPr>
        <w:tc>
          <w:tcPr>
            <w:tcW w:w="625" w:type="pct"/>
            <w:vMerge/>
            <w:tcBorders>
              <w:right w:val="single" w:sz="2" w:space="0" w:color="auto"/>
            </w:tcBorders>
            <w:shd w:val="clear" w:color="auto" w:fill="auto"/>
            <w:vAlign w:val="center"/>
            <w:hideMark/>
          </w:tcPr>
          <w:p w:rsidR="006D2B26" w:rsidRPr="006D2B26" w:rsidRDefault="006D2B26" w:rsidP="006D2B26">
            <w:pPr>
              <w:rPr>
                <w:sz w:val="20"/>
                <w:szCs w:val="20"/>
              </w:rPr>
            </w:pPr>
          </w:p>
        </w:tc>
        <w:tc>
          <w:tcPr>
            <w:tcW w:w="848" w:type="pct"/>
            <w:tcBorders>
              <w:left w:val="single" w:sz="2" w:space="0" w:color="auto"/>
              <w:righ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NORWAY</w:t>
            </w:r>
          </w:p>
        </w:tc>
        <w:tc>
          <w:tcPr>
            <w:tcW w:w="759" w:type="pct"/>
            <w:tcBorders>
              <w:lef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886,132 </w:t>
            </w:r>
          </w:p>
        </w:tc>
        <w:tc>
          <w:tcPr>
            <w:tcW w:w="662"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886,132 </w:t>
            </w:r>
          </w:p>
        </w:tc>
        <w:tc>
          <w:tcPr>
            <w:tcW w:w="722"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101,132 </w:t>
            </w:r>
          </w:p>
        </w:tc>
        <w:tc>
          <w:tcPr>
            <w:tcW w:w="670"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785,000 </w:t>
            </w:r>
          </w:p>
        </w:tc>
        <w:tc>
          <w:tcPr>
            <w:tcW w:w="714"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785,000 </w:t>
            </w:r>
          </w:p>
        </w:tc>
      </w:tr>
      <w:tr w:rsidR="00C4045A" w:rsidRPr="006D2B26" w:rsidTr="00C4045A">
        <w:trPr>
          <w:trHeight w:val="411"/>
        </w:trPr>
        <w:tc>
          <w:tcPr>
            <w:tcW w:w="625" w:type="pct"/>
            <w:vMerge/>
            <w:tcBorders>
              <w:right w:val="single" w:sz="2" w:space="0" w:color="auto"/>
            </w:tcBorders>
            <w:shd w:val="clear" w:color="auto" w:fill="auto"/>
            <w:vAlign w:val="center"/>
            <w:hideMark/>
          </w:tcPr>
          <w:p w:rsidR="006D2B26" w:rsidRPr="006D2B26" w:rsidRDefault="006D2B26" w:rsidP="006D2B26">
            <w:pPr>
              <w:rPr>
                <w:sz w:val="20"/>
                <w:szCs w:val="20"/>
              </w:rPr>
            </w:pPr>
          </w:p>
        </w:tc>
        <w:tc>
          <w:tcPr>
            <w:tcW w:w="848" w:type="pct"/>
            <w:tcBorders>
              <w:left w:val="single" w:sz="2" w:space="0" w:color="auto"/>
              <w:righ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EU</w:t>
            </w:r>
          </w:p>
        </w:tc>
        <w:tc>
          <w:tcPr>
            <w:tcW w:w="759" w:type="pct"/>
            <w:tcBorders>
              <w:lef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1,700,000 </w:t>
            </w:r>
          </w:p>
        </w:tc>
        <w:tc>
          <w:tcPr>
            <w:tcW w:w="662"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1,413,071 </w:t>
            </w:r>
          </w:p>
        </w:tc>
        <w:tc>
          <w:tcPr>
            <w:tcW w:w="722"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1,125,561 </w:t>
            </w:r>
          </w:p>
        </w:tc>
        <w:tc>
          <w:tcPr>
            <w:tcW w:w="670"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287,510 </w:t>
            </w:r>
          </w:p>
        </w:tc>
        <w:tc>
          <w:tcPr>
            <w:tcW w:w="714"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574,439 </w:t>
            </w:r>
          </w:p>
        </w:tc>
      </w:tr>
      <w:tr w:rsidR="006D2B26" w:rsidRPr="006D2B26" w:rsidTr="00C4045A">
        <w:trPr>
          <w:trHeight w:val="748"/>
        </w:trPr>
        <w:tc>
          <w:tcPr>
            <w:tcW w:w="625" w:type="pct"/>
            <w:vMerge/>
            <w:tcBorders>
              <w:right w:val="single" w:sz="2" w:space="0" w:color="auto"/>
            </w:tcBorders>
            <w:shd w:val="clear" w:color="auto" w:fill="auto"/>
            <w:vAlign w:val="center"/>
            <w:hideMark/>
          </w:tcPr>
          <w:p w:rsidR="006D2B26" w:rsidRPr="006D2B26" w:rsidRDefault="006D2B26" w:rsidP="006D2B26">
            <w:pPr>
              <w:rPr>
                <w:sz w:val="20"/>
                <w:szCs w:val="20"/>
              </w:rPr>
            </w:pPr>
          </w:p>
        </w:tc>
        <w:tc>
          <w:tcPr>
            <w:tcW w:w="848" w:type="pct"/>
            <w:tcBorders>
              <w:left w:val="single" w:sz="2" w:space="0" w:color="auto"/>
              <w:righ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TOTAL COST SHARING</w:t>
            </w:r>
          </w:p>
        </w:tc>
        <w:tc>
          <w:tcPr>
            <w:tcW w:w="759" w:type="pct"/>
            <w:tcBorders>
              <w:lef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                     6,858,010 </w:t>
            </w:r>
          </w:p>
        </w:tc>
        <w:tc>
          <w:tcPr>
            <w:tcW w:w="662"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                     6,571,081 </w:t>
            </w:r>
          </w:p>
        </w:tc>
        <w:tc>
          <w:tcPr>
            <w:tcW w:w="722"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                     4,376,956 </w:t>
            </w:r>
          </w:p>
        </w:tc>
        <w:tc>
          <w:tcPr>
            <w:tcW w:w="670"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                     2,194,125 </w:t>
            </w:r>
          </w:p>
        </w:tc>
        <w:tc>
          <w:tcPr>
            <w:tcW w:w="714"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                     2,481,054 </w:t>
            </w:r>
          </w:p>
        </w:tc>
      </w:tr>
      <w:tr w:rsidR="00C4045A" w:rsidRPr="006D2B26" w:rsidTr="00C4045A">
        <w:trPr>
          <w:trHeight w:val="374"/>
        </w:trPr>
        <w:tc>
          <w:tcPr>
            <w:tcW w:w="625" w:type="pct"/>
            <w:vMerge w:val="restart"/>
            <w:tcBorders>
              <w:right w:val="single" w:sz="2" w:space="0" w:color="auto"/>
            </w:tcBorders>
            <w:shd w:val="clear" w:color="auto" w:fill="auto"/>
            <w:tcMar>
              <w:top w:w="15" w:type="dxa"/>
              <w:left w:w="15" w:type="dxa"/>
              <w:bottom w:w="0" w:type="dxa"/>
              <w:right w:w="15" w:type="dxa"/>
            </w:tcMar>
            <w:vAlign w:val="center"/>
            <w:hideMark/>
          </w:tcPr>
          <w:p w:rsidR="00C4045A" w:rsidRPr="006D2B26" w:rsidRDefault="006D2B26" w:rsidP="006D2B26">
            <w:pPr>
              <w:rPr>
                <w:sz w:val="20"/>
                <w:szCs w:val="20"/>
              </w:rPr>
            </w:pPr>
            <w:r w:rsidRPr="006D2B26">
              <w:rPr>
                <w:b/>
                <w:bCs/>
                <w:sz w:val="20"/>
                <w:szCs w:val="20"/>
                <w:lang w:val="en-US"/>
              </w:rPr>
              <w:t xml:space="preserve">THEMATIC TRUST FUND </w:t>
            </w:r>
          </w:p>
        </w:tc>
        <w:tc>
          <w:tcPr>
            <w:tcW w:w="848" w:type="pct"/>
            <w:tcBorders>
              <w:left w:val="single" w:sz="2" w:space="0" w:color="auto"/>
              <w:righ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DFID </w:t>
            </w:r>
          </w:p>
        </w:tc>
        <w:tc>
          <w:tcPr>
            <w:tcW w:w="759" w:type="pct"/>
            <w:tcBorders>
              <w:lef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125,990 </w:t>
            </w:r>
          </w:p>
        </w:tc>
        <w:tc>
          <w:tcPr>
            <w:tcW w:w="662"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125,990 </w:t>
            </w:r>
          </w:p>
        </w:tc>
        <w:tc>
          <w:tcPr>
            <w:tcW w:w="722"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125,990 </w:t>
            </w:r>
          </w:p>
        </w:tc>
        <w:tc>
          <w:tcPr>
            <w:tcW w:w="670"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0 </w:t>
            </w:r>
          </w:p>
        </w:tc>
        <w:tc>
          <w:tcPr>
            <w:tcW w:w="714"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0 </w:t>
            </w:r>
          </w:p>
        </w:tc>
      </w:tr>
      <w:tr w:rsidR="00C4045A" w:rsidRPr="006D2B26" w:rsidTr="00C4045A">
        <w:trPr>
          <w:trHeight w:val="374"/>
        </w:trPr>
        <w:tc>
          <w:tcPr>
            <w:tcW w:w="625" w:type="pct"/>
            <w:vMerge/>
            <w:tcBorders>
              <w:right w:val="single" w:sz="2" w:space="0" w:color="auto"/>
            </w:tcBorders>
            <w:shd w:val="clear" w:color="auto" w:fill="auto"/>
            <w:vAlign w:val="center"/>
            <w:hideMark/>
          </w:tcPr>
          <w:p w:rsidR="006D2B26" w:rsidRPr="006D2B26" w:rsidRDefault="006D2B26" w:rsidP="006D2B26">
            <w:pPr>
              <w:rPr>
                <w:sz w:val="20"/>
                <w:szCs w:val="20"/>
              </w:rPr>
            </w:pPr>
          </w:p>
        </w:tc>
        <w:tc>
          <w:tcPr>
            <w:tcW w:w="848" w:type="pct"/>
            <w:tcBorders>
              <w:left w:val="single" w:sz="2" w:space="0" w:color="auto"/>
              <w:righ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SOUTH KOREA</w:t>
            </w:r>
          </w:p>
        </w:tc>
        <w:tc>
          <w:tcPr>
            <w:tcW w:w="759" w:type="pct"/>
            <w:tcBorders>
              <w:lef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70,000 </w:t>
            </w:r>
          </w:p>
        </w:tc>
        <w:tc>
          <w:tcPr>
            <w:tcW w:w="662"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70,000 </w:t>
            </w:r>
          </w:p>
        </w:tc>
        <w:tc>
          <w:tcPr>
            <w:tcW w:w="722"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70,000 </w:t>
            </w:r>
          </w:p>
        </w:tc>
        <w:tc>
          <w:tcPr>
            <w:tcW w:w="670"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0</w:t>
            </w:r>
          </w:p>
        </w:tc>
        <w:tc>
          <w:tcPr>
            <w:tcW w:w="714"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0</w:t>
            </w:r>
          </w:p>
        </w:tc>
      </w:tr>
      <w:tr w:rsidR="006D2B26" w:rsidRPr="006D2B26" w:rsidTr="00C4045A">
        <w:trPr>
          <w:trHeight w:val="374"/>
        </w:trPr>
        <w:tc>
          <w:tcPr>
            <w:tcW w:w="625" w:type="pct"/>
            <w:vMerge/>
            <w:tcBorders>
              <w:right w:val="single" w:sz="2" w:space="0" w:color="auto"/>
            </w:tcBorders>
            <w:shd w:val="clear" w:color="auto" w:fill="auto"/>
            <w:vAlign w:val="center"/>
            <w:hideMark/>
          </w:tcPr>
          <w:p w:rsidR="006D2B26" w:rsidRPr="006D2B26" w:rsidRDefault="006D2B26" w:rsidP="006D2B26">
            <w:pPr>
              <w:rPr>
                <w:sz w:val="20"/>
                <w:szCs w:val="20"/>
              </w:rPr>
            </w:pPr>
          </w:p>
        </w:tc>
        <w:tc>
          <w:tcPr>
            <w:tcW w:w="848" w:type="pct"/>
            <w:tcBorders>
              <w:left w:val="single" w:sz="2" w:space="0" w:color="auto"/>
              <w:righ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TOTAL TTF</w:t>
            </w:r>
          </w:p>
        </w:tc>
        <w:tc>
          <w:tcPr>
            <w:tcW w:w="759" w:type="pct"/>
            <w:tcBorders>
              <w:lef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                         195,990 </w:t>
            </w:r>
          </w:p>
        </w:tc>
        <w:tc>
          <w:tcPr>
            <w:tcW w:w="662"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                         195,990 </w:t>
            </w:r>
          </w:p>
        </w:tc>
        <w:tc>
          <w:tcPr>
            <w:tcW w:w="722"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                         195,990 </w:t>
            </w:r>
          </w:p>
        </w:tc>
        <w:tc>
          <w:tcPr>
            <w:tcW w:w="670"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                             0 </w:t>
            </w:r>
          </w:p>
        </w:tc>
        <w:tc>
          <w:tcPr>
            <w:tcW w:w="714"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                             0</w:t>
            </w:r>
          </w:p>
        </w:tc>
      </w:tr>
      <w:tr w:rsidR="00C4045A" w:rsidRPr="006D2B26" w:rsidTr="00C4045A">
        <w:trPr>
          <w:trHeight w:val="374"/>
        </w:trPr>
        <w:tc>
          <w:tcPr>
            <w:tcW w:w="625" w:type="pct"/>
            <w:vMerge w:val="restart"/>
            <w:tcBorders>
              <w:right w:val="single" w:sz="2" w:space="0" w:color="auto"/>
            </w:tcBorders>
            <w:shd w:val="clear" w:color="auto" w:fill="auto"/>
            <w:tcMar>
              <w:top w:w="15" w:type="dxa"/>
              <w:left w:w="15" w:type="dxa"/>
              <w:bottom w:w="0" w:type="dxa"/>
              <w:right w:w="15" w:type="dxa"/>
            </w:tcMar>
            <w:vAlign w:val="center"/>
            <w:hideMark/>
          </w:tcPr>
          <w:p w:rsidR="00C4045A" w:rsidRPr="006D2B26" w:rsidRDefault="006D2B26" w:rsidP="006D2B26">
            <w:pPr>
              <w:rPr>
                <w:sz w:val="20"/>
                <w:szCs w:val="20"/>
              </w:rPr>
            </w:pPr>
            <w:r w:rsidRPr="006D2B26">
              <w:rPr>
                <w:b/>
                <w:bCs/>
                <w:sz w:val="20"/>
                <w:szCs w:val="20"/>
                <w:lang w:val="en-US"/>
              </w:rPr>
              <w:t xml:space="preserve">UNDP RESOURCES </w:t>
            </w:r>
          </w:p>
        </w:tc>
        <w:tc>
          <w:tcPr>
            <w:tcW w:w="848" w:type="pct"/>
            <w:tcBorders>
              <w:left w:val="single" w:sz="2" w:space="0" w:color="auto"/>
              <w:righ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TRAC</w:t>
            </w:r>
          </w:p>
        </w:tc>
        <w:tc>
          <w:tcPr>
            <w:tcW w:w="759" w:type="pct"/>
            <w:tcBorders>
              <w:lef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655,857 </w:t>
            </w:r>
          </w:p>
        </w:tc>
        <w:tc>
          <w:tcPr>
            <w:tcW w:w="662"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655,857 </w:t>
            </w:r>
          </w:p>
        </w:tc>
        <w:tc>
          <w:tcPr>
            <w:tcW w:w="722"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                         655,857 </w:t>
            </w:r>
          </w:p>
        </w:tc>
        <w:tc>
          <w:tcPr>
            <w:tcW w:w="670"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0 </w:t>
            </w:r>
          </w:p>
        </w:tc>
        <w:tc>
          <w:tcPr>
            <w:tcW w:w="714"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sz w:val="20"/>
                <w:szCs w:val="20"/>
                <w:lang w:val="en-US"/>
              </w:rPr>
              <w:t xml:space="preserve">0 </w:t>
            </w:r>
          </w:p>
        </w:tc>
      </w:tr>
      <w:tr w:rsidR="006D2B26" w:rsidRPr="006D2B26" w:rsidTr="00C4045A">
        <w:trPr>
          <w:trHeight w:val="374"/>
        </w:trPr>
        <w:tc>
          <w:tcPr>
            <w:tcW w:w="625" w:type="pct"/>
            <w:vMerge/>
            <w:tcBorders>
              <w:right w:val="single" w:sz="2" w:space="0" w:color="auto"/>
            </w:tcBorders>
            <w:shd w:val="clear" w:color="auto" w:fill="auto"/>
            <w:vAlign w:val="center"/>
            <w:hideMark/>
          </w:tcPr>
          <w:p w:rsidR="006D2B26" w:rsidRPr="006D2B26" w:rsidRDefault="006D2B26" w:rsidP="006D2B26">
            <w:pPr>
              <w:rPr>
                <w:sz w:val="20"/>
                <w:szCs w:val="20"/>
              </w:rPr>
            </w:pPr>
          </w:p>
        </w:tc>
        <w:tc>
          <w:tcPr>
            <w:tcW w:w="848" w:type="pct"/>
            <w:tcBorders>
              <w:left w:val="single" w:sz="2" w:space="0" w:color="auto"/>
              <w:righ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TOTAL UNDP</w:t>
            </w:r>
          </w:p>
        </w:tc>
        <w:tc>
          <w:tcPr>
            <w:tcW w:w="759" w:type="pct"/>
            <w:tcBorders>
              <w:left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                         655,857 </w:t>
            </w:r>
          </w:p>
        </w:tc>
        <w:tc>
          <w:tcPr>
            <w:tcW w:w="662"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655,857 </w:t>
            </w:r>
          </w:p>
        </w:tc>
        <w:tc>
          <w:tcPr>
            <w:tcW w:w="722"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                         655,857 </w:t>
            </w:r>
          </w:p>
        </w:tc>
        <w:tc>
          <w:tcPr>
            <w:tcW w:w="670"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0 </w:t>
            </w:r>
          </w:p>
        </w:tc>
        <w:tc>
          <w:tcPr>
            <w:tcW w:w="714" w:type="pct"/>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0 </w:t>
            </w:r>
          </w:p>
        </w:tc>
      </w:tr>
      <w:tr w:rsidR="006D2B26" w:rsidRPr="006D2B26" w:rsidTr="00C4045A">
        <w:trPr>
          <w:trHeight w:val="397"/>
        </w:trPr>
        <w:tc>
          <w:tcPr>
            <w:tcW w:w="1473" w:type="pct"/>
            <w:gridSpan w:val="2"/>
            <w:tcBorders>
              <w:bottom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 TOTAL</w:t>
            </w:r>
          </w:p>
        </w:tc>
        <w:tc>
          <w:tcPr>
            <w:tcW w:w="759" w:type="pct"/>
            <w:tcBorders>
              <w:bottom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                   32,428,643 </w:t>
            </w:r>
          </w:p>
        </w:tc>
        <w:tc>
          <w:tcPr>
            <w:tcW w:w="662" w:type="pct"/>
            <w:tcBorders>
              <w:bottom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                   29,934,239 </w:t>
            </w:r>
          </w:p>
        </w:tc>
        <w:tc>
          <w:tcPr>
            <w:tcW w:w="722" w:type="pct"/>
            <w:tcBorders>
              <w:bottom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                   25,392,021 </w:t>
            </w:r>
          </w:p>
        </w:tc>
        <w:tc>
          <w:tcPr>
            <w:tcW w:w="670" w:type="pct"/>
            <w:tcBorders>
              <w:bottom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                     4,542,218 </w:t>
            </w:r>
          </w:p>
        </w:tc>
        <w:tc>
          <w:tcPr>
            <w:tcW w:w="714" w:type="pct"/>
            <w:tcBorders>
              <w:bottom w:val="single" w:sz="2" w:space="0" w:color="auto"/>
            </w:tcBorders>
            <w:shd w:val="clear" w:color="auto" w:fill="auto"/>
            <w:tcMar>
              <w:top w:w="15" w:type="dxa"/>
              <w:left w:w="15" w:type="dxa"/>
              <w:bottom w:w="0" w:type="dxa"/>
              <w:right w:w="15" w:type="dxa"/>
            </w:tcMar>
            <w:vAlign w:val="bottom"/>
            <w:hideMark/>
          </w:tcPr>
          <w:p w:rsidR="00C4045A" w:rsidRPr="006D2B26" w:rsidRDefault="006D2B26" w:rsidP="006D2B26">
            <w:pPr>
              <w:rPr>
                <w:sz w:val="20"/>
                <w:szCs w:val="20"/>
              </w:rPr>
            </w:pPr>
            <w:r w:rsidRPr="006D2B26">
              <w:rPr>
                <w:b/>
                <w:bCs/>
                <w:sz w:val="20"/>
                <w:szCs w:val="20"/>
                <w:lang w:val="en-US"/>
              </w:rPr>
              <w:t xml:space="preserve">                     7,036,622 </w:t>
            </w:r>
          </w:p>
        </w:tc>
      </w:tr>
    </w:tbl>
    <w:p w:rsidR="006D2B26" w:rsidRDefault="006D2B26" w:rsidP="006D3310"/>
    <w:p w:rsidR="00685B47" w:rsidRDefault="00DC183C" w:rsidP="006D3310">
      <w:r w:rsidRPr="007D7DBC">
        <w:t xml:space="preserve">Also important </w:t>
      </w:r>
      <w:r w:rsidR="002B7E03">
        <w:t>to</w:t>
      </w:r>
      <w:r w:rsidRPr="007D7DBC">
        <w:t xml:space="preserve"> donors</w:t>
      </w:r>
      <w:r w:rsidR="00844212" w:rsidRPr="007D7DBC">
        <w:t>,</w:t>
      </w:r>
      <w:r w:rsidRPr="007D7DBC">
        <w:t xml:space="preserve"> and in terms of sustainability, is the absence of a</w:t>
      </w:r>
      <w:r w:rsidR="00700377" w:rsidRPr="007D7DBC">
        <w:t xml:space="preserve"> clear plan to ensure that the UXO sector is included in Government budgets and expenditure plans. The estimated contribution of Government funding for the sector in 2013 was $4.9M (</w:t>
      </w:r>
      <w:r w:rsidR="00844212" w:rsidRPr="007D7DBC">
        <w:t>i</w:t>
      </w:r>
      <w:r w:rsidR="00700377" w:rsidRPr="007D7DBC">
        <w:t xml:space="preserve">n-kind) and approximately USD 1,067,922 in 2014. This includes rental, tax exemption for project equipment of UXO operators, new provincial office construction in </w:t>
      </w:r>
      <w:r w:rsidR="00844212" w:rsidRPr="007D7DBC">
        <w:t>th</w:t>
      </w:r>
      <w:r w:rsidR="00844212">
        <w:t xml:space="preserve">e </w:t>
      </w:r>
      <w:r w:rsidR="00700377" w:rsidRPr="00DC183C">
        <w:t>Attapeu province</w:t>
      </w:r>
      <w:r w:rsidR="00844212">
        <w:t xml:space="preserve"> for the UXO Lao</w:t>
      </w:r>
      <w:r w:rsidR="00700377" w:rsidRPr="00DC183C">
        <w:t>, Lao army humanitarian team training</w:t>
      </w:r>
      <w:r w:rsidR="00844212">
        <w:t>,</w:t>
      </w:r>
      <w:r w:rsidR="00700377" w:rsidRPr="00DC183C">
        <w:t xml:space="preserve"> and operation cost</w:t>
      </w:r>
      <w:r w:rsidR="00844212">
        <w:t>s</w:t>
      </w:r>
      <w:r w:rsidR="00700377" w:rsidRPr="00DC183C">
        <w:t xml:space="preserve"> for survey and clearance</w:t>
      </w:r>
      <w:r w:rsidR="002B7E03">
        <w:t xml:space="preserve">. Therefore, </w:t>
      </w:r>
      <w:r w:rsidR="00700377" w:rsidRPr="00DC183C">
        <w:t xml:space="preserve">almost all of the NRA and </w:t>
      </w:r>
      <w:r w:rsidR="00844212">
        <w:t xml:space="preserve">the </w:t>
      </w:r>
      <w:r w:rsidR="00700377" w:rsidRPr="00DC183C">
        <w:t xml:space="preserve">UXO Lao operational costs </w:t>
      </w:r>
      <w:r w:rsidR="00D6324B">
        <w:t xml:space="preserve">are </w:t>
      </w:r>
      <w:r w:rsidR="00700377" w:rsidRPr="00DC183C">
        <w:t>funded by donors. Notification No. 093 on UXO clearance for socioeconomic developme</w:t>
      </w:r>
      <w:r w:rsidR="00D6324B">
        <w:t>nt projects in the Lao PDR, for development p</w:t>
      </w:r>
      <w:r w:rsidR="00700377" w:rsidRPr="00DC183C">
        <w:t>artners and relevant line Ministries</w:t>
      </w:r>
      <w:r w:rsidR="00894239">
        <w:t>,</w:t>
      </w:r>
      <w:r w:rsidR="00700377" w:rsidRPr="00DC183C">
        <w:t xml:space="preserve"> requires that all development projects undertaken in contaminated areas plan for sur</w:t>
      </w:r>
      <w:r w:rsidR="00D6324B">
        <w:t xml:space="preserve">vey and clearance as necessary </w:t>
      </w:r>
      <w:r w:rsidR="00700377" w:rsidRPr="00DC183C">
        <w:t>and build cost</w:t>
      </w:r>
      <w:r w:rsidR="00D6324B">
        <w:t>s</w:t>
      </w:r>
      <w:r w:rsidR="00700377" w:rsidRPr="00DC183C">
        <w:t xml:space="preserve"> into their budgets.</w:t>
      </w:r>
      <w:r w:rsidRPr="00DC183C">
        <w:t xml:space="preserve"> While welcome, a longer-term plan for </w:t>
      </w:r>
      <w:r w:rsidR="004470DA">
        <w:t xml:space="preserve">a </w:t>
      </w:r>
      <w:r w:rsidRPr="00DC183C">
        <w:t>resource mobili</w:t>
      </w:r>
      <w:r w:rsidR="00894239">
        <w:t>s</w:t>
      </w:r>
      <w:r w:rsidRPr="00DC183C">
        <w:t>ation strategy</w:t>
      </w:r>
      <w:r w:rsidR="001D0F90">
        <w:t xml:space="preserve"> is required. </w:t>
      </w:r>
    </w:p>
    <w:p w:rsidR="004C5D4D" w:rsidRPr="00DC183C" w:rsidRDefault="004C5D4D" w:rsidP="0070232B">
      <w:pPr>
        <w:pStyle w:val="Heading1"/>
        <w:numPr>
          <w:ilvl w:val="0"/>
          <w:numId w:val="26"/>
        </w:numPr>
      </w:pPr>
      <w:bookmarkStart w:id="36" w:name="_Toc441609338"/>
      <w:r w:rsidRPr="00DC183C">
        <w:t>Key evaluation questions and results</w:t>
      </w:r>
      <w:bookmarkEnd w:id="36"/>
    </w:p>
    <w:p w:rsidR="00245FC8" w:rsidRPr="000C3B05" w:rsidRDefault="00A25570" w:rsidP="001F2E62">
      <w:pPr>
        <w:pStyle w:val="Heading2"/>
        <w:numPr>
          <w:ilvl w:val="0"/>
          <w:numId w:val="0"/>
        </w:numPr>
      </w:pPr>
      <w:bookmarkStart w:id="37" w:name="_Toc441609339"/>
      <w:r>
        <w:t xml:space="preserve">5.1 </w:t>
      </w:r>
      <w:r w:rsidR="004C5D4D" w:rsidRPr="00DC183C">
        <w:t>Relevance</w:t>
      </w:r>
      <w:r w:rsidR="001463C5" w:rsidRPr="00DC183C">
        <w:t xml:space="preserve"> of UNDP support</w:t>
      </w:r>
      <w:bookmarkEnd w:id="37"/>
    </w:p>
    <w:p w:rsidR="006D3310" w:rsidRDefault="00347234" w:rsidP="008F299C">
      <w:r>
        <w:t xml:space="preserve">The </w:t>
      </w:r>
      <w:r w:rsidR="00245FC8" w:rsidRPr="00DC183C">
        <w:t xml:space="preserve">UNDP’s </w:t>
      </w:r>
      <w:r w:rsidR="00245FC8">
        <w:t>support is clearly relevant</w:t>
      </w:r>
      <w:r w:rsidR="00245FC8" w:rsidRPr="00DC183C">
        <w:t xml:space="preserve"> to the Government of </w:t>
      </w:r>
      <w:r w:rsidR="00ED152D">
        <w:t xml:space="preserve">Lao PDR’s priorities. It </w:t>
      </w:r>
      <w:r w:rsidR="00245FC8" w:rsidRPr="00DC183C">
        <w:t xml:space="preserve">is </w:t>
      </w:r>
      <w:r w:rsidR="00ED152D">
        <w:t xml:space="preserve">also </w:t>
      </w:r>
      <w:r w:rsidR="00245FC8" w:rsidRPr="00DC183C">
        <w:t xml:space="preserve">clearly aligned with </w:t>
      </w:r>
      <w:r>
        <w:t xml:space="preserve">the </w:t>
      </w:r>
      <w:r w:rsidR="00245FC8" w:rsidRPr="00DC183C">
        <w:t>national development objectives as outlined in the 7</w:t>
      </w:r>
      <w:r w:rsidR="00245FC8" w:rsidRPr="00245FC8">
        <w:rPr>
          <w:vertAlign w:val="superscript"/>
        </w:rPr>
        <w:t>th</w:t>
      </w:r>
      <w:r w:rsidR="00245FC8" w:rsidRPr="00DC183C">
        <w:t xml:space="preserve"> </w:t>
      </w:r>
      <w:r w:rsidR="00245FC8" w:rsidRPr="00245FC8">
        <w:rPr>
          <w:sz w:val="20"/>
          <w:szCs w:val="20"/>
        </w:rPr>
        <w:t>NSEDP</w:t>
      </w:r>
      <w:r w:rsidR="001F2E62">
        <w:t xml:space="preserve">, </w:t>
      </w:r>
      <w:r w:rsidR="003814F9">
        <w:t xml:space="preserve">Lao </w:t>
      </w:r>
      <w:r w:rsidR="00245FC8" w:rsidRPr="00DC183C">
        <w:t>MDG9</w:t>
      </w:r>
      <w:r w:rsidR="00ED152D">
        <w:t>,</w:t>
      </w:r>
      <w:r w:rsidR="001F2E62">
        <w:t xml:space="preserve"> and the</w:t>
      </w:r>
      <w:r w:rsidR="00ED152D">
        <w:t xml:space="preserve"> </w:t>
      </w:r>
      <w:r w:rsidR="00C116C5">
        <w:t>5</w:t>
      </w:r>
      <w:r w:rsidR="001F2E62">
        <w:t>-</w:t>
      </w:r>
      <w:r w:rsidR="001F2E62" w:rsidRPr="00DC183C">
        <w:t>year Rural Development and Poverty Eradication Plan</w:t>
      </w:r>
      <w:r w:rsidR="001F2E62">
        <w:t xml:space="preserve"> (</w:t>
      </w:r>
      <w:r w:rsidR="001F2E62" w:rsidRPr="00DC183C">
        <w:t>2010-2015</w:t>
      </w:r>
      <w:r w:rsidR="001F2E62">
        <w:t>)</w:t>
      </w:r>
      <w:r>
        <w:t xml:space="preserve">. </w:t>
      </w:r>
      <w:r w:rsidR="00ED152D">
        <w:t>In this plan,</w:t>
      </w:r>
      <w:r w:rsidR="001F2E62">
        <w:t xml:space="preserve"> UXO clearance is </w:t>
      </w:r>
      <w:r w:rsidR="001F2E62" w:rsidRPr="00DC183C">
        <w:t>priorit</w:t>
      </w:r>
      <w:r w:rsidR="001F2E62">
        <w:t xml:space="preserve">ised for </w:t>
      </w:r>
      <w:r w:rsidR="001F2E62" w:rsidRPr="00DC183C">
        <w:t>64</w:t>
      </w:r>
      <w:r w:rsidR="001F2E62">
        <w:t xml:space="preserve"> areas</w:t>
      </w:r>
      <w:r w:rsidR="001F2E62" w:rsidRPr="00DC183C">
        <w:t xml:space="preserve"> that have been identified as focal development areas</w:t>
      </w:r>
      <w:r w:rsidR="00ED152D">
        <w:t>, as well as</w:t>
      </w:r>
      <w:r w:rsidR="001F2E62" w:rsidRPr="00DC183C">
        <w:t xml:space="preserve"> 167 rural areas identified for stabili</w:t>
      </w:r>
      <w:r w:rsidR="001F2E62">
        <w:t>s</w:t>
      </w:r>
      <w:r w:rsidR="00ED152D">
        <w:t xml:space="preserve">ation, </w:t>
      </w:r>
      <w:r w:rsidR="001F2E62" w:rsidRPr="00DC183C">
        <w:t>settlement</w:t>
      </w:r>
      <w:r w:rsidR="00ED152D">
        <w:t>,</w:t>
      </w:r>
      <w:r w:rsidR="001F2E62" w:rsidRPr="00DC183C">
        <w:t xml:space="preserve"> and secure livelihoods</w:t>
      </w:r>
      <w:r w:rsidR="00C36263">
        <w:t xml:space="preserve">. </w:t>
      </w:r>
      <w:r w:rsidR="001F2E62">
        <w:t xml:space="preserve">While tied to </w:t>
      </w:r>
      <w:r w:rsidR="00ED152D">
        <w:t xml:space="preserve">the </w:t>
      </w:r>
      <w:r w:rsidR="001F2E62">
        <w:t xml:space="preserve">UNDP’s goals of poverty reduction, </w:t>
      </w:r>
      <w:r w:rsidR="00ED152D">
        <w:t xml:space="preserve">the </w:t>
      </w:r>
      <w:r w:rsidR="001F2E62">
        <w:t>UNDP’s support</w:t>
      </w:r>
      <w:r w:rsidR="00ED152D">
        <w:t>,</w:t>
      </w:r>
      <w:r w:rsidR="001F2E62">
        <w:t xml:space="preserve"> to date</w:t>
      </w:r>
      <w:r w:rsidR="00ED152D">
        <w:t>,</w:t>
      </w:r>
      <w:r w:rsidR="001F2E62">
        <w:t xml:space="preserve"> has been </w:t>
      </w:r>
      <w:r w:rsidR="009733DF">
        <w:t>ir</w:t>
      </w:r>
      <w:r w:rsidR="001F2E62">
        <w:t xml:space="preserve">relevant and </w:t>
      </w:r>
      <w:r w:rsidR="009733DF">
        <w:t>in</w:t>
      </w:r>
      <w:r w:rsidR="001F2E62">
        <w:t>effective in ensuring appropriate social and environmental safeguards are applied to resettlement.  Relevance</w:t>
      </w:r>
      <w:r w:rsidR="009733DF">
        <w:t xml:space="preserve"> of UNDP support</w:t>
      </w:r>
      <w:r>
        <w:t xml:space="preserve"> is </w:t>
      </w:r>
      <w:r w:rsidR="001F2E62">
        <w:t xml:space="preserve">also </w:t>
      </w:r>
      <w:r>
        <w:t xml:space="preserve">demonstrated in </w:t>
      </w:r>
      <w:r w:rsidR="00245FC8">
        <w:t>the transfer of the sector to the L</w:t>
      </w:r>
      <w:r w:rsidR="00245FC8" w:rsidRPr="007F3C79">
        <w:t>NCRDPE</w:t>
      </w:r>
      <w:r w:rsidR="00245FC8">
        <w:t xml:space="preserve"> and the Government’s international obligations under the CCM</w:t>
      </w:r>
      <w:r w:rsidR="00245FC8" w:rsidRPr="00DC183C">
        <w:t>.</w:t>
      </w:r>
      <w:r w:rsidR="00245FC8">
        <w:t xml:space="preserve"> It should </w:t>
      </w:r>
      <w:r w:rsidR="004E0A18">
        <w:t>be</w:t>
      </w:r>
      <w:r w:rsidR="00245FC8">
        <w:t xml:space="preserve"> noted</w:t>
      </w:r>
      <w:r>
        <w:t>,</w:t>
      </w:r>
      <w:r w:rsidR="00245FC8">
        <w:t xml:space="preserve"> however</w:t>
      </w:r>
      <w:r>
        <w:t>,</w:t>
      </w:r>
      <w:r w:rsidR="00245FC8">
        <w:t xml:space="preserve"> that while UXO contamination is in some of the poorest districts, there is no empirical evidence to support a causal link between UXO contamination and poverty. </w:t>
      </w:r>
      <w:r w:rsidR="004E0A18">
        <w:t>Further, given the lack of baseline data or an underlying programme theory of how and in what ways UXO clearance may contribute to poverty reduction, assessing its relevance to poverty reduction is problematic</w:t>
      </w:r>
      <w:r w:rsidR="00862373">
        <w:t xml:space="preserve">. </w:t>
      </w:r>
      <w:r w:rsidR="004E0A18">
        <w:t xml:space="preserve">Nevertheless, </w:t>
      </w:r>
      <w:r w:rsidR="00245FC8">
        <w:t>UXO clearance</w:t>
      </w:r>
      <w:r w:rsidR="009733DF">
        <w:t xml:space="preserve"> </w:t>
      </w:r>
      <w:r w:rsidR="004E0A18">
        <w:t>can contribute to opportunities</w:t>
      </w:r>
      <w:r w:rsidR="009733DF">
        <w:t xml:space="preserve"> </w:t>
      </w:r>
      <w:r w:rsidR="004E0A18">
        <w:t xml:space="preserve">and </w:t>
      </w:r>
      <w:r w:rsidR="009759DB">
        <w:t>provide some of the minimum conditions necessary for living with dignity</w:t>
      </w:r>
      <w:r w:rsidR="009733DF">
        <w:t>.  I</w:t>
      </w:r>
      <w:r w:rsidR="004E0A18">
        <w:t>n this way</w:t>
      </w:r>
      <w:r>
        <w:t>,</w:t>
      </w:r>
      <w:r w:rsidR="004E0A18">
        <w:t xml:space="preserve"> </w:t>
      </w:r>
      <w:r w:rsidR="009733DF">
        <w:t xml:space="preserve">UXO clearance </w:t>
      </w:r>
      <w:r w:rsidR="004E0A18">
        <w:t xml:space="preserve">can contribute to human development. </w:t>
      </w:r>
      <w:r w:rsidR="009759DB">
        <w:t xml:space="preserve">Other </w:t>
      </w:r>
      <w:r w:rsidR="009759DB" w:rsidRPr="009759DB">
        <w:rPr>
          <w:rFonts w:ascii="Calibri" w:hAnsi="Calibri" w:cs="Calibri"/>
        </w:rPr>
        <w:t xml:space="preserve">opportunities to better align support to development and the needs of the </w:t>
      </w:r>
      <w:r w:rsidR="009759DB">
        <w:rPr>
          <w:rFonts w:ascii="Calibri" w:hAnsi="Calibri" w:cs="Calibri"/>
        </w:rPr>
        <w:t>programme recipients</w:t>
      </w:r>
      <w:r w:rsidR="009733DF">
        <w:rPr>
          <w:rFonts w:ascii="Calibri" w:hAnsi="Calibri" w:cs="Calibri"/>
        </w:rPr>
        <w:t>,</w:t>
      </w:r>
      <w:r w:rsidR="004E0A18">
        <w:t xml:space="preserve"> </w:t>
      </w:r>
      <w:r w:rsidR="009759DB">
        <w:t xml:space="preserve">include </w:t>
      </w:r>
      <w:r w:rsidR="004E0A18">
        <w:t xml:space="preserve">taking </w:t>
      </w:r>
      <w:r>
        <w:t xml:space="preserve">a </w:t>
      </w:r>
      <w:r w:rsidR="004E0A18">
        <w:t>pro-poor, gender focus</w:t>
      </w:r>
      <w:r>
        <w:t>. Another opportunity is</w:t>
      </w:r>
      <w:r w:rsidR="004E0A18">
        <w:t xml:space="preserve"> integrat</w:t>
      </w:r>
      <w:r>
        <w:t>ing</w:t>
      </w:r>
      <w:r w:rsidR="004E0A18">
        <w:t xml:space="preserve"> </w:t>
      </w:r>
      <w:r w:rsidR="006D3310">
        <w:t xml:space="preserve">safeguards and other </w:t>
      </w:r>
      <w:r w:rsidR="004E0A18">
        <w:t>aspect</w:t>
      </w:r>
      <w:r w:rsidR="006D3310">
        <w:t>s</w:t>
      </w:r>
      <w:r w:rsidR="004E0A18">
        <w:t xml:space="preserve"> of a rights based framework, for example</w:t>
      </w:r>
      <w:r>
        <w:t>,</w:t>
      </w:r>
      <w:r w:rsidR="004E0A18">
        <w:t xml:space="preserve"> by enhancing the participation of girls, boys, women</w:t>
      </w:r>
      <w:r w:rsidR="009733DF">
        <w:t xml:space="preserve">, and men </w:t>
      </w:r>
      <w:r w:rsidR="004E0A18">
        <w:t>in decisions that affect them,</w:t>
      </w:r>
      <w:r w:rsidR="009733DF">
        <w:t xml:space="preserve"> analysing socio-economic risk</w:t>
      </w:r>
      <w:r w:rsidR="004E0A18">
        <w:t xml:space="preserve"> in terms of </w:t>
      </w:r>
      <w:r w:rsidR="009759DB">
        <w:t>relocation</w:t>
      </w:r>
      <w:r>
        <w:t>,</w:t>
      </w:r>
      <w:r w:rsidR="009759DB">
        <w:t xml:space="preserve"> </w:t>
      </w:r>
      <w:r w:rsidR="004E0A18">
        <w:t xml:space="preserve">providing avenues for </w:t>
      </w:r>
      <w:r w:rsidR="004E0A18" w:rsidRPr="00DC183C">
        <w:t>h</w:t>
      </w:r>
      <w:r w:rsidR="004E0A18">
        <w:t>earing</w:t>
      </w:r>
      <w:r>
        <w:t>,</w:t>
      </w:r>
      <w:r w:rsidR="004E0A18">
        <w:t xml:space="preserve"> and addressing programme</w:t>
      </w:r>
      <w:r w:rsidR="004E0A18" w:rsidRPr="00DC183C">
        <w:t xml:space="preserve">-related </w:t>
      </w:r>
      <w:r w:rsidR="004E0A18" w:rsidRPr="009759DB">
        <w:t xml:space="preserve">grievances. </w:t>
      </w:r>
      <w:r w:rsidR="009759DB" w:rsidRPr="009759DB">
        <w:t xml:space="preserve">Incorporating a rights–based framework </w:t>
      </w:r>
      <w:r w:rsidR="00DE3110">
        <w:t xml:space="preserve">or </w:t>
      </w:r>
      <w:r>
        <w:t xml:space="preserve">the </w:t>
      </w:r>
      <w:r w:rsidR="00DE3110">
        <w:t xml:space="preserve">UNDP’s Social and Environmental Standards, </w:t>
      </w:r>
      <w:r w:rsidR="009759DB" w:rsidRPr="009759DB">
        <w:t>will also enable the programme to move away from placing individuals, families</w:t>
      </w:r>
      <w:r w:rsidR="009733DF">
        <w:t>,</w:t>
      </w:r>
      <w:r w:rsidR="009759DB" w:rsidRPr="009759DB">
        <w:t xml:space="preserve"> and communities</w:t>
      </w:r>
      <w:r w:rsidR="009733DF">
        <w:t>,</w:t>
      </w:r>
      <w:r w:rsidR="009759DB" w:rsidRPr="009759DB">
        <w:t xml:space="preserve"> as ‘beneficiaries’</w:t>
      </w:r>
      <w:r w:rsidR="009733DF">
        <w:t>,</w:t>
      </w:r>
      <w:r w:rsidR="009759DB" w:rsidRPr="009759DB">
        <w:t xml:space="preserve"> to a more balanced approach that enables individuals, families</w:t>
      </w:r>
      <w:r>
        <w:t>,</w:t>
      </w:r>
      <w:r w:rsidR="009759DB" w:rsidRPr="009759DB">
        <w:t xml:space="preserve"> and communities to participate in programme processes. </w:t>
      </w:r>
    </w:p>
    <w:p w:rsidR="00245FC8" w:rsidRDefault="004B3814" w:rsidP="008F299C">
      <w:r>
        <w:t xml:space="preserve">The </w:t>
      </w:r>
      <w:r w:rsidR="00245FC8" w:rsidRPr="004E0A18">
        <w:t xml:space="preserve">UNDP plays a critical </w:t>
      </w:r>
      <w:r w:rsidR="00A62F85">
        <w:t xml:space="preserve">and relevant </w:t>
      </w:r>
      <w:r w:rsidR="00245FC8" w:rsidRPr="004E0A18">
        <w:t xml:space="preserve">coordinating role </w:t>
      </w:r>
      <w:r w:rsidR="001E28F4">
        <w:t>in</w:t>
      </w:r>
      <w:r w:rsidR="00245FC8" w:rsidRPr="004E0A18">
        <w:t xml:space="preserve"> the Round Table Process and co-chairs the donor working groups for the UXO sector</w:t>
      </w:r>
      <w:r w:rsidR="00EE213A">
        <w:t xml:space="preserve">. The groups </w:t>
      </w:r>
      <w:r w:rsidR="001E28F4">
        <w:t xml:space="preserve">provide a </w:t>
      </w:r>
      <w:r w:rsidR="00245FC8" w:rsidRPr="004E0A18">
        <w:t xml:space="preserve">platform for </w:t>
      </w:r>
      <w:r w:rsidR="001E28F4">
        <w:t>furthering</w:t>
      </w:r>
      <w:r w:rsidR="00245FC8" w:rsidRPr="004E0A18">
        <w:t xml:space="preserve"> the aid effectiveness agenda</w:t>
      </w:r>
      <w:r>
        <w:t>,</w:t>
      </w:r>
      <w:r w:rsidR="001E28F4">
        <w:t xml:space="preserve"> including</w:t>
      </w:r>
      <w:r w:rsidR="00245FC8" w:rsidRPr="004E0A18">
        <w:t xml:space="preserve"> the Vientiane Declaration on Aid Effectiveness, the Partnership for Effective Development Co-operation Framework, and the Busan Partnership for Effective Development Co-operation. </w:t>
      </w:r>
      <w:r w:rsidR="006D3310" w:rsidRPr="004E0A18">
        <w:t xml:space="preserve">Having a separate sector-working group for </w:t>
      </w:r>
      <w:r w:rsidR="006D3310">
        <w:t xml:space="preserve">the </w:t>
      </w:r>
      <w:r w:rsidR="006D3310" w:rsidRPr="004E0A18">
        <w:t>UXO is relevant to</w:t>
      </w:r>
      <w:r w:rsidR="003814F9">
        <w:t xml:space="preserve"> Lao</w:t>
      </w:r>
      <w:r w:rsidR="006D3310" w:rsidRPr="004E0A18">
        <w:t xml:space="preserve"> MDG9 and the CCM, but seems in contrast to its crosscutting relevance to poverty reduction and development as proposed in </w:t>
      </w:r>
      <w:r w:rsidR="006D3310">
        <w:t xml:space="preserve">the </w:t>
      </w:r>
      <w:r w:rsidR="006D3310" w:rsidRPr="004E0A18">
        <w:t xml:space="preserve">UNDP and government documents. </w:t>
      </w:r>
      <w:r w:rsidR="006D3310">
        <w:t xml:space="preserve">The UNDP has provided relevant support in the CCM process. </w:t>
      </w:r>
      <w:r w:rsidR="00A62F85">
        <w:t>Several donors and other stakeholders, however, were somewhat ambivalent regarding the relevance of other areas of the UNDP’s support.</w:t>
      </w:r>
      <w:r w:rsidR="00C36263">
        <w:t xml:space="preserve"> Furthermore, while the relevance of the Trust Fund in enabling the full implementation of the CCM seems clear, its relevance could be enhanced by extending funding to a wider range of actors to  enable the implementation of the full range of activities under the CCM.   </w:t>
      </w:r>
    </w:p>
    <w:p w:rsidR="00AE01A7" w:rsidRPr="00DC183C" w:rsidRDefault="00AE01A7" w:rsidP="008F299C">
      <w:pPr>
        <w:pStyle w:val="BodyText"/>
        <w:spacing w:after="0"/>
        <w:rPr>
          <w:rFonts w:ascii="Calibri" w:hAnsi="Calibri" w:cs="Calibri"/>
          <w:sz w:val="22"/>
          <w:szCs w:val="22"/>
        </w:rPr>
      </w:pPr>
      <w:r w:rsidRPr="00DC183C">
        <w:rPr>
          <w:rFonts w:ascii="Calibri" w:hAnsi="Calibri" w:cs="Calibri"/>
          <w:sz w:val="22"/>
          <w:szCs w:val="22"/>
        </w:rPr>
        <w:t xml:space="preserve">Under the umbrella of the current UNDAF, UNICEF has also been involved in Mine Risk Education and the development of materials to reduce children’s exposure to UXO. </w:t>
      </w:r>
      <w:r>
        <w:rPr>
          <w:rFonts w:ascii="Calibri" w:hAnsi="Calibri" w:cs="Calibri"/>
          <w:sz w:val="22"/>
          <w:szCs w:val="22"/>
        </w:rPr>
        <w:t>Given UNICEF’s long history in MRE</w:t>
      </w:r>
      <w:r w:rsidR="0014082E">
        <w:rPr>
          <w:rFonts w:ascii="Calibri" w:hAnsi="Calibri" w:cs="Calibri"/>
          <w:sz w:val="22"/>
          <w:szCs w:val="22"/>
        </w:rPr>
        <w:t>,</w:t>
      </w:r>
      <w:r>
        <w:rPr>
          <w:rFonts w:ascii="Calibri" w:hAnsi="Calibri" w:cs="Calibri"/>
          <w:sz w:val="22"/>
          <w:szCs w:val="22"/>
        </w:rPr>
        <w:t xml:space="preserve"> this is relevant. While</w:t>
      </w:r>
      <w:r w:rsidRPr="00DC183C">
        <w:rPr>
          <w:rFonts w:ascii="Calibri" w:hAnsi="Calibri" w:cs="Calibri"/>
          <w:sz w:val="22"/>
          <w:szCs w:val="22"/>
        </w:rPr>
        <w:t xml:space="preserve"> WHO identified the effects of UXO as an area to </w:t>
      </w:r>
      <w:r>
        <w:rPr>
          <w:rFonts w:ascii="Calibri" w:hAnsi="Calibri" w:cs="Calibri"/>
          <w:sz w:val="22"/>
          <w:szCs w:val="22"/>
        </w:rPr>
        <w:t xml:space="preserve">be </w:t>
      </w:r>
      <w:r w:rsidRPr="00DC183C">
        <w:rPr>
          <w:rFonts w:ascii="Calibri" w:hAnsi="Calibri" w:cs="Calibri"/>
          <w:sz w:val="22"/>
          <w:szCs w:val="22"/>
        </w:rPr>
        <w:t>address</w:t>
      </w:r>
      <w:r>
        <w:rPr>
          <w:rFonts w:ascii="Calibri" w:hAnsi="Calibri" w:cs="Calibri"/>
          <w:sz w:val="22"/>
          <w:szCs w:val="22"/>
        </w:rPr>
        <w:t>ed</w:t>
      </w:r>
      <w:r w:rsidRPr="00DC183C">
        <w:rPr>
          <w:rFonts w:ascii="Calibri" w:hAnsi="Calibri" w:cs="Calibri"/>
          <w:sz w:val="22"/>
          <w:szCs w:val="22"/>
        </w:rPr>
        <w:t xml:space="preserve"> in terms of rehabilitation in its 2012-2015 Cooperation Strategy for Lao PDR</w:t>
      </w:r>
      <w:r>
        <w:rPr>
          <w:rFonts w:ascii="Calibri" w:hAnsi="Calibri" w:cs="Calibri"/>
          <w:sz w:val="22"/>
          <w:szCs w:val="22"/>
        </w:rPr>
        <w:t>, little progress seems to have been made on this</w:t>
      </w:r>
      <w:r w:rsidR="00CF2539">
        <w:rPr>
          <w:rFonts w:ascii="Calibri" w:hAnsi="Calibri" w:cs="Calibri"/>
          <w:sz w:val="22"/>
          <w:szCs w:val="22"/>
        </w:rPr>
        <w:t xml:space="preserve">. However, </w:t>
      </w:r>
      <w:r>
        <w:rPr>
          <w:rFonts w:ascii="Calibri" w:hAnsi="Calibri" w:cs="Calibri"/>
          <w:sz w:val="22"/>
          <w:szCs w:val="22"/>
        </w:rPr>
        <w:t>it is important to note</w:t>
      </w:r>
      <w:r w:rsidR="0014082E">
        <w:rPr>
          <w:rFonts w:ascii="Calibri" w:hAnsi="Calibri" w:cs="Calibri"/>
          <w:sz w:val="22"/>
          <w:szCs w:val="22"/>
        </w:rPr>
        <w:t xml:space="preserve"> that</w:t>
      </w:r>
      <w:r>
        <w:rPr>
          <w:rFonts w:ascii="Calibri" w:hAnsi="Calibri" w:cs="Calibri"/>
          <w:sz w:val="22"/>
          <w:szCs w:val="22"/>
        </w:rPr>
        <w:t xml:space="preserve"> this is likely to</w:t>
      </w:r>
      <w:r w:rsidR="0014082E">
        <w:rPr>
          <w:rFonts w:ascii="Calibri" w:hAnsi="Calibri" w:cs="Calibri"/>
          <w:sz w:val="22"/>
          <w:szCs w:val="22"/>
        </w:rPr>
        <w:t xml:space="preserve"> be</w:t>
      </w:r>
      <w:r>
        <w:rPr>
          <w:rFonts w:ascii="Calibri" w:hAnsi="Calibri" w:cs="Calibri"/>
          <w:sz w:val="22"/>
          <w:szCs w:val="22"/>
        </w:rPr>
        <w:t xml:space="preserve"> a long term endeavour given the very limited number of staff in the health system trained in </w:t>
      </w:r>
      <w:r w:rsidRPr="00DC183C">
        <w:rPr>
          <w:rFonts w:ascii="Calibri" w:hAnsi="Calibri" w:cs="Calibri"/>
          <w:sz w:val="22"/>
          <w:szCs w:val="22"/>
        </w:rPr>
        <w:t>rehabilitation</w:t>
      </w:r>
      <w:r w:rsidR="00CF2539">
        <w:rPr>
          <w:rFonts w:ascii="Calibri" w:hAnsi="Calibri" w:cs="Calibri"/>
          <w:sz w:val="22"/>
          <w:szCs w:val="22"/>
        </w:rPr>
        <w:t>, as well as</w:t>
      </w:r>
      <w:r>
        <w:rPr>
          <w:rFonts w:ascii="Calibri" w:hAnsi="Calibri" w:cs="Calibri"/>
          <w:sz w:val="22"/>
          <w:szCs w:val="22"/>
        </w:rPr>
        <w:t xml:space="preserve"> </w:t>
      </w:r>
      <w:r w:rsidR="00CF2539">
        <w:rPr>
          <w:rFonts w:ascii="Calibri" w:hAnsi="Calibri" w:cs="Calibri"/>
          <w:sz w:val="22"/>
          <w:szCs w:val="22"/>
        </w:rPr>
        <w:t>t</w:t>
      </w:r>
      <w:r>
        <w:rPr>
          <w:rFonts w:ascii="Calibri" w:hAnsi="Calibri" w:cs="Calibri"/>
          <w:sz w:val="22"/>
          <w:szCs w:val="22"/>
        </w:rPr>
        <w:t xml:space="preserve">he traditional focus on </w:t>
      </w:r>
      <w:r w:rsidR="0079227A">
        <w:rPr>
          <w:rFonts w:ascii="Calibri" w:hAnsi="Calibri" w:cs="Calibri"/>
          <w:sz w:val="22"/>
          <w:szCs w:val="22"/>
        </w:rPr>
        <w:t>maternal and child health and infectious disease</w:t>
      </w:r>
      <w:r w:rsidRPr="00DC183C">
        <w:rPr>
          <w:rFonts w:ascii="Calibri" w:hAnsi="Calibri" w:cs="Calibri"/>
          <w:sz w:val="22"/>
          <w:szCs w:val="22"/>
        </w:rPr>
        <w:t>.</w:t>
      </w:r>
      <w:r w:rsidR="00902494">
        <w:rPr>
          <w:rFonts w:ascii="Calibri" w:hAnsi="Calibri" w:cs="Calibri"/>
          <w:sz w:val="22"/>
          <w:szCs w:val="22"/>
        </w:rPr>
        <w:t xml:space="preserve"> </w:t>
      </w:r>
      <w:r w:rsidR="00CF2539">
        <w:rPr>
          <w:rFonts w:ascii="Calibri" w:hAnsi="Calibri" w:cs="Calibri"/>
          <w:sz w:val="22"/>
          <w:szCs w:val="22"/>
        </w:rPr>
        <w:t>U</w:t>
      </w:r>
      <w:r w:rsidR="00902494">
        <w:rPr>
          <w:rFonts w:ascii="Calibri" w:hAnsi="Calibri" w:cs="Calibri"/>
          <w:sz w:val="22"/>
          <w:szCs w:val="22"/>
        </w:rPr>
        <w:t>nder UNDAF</w:t>
      </w:r>
      <w:r w:rsidR="0014082E">
        <w:rPr>
          <w:rFonts w:ascii="Calibri" w:hAnsi="Calibri" w:cs="Calibri"/>
          <w:sz w:val="22"/>
          <w:szCs w:val="22"/>
        </w:rPr>
        <w:t>,</w:t>
      </w:r>
      <w:r w:rsidR="00902494">
        <w:rPr>
          <w:rFonts w:ascii="Calibri" w:hAnsi="Calibri" w:cs="Calibri"/>
          <w:sz w:val="22"/>
          <w:szCs w:val="22"/>
        </w:rPr>
        <w:t xml:space="preserve"> </w:t>
      </w:r>
      <w:r w:rsidR="00902494" w:rsidRPr="00902494">
        <w:rPr>
          <w:rFonts w:ascii="Calibri" w:hAnsi="Calibri" w:cs="Calibri"/>
          <w:sz w:val="22"/>
          <w:szCs w:val="22"/>
        </w:rPr>
        <w:t>community development groups</w:t>
      </w:r>
      <w:r w:rsidR="00902494">
        <w:rPr>
          <w:rFonts w:ascii="Calibri" w:hAnsi="Calibri" w:cs="Calibri"/>
          <w:sz w:val="22"/>
          <w:szCs w:val="22"/>
        </w:rPr>
        <w:t xml:space="preserve"> were </w:t>
      </w:r>
      <w:r w:rsidR="00CF2539">
        <w:rPr>
          <w:rFonts w:ascii="Calibri" w:hAnsi="Calibri" w:cs="Calibri"/>
          <w:sz w:val="22"/>
          <w:szCs w:val="22"/>
        </w:rPr>
        <w:t>going</w:t>
      </w:r>
      <w:r w:rsidR="00902494">
        <w:rPr>
          <w:rFonts w:ascii="Calibri" w:hAnsi="Calibri" w:cs="Calibri"/>
          <w:sz w:val="22"/>
          <w:szCs w:val="22"/>
        </w:rPr>
        <w:t xml:space="preserve"> to be established in villages </w:t>
      </w:r>
      <w:r w:rsidR="00902494" w:rsidRPr="00902494">
        <w:rPr>
          <w:rFonts w:ascii="Calibri" w:hAnsi="Calibri" w:cs="Calibri"/>
          <w:sz w:val="22"/>
          <w:szCs w:val="22"/>
        </w:rPr>
        <w:t>formerly contaminated with UXO (UNDP, UNHABITAT,</w:t>
      </w:r>
      <w:r w:rsidR="0014082E">
        <w:rPr>
          <w:rFonts w:ascii="Calibri" w:hAnsi="Calibri" w:cs="Calibri"/>
          <w:sz w:val="22"/>
          <w:szCs w:val="22"/>
        </w:rPr>
        <w:t xml:space="preserve"> </w:t>
      </w:r>
      <w:r w:rsidR="00902494" w:rsidRPr="00902494">
        <w:rPr>
          <w:rFonts w:ascii="Calibri" w:hAnsi="Calibri" w:cs="Calibri"/>
          <w:sz w:val="22"/>
          <w:szCs w:val="22"/>
        </w:rPr>
        <w:t>UNIDO)</w:t>
      </w:r>
      <w:r w:rsidR="00CF2539">
        <w:rPr>
          <w:rFonts w:ascii="Calibri" w:hAnsi="Calibri" w:cs="Calibri"/>
          <w:sz w:val="22"/>
          <w:szCs w:val="22"/>
        </w:rPr>
        <w:t xml:space="preserve">. However, </w:t>
      </w:r>
      <w:r w:rsidR="00902494">
        <w:rPr>
          <w:rFonts w:ascii="Calibri" w:hAnsi="Calibri" w:cs="Calibri"/>
          <w:sz w:val="22"/>
          <w:szCs w:val="22"/>
        </w:rPr>
        <w:t>the clear integration between UXO clearance and community development groups is unclear and not articulated as a specific output in the programme document.</w:t>
      </w:r>
    </w:p>
    <w:p w:rsidR="004C5D4D" w:rsidRPr="00DC183C" w:rsidRDefault="00A25570" w:rsidP="00A25570">
      <w:pPr>
        <w:pStyle w:val="Heading2"/>
        <w:numPr>
          <w:ilvl w:val="0"/>
          <w:numId w:val="0"/>
        </w:numPr>
      </w:pPr>
      <w:bookmarkStart w:id="38" w:name="_Toc441609340"/>
      <w:r>
        <w:t>5.2</w:t>
      </w:r>
      <w:r w:rsidR="0070232B">
        <w:t xml:space="preserve"> </w:t>
      </w:r>
      <w:r w:rsidR="004C5D4D" w:rsidRPr="00DC183C">
        <w:t>Effectiveness</w:t>
      </w:r>
      <w:r w:rsidR="001463C5" w:rsidRPr="00DC183C">
        <w:t xml:space="preserve"> of UNDP support</w:t>
      </w:r>
      <w:bookmarkEnd w:id="38"/>
    </w:p>
    <w:p w:rsidR="0084787B" w:rsidRPr="0084787B" w:rsidRDefault="00AD07DE" w:rsidP="0084787B">
      <w:r>
        <w:t>The programme has continued to strengthen</w:t>
      </w:r>
      <w:r w:rsidRPr="007F3C79">
        <w:t xml:space="preserve"> the capacity of </w:t>
      </w:r>
      <w:r w:rsidR="00ED390E">
        <w:t xml:space="preserve">the </w:t>
      </w:r>
      <w:r w:rsidRPr="007F3C79">
        <w:t>UXO Lao and the NRA</w:t>
      </w:r>
      <w:r w:rsidR="00ED390E">
        <w:t>,</w:t>
      </w:r>
      <w:r w:rsidRPr="007F3C79">
        <w:t xml:space="preserve"> </w:t>
      </w:r>
      <w:r>
        <w:t>particularly in relation to technical capacity</w:t>
      </w:r>
      <w:r w:rsidR="00E863BE">
        <w:t xml:space="preserve">. </w:t>
      </w:r>
      <w:r w:rsidR="00ED390E">
        <w:t>O</w:t>
      </w:r>
      <w:r w:rsidR="006D3310" w:rsidRPr="00ED390E">
        <w:t xml:space="preserve">verall, the programme has achieved, or is likely to </w:t>
      </w:r>
      <w:r w:rsidR="00ED390E">
        <w:t>achieve</w:t>
      </w:r>
      <w:r w:rsidR="002410F7" w:rsidRPr="00ED390E">
        <w:t xml:space="preserve"> by the end of 2016</w:t>
      </w:r>
      <w:r w:rsidR="006D3310">
        <w:t>,</w:t>
      </w:r>
      <w:r w:rsidR="00ED390E">
        <w:t xml:space="preserve"> most of its outputs</w:t>
      </w:r>
      <w:r w:rsidR="006E396F">
        <w:t xml:space="preserve"> (see Appendix 4)</w:t>
      </w:r>
      <w:r w:rsidR="00ED390E">
        <w:t xml:space="preserve">. However, </w:t>
      </w:r>
      <w:r w:rsidR="006D3310" w:rsidRPr="00B1500C">
        <w:t>there is no data related to the outcomes of these outputs, that is</w:t>
      </w:r>
      <w:r w:rsidR="006D3310">
        <w:t>,</w:t>
      </w:r>
      <w:r w:rsidR="006D3310" w:rsidRPr="00B1500C">
        <w:t xml:space="preserve"> whether or not they achieved their intended purpose. Furthermore, there </w:t>
      </w:r>
      <w:r w:rsidR="006D3310">
        <w:t>is</w:t>
      </w:r>
      <w:r w:rsidR="006D3310" w:rsidRPr="00B1500C">
        <w:t xml:space="preserve"> </w:t>
      </w:r>
      <w:r w:rsidR="0084787B">
        <w:t xml:space="preserve">limited tangible evidence and </w:t>
      </w:r>
      <w:r w:rsidR="006D3310" w:rsidRPr="00B1500C">
        <w:t xml:space="preserve">data related to </w:t>
      </w:r>
      <w:r w:rsidR="0084787B">
        <w:t xml:space="preserve">capacity building in </w:t>
      </w:r>
      <w:r w:rsidR="006D3310" w:rsidRPr="00B1500C">
        <w:t xml:space="preserve">some of </w:t>
      </w:r>
      <w:r w:rsidR="006D3310">
        <w:t xml:space="preserve">the </w:t>
      </w:r>
      <w:r w:rsidR="006D3310" w:rsidRPr="00B1500C">
        <w:t>UNDP</w:t>
      </w:r>
      <w:r w:rsidR="00ED390E">
        <w:t xml:space="preserve">’s core programming principles. This includes </w:t>
      </w:r>
      <w:r w:rsidR="006D3310" w:rsidRPr="00B1500C">
        <w:t>rights</w:t>
      </w:r>
      <w:r w:rsidR="0084787B">
        <w:t>-based programming</w:t>
      </w:r>
      <w:r w:rsidR="006D3310" w:rsidRPr="00B1500C">
        <w:t xml:space="preserve">, safeguards, </w:t>
      </w:r>
      <w:r w:rsidR="0084787B">
        <w:t xml:space="preserve">pro-poor, </w:t>
      </w:r>
      <w:r w:rsidR="006D3310" w:rsidRPr="00B1500C">
        <w:t xml:space="preserve">gender </w:t>
      </w:r>
      <w:r w:rsidR="0084787B">
        <w:t>sensitive development</w:t>
      </w:r>
      <w:r w:rsidR="00ED390E">
        <w:t>,</w:t>
      </w:r>
      <w:r w:rsidR="0084787B">
        <w:t xml:space="preserve"> </w:t>
      </w:r>
      <w:r w:rsidR="006D3310">
        <w:t>or the more strategic activities identified in the 2012 evaluation</w:t>
      </w:r>
      <w:r w:rsidR="00ED390E">
        <w:t>,</w:t>
      </w:r>
      <w:r w:rsidR="0084787B">
        <w:t xml:space="preserve"> such as supporting </w:t>
      </w:r>
      <w:r w:rsidR="0084787B" w:rsidRPr="00DC183C">
        <w:t xml:space="preserve">effective stakeholder communication and </w:t>
      </w:r>
      <w:r w:rsidR="0084787B">
        <w:t xml:space="preserve">developing </w:t>
      </w:r>
      <w:r w:rsidR="0084787B" w:rsidRPr="00DC183C">
        <w:t>adaptive management capacities.</w:t>
      </w:r>
      <w:r w:rsidR="0084787B">
        <w:t xml:space="preserve"> </w:t>
      </w:r>
      <w:r w:rsidR="0084787B" w:rsidRPr="00DC183C">
        <w:t xml:space="preserve">For example, information </w:t>
      </w:r>
      <w:r w:rsidR="0084787B">
        <w:t>m</w:t>
      </w:r>
      <w:r w:rsidR="0084787B" w:rsidRPr="00DC183C">
        <w:t>anagement is generally weak. While the NRA</w:t>
      </w:r>
      <w:r w:rsidR="0084787B">
        <w:t>’s</w:t>
      </w:r>
      <w:r w:rsidR="0084787B" w:rsidRPr="00DC183C">
        <w:t xml:space="preserve"> IMSMA database for the UXO sector in Lao PDR is generally up-to-date</w:t>
      </w:r>
      <w:r w:rsidR="0084787B">
        <w:t>,</w:t>
      </w:r>
      <w:r w:rsidR="0084787B" w:rsidRPr="00DC183C">
        <w:t xml:space="preserve"> and electronic reporting has increased, </w:t>
      </w:r>
      <w:r w:rsidR="0084787B">
        <w:t xml:space="preserve">the use of </w:t>
      </w:r>
      <w:r w:rsidR="0084787B" w:rsidRPr="00DC183C">
        <w:t xml:space="preserve">data analysis to inform planning is poorly practiced. </w:t>
      </w:r>
      <w:r w:rsidR="0084787B">
        <w:t>In other words</w:t>
      </w:r>
      <w:r w:rsidR="00ED390E">
        <w:t>,</w:t>
      </w:r>
      <w:r w:rsidR="0084787B">
        <w:t xml:space="preserve"> data collection and entry is seen as an end in itself</w:t>
      </w:r>
      <w:r w:rsidR="00ED390E">
        <w:t>,</w:t>
      </w:r>
      <w:r w:rsidR="0084787B">
        <w:t xml:space="preserve"> rather than a means to an end. </w:t>
      </w:r>
      <w:r w:rsidR="0084787B" w:rsidRPr="00DC183C">
        <w:t xml:space="preserve">Another example is gender mainstreaming. </w:t>
      </w:r>
      <w:r w:rsidR="00ED390E">
        <w:t>T</w:t>
      </w:r>
      <w:r w:rsidR="0084787B" w:rsidRPr="00DC183C">
        <w:t>he NRA has assigned a female Programme Technician to be the Gender Focal Point for the NRA</w:t>
      </w:r>
      <w:r w:rsidR="00ED390E">
        <w:t xml:space="preserve"> </w:t>
      </w:r>
      <w:r w:rsidR="0084787B" w:rsidRPr="00DC183C">
        <w:t xml:space="preserve">and </w:t>
      </w:r>
      <w:r w:rsidR="00ED390E">
        <w:t xml:space="preserve">has </w:t>
      </w:r>
      <w:r w:rsidR="0084787B" w:rsidRPr="00DC183C">
        <w:t>convened a training workshop on gender within the Lao UXO Sector</w:t>
      </w:r>
      <w:r w:rsidR="00ED390E">
        <w:t>,</w:t>
      </w:r>
      <w:r w:rsidR="0084787B" w:rsidRPr="00DC183C">
        <w:t xml:space="preserve"> with trainin</w:t>
      </w:r>
      <w:r w:rsidR="0084787B">
        <w:t>g</w:t>
      </w:r>
      <w:r w:rsidR="0084787B" w:rsidRPr="00DC183C">
        <w:t xml:space="preserve"> provided by the Geneva-based Gender a</w:t>
      </w:r>
      <w:r w:rsidR="00ED390E">
        <w:t>nd Mine Action Programme (GMAP). However,</w:t>
      </w:r>
      <w:r w:rsidR="0084787B" w:rsidRPr="00DC183C">
        <w:t xml:space="preserve"> the extent to which gender has been mainstreamed into the programme remains limited. </w:t>
      </w:r>
      <w:r w:rsidR="0084787B">
        <w:rPr>
          <w:rFonts w:cs="Times New Roman"/>
        </w:rPr>
        <w:t>Part of the problem relates back to the programme design</w:t>
      </w:r>
      <w:r w:rsidR="00ED390E">
        <w:rPr>
          <w:rFonts w:cs="Times New Roman"/>
        </w:rPr>
        <w:t>,</w:t>
      </w:r>
      <w:r w:rsidR="0084787B">
        <w:rPr>
          <w:rFonts w:cs="Times New Roman"/>
        </w:rPr>
        <w:t xml:space="preserve"> which does not contain management level capacity building processes, outputs</w:t>
      </w:r>
      <w:r w:rsidR="00ED390E">
        <w:rPr>
          <w:rFonts w:cs="Times New Roman"/>
        </w:rPr>
        <w:t>,</w:t>
      </w:r>
      <w:r w:rsidR="0084787B">
        <w:rPr>
          <w:rFonts w:cs="Times New Roman"/>
        </w:rPr>
        <w:t xml:space="preserve"> and outcome indicators. T</w:t>
      </w:r>
      <w:r w:rsidR="0084787B" w:rsidRPr="00DC183C">
        <w:t xml:space="preserve">his lack of clarity </w:t>
      </w:r>
      <w:r w:rsidR="0084787B">
        <w:t>makes it</w:t>
      </w:r>
      <w:r w:rsidR="0084787B" w:rsidRPr="00DC183C">
        <w:t xml:space="preserve"> difficult to evaluate the outcome of </w:t>
      </w:r>
      <w:r w:rsidR="00ED390E">
        <w:t xml:space="preserve">the </w:t>
      </w:r>
      <w:r w:rsidR="0084787B">
        <w:t>UNDP’s capacity building effort</w:t>
      </w:r>
      <w:r w:rsidR="00ED390E">
        <w:t>s</w:t>
      </w:r>
      <w:r w:rsidR="001D0F90">
        <w:t xml:space="preserve"> and to </w:t>
      </w:r>
      <w:r w:rsidR="00ED390E">
        <w:t>disentangle</w:t>
      </w:r>
      <w:r w:rsidR="0084787B" w:rsidRPr="00DC183C">
        <w:t xml:space="preserve"> </w:t>
      </w:r>
      <w:r w:rsidR="0084787B">
        <w:t xml:space="preserve">the </w:t>
      </w:r>
      <w:r w:rsidR="0084787B" w:rsidRPr="00DC183C">
        <w:t xml:space="preserve">UNDP’s contribution to change (positive, negative, intended, </w:t>
      </w:r>
      <w:r w:rsidR="00ED390E">
        <w:t xml:space="preserve">or </w:t>
      </w:r>
      <w:r w:rsidR="0084787B" w:rsidRPr="00DC183C">
        <w:t xml:space="preserve">unintended). </w:t>
      </w:r>
      <w:r w:rsidR="001D0F90">
        <w:t>This</w:t>
      </w:r>
      <w:r w:rsidR="00ED390E">
        <w:t xml:space="preserve"> lack of clarity</w:t>
      </w:r>
      <w:r w:rsidR="0084787B" w:rsidRPr="00DC183C">
        <w:t xml:space="preserve"> presents a challenge for </w:t>
      </w:r>
      <w:r w:rsidR="0084787B">
        <w:t xml:space="preserve">the </w:t>
      </w:r>
      <w:r w:rsidR="0084787B" w:rsidRPr="00DC183C">
        <w:t xml:space="preserve">UNDP </w:t>
      </w:r>
      <w:r w:rsidR="00ED390E">
        <w:t>to communicate</w:t>
      </w:r>
      <w:r w:rsidR="0084787B" w:rsidRPr="00DC183C">
        <w:t xml:space="preserve"> the results of its capacity development efforts and lessons learned about what works</w:t>
      </w:r>
      <w:r w:rsidR="00ED390E">
        <w:t xml:space="preserve"> </w:t>
      </w:r>
      <w:r w:rsidR="0084787B">
        <w:t>and</w:t>
      </w:r>
      <w:r w:rsidR="0084787B" w:rsidRPr="00DC183C">
        <w:t xml:space="preserve"> in what context</w:t>
      </w:r>
      <w:r w:rsidR="0084787B">
        <w:t>,</w:t>
      </w:r>
      <w:r w:rsidR="0084787B" w:rsidRPr="00DC183C">
        <w:t xml:space="preserve"> in relation to capacity development. </w:t>
      </w:r>
    </w:p>
    <w:p w:rsidR="00D74D8A" w:rsidRDefault="003572D5" w:rsidP="003572D5">
      <w:pPr>
        <w:pStyle w:val="NormalModified"/>
        <w:rPr>
          <w:rFonts w:cs="Times New Roman"/>
        </w:rPr>
      </w:pPr>
      <w:r w:rsidRPr="00797D50">
        <w:rPr>
          <w:rFonts w:cs="Times New Roman"/>
        </w:rPr>
        <w:t xml:space="preserve">The </w:t>
      </w:r>
      <w:r>
        <w:rPr>
          <w:rFonts w:cs="Times New Roman"/>
        </w:rPr>
        <w:t xml:space="preserve">UNDP has worked effectively with the government to include the </w:t>
      </w:r>
      <w:r w:rsidRPr="00797D50">
        <w:rPr>
          <w:rFonts w:cs="Times New Roman"/>
        </w:rPr>
        <w:t>CMTS</w:t>
      </w:r>
      <w:r w:rsidR="000128A8">
        <w:rPr>
          <w:rFonts w:cs="Times New Roman"/>
        </w:rPr>
        <w:t xml:space="preserve"> and</w:t>
      </w:r>
      <w:r w:rsidR="000128A8">
        <w:rPr>
          <w:rFonts w:cs="Calibri"/>
        </w:rPr>
        <w:t xml:space="preserve"> other survey </w:t>
      </w:r>
      <w:r w:rsidR="000128A8" w:rsidRPr="008F299C">
        <w:rPr>
          <w:rFonts w:cs="Calibri"/>
        </w:rPr>
        <w:t>process</w:t>
      </w:r>
      <w:r w:rsidR="000128A8">
        <w:rPr>
          <w:rFonts w:cs="Calibri"/>
        </w:rPr>
        <w:t>es</w:t>
      </w:r>
      <w:r w:rsidRPr="00797D50">
        <w:rPr>
          <w:rFonts w:cs="Times New Roman"/>
        </w:rPr>
        <w:t xml:space="preserve"> in all of its priority focal development areas</w:t>
      </w:r>
      <w:r w:rsidR="00A633AD">
        <w:rPr>
          <w:rFonts w:cs="Times New Roman"/>
        </w:rPr>
        <w:t xml:space="preserve">. The </w:t>
      </w:r>
      <w:r w:rsidRPr="00797D50">
        <w:rPr>
          <w:rFonts w:cs="Times New Roman"/>
        </w:rPr>
        <w:t xml:space="preserve">non-technical survey </w:t>
      </w:r>
      <w:r w:rsidR="00A633AD">
        <w:rPr>
          <w:rFonts w:cs="Times New Roman"/>
        </w:rPr>
        <w:t xml:space="preserve">has also been included </w:t>
      </w:r>
      <w:r w:rsidRPr="00797D50">
        <w:rPr>
          <w:rFonts w:cs="Times New Roman"/>
        </w:rPr>
        <w:t>in the remaining areas of the nin</w:t>
      </w:r>
      <w:r w:rsidR="00A633AD">
        <w:rPr>
          <w:rFonts w:cs="Times New Roman"/>
        </w:rPr>
        <w:t>e provinces where UXO Lao works</w:t>
      </w:r>
      <w:r>
        <w:rPr>
          <w:rFonts w:cs="Times New Roman"/>
        </w:rPr>
        <w:t>. In theory</w:t>
      </w:r>
      <w:r w:rsidR="00A633AD">
        <w:rPr>
          <w:rFonts w:cs="Times New Roman"/>
        </w:rPr>
        <w:t>,</w:t>
      </w:r>
      <w:r>
        <w:rPr>
          <w:rFonts w:cs="Times New Roman"/>
        </w:rPr>
        <w:t xml:space="preserve"> the CMTS </w:t>
      </w:r>
      <w:r w:rsidR="00D74D8A">
        <w:rPr>
          <w:rFonts w:cs="Times New Roman"/>
        </w:rPr>
        <w:t xml:space="preserve">and other survey approaches </w:t>
      </w:r>
      <w:r>
        <w:rPr>
          <w:rFonts w:cs="Times New Roman"/>
        </w:rPr>
        <w:t xml:space="preserve">will enable a </w:t>
      </w:r>
      <w:r w:rsidRPr="007F3C79">
        <w:rPr>
          <w:rFonts w:cs="Times New Roman"/>
        </w:rPr>
        <w:t xml:space="preserve">village-by-village approach </w:t>
      </w:r>
      <w:r>
        <w:rPr>
          <w:rFonts w:cs="Times New Roman"/>
        </w:rPr>
        <w:t>to UXO clearance</w:t>
      </w:r>
      <w:r w:rsidR="00A633AD">
        <w:rPr>
          <w:rFonts w:cs="Times New Roman"/>
        </w:rPr>
        <w:t>,</w:t>
      </w:r>
      <w:r w:rsidRPr="007F3C79">
        <w:rPr>
          <w:rFonts w:cs="Times New Roman"/>
        </w:rPr>
        <w:t xml:space="preserve"> based on the concept of clearing each and every </w:t>
      </w:r>
      <w:r>
        <w:rPr>
          <w:rFonts w:cs="Times New Roman"/>
        </w:rPr>
        <w:t>confirmed hazardous area</w:t>
      </w:r>
      <w:r w:rsidRPr="007F3C79">
        <w:rPr>
          <w:rFonts w:cs="Times New Roman"/>
        </w:rPr>
        <w:t xml:space="preserve"> in </w:t>
      </w:r>
      <w:r w:rsidR="00A633AD">
        <w:rPr>
          <w:rFonts w:cs="Times New Roman"/>
        </w:rPr>
        <w:t>the</w:t>
      </w:r>
      <w:r w:rsidRPr="007F3C79">
        <w:rPr>
          <w:rFonts w:cs="Times New Roman"/>
        </w:rPr>
        <w:t xml:space="preserve"> village.  </w:t>
      </w:r>
      <w:r>
        <w:rPr>
          <w:rFonts w:cs="Times New Roman"/>
        </w:rPr>
        <w:t>How this will work in practice</w:t>
      </w:r>
      <w:r w:rsidR="00A633AD">
        <w:rPr>
          <w:rFonts w:cs="Times New Roman"/>
        </w:rPr>
        <w:t>,</w:t>
      </w:r>
      <w:r>
        <w:rPr>
          <w:rFonts w:cs="Times New Roman"/>
        </w:rPr>
        <w:t xml:space="preserve"> however</w:t>
      </w:r>
      <w:r w:rsidR="00A633AD">
        <w:rPr>
          <w:rFonts w:cs="Times New Roman"/>
        </w:rPr>
        <w:t>, is unclear. F</w:t>
      </w:r>
      <w:r>
        <w:rPr>
          <w:rFonts w:cs="Times New Roman"/>
        </w:rPr>
        <w:t xml:space="preserve">armers are often using </w:t>
      </w:r>
      <w:r w:rsidRPr="007F3C79">
        <w:rPr>
          <w:rFonts w:cs="Times New Roman"/>
        </w:rPr>
        <w:t xml:space="preserve">contaminated land </w:t>
      </w:r>
      <w:r>
        <w:rPr>
          <w:rFonts w:cs="Times New Roman"/>
        </w:rPr>
        <w:t>and may not</w:t>
      </w:r>
      <w:r w:rsidRPr="007F3C79">
        <w:rPr>
          <w:rFonts w:cs="Times New Roman"/>
        </w:rPr>
        <w:t xml:space="preserve"> </w:t>
      </w:r>
      <w:r>
        <w:rPr>
          <w:rFonts w:cs="Times New Roman"/>
        </w:rPr>
        <w:t xml:space="preserve">be </w:t>
      </w:r>
      <w:r w:rsidRPr="007F3C79">
        <w:rPr>
          <w:rFonts w:cs="Times New Roman"/>
        </w:rPr>
        <w:t>willing to potentially lose their harvest in the interests of clearing all confirmed hazard</w:t>
      </w:r>
      <w:r>
        <w:rPr>
          <w:rFonts w:cs="Times New Roman"/>
        </w:rPr>
        <w:t xml:space="preserve">ous areas in </w:t>
      </w:r>
      <w:r w:rsidR="00A633AD">
        <w:rPr>
          <w:rFonts w:cs="Times New Roman"/>
        </w:rPr>
        <w:t>the</w:t>
      </w:r>
      <w:r>
        <w:rPr>
          <w:rFonts w:cs="Times New Roman"/>
        </w:rPr>
        <w:t xml:space="preserve"> village</w:t>
      </w:r>
      <w:r w:rsidR="00E863BE">
        <w:rPr>
          <w:rFonts w:cs="Times New Roman"/>
        </w:rPr>
        <w:t xml:space="preserve">. </w:t>
      </w:r>
      <w:r>
        <w:rPr>
          <w:rFonts w:cs="Times New Roman"/>
        </w:rPr>
        <w:t>T</w:t>
      </w:r>
      <w:r w:rsidRPr="007F3C79">
        <w:rPr>
          <w:rFonts w:cs="Times New Roman"/>
        </w:rPr>
        <w:t xml:space="preserve">his is recognised by </w:t>
      </w:r>
      <w:r w:rsidR="00A633AD">
        <w:rPr>
          <w:rFonts w:cs="Times New Roman"/>
        </w:rPr>
        <w:t xml:space="preserve">the </w:t>
      </w:r>
      <w:r w:rsidRPr="007F3C79">
        <w:rPr>
          <w:rFonts w:cs="Times New Roman"/>
        </w:rPr>
        <w:t>UXO Lao who have adopted a more pragmatic approach, namely clearing individual plots in confirmed hazardous areas</w:t>
      </w:r>
      <w:r>
        <w:rPr>
          <w:rFonts w:cs="Times New Roman"/>
        </w:rPr>
        <w:t>. T</w:t>
      </w:r>
      <w:r w:rsidRPr="007F3C79">
        <w:rPr>
          <w:rFonts w:cs="Times New Roman"/>
        </w:rPr>
        <w:t>his issue</w:t>
      </w:r>
      <w:r w:rsidR="00A633AD">
        <w:rPr>
          <w:rFonts w:cs="Times New Roman"/>
        </w:rPr>
        <w:t>,</w:t>
      </w:r>
      <w:r w:rsidRPr="007F3C79">
        <w:rPr>
          <w:rFonts w:cs="Times New Roman"/>
        </w:rPr>
        <w:t xml:space="preserve"> </w:t>
      </w:r>
      <w:r>
        <w:rPr>
          <w:rFonts w:cs="Times New Roman"/>
        </w:rPr>
        <w:t xml:space="preserve">however, </w:t>
      </w:r>
      <w:r w:rsidRPr="007F3C79">
        <w:rPr>
          <w:rFonts w:cs="Times New Roman"/>
        </w:rPr>
        <w:t xml:space="preserve">does not appear to have been seriously considered and has not been discussed by </w:t>
      </w:r>
      <w:r w:rsidR="00A633AD">
        <w:rPr>
          <w:rFonts w:cs="Times New Roman"/>
        </w:rPr>
        <w:t xml:space="preserve">the </w:t>
      </w:r>
      <w:r w:rsidRPr="007F3C79">
        <w:rPr>
          <w:rFonts w:cs="Times New Roman"/>
        </w:rPr>
        <w:t>UNDP and other international advisors.</w:t>
      </w:r>
      <w:r>
        <w:rPr>
          <w:rFonts w:cs="Times New Roman"/>
        </w:rPr>
        <w:t xml:space="preserve"> </w:t>
      </w:r>
    </w:p>
    <w:p w:rsidR="003572D5" w:rsidRDefault="003572D5" w:rsidP="003572D5">
      <w:pPr>
        <w:pStyle w:val="NormalModified"/>
        <w:rPr>
          <w:rFonts w:cs="Times New Roman"/>
        </w:rPr>
      </w:pPr>
      <w:r>
        <w:rPr>
          <w:rFonts w:cs="Times New Roman"/>
        </w:rPr>
        <w:t xml:space="preserve">Furthermore, </w:t>
      </w:r>
      <w:r w:rsidR="0084787B">
        <w:rPr>
          <w:rFonts w:cs="Times New Roman"/>
        </w:rPr>
        <w:t xml:space="preserve">across all areas of the programme, </w:t>
      </w:r>
      <w:r>
        <w:rPr>
          <w:rFonts w:cs="Times New Roman"/>
        </w:rPr>
        <w:t xml:space="preserve">there is limited evidence that </w:t>
      </w:r>
      <w:r w:rsidR="00A633AD">
        <w:rPr>
          <w:rFonts w:cs="Times New Roman"/>
        </w:rPr>
        <w:t xml:space="preserve">the </w:t>
      </w:r>
      <w:r>
        <w:rPr>
          <w:rFonts w:cs="Times New Roman"/>
        </w:rPr>
        <w:t>UNDP has worked with the NRA and UXO Lao to incorporate issues of gender and pro-poor prioritisation into the CMTS</w:t>
      </w:r>
      <w:r w:rsidR="000128A8">
        <w:rPr>
          <w:rFonts w:cs="Times New Roman"/>
        </w:rPr>
        <w:t xml:space="preserve"> </w:t>
      </w:r>
      <w:r w:rsidR="000128A8">
        <w:rPr>
          <w:rFonts w:cs="Calibri"/>
        </w:rPr>
        <w:t xml:space="preserve">and other approved survey </w:t>
      </w:r>
      <w:r w:rsidR="000128A8" w:rsidRPr="008F299C">
        <w:rPr>
          <w:rFonts w:cs="Calibri"/>
        </w:rPr>
        <w:t>process</w:t>
      </w:r>
      <w:r w:rsidR="000128A8">
        <w:rPr>
          <w:rFonts w:cs="Calibri"/>
        </w:rPr>
        <w:t>es</w:t>
      </w:r>
      <w:r>
        <w:rPr>
          <w:rFonts w:cs="Times New Roman"/>
        </w:rPr>
        <w:t xml:space="preserve">. </w:t>
      </w:r>
      <w:r>
        <w:t>Also important</w:t>
      </w:r>
      <w:r w:rsidR="00A633AD">
        <w:t xml:space="preserve"> to note</w:t>
      </w:r>
      <w:r>
        <w:t>, is</w:t>
      </w:r>
      <w:r w:rsidR="00A633AD">
        <w:t xml:space="preserve"> the lack of communication with</w:t>
      </w:r>
      <w:r>
        <w:t xml:space="preserve"> </w:t>
      </w:r>
      <w:r w:rsidR="00A633AD">
        <w:t>programme recipients</w:t>
      </w:r>
      <w:r>
        <w:t xml:space="preserve">. Of particular importance, is explaining to programme recipients how the </w:t>
      </w:r>
      <w:r w:rsidR="000128A8">
        <w:rPr>
          <w:rFonts w:cs="Calibri"/>
        </w:rPr>
        <w:t xml:space="preserve">approved survey </w:t>
      </w:r>
      <w:r w:rsidR="000128A8" w:rsidRPr="008F299C">
        <w:rPr>
          <w:rFonts w:cs="Calibri"/>
        </w:rPr>
        <w:t>process</w:t>
      </w:r>
      <w:r w:rsidR="000128A8">
        <w:rPr>
          <w:rFonts w:cs="Calibri"/>
        </w:rPr>
        <w:t>es</w:t>
      </w:r>
      <w:r>
        <w:t xml:space="preserve"> will work and what it means for individuals, families</w:t>
      </w:r>
      <w:r w:rsidR="009008EA">
        <w:t>,</w:t>
      </w:r>
      <w:r>
        <w:t xml:space="preserve"> and </w:t>
      </w:r>
      <w:r w:rsidR="009008EA">
        <w:t>communities</w:t>
      </w:r>
      <w:r>
        <w:t>. In villages where the evaluation team visited</w:t>
      </w:r>
      <w:r w:rsidR="001D0F90">
        <w:t xml:space="preserve"> (as part of the IEO evaluation)</w:t>
      </w:r>
      <w:r>
        <w:t xml:space="preserve">, and where CMTS had been undertaken, villagers had very little understanding of the process. It was also clear in discussions with </w:t>
      </w:r>
      <w:r w:rsidR="0084787B">
        <w:t xml:space="preserve">both </w:t>
      </w:r>
      <w:r w:rsidR="00EB0AAA">
        <w:t xml:space="preserve">the </w:t>
      </w:r>
      <w:r w:rsidR="0084787B">
        <w:t xml:space="preserve">UNDP and other </w:t>
      </w:r>
      <w:r>
        <w:t>advisors in the NRA that little thought had been given to this aspect of the CMTS.</w:t>
      </w:r>
      <w:r>
        <w:rPr>
          <w:rFonts w:cs="Times New Roman"/>
        </w:rPr>
        <w:t xml:space="preserve"> </w:t>
      </w:r>
      <w:r w:rsidR="0084787B">
        <w:rPr>
          <w:rFonts w:cs="Times New Roman"/>
        </w:rPr>
        <w:t>There has been no discussion</w:t>
      </w:r>
      <w:r w:rsidR="00EB0AAA">
        <w:rPr>
          <w:rFonts w:cs="Times New Roman"/>
        </w:rPr>
        <w:t>,</w:t>
      </w:r>
      <w:r w:rsidR="0084787B">
        <w:rPr>
          <w:rFonts w:cs="Times New Roman"/>
        </w:rPr>
        <w:t xml:space="preserve"> for example, as to how this has been managed elsewhere or plans for community consultation t</w:t>
      </w:r>
      <w:r w:rsidR="00EB0AAA">
        <w:rPr>
          <w:rFonts w:cs="Times New Roman"/>
        </w:rPr>
        <w:t xml:space="preserve">o examine how communities would </w:t>
      </w:r>
      <w:r w:rsidR="0084787B">
        <w:rPr>
          <w:rFonts w:cs="Times New Roman"/>
        </w:rPr>
        <w:t>solve this dilemma. In addition</w:t>
      </w:r>
      <w:r w:rsidR="0084787B" w:rsidRPr="00DC183C">
        <w:rPr>
          <w:rFonts w:cs="Times New Roman"/>
        </w:rPr>
        <w:t xml:space="preserve">, if a village-by-village approach is taken, it is imperative that clear </w:t>
      </w:r>
      <w:r w:rsidR="0084787B">
        <w:rPr>
          <w:rFonts w:cs="Times New Roman"/>
        </w:rPr>
        <w:t xml:space="preserve">and transparent </w:t>
      </w:r>
      <w:r w:rsidR="0084787B" w:rsidRPr="00DC183C">
        <w:rPr>
          <w:rFonts w:cs="Times New Roman"/>
        </w:rPr>
        <w:t xml:space="preserve">criteria and indicators are developed to guide </w:t>
      </w:r>
      <w:r w:rsidR="00EB0AAA">
        <w:rPr>
          <w:rFonts w:cs="Times New Roman"/>
        </w:rPr>
        <w:t xml:space="preserve">the </w:t>
      </w:r>
      <w:r w:rsidR="0084787B" w:rsidRPr="00DC183C">
        <w:rPr>
          <w:rFonts w:cs="Times New Roman"/>
        </w:rPr>
        <w:t>prioritisation of villages</w:t>
      </w:r>
      <w:r w:rsidR="0084787B">
        <w:rPr>
          <w:rFonts w:cs="Times New Roman"/>
        </w:rPr>
        <w:t xml:space="preserve"> and individuals within villages. This process should also be transparent and clearly communicated to individuals and communities. </w:t>
      </w:r>
    </w:p>
    <w:p w:rsidR="00797D50" w:rsidRDefault="006D3310" w:rsidP="003572D5">
      <w:pPr>
        <w:pStyle w:val="NormalModified"/>
      </w:pPr>
      <w:r w:rsidRPr="00B1500C">
        <w:t xml:space="preserve">The Trust Fund mechanism was set up primarily to contribute to the achievement of the CCM and is in accordance with </w:t>
      </w:r>
      <w:r w:rsidRPr="001325FE">
        <w:rPr>
          <w:rFonts w:cs="Arial"/>
          <w:szCs w:val="22"/>
        </w:rPr>
        <w:t>the</w:t>
      </w:r>
      <w:r w:rsidRPr="00B1500C">
        <w:t xml:space="preserve"> Vientiane Declaration on Aid Effectiveness</w:t>
      </w:r>
      <w:r w:rsidRPr="00B1500C">
        <w:rPr>
          <w:rFonts w:cs="Arial"/>
          <w:sz w:val="20"/>
        </w:rPr>
        <w:t xml:space="preserve">. </w:t>
      </w:r>
      <w:r w:rsidR="00D74D8A" w:rsidRPr="0011006C">
        <w:t>It was also expected that the establishment of the Trust Fund would attract both new donors and ones who had moved away from the sector</w:t>
      </w:r>
      <w:r w:rsidR="008F04AA">
        <w:t>,</w:t>
      </w:r>
      <w:r w:rsidR="00D74D8A" w:rsidRPr="0011006C">
        <w:t xml:space="preserve"> as well as non-resident donors and those who did not want to enter into project cost-sharing arrangements.  The mechanism</w:t>
      </w:r>
      <w:r w:rsidR="008F04AA">
        <w:t>,</w:t>
      </w:r>
      <w:r w:rsidR="00D74D8A" w:rsidRPr="0011006C">
        <w:t xml:space="preserve"> however, has been less effective than hoped for in attracting additional funding</w:t>
      </w:r>
      <w:r w:rsidR="008F04AA">
        <w:t xml:space="preserve">. However, </w:t>
      </w:r>
      <w:r w:rsidR="001D0F90">
        <w:t xml:space="preserve">the potential of the Trust fund as a mechanism for coordination was valued although some donors felt this potential is not currently </w:t>
      </w:r>
      <w:r w:rsidR="00114F53">
        <w:t>realised. A</w:t>
      </w:r>
      <w:r w:rsidR="00D74D8A">
        <w:t>t</w:t>
      </w:r>
      <w:r w:rsidRPr="00B1500C">
        <w:t xml:space="preserve"> the time of the evaluation</w:t>
      </w:r>
      <w:r>
        <w:t>,</w:t>
      </w:r>
      <w:r w:rsidRPr="00B1500C">
        <w:t xml:space="preserve"> a number of resident donors expressed concern with the Trust and</w:t>
      </w:r>
      <w:r>
        <w:t>,</w:t>
      </w:r>
      <w:r w:rsidRPr="00B1500C">
        <w:t xml:space="preserve"> in particular, coordination</w:t>
      </w:r>
      <w:r>
        <w:t xml:space="preserve"> and </w:t>
      </w:r>
      <w:r w:rsidR="008358A3">
        <w:t>reporting</w:t>
      </w:r>
      <w:r w:rsidR="008F04AA">
        <w:t>,</w:t>
      </w:r>
      <w:r w:rsidR="008358A3">
        <w:t xml:space="preserve"> including </w:t>
      </w:r>
      <w:r w:rsidRPr="00B1500C">
        <w:t>outcome and impact reporting. This in part relates to capacity, but also to the programme documen</w:t>
      </w:r>
      <w:r>
        <w:t>t</w:t>
      </w:r>
      <w:r w:rsidRPr="00B1500C">
        <w:t xml:space="preserve"> that only commits to outputs. The absence of outcome monitoring and reporting</w:t>
      </w:r>
      <w:r>
        <w:t>,</w:t>
      </w:r>
      <w:r w:rsidRPr="00B1500C">
        <w:t xml:space="preserve"> does not allow donors to understand the benefits and safeguards applied to maximise their inve</w:t>
      </w:r>
      <w:r w:rsidR="003572D5">
        <w:t xml:space="preserve">stment and minimise harm. </w:t>
      </w:r>
      <w:r w:rsidR="008358A3">
        <w:t>In addition, the</w:t>
      </w:r>
      <w:r w:rsidR="008F04AA">
        <w:t xml:space="preserve"> provision of aggregated output</w:t>
      </w:r>
      <w:r w:rsidR="008358A3">
        <w:t xml:space="preserve"> reports means that some donors have to disaggregate their contribution themselves in order to meet their reporting requirements. </w:t>
      </w:r>
      <w:r w:rsidR="008358A3" w:rsidRPr="008358A3">
        <w:t xml:space="preserve"> </w:t>
      </w:r>
      <w:r w:rsidR="003814F9">
        <w:t>For donors</w:t>
      </w:r>
      <w:r w:rsidR="008F04AA">
        <w:t>,</w:t>
      </w:r>
      <w:r w:rsidR="003814F9">
        <w:t xml:space="preserve"> this is particularly problematic with regards to resettlement (which often generates requests for UXO c</w:t>
      </w:r>
      <w:r w:rsidR="008F04AA">
        <w:t xml:space="preserve">learance) and land concessions. The </w:t>
      </w:r>
      <w:r w:rsidR="003814F9">
        <w:t xml:space="preserve">potential exists for the rights of individuals and communities not to be fully upheld. </w:t>
      </w:r>
      <w:r w:rsidR="008358A3">
        <w:t>For some donors</w:t>
      </w:r>
      <w:r w:rsidR="008F04AA">
        <w:t>,</w:t>
      </w:r>
      <w:r w:rsidR="008358A3">
        <w:t xml:space="preserve"> developing the capacity for more tailored reporting would enhance the effectiveness of coordination and use of the Trust Fund mechanism. </w:t>
      </w:r>
      <w:r w:rsidR="00797D50">
        <w:t xml:space="preserve">Furthermore, while the option of </w:t>
      </w:r>
      <w:r w:rsidR="0011006C">
        <w:t>earmark</w:t>
      </w:r>
      <w:r w:rsidR="00797D50">
        <w:t>ing</w:t>
      </w:r>
      <w:r w:rsidR="0011006C">
        <w:t xml:space="preserve"> funds channelled through </w:t>
      </w:r>
      <w:r w:rsidR="003C1736">
        <w:t xml:space="preserve">the </w:t>
      </w:r>
      <w:r w:rsidR="0011006C">
        <w:t>Trust Fund</w:t>
      </w:r>
      <w:r w:rsidR="008F04AA">
        <w:t>,</w:t>
      </w:r>
      <w:r w:rsidR="0011006C">
        <w:t xml:space="preserve"> </w:t>
      </w:r>
      <w:r w:rsidR="0011006C" w:rsidRPr="00D96CE5">
        <w:t>either thematically or geographically</w:t>
      </w:r>
      <w:r w:rsidR="008F04AA">
        <w:t>,</w:t>
      </w:r>
      <w:r w:rsidR="0011006C">
        <w:t xml:space="preserve"> </w:t>
      </w:r>
      <w:r w:rsidR="00797D50">
        <w:t>is available and preferred by some donors, this method is less effective and</w:t>
      </w:r>
      <w:r w:rsidR="0011006C" w:rsidRPr="00D96CE5">
        <w:t xml:space="preserve"> </w:t>
      </w:r>
      <w:r w:rsidR="0011006C">
        <w:t xml:space="preserve">can </w:t>
      </w:r>
      <w:r w:rsidR="0011006C" w:rsidRPr="00D96CE5">
        <w:t xml:space="preserve">constrain </w:t>
      </w:r>
      <w:r w:rsidR="0011006C">
        <w:t>operations</w:t>
      </w:r>
      <w:r w:rsidR="008F04AA">
        <w:t>,</w:t>
      </w:r>
      <w:r w:rsidR="003C1736">
        <w:t xml:space="preserve"> </w:t>
      </w:r>
      <w:r w:rsidR="00797D50">
        <w:t>a</w:t>
      </w:r>
      <w:r w:rsidR="003C1736">
        <w:t xml:space="preserve">s </w:t>
      </w:r>
      <w:r w:rsidR="0011006C">
        <w:t>seen in the 2014 funding crisis</w:t>
      </w:r>
      <w:r w:rsidR="008F04AA">
        <w:t>. In this example,</w:t>
      </w:r>
      <w:r w:rsidR="0011006C">
        <w:t xml:space="preserve"> staff</w:t>
      </w:r>
      <w:r w:rsidR="003C1736">
        <w:t xml:space="preserve"> were </w:t>
      </w:r>
      <w:r w:rsidR="00387AAF">
        <w:t>stood down despite there</w:t>
      </w:r>
      <w:r w:rsidR="0011006C">
        <w:t xml:space="preserve"> being money in the Trust Fund. </w:t>
      </w:r>
      <w:r w:rsidR="008358A3">
        <w:t xml:space="preserve"> </w:t>
      </w:r>
      <w:r w:rsidR="008F04AA">
        <w:t xml:space="preserve">The </w:t>
      </w:r>
      <w:r w:rsidR="008358A3">
        <w:t xml:space="preserve">UNDP’s protracted negotiations with the government to open the civil </w:t>
      </w:r>
      <w:r w:rsidR="008F04AA">
        <w:t>society-funding</w:t>
      </w:r>
      <w:r w:rsidR="008358A3">
        <w:t xml:space="preserve"> window </w:t>
      </w:r>
      <w:r w:rsidR="008F04AA">
        <w:t>were</w:t>
      </w:r>
      <w:r w:rsidR="008358A3">
        <w:t xml:space="preserve"> also identified as a source of ineffectiveness.</w:t>
      </w:r>
      <w:r w:rsidR="00114F53">
        <w:t xml:space="preserve"> Certainty for non-resident donors however, the Trust Fund provides a cost-effective and relatively low-risk funding option. </w:t>
      </w:r>
      <w:r w:rsidR="00D65B84">
        <w:t xml:space="preserve">Notwithstanding this, there are legitimate concerns regarding the extent to which the Trust Fund can effectively achieve its purpose without opening the Trust Fund to a wider range of players as envisaged for example in the civil society window. </w:t>
      </w:r>
    </w:p>
    <w:p w:rsidR="00210A66" w:rsidRPr="00DC183C" w:rsidRDefault="00A25570" w:rsidP="00A25570">
      <w:pPr>
        <w:pStyle w:val="Heading2"/>
        <w:numPr>
          <w:ilvl w:val="0"/>
          <w:numId w:val="0"/>
        </w:numPr>
      </w:pPr>
      <w:bookmarkStart w:id="39" w:name="_Toc441609341"/>
      <w:r>
        <w:t xml:space="preserve">5.3 </w:t>
      </w:r>
      <w:r w:rsidR="00210A66" w:rsidRPr="00DC183C">
        <w:t>Partnership and coordination</w:t>
      </w:r>
      <w:bookmarkEnd w:id="39"/>
    </w:p>
    <w:p w:rsidR="00926620" w:rsidRPr="001E6ADA" w:rsidRDefault="001641F4" w:rsidP="008A6617">
      <w:r w:rsidRPr="001E6ADA">
        <w:t>As discussed, t</w:t>
      </w:r>
      <w:r w:rsidR="00AF71BC" w:rsidRPr="001E6ADA">
        <w:t xml:space="preserve">he </w:t>
      </w:r>
      <w:r w:rsidR="004323EF" w:rsidRPr="001E6ADA">
        <w:t>UNDP has a number of long-standing partners in the Lao PDR and its role of Co-Chair</w:t>
      </w:r>
      <w:r w:rsidR="00DA06F9">
        <w:t>ing</w:t>
      </w:r>
      <w:r w:rsidR="004323EF" w:rsidRPr="001E6ADA">
        <w:t xml:space="preserve"> the UXO Sector Working</w:t>
      </w:r>
      <w:r w:rsidR="00AF71BC" w:rsidRPr="001E6ADA">
        <w:t xml:space="preserve"> Group</w:t>
      </w:r>
      <w:r w:rsidR="00560A9B">
        <w:t xml:space="preserve"> </w:t>
      </w:r>
      <w:r w:rsidR="00DA06F9">
        <w:t>in</w:t>
      </w:r>
      <w:r w:rsidR="00560A9B">
        <w:t xml:space="preserve"> the Round Table P</w:t>
      </w:r>
      <w:r w:rsidR="004323EF" w:rsidRPr="001E6ADA">
        <w:t xml:space="preserve">rocess </w:t>
      </w:r>
      <w:r w:rsidRPr="001E6ADA">
        <w:t xml:space="preserve">and facilitating other meetings </w:t>
      </w:r>
      <w:r w:rsidR="004323EF" w:rsidRPr="001E6ADA">
        <w:t xml:space="preserve">is valued. </w:t>
      </w:r>
      <w:r w:rsidRPr="001E6ADA">
        <w:t>Communication</w:t>
      </w:r>
      <w:r w:rsidR="00DA06F9">
        <w:t xml:space="preserve">, however, with donors, </w:t>
      </w:r>
      <w:r w:rsidRPr="001E6ADA">
        <w:t>NGOs</w:t>
      </w:r>
      <w:r w:rsidR="00DA06F9">
        <w:t>,</w:t>
      </w:r>
      <w:r w:rsidRPr="001E6ADA">
        <w:t xml:space="preserve"> and government, was repeatedly identified as being suboptimal and a long-standing issue.  </w:t>
      </w:r>
      <w:r w:rsidR="004323EF" w:rsidRPr="001E6ADA">
        <w:t xml:space="preserve">A need for a communication strategy was identified in the </w:t>
      </w:r>
      <w:r w:rsidR="0032560D" w:rsidRPr="001E6ADA">
        <w:t>2012 evaluation and in the programme document</w:t>
      </w:r>
      <w:r w:rsidR="00064F9C">
        <w:t>. However,</w:t>
      </w:r>
      <w:r w:rsidR="0032560D" w:rsidRPr="001E6ADA">
        <w:t xml:space="preserve"> progress has been somewhat protracted. Communication </w:t>
      </w:r>
      <w:r w:rsidRPr="001E6ADA">
        <w:t xml:space="preserve">to donors </w:t>
      </w:r>
      <w:r w:rsidR="0032560D" w:rsidRPr="001E6ADA">
        <w:t xml:space="preserve">could be </w:t>
      </w:r>
      <w:r w:rsidR="008A6617" w:rsidRPr="001E6ADA">
        <w:rPr>
          <w:rFonts w:cs="Calibri"/>
        </w:rPr>
        <w:t>more impactful</w:t>
      </w:r>
      <w:r w:rsidR="0032560D" w:rsidRPr="001E6ADA">
        <w:t xml:space="preserve"> if</w:t>
      </w:r>
      <w:r w:rsidRPr="001E6ADA">
        <w:t xml:space="preserve"> </w:t>
      </w:r>
      <w:r w:rsidR="0032560D" w:rsidRPr="001E6ADA">
        <w:t>reports included outcome measures</w:t>
      </w:r>
      <w:r w:rsidR="00AF71BC" w:rsidRPr="001E6ADA">
        <w:t>,</w:t>
      </w:r>
      <w:r w:rsidR="0032560D" w:rsidRPr="001E6ADA">
        <w:t xml:space="preserve"> but as mentioned previously</w:t>
      </w:r>
      <w:r w:rsidR="008A6617" w:rsidRPr="001E6ADA">
        <w:t>,</w:t>
      </w:r>
      <w:r w:rsidR="0032560D" w:rsidRPr="001E6ADA">
        <w:t xml:space="preserve"> this is not facilitated by the 2012-2</w:t>
      </w:r>
      <w:r w:rsidR="002410F7" w:rsidRPr="001E6ADA">
        <w:t>016</w:t>
      </w:r>
      <w:r w:rsidR="0032560D" w:rsidRPr="001E6ADA">
        <w:t xml:space="preserve"> programme document</w:t>
      </w:r>
      <w:r w:rsidR="008A6617" w:rsidRPr="001E6ADA">
        <w:t xml:space="preserve">, </w:t>
      </w:r>
      <w:r w:rsidR="0032560D" w:rsidRPr="001E6ADA">
        <w:t xml:space="preserve">or required by the CCM. </w:t>
      </w:r>
      <w:r w:rsidRPr="001E6ADA">
        <w:t xml:space="preserve">Communication to donors also often fails to adequately communicate to donors </w:t>
      </w:r>
      <w:r w:rsidR="00064F9C">
        <w:t xml:space="preserve">the </w:t>
      </w:r>
      <w:r w:rsidRPr="001E6ADA">
        <w:t>UNDP</w:t>
      </w:r>
      <w:r w:rsidR="00064F9C">
        <w:t>’s</w:t>
      </w:r>
      <w:r w:rsidRPr="001E6ADA">
        <w:t xml:space="preserve"> capacity building efforts and how identified issues are being addressed. </w:t>
      </w:r>
    </w:p>
    <w:p w:rsidR="00CA0331" w:rsidRPr="001E6ADA" w:rsidRDefault="00926620" w:rsidP="00926620">
      <w:pPr>
        <w:pStyle w:val="NormalModified"/>
      </w:pPr>
      <w:r w:rsidRPr="001E6ADA">
        <w:t>Donors valued the close relationship that th</w:t>
      </w:r>
      <w:r w:rsidR="00064F9C">
        <w:t>e UNDP has with the G</w:t>
      </w:r>
      <w:r w:rsidRPr="001E6ADA">
        <w:t xml:space="preserve">overnment and </w:t>
      </w:r>
      <w:r w:rsidR="00064F9C">
        <w:t>recognised that it works with G</w:t>
      </w:r>
      <w:r w:rsidRPr="001E6ADA">
        <w:t xml:space="preserve">overnment at high levels. At the same time, some donors felt that </w:t>
      </w:r>
      <w:r w:rsidR="00064F9C">
        <w:t>the UNDP was too close to the G</w:t>
      </w:r>
      <w:r w:rsidRPr="001E6ADA">
        <w:t>overnment or too quick to acquiesce to government positions</w:t>
      </w:r>
      <w:r w:rsidR="00064F9C">
        <w:t>,</w:t>
      </w:r>
      <w:r w:rsidRPr="001E6ADA">
        <w:t xml:space="preserve"> rather than advocating </w:t>
      </w:r>
      <w:r w:rsidR="00064F9C">
        <w:t>for</w:t>
      </w:r>
      <w:r w:rsidRPr="001E6ADA">
        <w:t xml:space="preserve"> issues such</w:t>
      </w:r>
      <w:r w:rsidR="00064F9C">
        <w:t xml:space="preserve"> as</w:t>
      </w:r>
      <w:r w:rsidRPr="001E6ADA">
        <w:t xml:space="preserve"> task prioritisation and government financing. </w:t>
      </w:r>
      <w:r w:rsidR="008A6617" w:rsidRPr="001E6ADA">
        <w:t xml:space="preserve">Several donors expressed concern that </w:t>
      </w:r>
      <w:r w:rsidR="00CA0A91" w:rsidRPr="001E6ADA">
        <w:t xml:space="preserve">the </w:t>
      </w:r>
      <w:r w:rsidR="008A6617" w:rsidRPr="001E6ADA">
        <w:t>UNDP seemed unable to influence the Government or to effectively represent their concern</w:t>
      </w:r>
      <w:r w:rsidR="007F6D74" w:rsidRPr="001E6ADA">
        <w:t xml:space="preserve">s </w:t>
      </w:r>
      <w:r w:rsidR="00064F9C">
        <w:t>regarding</w:t>
      </w:r>
      <w:r w:rsidR="007F6D74" w:rsidRPr="001E6ADA">
        <w:t xml:space="preserve"> relocation</w:t>
      </w:r>
      <w:r w:rsidR="00064F9C">
        <w:t xml:space="preserve"> and task prioritisation</w:t>
      </w:r>
      <w:r w:rsidR="008A6617" w:rsidRPr="001E6ADA">
        <w:t xml:space="preserve">. </w:t>
      </w:r>
      <w:r w:rsidR="007F6D74" w:rsidRPr="001E6ADA">
        <w:t xml:space="preserve">While the issue of relocation extends beyond the UXO sector, and is one that donors can also advocate on, the UXO sector is an important player. </w:t>
      </w:r>
      <w:r w:rsidR="008A6617" w:rsidRPr="001E6ADA">
        <w:t>Arguably</w:t>
      </w:r>
      <w:r w:rsidR="00CA0A91" w:rsidRPr="001E6ADA">
        <w:t>,</w:t>
      </w:r>
      <w:r w:rsidR="008A6617" w:rsidRPr="001E6ADA">
        <w:t xml:space="preserve"> the shift to the LNCRDPE provides an opportunity for greater engagement in these issues</w:t>
      </w:r>
      <w:r w:rsidR="00064F9C">
        <w:t>.  S</w:t>
      </w:r>
      <w:r w:rsidR="008A6617" w:rsidRPr="001E6ADA">
        <w:t>ome donors suggested</w:t>
      </w:r>
      <w:r w:rsidR="00CA0A91" w:rsidRPr="001E6ADA">
        <w:t xml:space="preserve"> that</w:t>
      </w:r>
      <w:r w:rsidR="008A6617" w:rsidRPr="001E6ADA">
        <w:t xml:space="preserve"> lessons learned from the Poverty Reduction Fund may be applied to the UXO sector. It was beyond the scope of the evaluation</w:t>
      </w:r>
      <w:r w:rsidR="00CA0A91" w:rsidRPr="001E6ADA">
        <w:t>,</w:t>
      </w:r>
      <w:r w:rsidR="008A6617" w:rsidRPr="001E6ADA">
        <w:t xml:space="preserve"> however</w:t>
      </w:r>
      <w:r w:rsidR="00CA0A91" w:rsidRPr="001E6ADA">
        <w:t>,</w:t>
      </w:r>
      <w:r w:rsidR="008A6617" w:rsidRPr="001E6ADA">
        <w:t xml:space="preserve"> to examine the effectiveness of the Fund</w:t>
      </w:r>
      <w:r w:rsidR="00064F9C">
        <w:t xml:space="preserve"> in-depth</w:t>
      </w:r>
      <w:r w:rsidR="00CA0A91" w:rsidRPr="001E6ADA">
        <w:t>,</w:t>
      </w:r>
      <w:r w:rsidR="008A6617" w:rsidRPr="001E6ADA">
        <w:t xml:space="preserve"> but </w:t>
      </w:r>
      <w:r w:rsidR="00CA0A91" w:rsidRPr="001E6ADA">
        <w:t xml:space="preserve">it </w:t>
      </w:r>
      <w:r w:rsidR="008A6617" w:rsidRPr="001E6ADA">
        <w:t>is something that could be explored further in</w:t>
      </w:r>
      <w:r w:rsidR="00076FC5" w:rsidRPr="001E6ADA">
        <w:t>-</w:t>
      </w:r>
      <w:r w:rsidR="008A6617" w:rsidRPr="001E6ADA">
        <w:t xml:space="preserve">country. </w:t>
      </w:r>
    </w:p>
    <w:p w:rsidR="00926620" w:rsidRPr="001E6ADA" w:rsidRDefault="00926620" w:rsidP="00926620">
      <w:pPr>
        <w:pStyle w:val="NormalModified"/>
      </w:pPr>
      <w:r w:rsidRPr="001E6ADA">
        <w:t>In relation to government partnerships and coordination</w:t>
      </w:r>
      <w:r w:rsidR="00105DA6">
        <w:t>, the G</w:t>
      </w:r>
      <w:r w:rsidRPr="001E6ADA">
        <w:t xml:space="preserve">overnment particularly values </w:t>
      </w:r>
      <w:r w:rsidR="008358A3" w:rsidRPr="001E6ADA">
        <w:t xml:space="preserve">the role </w:t>
      </w:r>
      <w:r w:rsidR="00105DA6">
        <w:t xml:space="preserve">the </w:t>
      </w:r>
      <w:r w:rsidR="008358A3" w:rsidRPr="001E6ADA">
        <w:t xml:space="preserve">UNDP plays </w:t>
      </w:r>
      <w:r w:rsidRPr="001E6ADA">
        <w:t xml:space="preserve">in </w:t>
      </w:r>
      <w:r w:rsidR="00105DA6">
        <w:t xml:space="preserve">the </w:t>
      </w:r>
      <w:r w:rsidRPr="001E6ADA">
        <w:t xml:space="preserve">coordination and mobilisation of funding. </w:t>
      </w:r>
      <w:r w:rsidR="00105DA6">
        <w:t>Nevertheless, the G</w:t>
      </w:r>
      <w:r w:rsidR="001E6ADA" w:rsidRPr="001E6ADA">
        <w:t xml:space="preserve">overnment would appreciate more control over the allocation of Trust Fund resources. </w:t>
      </w:r>
      <w:r w:rsidR="00105DA6">
        <w:t>A</w:t>
      </w:r>
      <w:r w:rsidRPr="001E6ADA">
        <w:t>t the beginning of the project period</w:t>
      </w:r>
      <w:r w:rsidR="00105DA6">
        <w:t>,</w:t>
      </w:r>
      <w:r w:rsidRPr="001E6ADA">
        <w:t xml:space="preserve"> these meetings</w:t>
      </w:r>
      <w:r w:rsidR="00105DA6">
        <w:t>,</w:t>
      </w:r>
      <w:r w:rsidRPr="001E6ADA">
        <w:t xml:space="preserve"> especially with the NRA</w:t>
      </w:r>
      <w:r w:rsidR="00105DA6">
        <w:t>,</w:t>
      </w:r>
      <w:r w:rsidRPr="001E6ADA">
        <w:t xml:space="preserve"> were somewhat ad hoc and contributed to frustrations, misunderstandings</w:t>
      </w:r>
      <w:r w:rsidR="00105DA6">
        <w:t>,</w:t>
      </w:r>
      <w:r w:rsidRPr="001E6ADA">
        <w:t xml:space="preserve"> and inefficiencies, e</w:t>
      </w:r>
      <w:r w:rsidR="00105DA6">
        <w:t>specially around UNDP processes. However,</w:t>
      </w:r>
      <w:r w:rsidRPr="001E6ADA">
        <w:t xml:space="preserve"> since early 2015</w:t>
      </w:r>
      <w:r w:rsidR="00105DA6">
        <w:t>,</w:t>
      </w:r>
      <w:r w:rsidRPr="001E6ADA">
        <w:t xml:space="preserve"> coordination has improved somewhat. </w:t>
      </w:r>
      <w:r w:rsidR="008358A3" w:rsidRPr="001E6ADA">
        <w:t xml:space="preserve"> Further work and capacity development</w:t>
      </w:r>
      <w:r w:rsidR="00105DA6">
        <w:t>,</w:t>
      </w:r>
      <w:r w:rsidR="008358A3" w:rsidRPr="001E6ADA">
        <w:t xml:space="preserve"> however</w:t>
      </w:r>
      <w:r w:rsidR="00105DA6">
        <w:t>,</w:t>
      </w:r>
      <w:r w:rsidR="008358A3" w:rsidRPr="001E6ADA">
        <w:t xml:space="preserve"> in the NIM procedures</w:t>
      </w:r>
      <w:r w:rsidR="00105DA6">
        <w:t>,</w:t>
      </w:r>
      <w:r w:rsidR="008358A3" w:rsidRPr="001E6ADA">
        <w:t xml:space="preserve"> would enhance the capacity of the NRA and UXO Lao to work more effectively together. This should include demonstrations and clear explanations of what is required for appropriate reporting.</w:t>
      </w:r>
    </w:p>
    <w:p w:rsidR="001F2E62" w:rsidRPr="00CE5D3B" w:rsidRDefault="00504E34" w:rsidP="001F2E62">
      <w:pPr>
        <w:pStyle w:val="NormalModified"/>
      </w:pPr>
      <w:r>
        <w:t>The</w:t>
      </w:r>
      <w:r w:rsidRPr="00504E34">
        <w:t xml:space="preserve"> UNDP has used operational partners effectively in the course of the current project,</w:t>
      </w:r>
      <w:r>
        <w:t xml:space="preserve"> and particularly in terms of devaluing new survey approaches. </w:t>
      </w:r>
      <w:r w:rsidR="001F2E62" w:rsidRPr="001E6ADA">
        <w:t>In the UXO/Mine Action sector, however, it seems to have drawn less on valuable</w:t>
      </w:r>
      <w:r w:rsidR="00105DA6">
        <w:t xml:space="preserve"> expertise within the UN family. </w:t>
      </w:r>
      <w:r w:rsidR="001F2E62" w:rsidRPr="001E6ADA">
        <w:t xml:space="preserve"> </w:t>
      </w:r>
      <w:r w:rsidR="00105DA6">
        <w:t xml:space="preserve">Such expertise is </w:t>
      </w:r>
      <w:r w:rsidR="001F2E62" w:rsidRPr="001E6ADA">
        <w:t xml:space="preserve">generally </w:t>
      </w:r>
      <w:r w:rsidR="00105DA6">
        <w:t>un</w:t>
      </w:r>
      <w:r w:rsidR="001F2E62" w:rsidRPr="001E6ADA">
        <w:t xml:space="preserve">available in the UXO/Mine Action sector, </w:t>
      </w:r>
      <w:r w:rsidR="00105DA6">
        <w:t>especially for</w:t>
      </w:r>
      <w:r w:rsidR="001F2E62" w:rsidRPr="001E6ADA">
        <w:t xml:space="preserve"> gender mainstreaming, organisational capacity development (including adaptive capacity, monitoring and evaluation), </w:t>
      </w:r>
      <w:r w:rsidR="001E6ADA" w:rsidRPr="001E6ADA">
        <w:t>public health, injury surveillance</w:t>
      </w:r>
      <w:r w:rsidR="00105DA6">
        <w:t>,</w:t>
      </w:r>
      <w:r w:rsidR="001E6ADA" w:rsidRPr="001E6ADA">
        <w:t xml:space="preserve"> and </w:t>
      </w:r>
      <w:r w:rsidR="001F2E62" w:rsidRPr="001E6ADA">
        <w:t xml:space="preserve">victim assistance. </w:t>
      </w:r>
      <w:r w:rsidR="00CE5D3B" w:rsidRPr="001E6ADA">
        <w:t xml:space="preserve"> Further, </w:t>
      </w:r>
      <w:r w:rsidR="00105DA6">
        <w:t xml:space="preserve">the </w:t>
      </w:r>
      <w:r w:rsidR="00CE5D3B" w:rsidRPr="001E6ADA">
        <w:t>U</w:t>
      </w:r>
      <w:r w:rsidR="001E6ADA" w:rsidRPr="001E6ADA">
        <w:t>ND</w:t>
      </w:r>
      <w:r w:rsidR="00CE5D3B" w:rsidRPr="001E6ADA">
        <w:t>P seems to have made limited use of the opportunities for facilitating south-south cooperation</w:t>
      </w:r>
    </w:p>
    <w:p w:rsidR="004C5D4D" w:rsidRPr="00DC183C" w:rsidRDefault="00A25570" w:rsidP="00A25570">
      <w:pPr>
        <w:pStyle w:val="Heading2"/>
        <w:numPr>
          <w:ilvl w:val="0"/>
          <w:numId w:val="0"/>
        </w:numPr>
      </w:pPr>
      <w:bookmarkStart w:id="40" w:name="_Toc441609342"/>
      <w:r>
        <w:t>5.4</w:t>
      </w:r>
      <w:r w:rsidR="0070232B">
        <w:t xml:space="preserve"> </w:t>
      </w:r>
      <w:r w:rsidR="004C5D4D" w:rsidRPr="00DC183C">
        <w:t>Efficiency</w:t>
      </w:r>
      <w:r w:rsidR="001463C5" w:rsidRPr="00DC183C">
        <w:t xml:space="preserve"> of UNDP support</w:t>
      </w:r>
      <w:bookmarkEnd w:id="40"/>
    </w:p>
    <w:p w:rsidR="00C9023C" w:rsidRDefault="003572D5" w:rsidP="00D96ACF">
      <w:r>
        <w:t>Overall</w:t>
      </w:r>
      <w:r w:rsidRPr="00F508CC">
        <w:t xml:space="preserve">, the structure of the </w:t>
      </w:r>
      <w:r>
        <w:t xml:space="preserve">Trust Fund </w:t>
      </w:r>
      <w:r w:rsidRPr="00F508CC">
        <w:t xml:space="preserve">is </w:t>
      </w:r>
      <w:r>
        <w:t xml:space="preserve">designed to maximise efficiency and is </w:t>
      </w:r>
      <w:r w:rsidRPr="00F508CC">
        <w:t xml:space="preserve">based on good practice </w:t>
      </w:r>
      <w:r w:rsidRPr="00573F7F">
        <w:t xml:space="preserve">principles enshrined in the Vientiane Declaration. </w:t>
      </w:r>
      <w:r w:rsidR="002058C1">
        <w:t>It was</w:t>
      </w:r>
      <w:r w:rsidR="0033005E">
        <w:t>,</w:t>
      </w:r>
      <w:r w:rsidR="002058C1">
        <w:t xml:space="preserve"> however</w:t>
      </w:r>
      <w:r w:rsidR="0033005E">
        <w:t>,</w:t>
      </w:r>
      <w:r w:rsidR="002058C1">
        <w:t xml:space="preserve"> reported as being complicated an</w:t>
      </w:r>
      <w:r w:rsidR="00FB07DC">
        <w:t>d</w:t>
      </w:r>
      <w:r w:rsidR="002058C1">
        <w:t xml:space="preserve"> expensive to establish. </w:t>
      </w:r>
      <w:r w:rsidR="0033005E">
        <w:t xml:space="preserve">Overall, </w:t>
      </w:r>
      <w:r w:rsidR="00C24794">
        <w:t xml:space="preserve">now that the Trust Fund is established, on-going costs do not seem to be any more </w:t>
      </w:r>
      <w:r w:rsidR="00C24794" w:rsidRPr="002058C1">
        <w:t xml:space="preserve">expensive </w:t>
      </w:r>
      <w:r w:rsidR="00C24794">
        <w:t>than</w:t>
      </w:r>
      <w:r w:rsidR="00C24794" w:rsidRPr="002058C1">
        <w:t xml:space="preserve"> cost-sharing arrangements</w:t>
      </w:r>
      <w:r w:rsidR="00C24794">
        <w:t xml:space="preserve">. </w:t>
      </w:r>
      <w:r w:rsidR="00BA0A28">
        <w:t xml:space="preserve">The extent to which the Trust Fund is </w:t>
      </w:r>
      <w:r w:rsidR="00BA0A28" w:rsidRPr="00BA0A28">
        <w:t>effective</w:t>
      </w:r>
      <w:r w:rsidR="0033005E">
        <w:t>,</w:t>
      </w:r>
      <w:r w:rsidR="00BA0A28" w:rsidRPr="00BA0A28">
        <w:t xml:space="preserve"> in fulfilling the intended objectives and needs of users</w:t>
      </w:r>
      <w:r w:rsidR="0033005E">
        <w:t>,</w:t>
      </w:r>
      <w:r w:rsidR="00BA0A28">
        <w:t xml:space="preserve"> is mixed. </w:t>
      </w:r>
      <w:r w:rsidR="00C24794" w:rsidRPr="00C24794">
        <w:t>There were</w:t>
      </w:r>
      <w:r w:rsidR="0033005E">
        <w:t>,</w:t>
      </w:r>
      <w:r w:rsidR="00C24794">
        <w:t xml:space="preserve"> for example, </w:t>
      </w:r>
      <w:r w:rsidR="00C24794" w:rsidRPr="00C24794">
        <w:t xml:space="preserve">donor concerns regarding whether the GMS of 8% (agreed by member states) and direct costs associated with the programme provided value for money. </w:t>
      </w:r>
      <w:r w:rsidR="00C24794">
        <w:t xml:space="preserve">Donors also noted that reporting procedures were often </w:t>
      </w:r>
      <w:r w:rsidR="0033005E">
        <w:t>in</w:t>
      </w:r>
      <w:r w:rsidR="00C24794">
        <w:t xml:space="preserve">efficient and reports insufficiently detailed. </w:t>
      </w:r>
      <w:r w:rsidR="00BD7C15">
        <w:t>Several d</w:t>
      </w:r>
      <w:r w:rsidR="00C9023C">
        <w:t>onors</w:t>
      </w:r>
      <w:r w:rsidR="00BD7C15">
        <w:t xml:space="preserve"> </w:t>
      </w:r>
      <w:r w:rsidR="00C9023C">
        <w:t xml:space="preserve">felt </w:t>
      </w:r>
      <w:r w:rsidR="00D96ACF">
        <w:t xml:space="preserve">that </w:t>
      </w:r>
      <w:r w:rsidR="0033005E">
        <w:t xml:space="preserve">the </w:t>
      </w:r>
      <w:r w:rsidR="00D96ACF">
        <w:t xml:space="preserve">UNDP accountability and risk </w:t>
      </w:r>
      <w:r w:rsidR="00BD7C15">
        <w:t>management processes</w:t>
      </w:r>
      <w:r w:rsidR="00D96ACF">
        <w:t xml:space="preserve"> were not very effective</w:t>
      </w:r>
      <w:r w:rsidR="0033005E">
        <w:t>. T</w:t>
      </w:r>
      <w:r w:rsidR="00D96ACF">
        <w:t>hus</w:t>
      </w:r>
      <w:r w:rsidR="0033005E">
        <w:t>,</w:t>
      </w:r>
      <w:r w:rsidR="00D96ACF">
        <w:t xml:space="preserve"> </w:t>
      </w:r>
      <w:r w:rsidR="0033005E">
        <w:t xml:space="preserve">they </w:t>
      </w:r>
      <w:r w:rsidR="00D96ACF">
        <w:t xml:space="preserve">did not always provide donors the assurances they required to be confident that Trust Fund money was always being </w:t>
      </w:r>
      <w:r w:rsidR="00BD7C15">
        <w:t xml:space="preserve">used </w:t>
      </w:r>
      <w:r w:rsidR="00BD7C15" w:rsidRPr="00D96ACF">
        <w:t>in</w:t>
      </w:r>
      <w:r w:rsidR="00D96ACF">
        <w:t xml:space="preserve"> the most appropriate manner.</w:t>
      </w:r>
    </w:p>
    <w:p w:rsidR="003572D5" w:rsidRDefault="003572D5" w:rsidP="003572D5">
      <w:r>
        <w:t>An important donor concern was the length of time it took to operationalise th</w:t>
      </w:r>
      <w:r w:rsidR="0033005E">
        <w:t>e NGO window in the Trust Fund. A</w:t>
      </w:r>
      <w:r>
        <w:t>lthough at the time of the evaluation</w:t>
      </w:r>
      <w:r w:rsidR="0033005E">
        <w:t>,</w:t>
      </w:r>
      <w:r>
        <w:t xml:space="preserve"> this was being addressed. It was beyond the scope of this evaluation to assess c</w:t>
      </w:r>
      <w:r w:rsidRPr="00FF6721">
        <w:t>ompetitiveness</w:t>
      </w:r>
      <w:r w:rsidR="0033005E">
        <w:t>,</w:t>
      </w:r>
      <w:r>
        <w:t xml:space="preserve"> in terms of </w:t>
      </w:r>
      <w:r w:rsidR="0033005E">
        <w:t xml:space="preserve">other modalities, such as INGOs. </w:t>
      </w:r>
      <w:r>
        <w:t xml:space="preserve"> </w:t>
      </w:r>
      <w:r w:rsidR="0033005E">
        <w:t>T</w:t>
      </w:r>
      <w:r>
        <w:t>his would require transparent reporting from all sides</w:t>
      </w:r>
      <w:r w:rsidR="0033005E">
        <w:t>,</w:t>
      </w:r>
      <w:r>
        <w:t xml:space="preserve"> which in an increasingly competitive market</w:t>
      </w:r>
      <w:r w:rsidR="0033005E">
        <w:t>,</w:t>
      </w:r>
      <w:r>
        <w:t xml:space="preserve"> may be challenging. </w:t>
      </w:r>
      <w:r w:rsidR="002F576A">
        <w:t xml:space="preserve">Another concern regarding the effectiveness of the Trust </w:t>
      </w:r>
      <w:r w:rsidR="0033005E">
        <w:t>Fund</w:t>
      </w:r>
      <w:r w:rsidR="002F576A">
        <w:t xml:space="preserve"> was its capacity to provide assurances </w:t>
      </w:r>
      <w:r w:rsidR="002F576A" w:rsidRPr="002F576A">
        <w:t xml:space="preserve">that donor resources </w:t>
      </w:r>
      <w:r w:rsidR="002F576A">
        <w:t>were</w:t>
      </w:r>
      <w:r w:rsidR="002F576A" w:rsidRPr="002F576A">
        <w:t xml:space="preserve"> being utilised for their intended purpose</w:t>
      </w:r>
      <w:r w:rsidR="002F576A">
        <w:t>. There were concerns</w:t>
      </w:r>
      <w:r w:rsidR="0033005E">
        <w:t>,</w:t>
      </w:r>
      <w:r w:rsidR="002F576A">
        <w:t xml:space="preserve"> for example, that the </w:t>
      </w:r>
      <w:r w:rsidR="0033005E">
        <w:t>funds</w:t>
      </w:r>
      <w:r w:rsidR="002F576A">
        <w:t xml:space="preserve"> could be used to support land concessions or relocation of communities without ensuring </w:t>
      </w:r>
      <w:r w:rsidR="0033005E">
        <w:t xml:space="preserve">that </w:t>
      </w:r>
      <w:r w:rsidR="002F576A">
        <w:t>sufficient monitoring</w:t>
      </w:r>
      <w:r w:rsidR="0033005E">
        <w:t xml:space="preserve"> practices</w:t>
      </w:r>
      <w:r w:rsidR="00C36263">
        <w:t xml:space="preserve"> were in place. </w:t>
      </w:r>
      <w:r w:rsidR="00C9023C">
        <w:t xml:space="preserve">Donors also felt that </w:t>
      </w:r>
      <w:r w:rsidR="0033005E">
        <w:t>the UNDP</w:t>
      </w:r>
      <w:r w:rsidR="00C9023C">
        <w:t xml:space="preserve"> was </w:t>
      </w:r>
      <w:r w:rsidR="0033005E">
        <w:t>in</w:t>
      </w:r>
      <w:r w:rsidR="00C9023C">
        <w:t xml:space="preserve">effective in communicating identified risks and strategies </w:t>
      </w:r>
      <w:r w:rsidR="0033005E">
        <w:t>that might</w:t>
      </w:r>
      <w:r w:rsidR="00C9023C">
        <w:t xml:space="preserve"> mitigate those risks.</w:t>
      </w:r>
    </w:p>
    <w:p w:rsidR="001E6ADA" w:rsidRDefault="00830D4E" w:rsidP="001E6ADA">
      <w:r>
        <w:t xml:space="preserve">Several respondents felt that </w:t>
      </w:r>
      <w:r w:rsidR="00E818F3">
        <w:t xml:space="preserve">the </w:t>
      </w:r>
      <w:r w:rsidR="00FF6721">
        <w:t xml:space="preserve">UNDP </w:t>
      </w:r>
      <w:r>
        <w:t xml:space="preserve">is often </w:t>
      </w:r>
      <w:r w:rsidR="00FF6721">
        <w:t>reactive</w:t>
      </w:r>
      <w:r w:rsidR="00E650CB">
        <w:t>,</w:t>
      </w:r>
      <w:r w:rsidR="00FF6721">
        <w:t xml:space="preserve"> rather that proactive in identifying issues and taking preventative action in a </w:t>
      </w:r>
      <w:r w:rsidR="00FF6721" w:rsidRPr="00FF6721">
        <w:t>cost-effective and time-efficient</w:t>
      </w:r>
      <w:r w:rsidR="00FF6721">
        <w:t xml:space="preserve"> manner</w:t>
      </w:r>
      <w:r>
        <w:t>. Nevertheless</w:t>
      </w:r>
      <w:r w:rsidR="00FF6721">
        <w:t xml:space="preserve">, </w:t>
      </w:r>
      <w:r>
        <w:t>these donors also felt that there had been</w:t>
      </w:r>
      <w:r w:rsidR="002F576A">
        <w:t xml:space="preserve"> some improvement beginning in 2015. </w:t>
      </w:r>
      <w:r w:rsidR="003572D5">
        <w:t>While some donors were concerned about value for money</w:t>
      </w:r>
      <w:r w:rsidR="00313EE1">
        <w:t>,</w:t>
      </w:r>
      <w:r w:rsidR="003572D5">
        <w:t xml:space="preserve"> in relation to the </w:t>
      </w:r>
      <w:r w:rsidR="007B4ABC">
        <w:t>GMS of 8</w:t>
      </w:r>
      <w:r w:rsidR="00387AAF">
        <w:t>%</w:t>
      </w:r>
      <w:r w:rsidR="007B4ABC">
        <w:t xml:space="preserve"> (agreed by member states</w:t>
      </w:r>
      <w:r w:rsidR="00B13395">
        <w:t xml:space="preserve"> and </w:t>
      </w:r>
      <w:r w:rsidR="00B13395" w:rsidRPr="00B13395">
        <w:t xml:space="preserve">mandated for all programmes across </w:t>
      </w:r>
      <w:r w:rsidR="00313EE1">
        <w:t xml:space="preserve">the </w:t>
      </w:r>
      <w:r w:rsidR="00B13395" w:rsidRPr="00B13395">
        <w:t>UNDP</w:t>
      </w:r>
      <w:r w:rsidR="007B4ABC">
        <w:t>) and direct cost recovery</w:t>
      </w:r>
      <w:r w:rsidR="00313EE1">
        <w:t>,</w:t>
      </w:r>
      <w:r w:rsidR="007B4ABC">
        <w:t xml:space="preserve"> </w:t>
      </w:r>
      <w:r w:rsidR="00B13395">
        <w:t>the fees do</w:t>
      </w:r>
      <w:r w:rsidR="007B4ABC">
        <w:t xml:space="preserve"> not seem to be overly high</w:t>
      </w:r>
      <w:r w:rsidR="00B13395">
        <w:t xml:space="preserve"> or significantly different from other international organisations</w:t>
      </w:r>
      <w:r w:rsidR="007B4ABC">
        <w:t xml:space="preserve">. </w:t>
      </w:r>
      <w:r w:rsidR="00B13395">
        <w:t xml:space="preserve">Alternative options for donors wishing to support the sector are through the private sector (for or not-for-profit) or </w:t>
      </w:r>
      <w:r w:rsidR="00B13395" w:rsidRPr="00B13395">
        <w:t>directly to the government</w:t>
      </w:r>
      <w:r w:rsidR="00B13395">
        <w:t xml:space="preserve">. Both of these options also entail </w:t>
      </w:r>
      <w:r w:rsidR="004E6B55" w:rsidRPr="004E6B55">
        <w:t>administrative overheads</w:t>
      </w:r>
      <w:r w:rsidR="00B13395">
        <w:t xml:space="preserve"> and these charges are often higher in the private sector</w:t>
      </w:r>
      <w:r w:rsidR="00114F53">
        <w:t xml:space="preserve"> than UNDP’s 8%. Despite these concerns</w:t>
      </w:r>
      <w:r w:rsidR="00B13395">
        <w:t>, most donors interviewed appreciate</w:t>
      </w:r>
      <w:r w:rsidR="00313EE1">
        <w:t>d</w:t>
      </w:r>
      <w:r w:rsidR="00B13395">
        <w:t xml:space="preserve"> the</w:t>
      </w:r>
      <w:r w:rsidR="00B13395" w:rsidRPr="00B13395">
        <w:t xml:space="preserve"> controls</w:t>
      </w:r>
      <w:r w:rsidR="00313EE1">
        <w:t xml:space="preserve"> that the</w:t>
      </w:r>
      <w:r w:rsidR="00B13395" w:rsidRPr="00B13395">
        <w:t xml:space="preserve"> UNDP </w:t>
      </w:r>
      <w:r w:rsidR="00B13395">
        <w:t>can place</w:t>
      </w:r>
      <w:r w:rsidR="00B13395" w:rsidRPr="00B13395">
        <w:t xml:space="preserve"> on fund utilisation</w:t>
      </w:r>
      <w:r w:rsidR="004E6B55">
        <w:t xml:space="preserve">. </w:t>
      </w:r>
      <w:r w:rsidR="004E6B55" w:rsidRPr="004E6B55">
        <w:t xml:space="preserve">Critical for </w:t>
      </w:r>
      <w:r w:rsidR="00313EE1">
        <w:t xml:space="preserve">the </w:t>
      </w:r>
      <w:r w:rsidR="004E6B55" w:rsidRPr="004E6B55">
        <w:t>UNDP</w:t>
      </w:r>
      <w:r w:rsidR="00313EE1">
        <w:t>,</w:t>
      </w:r>
      <w:r w:rsidR="004E6B55" w:rsidRPr="004E6B55">
        <w:t xml:space="preserve"> is to ensure that </w:t>
      </w:r>
      <w:r w:rsidR="00B13395" w:rsidRPr="004E6B55">
        <w:t xml:space="preserve">these administrative overheads are used </w:t>
      </w:r>
      <w:r w:rsidR="004E6B55" w:rsidRPr="004E6B55">
        <w:t xml:space="preserve">effectively </w:t>
      </w:r>
      <w:r w:rsidR="00B13395" w:rsidRPr="004E6B55">
        <w:t>on financial management</w:t>
      </w:r>
      <w:r w:rsidR="00114F53">
        <w:t xml:space="preserve"> and that this is demonstrated through timely and transparent reporting</w:t>
      </w:r>
      <w:r w:rsidR="00B13395" w:rsidRPr="004E6B55">
        <w:t xml:space="preserve">. </w:t>
      </w:r>
      <w:r w:rsidR="001E6ADA">
        <w:t xml:space="preserve">Administration and communication in relation to </w:t>
      </w:r>
      <w:r w:rsidR="001E6ADA" w:rsidRPr="001E6ADA">
        <w:t>the</w:t>
      </w:r>
      <w:r w:rsidR="001E6ADA">
        <w:t xml:space="preserve"> Trust </w:t>
      </w:r>
      <w:r w:rsidR="00313EE1">
        <w:t>Fund</w:t>
      </w:r>
      <w:r w:rsidR="001E6ADA">
        <w:t xml:space="preserve"> were reported to be poor until early 2015</w:t>
      </w:r>
      <w:r w:rsidR="00313EE1">
        <w:t>,</w:t>
      </w:r>
      <w:r w:rsidR="001E6ADA">
        <w:t xml:space="preserve"> and on-going effort </w:t>
      </w:r>
      <w:r w:rsidR="00313EE1">
        <w:t>should be directed at</w:t>
      </w:r>
      <w:r w:rsidR="001E6ADA">
        <w:t xml:space="preserve"> </w:t>
      </w:r>
      <w:r w:rsidR="00313EE1">
        <w:t>restoring</w:t>
      </w:r>
      <w:r w:rsidR="001E6ADA">
        <w:t xml:space="preserve"> trust, credibility</w:t>
      </w:r>
      <w:r w:rsidR="00313EE1">
        <w:t>,</w:t>
      </w:r>
      <w:r w:rsidR="001E6ADA">
        <w:t xml:space="preserve"> and efficiency</w:t>
      </w:r>
      <w:r w:rsidR="001E6ADA" w:rsidRPr="001E6ADA">
        <w:t>.</w:t>
      </w:r>
    </w:p>
    <w:p w:rsidR="009A2D1E" w:rsidRDefault="003C0B42" w:rsidP="009A2D1E">
      <w:r w:rsidRPr="007B4ABC">
        <w:t xml:space="preserve">Of the two </w:t>
      </w:r>
      <w:r w:rsidR="008C60E3">
        <w:t>d</w:t>
      </w:r>
      <w:r w:rsidRPr="007B4ABC">
        <w:t>ifferent types of mechanism</w:t>
      </w:r>
      <w:r w:rsidR="00517130">
        <w:t>s</w:t>
      </w:r>
      <w:r w:rsidRPr="007B4ABC">
        <w:t xml:space="preserve"> for funding</w:t>
      </w:r>
      <w:r w:rsidR="00313EE1">
        <w:t xml:space="preserve"> </w:t>
      </w:r>
      <w:r w:rsidRPr="007B4ABC">
        <w:t xml:space="preserve">the sector through </w:t>
      </w:r>
      <w:r w:rsidR="00517130">
        <w:t xml:space="preserve">the </w:t>
      </w:r>
      <w:r w:rsidRPr="007B4ABC">
        <w:t xml:space="preserve">UNDP– using the Trust Fund </w:t>
      </w:r>
      <w:r w:rsidR="007B4ABC">
        <w:t>or cost sharing a</w:t>
      </w:r>
      <w:r w:rsidRPr="007B4ABC">
        <w:t>greement</w:t>
      </w:r>
      <w:r w:rsidR="007B4ABC">
        <w:t>s</w:t>
      </w:r>
      <w:r w:rsidRPr="007B4ABC">
        <w:t xml:space="preserve"> – </w:t>
      </w:r>
      <w:r w:rsidR="007B4ABC">
        <w:t>there seems to be little</w:t>
      </w:r>
      <w:r w:rsidRPr="007B4ABC">
        <w:t xml:space="preserve"> disce</w:t>
      </w:r>
      <w:r w:rsidR="00313EE1">
        <w:t xml:space="preserve">rnible difference in efficiency. However, </w:t>
      </w:r>
      <w:r w:rsidR="007B4ABC">
        <w:t>from a donor perspective</w:t>
      </w:r>
      <w:r w:rsidR="00517130">
        <w:t>,</w:t>
      </w:r>
      <w:r w:rsidR="007B4ABC">
        <w:t xml:space="preserve"> they may be able </w:t>
      </w:r>
      <w:r w:rsidR="00517130">
        <w:t xml:space="preserve">to </w:t>
      </w:r>
      <w:r w:rsidR="007B4ABC">
        <w:t xml:space="preserve">negotiate </w:t>
      </w:r>
      <w:r w:rsidRPr="007B4ABC">
        <w:t xml:space="preserve">additional safeguards and performance criteria into </w:t>
      </w:r>
      <w:r w:rsidR="007B4ABC">
        <w:t>the a</w:t>
      </w:r>
      <w:r w:rsidRPr="007B4ABC">
        <w:t>greement</w:t>
      </w:r>
      <w:r w:rsidR="007B4ABC">
        <w:t>. For donors looking for more than contribution to CCM outputs, a cost sharing a</w:t>
      </w:r>
      <w:r w:rsidR="007B4ABC" w:rsidRPr="007B4ABC">
        <w:t>greement</w:t>
      </w:r>
      <w:r w:rsidR="007B4ABC">
        <w:t xml:space="preserve"> may seem more attractive</w:t>
      </w:r>
      <w:r w:rsidR="00D25CD4">
        <w:t xml:space="preserve"> and may provide increased value for money</w:t>
      </w:r>
      <w:r w:rsidR="007B4ABC">
        <w:t xml:space="preserve">. </w:t>
      </w:r>
      <w:r w:rsidR="00425A38">
        <w:t xml:space="preserve">As discussed earlier, earmarking funds channelled through the Trust Fund may not always promote the most efficient use of funds. </w:t>
      </w:r>
      <w:r w:rsidR="00842947">
        <w:t xml:space="preserve">A further potential source of inefficiency in the </w:t>
      </w:r>
      <w:r w:rsidR="00842947" w:rsidRPr="00842947">
        <w:t>Trust Fund</w:t>
      </w:r>
      <w:r w:rsidR="00842947">
        <w:t xml:space="preserve"> is that because it primarily funds the NRA and UXO Lao</w:t>
      </w:r>
      <w:r w:rsidR="00313EE1">
        <w:t>,</w:t>
      </w:r>
      <w:r w:rsidR="00842947">
        <w:t xml:space="preserve"> it is not based on competitive free-market principles</w:t>
      </w:r>
      <w:r w:rsidR="009A2D1E">
        <w:t xml:space="preserve">. Another potential source of inefficiencies is the lack of capacity building within the NRA and UXO Lao to adequately manage and account for the use of donor funds. </w:t>
      </w:r>
      <w:r w:rsidR="00313EE1">
        <w:t>T</w:t>
      </w:r>
      <w:r w:rsidR="00D96ACF">
        <w:t xml:space="preserve">he UNDP has well documented procedures designed to promote cost and time effectiveness and </w:t>
      </w:r>
      <w:r w:rsidR="00D96ACF" w:rsidRPr="00FF6721">
        <w:t>competitiveness</w:t>
      </w:r>
      <w:r w:rsidR="00313EE1">
        <w:t>. However,</w:t>
      </w:r>
      <w:r w:rsidR="00D96ACF" w:rsidRPr="00FF6721">
        <w:t xml:space="preserve"> </w:t>
      </w:r>
      <w:r w:rsidR="00D96ACF">
        <w:t xml:space="preserve">these are not always well understood by the UXO Lao or the NRA and which without timely support from the UNDP, can result in lost efficiencies. </w:t>
      </w:r>
      <w:r w:rsidR="009A2D1E">
        <w:t xml:space="preserve">Some donors would also like to discuss the options for revising the Trust Fund Terms of Reference </w:t>
      </w:r>
      <w:r w:rsidR="009A2D1E" w:rsidRPr="009A2D1E">
        <w:t>to incorporate requirements for donor-disaggregated reporting against each donor’s objective</w:t>
      </w:r>
      <w:r w:rsidR="00313EE1">
        <w:t>s (i.e. at outcome level) and stronger safeguard</w:t>
      </w:r>
      <w:r w:rsidR="009A2D1E" w:rsidRPr="009A2D1E">
        <w:t xml:space="preserve"> obligations.</w:t>
      </w:r>
    </w:p>
    <w:p w:rsidR="001E6ADA" w:rsidRDefault="00D96ACF" w:rsidP="00D96ACF">
      <w:r w:rsidRPr="00573F7F">
        <w:t xml:space="preserve">While not explicit in the programme document, the demand for UXO clearance to contribute to development (which is rarely defined) has led service providers, including </w:t>
      </w:r>
      <w:r>
        <w:t xml:space="preserve">the </w:t>
      </w:r>
      <w:r w:rsidRPr="00573F7F">
        <w:t>UXO Lao</w:t>
      </w:r>
      <w:r>
        <w:t>,</w:t>
      </w:r>
      <w:r w:rsidRPr="00573F7F">
        <w:t xml:space="preserve"> to undertake clearance for other UN organisations</w:t>
      </w:r>
      <w:r w:rsidR="00313EE1">
        <w:t>,</w:t>
      </w:r>
      <w:r w:rsidRPr="00573F7F">
        <w:t xml:space="preserve"> s</w:t>
      </w:r>
      <w:r w:rsidR="00313EE1">
        <w:t xml:space="preserve">uch as the World Food Programme, </w:t>
      </w:r>
      <w:r>
        <w:t xml:space="preserve">the </w:t>
      </w:r>
      <w:r w:rsidRPr="003433DB">
        <w:t xml:space="preserve">International Fund for Agricultural Development </w:t>
      </w:r>
      <w:r>
        <w:t>(</w:t>
      </w:r>
      <w:r w:rsidRPr="00573F7F">
        <w:t>IFAD</w:t>
      </w:r>
      <w:r>
        <w:t>)</w:t>
      </w:r>
      <w:r w:rsidR="00313EE1">
        <w:t>,</w:t>
      </w:r>
      <w:r w:rsidR="00C5670B">
        <w:t xml:space="preserve"> and non-UXO/mine action development NGOs</w:t>
      </w:r>
      <w:r w:rsidRPr="00573F7F">
        <w:t>. While this enables investment</w:t>
      </w:r>
      <w:r>
        <w:t>,</w:t>
      </w:r>
      <w:r w:rsidRPr="00573F7F">
        <w:t xml:space="preserve"> which may not have occurred otherwise, it has also contributed to inefficiencies</w:t>
      </w:r>
      <w:r w:rsidR="00313EE1">
        <w:t>. This is because</w:t>
      </w:r>
      <w:r w:rsidRPr="00573F7F">
        <w:t xml:space="preserve"> clearance assets have been deployed to sites with no or very low levels of UXO. This partly relates to the lack of a national survey whereby confirmed hazardo</w:t>
      </w:r>
      <w:r w:rsidR="00313EE1">
        <w:t>us areas are located and mapped. However, this is</w:t>
      </w:r>
      <w:r w:rsidRPr="00573F7F">
        <w:t xml:space="preserve"> beginning to be addressed through the CMTS. This is significant as clearance is time consuming and expensive</w:t>
      </w:r>
      <w:r>
        <w:t>,</w:t>
      </w:r>
      <w:r w:rsidRPr="00573F7F">
        <w:t xml:space="preserve"> so efficient use of resources is important and the NRA and </w:t>
      </w:r>
      <w:r>
        <w:t xml:space="preserve">the </w:t>
      </w:r>
      <w:r w:rsidRPr="00573F7F">
        <w:t xml:space="preserve">UXO Lao should continue to monitor the efficiency of clearance operations to make further improvements if possible. </w:t>
      </w:r>
      <w:r w:rsidR="00C5670B">
        <w:t>Nevertheless, given the uncertainties created by the lack of a technical survey, it seems reasonable that agencies have requested clearance prior to any intervention</w:t>
      </w:r>
      <w:r w:rsidR="00313EE1">
        <w:t>,</w:t>
      </w:r>
      <w:r w:rsidR="00C5670B">
        <w:t xml:space="preserve"> given the </w:t>
      </w:r>
      <w:r w:rsidR="00C5670B" w:rsidRPr="00C5670B">
        <w:t xml:space="preserve">risk and consequences for </w:t>
      </w:r>
      <w:r w:rsidR="00313EE1">
        <w:t xml:space="preserve">the </w:t>
      </w:r>
      <w:r w:rsidR="00C5670B" w:rsidRPr="00C5670B">
        <w:t xml:space="preserve">UN and other international agencies to have persons killed or </w:t>
      </w:r>
      <w:r w:rsidR="00C5670B">
        <w:t>injured</w:t>
      </w:r>
      <w:r w:rsidR="00C5670B" w:rsidRPr="00C5670B">
        <w:t xml:space="preserve"> at their project sites.   </w:t>
      </w:r>
    </w:p>
    <w:p w:rsidR="004C5D4D" w:rsidRDefault="00A25570" w:rsidP="00A25570">
      <w:pPr>
        <w:pStyle w:val="Heading2"/>
        <w:numPr>
          <w:ilvl w:val="0"/>
          <w:numId w:val="0"/>
        </w:numPr>
      </w:pPr>
      <w:bookmarkStart w:id="41" w:name="_Toc441609343"/>
      <w:r>
        <w:t>5.5 S</w:t>
      </w:r>
      <w:r w:rsidR="00567D03" w:rsidRPr="00DC183C">
        <w:t>ustainability</w:t>
      </w:r>
      <w:bookmarkEnd w:id="41"/>
    </w:p>
    <w:p w:rsidR="003572D5" w:rsidRDefault="00B92C1D" w:rsidP="00523A7B">
      <w:r>
        <w:t xml:space="preserve">For the purpose of this evaluation, </w:t>
      </w:r>
      <w:r w:rsidRPr="00B92C1D">
        <w:t>sustainable outcomes</w:t>
      </w:r>
      <w:r>
        <w:t xml:space="preserve"> </w:t>
      </w:r>
      <w:r w:rsidR="00567619">
        <w:t>means the</w:t>
      </w:r>
      <w:r>
        <w:t xml:space="preserve"> sustainability of a UXO programme</w:t>
      </w:r>
      <w:r w:rsidR="00C166C7">
        <w:t>,</w:t>
      </w:r>
      <w:r>
        <w:t xml:space="preserve"> given the absence of outcome data on operational activities of MRE, </w:t>
      </w:r>
      <w:r w:rsidR="00C166C7">
        <w:t>v</w:t>
      </w:r>
      <w:r>
        <w:t>ictim assistance</w:t>
      </w:r>
      <w:r w:rsidR="00C166C7">
        <w:t>,</w:t>
      </w:r>
      <w:r>
        <w:t xml:space="preserve"> and clearance</w:t>
      </w:r>
      <w:r w:rsidR="00567619">
        <w:t xml:space="preserve">, and the assumption </w:t>
      </w:r>
      <w:r>
        <w:t xml:space="preserve">that decontaminated land will not be re-contaminated. In </w:t>
      </w:r>
      <w:r w:rsidR="003C0B42" w:rsidRPr="00D8455E">
        <w:t xml:space="preserve">their current form, neither the NRA office nor </w:t>
      </w:r>
      <w:r w:rsidR="00C166C7">
        <w:t xml:space="preserve">the </w:t>
      </w:r>
      <w:r w:rsidR="003C0B42" w:rsidRPr="00D8455E">
        <w:t>UXO Lao are sustainable without donor funding</w:t>
      </w:r>
      <w:r w:rsidR="00567619">
        <w:t>. T</w:t>
      </w:r>
      <w:r w:rsidR="003C0B42" w:rsidRPr="00D8455E">
        <w:t>he capacity of the NRA and UXO Lao to raise their own funds</w:t>
      </w:r>
      <w:r w:rsidR="00567619">
        <w:t>,</w:t>
      </w:r>
      <w:r w:rsidR="003C0B42" w:rsidRPr="00D8455E">
        <w:t xml:space="preserve"> through cost-recovery mechani</w:t>
      </w:r>
      <w:r w:rsidR="00567619">
        <w:t>sms or directly from donors or G</w:t>
      </w:r>
      <w:r w:rsidR="003C0B42" w:rsidRPr="00D8455E">
        <w:t>overnment</w:t>
      </w:r>
      <w:r w:rsidR="00567619">
        <w:t>,</w:t>
      </w:r>
      <w:r w:rsidR="003C0B42" w:rsidRPr="00D8455E">
        <w:t xml:space="preserve"> is limited. Both</w:t>
      </w:r>
      <w:r w:rsidR="00567619">
        <w:t xml:space="preserve"> programmes</w:t>
      </w:r>
      <w:r w:rsidR="003C0B42" w:rsidRPr="00D8455E">
        <w:t xml:space="preserve"> are supported</w:t>
      </w:r>
      <w:r w:rsidR="00567619">
        <w:t>,</w:t>
      </w:r>
      <w:r w:rsidR="003C0B42" w:rsidRPr="00D8455E">
        <w:t xml:space="preserve"> almost</w:t>
      </w:r>
      <w:r w:rsidR="003C0B42">
        <w:t xml:space="preserve"> </w:t>
      </w:r>
      <w:r w:rsidR="003C0B42" w:rsidRPr="00D8455E">
        <w:t>entirely</w:t>
      </w:r>
      <w:r w:rsidR="00567619">
        <w:t>,</w:t>
      </w:r>
      <w:r w:rsidR="003C0B42" w:rsidRPr="00D8455E">
        <w:t xml:space="preserve"> by donor contributions bilaterally</w:t>
      </w:r>
      <w:r w:rsidR="003C0B42">
        <w:t>,</w:t>
      </w:r>
      <w:r w:rsidR="003C0B42" w:rsidRPr="00D8455E">
        <w:t xml:space="preserve"> or through </w:t>
      </w:r>
      <w:r w:rsidR="00C166C7">
        <w:t xml:space="preserve">the </w:t>
      </w:r>
      <w:r w:rsidR="003C0B42" w:rsidRPr="00D8455E">
        <w:t xml:space="preserve">UNDP. Donor funds have not been constant over the last 20 years and this trend is likely to continue. Some donors are likely to exit the sector (or even leave Lao PDR all together) once the country exits </w:t>
      </w:r>
      <w:r w:rsidR="00C166C7">
        <w:t xml:space="preserve">the </w:t>
      </w:r>
      <w:r w:rsidR="003C0B42" w:rsidRPr="00D8455E">
        <w:t>least developed nation status anticipated</w:t>
      </w:r>
      <w:r w:rsidR="00567619">
        <w:t xml:space="preserve"> in 2020. As a result, </w:t>
      </w:r>
      <w:r w:rsidR="004F1A16">
        <w:t>UXO/Mine A</w:t>
      </w:r>
      <w:r w:rsidR="003C0B42" w:rsidRPr="00D8455E">
        <w:t xml:space="preserve">ction may not fit neatly into the thematic funding windows. </w:t>
      </w:r>
      <w:r>
        <w:t>Yet</w:t>
      </w:r>
      <w:r w:rsidR="00567619">
        <w:t>,</w:t>
      </w:r>
      <w:r>
        <w:t xml:space="preserve"> at the same time, Lao PDR is unlikely to have met its CCM commitments. </w:t>
      </w:r>
      <w:r w:rsidR="00821BB0" w:rsidRPr="00821BB0">
        <w:t>In the absence of a national not-for-profit service provider</w:t>
      </w:r>
      <w:r w:rsidR="00C166C7">
        <w:t>,</w:t>
      </w:r>
      <w:r w:rsidR="00821BB0" w:rsidRPr="00821BB0">
        <w:t xml:space="preserve"> such as </w:t>
      </w:r>
      <w:r w:rsidR="00C166C7">
        <w:t xml:space="preserve">the </w:t>
      </w:r>
      <w:r w:rsidR="00821BB0" w:rsidRPr="00821BB0">
        <w:t>UXO Lao, notification 093/</w:t>
      </w:r>
      <w:r w:rsidR="00B04E28" w:rsidRPr="00821BB0">
        <w:t>NRA provides</w:t>
      </w:r>
      <w:r w:rsidR="00821BB0" w:rsidRPr="00821BB0">
        <w:t xml:space="preserve"> some assurance that development agencies will have to budget for</w:t>
      </w:r>
      <w:r w:rsidR="00C166C7">
        <w:t>,</w:t>
      </w:r>
      <w:r w:rsidR="00821BB0" w:rsidRPr="00821BB0">
        <w:t xml:space="preserve"> and purchase</w:t>
      </w:r>
      <w:r w:rsidR="00C166C7">
        <w:t>,</w:t>
      </w:r>
      <w:r w:rsidR="00821BB0" w:rsidRPr="00821BB0">
        <w:t xml:space="preserve"> UXO clearance services where needed. Integration of UXO clearance into the development</w:t>
      </w:r>
      <w:r w:rsidR="00B20357">
        <w:t>,</w:t>
      </w:r>
      <w:r w:rsidR="00C166C7">
        <w:t xml:space="preserve"> </w:t>
      </w:r>
      <w:r w:rsidR="00821BB0" w:rsidRPr="00821BB0">
        <w:t>planning</w:t>
      </w:r>
      <w:r w:rsidR="00B20357">
        <w:t>,</w:t>
      </w:r>
      <w:r w:rsidR="00821BB0" w:rsidRPr="00821BB0">
        <w:t xml:space="preserve"> and budgeting process, especially at provincial and village levels</w:t>
      </w:r>
      <w:r w:rsidR="00C166C7">
        <w:t>,</w:t>
      </w:r>
      <w:r w:rsidR="00821BB0" w:rsidRPr="00821BB0">
        <w:t xml:space="preserve"> is also important in placing UXO clearance on a more sustainable </w:t>
      </w:r>
      <w:r w:rsidR="00B04E28" w:rsidRPr="00821BB0">
        <w:t xml:space="preserve">footing. </w:t>
      </w:r>
    </w:p>
    <w:p w:rsidR="00FA26BE" w:rsidRPr="00FA26BE" w:rsidRDefault="00B92C1D" w:rsidP="00AB0DB0">
      <w:r>
        <w:t>T</w:t>
      </w:r>
      <w:r w:rsidRPr="00B92C1D">
        <w:t>o maximise the likelihood of sustainable outcomes</w:t>
      </w:r>
      <w:r>
        <w:t>,</w:t>
      </w:r>
      <w:r w:rsidRPr="00B92C1D">
        <w:t xml:space="preserve"> </w:t>
      </w:r>
      <w:r>
        <w:t>d</w:t>
      </w:r>
      <w:r w:rsidRPr="00B92C1D">
        <w:t>ocumenting a transition strategy that is nationally owned</w:t>
      </w:r>
      <w:r w:rsidR="00C166C7">
        <w:t>,</w:t>
      </w:r>
      <w:r w:rsidRPr="00B92C1D">
        <w:t xml:space="preserve"> with indictors of progress and timeframes</w:t>
      </w:r>
      <w:r w:rsidR="00B20357">
        <w:t>,</w:t>
      </w:r>
      <w:r w:rsidRPr="00B92C1D">
        <w:t xml:space="preserve"> which are regularly reported so that progress</w:t>
      </w:r>
      <w:r w:rsidR="00B20357">
        <w:t xml:space="preserve"> towards transition is measurable</w:t>
      </w:r>
      <w:r w:rsidRPr="00B92C1D">
        <w:t xml:space="preserve"> and observable</w:t>
      </w:r>
      <w:r w:rsidR="00C166C7">
        <w:t>,</w:t>
      </w:r>
      <w:r w:rsidRPr="00B92C1D">
        <w:t xml:space="preserve"> </w:t>
      </w:r>
      <w:r>
        <w:t>is essential. The plan should include how MRE and victim assistance can transfer out of the NRA and be mainstreamed into other relevant sectors. For example, UXO injuries should be incorporated into a national injury surveillance system at the outset of one being established</w:t>
      </w:r>
      <w:r w:rsidR="00E863BE">
        <w:t xml:space="preserve">. </w:t>
      </w:r>
      <w:r w:rsidRPr="00B92C1D">
        <w:t>MRE can be further mainstreamed</w:t>
      </w:r>
      <w:r w:rsidR="00AD6EF9">
        <w:t>,</w:t>
      </w:r>
      <w:r w:rsidRPr="00B92C1D">
        <w:t xml:space="preserve"> </w:t>
      </w:r>
      <w:r>
        <w:t>for example</w:t>
      </w:r>
      <w:r w:rsidR="00AD6EF9">
        <w:t>,</w:t>
      </w:r>
      <w:r>
        <w:t xml:space="preserve"> </w:t>
      </w:r>
      <w:r w:rsidRPr="00B92C1D">
        <w:t xml:space="preserve">into other activities and sustainable capacity </w:t>
      </w:r>
      <w:r>
        <w:t>formal and informal education</w:t>
      </w:r>
      <w:r w:rsidR="00AD6EF9">
        <w:t>,</w:t>
      </w:r>
      <w:r>
        <w:t xml:space="preserve"> with the NRA actin</w:t>
      </w:r>
      <w:r w:rsidR="00B20357">
        <w:t xml:space="preserve">g as an advisor on content. </w:t>
      </w:r>
      <w:r>
        <w:t xml:space="preserve">Ways of </w:t>
      </w:r>
      <w:r w:rsidR="00AD6EF9">
        <w:t xml:space="preserve">the </w:t>
      </w:r>
      <w:r>
        <w:t xml:space="preserve">UXO Lao </w:t>
      </w:r>
      <w:r w:rsidRPr="00B92C1D">
        <w:t>mobilising funds</w:t>
      </w:r>
      <w:r w:rsidR="00AD6EF9">
        <w:t>,</w:t>
      </w:r>
      <w:r w:rsidRPr="00B92C1D">
        <w:t xml:space="preserve"> for example</w:t>
      </w:r>
      <w:r w:rsidR="00AD6EF9">
        <w:t>,</w:t>
      </w:r>
      <w:r w:rsidRPr="00B92C1D">
        <w:t xml:space="preserve"> through cost-recovery mechanisms</w:t>
      </w:r>
      <w:r w:rsidR="00AD6EF9">
        <w:t>,</w:t>
      </w:r>
      <w:r w:rsidRPr="00B92C1D">
        <w:t xml:space="preserve"> </w:t>
      </w:r>
      <w:r>
        <w:t>should also be examined</w:t>
      </w:r>
      <w:r w:rsidR="00114F53">
        <w:t xml:space="preserve"> and opportunities for other sources of funding including</w:t>
      </w:r>
      <w:r w:rsidR="00114F53" w:rsidRPr="00DC183C">
        <w:t xml:space="preserve"> emerging donors and private sector co-operation, </w:t>
      </w:r>
      <w:r w:rsidR="00114F53">
        <w:t xml:space="preserve">and </w:t>
      </w:r>
      <w:r w:rsidR="00114F53" w:rsidRPr="00DC183C">
        <w:t xml:space="preserve">corporate social responsibility </w:t>
      </w:r>
      <w:r w:rsidR="00114F53">
        <w:t>should also</w:t>
      </w:r>
      <w:r w:rsidR="00114F53" w:rsidRPr="00DC183C">
        <w:t xml:space="preserve"> be examined.</w:t>
      </w:r>
      <w:r w:rsidR="00114F53">
        <w:t xml:space="preserve"> The UNDP should also further support the</w:t>
      </w:r>
      <w:r w:rsidR="00821BB0">
        <w:t xml:space="preserve"> capacity of the NRA and </w:t>
      </w:r>
      <w:r w:rsidR="00AD6EF9">
        <w:t xml:space="preserve">the </w:t>
      </w:r>
      <w:r w:rsidR="00821BB0">
        <w:t xml:space="preserve">UXO Lao to manage donor funds and reporting requirements. </w:t>
      </w:r>
      <w:r w:rsidR="00114F53">
        <w:t>D</w:t>
      </w:r>
      <w:r w:rsidR="00821BB0">
        <w:t xml:space="preserve">eveloping the capacity of the military to undertake UXO clearance to national standard requirements should also be a priority if this is the body that will manage any residual risk. </w:t>
      </w:r>
      <w:r w:rsidR="00821BB0" w:rsidRPr="00D8455E">
        <w:t>It is unlikely</w:t>
      </w:r>
      <w:r w:rsidR="00114F53">
        <w:t xml:space="preserve"> </w:t>
      </w:r>
      <w:r w:rsidR="00821BB0" w:rsidRPr="00D8455E">
        <w:t xml:space="preserve">that the technical capacity that has been built will transfer readily to </w:t>
      </w:r>
      <w:r w:rsidR="003572D5">
        <w:t>military</w:t>
      </w:r>
      <w:r w:rsidR="00821BB0" w:rsidRPr="00D8455E">
        <w:t xml:space="preserve"> salaries.</w:t>
      </w:r>
      <w:r w:rsidR="00821BB0">
        <w:t xml:space="preserve"> </w:t>
      </w:r>
      <w:r w:rsidR="00B04E28" w:rsidRPr="00B04E28">
        <w:t>The initial UXO Trust Fund agreement included provisions of supporting the development of a national commercial UXO clearance capacity that could have been self-sustaining. However, this capacity has not been systematically developed</w:t>
      </w:r>
      <w:r w:rsidR="00AD6EF9">
        <w:t>,</w:t>
      </w:r>
      <w:r w:rsidR="00B04E28" w:rsidRPr="00B04E28">
        <w:t xml:space="preserve"> although a private for-profit sector is emerging. </w:t>
      </w:r>
    </w:p>
    <w:p w:rsidR="009075A0" w:rsidRPr="000C3B05" w:rsidRDefault="0070232B" w:rsidP="0070232B">
      <w:pPr>
        <w:pStyle w:val="Heading2"/>
        <w:numPr>
          <w:ilvl w:val="0"/>
          <w:numId w:val="0"/>
        </w:numPr>
        <w:rPr>
          <w:rFonts w:ascii="Calibri" w:hAnsi="Calibri" w:cs="Calibri"/>
        </w:rPr>
      </w:pPr>
      <w:bookmarkStart w:id="42" w:name="_Toc441609344"/>
      <w:r>
        <w:t xml:space="preserve">5.6 </w:t>
      </w:r>
      <w:r w:rsidR="00BB531A">
        <w:t>Monitoring, evaluation and risk m</w:t>
      </w:r>
      <w:r w:rsidR="003C0B42" w:rsidRPr="00BB531A">
        <w:t>anagement</w:t>
      </w:r>
      <w:bookmarkEnd w:id="42"/>
    </w:p>
    <w:p w:rsidR="00BB531A" w:rsidRDefault="00BB531A" w:rsidP="001E52D5">
      <w:r>
        <w:t xml:space="preserve">While both the NRA and </w:t>
      </w:r>
      <w:r w:rsidR="00BE4E21">
        <w:t xml:space="preserve">the </w:t>
      </w:r>
      <w:r>
        <w:t>UXO Lao have QA/QM procedures</w:t>
      </w:r>
      <w:r w:rsidR="00C116C5">
        <w:t>,</w:t>
      </w:r>
      <w:r w:rsidR="00894309">
        <w:t xml:space="preserve"> and </w:t>
      </w:r>
      <w:r w:rsidR="00BE4E21">
        <w:t xml:space="preserve">the </w:t>
      </w:r>
      <w:r w:rsidR="00894309">
        <w:t xml:space="preserve">UNDP </w:t>
      </w:r>
      <w:r w:rsidR="00C116C5">
        <w:t>has</w:t>
      </w:r>
      <w:r w:rsidR="00894309">
        <w:t xml:space="preserve"> some internal processes, there are no formal monitoring and evaluation processes</w:t>
      </w:r>
      <w:r w:rsidR="00BE4E21">
        <w:t>,</w:t>
      </w:r>
      <w:r w:rsidR="00894309">
        <w:t xml:space="preserve"> and information that is collected is not used to improve performance. </w:t>
      </w:r>
      <w:r w:rsidR="00894309" w:rsidRPr="00894309">
        <w:t>The results framework allow</w:t>
      </w:r>
      <w:r w:rsidR="00894309">
        <w:t>s</w:t>
      </w:r>
      <w:r w:rsidR="00894309" w:rsidRPr="00894309">
        <w:t xml:space="preserve"> for relevant monitoring of </w:t>
      </w:r>
      <w:r w:rsidR="00894309">
        <w:t>outputs</w:t>
      </w:r>
      <w:r w:rsidR="00BE4E21">
        <w:t>,</w:t>
      </w:r>
      <w:r w:rsidR="00894309">
        <w:t xml:space="preserve"> but not for outcomes and impacts as there are no indicators. Further, mo</w:t>
      </w:r>
      <w:r w:rsidR="00BE4E21">
        <w:t>s</w:t>
      </w:r>
      <w:r w:rsidR="00894309">
        <w:t xml:space="preserve">t of the indicators relate to technical outputs and there are no outcomes or </w:t>
      </w:r>
      <w:r w:rsidR="00894309" w:rsidRPr="00894309">
        <w:t xml:space="preserve">impact </w:t>
      </w:r>
      <w:r w:rsidR="00C116C5">
        <w:t xml:space="preserve">indicators, </w:t>
      </w:r>
      <w:r w:rsidR="00894309">
        <w:t xml:space="preserve">or more substantive pro-poor, gender sensitive or rights-based indicators relevant to </w:t>
      </w:r>
      <w:r w:rsidR="00BE4E21">
        <w:t xml:space="preserve">the </w:t>
      </w:r>
      <w:r w:rsidR="00894309">
        <w:t>UNDP’s core business</w:t>
      </w:r>
      <w:r w:rsidR="00BE4E21">
        <w:t>.</w:t>
      </w:r>
      <w:r w:rsidR="00894309">
        <w:t xml:space="preserve"> </w:t>
      </w:r>
    </w:p>
    <w:p w:rsidR="00F04B5C" w:rsidRDefault="00323A39" w:rsidP="00F04B5C">
      <w:r w:rsidRPr="00323A39">
        <w:t>Overall</w:t>
      </w:r>
      <w:r w:rsidR="006B3A20">
        <w:t>,</w:t>
      </w:r>
      <w:r w:rsidRPr="00323A39">
        <w:t xml:space="preserve"> the risk assessment seems reasonable</w:t>
      </w:r>
      <w:r w:rsidR="006B3A20">
        <w:t>,</w:t>
      </w:r>
      <w:r w:rsidRPr="00323A39">
        <w:t xml:space="preserve"> </w:t>
      </w:r>
      <w:r>
        <w:t xml:space="preserve">but the extent to which some of the risks have been effectively managed </w:t>
      </w:r>
      <w:r w:rsidR="001E52D5">
        <w:t xml:space="preserve">and monitored </w:t>
      </w:r>
      <w:r>
        <w:t>is less clear. Certainly</w:t>
      </w:r>
      <w:r w:rsidR="00C116C5">
        <w:t>,</w:t>
      </w:r>
      <w:r>
        <w:t xml:space="preserve"> with regards to </w:t>
      </w:r>
      <w:r w:rsidR="00F04B5C">
        <w:t>task prioritisation</w:t>
      </w:r>
      <w:r w:rsidR="00C116C5">
        <w:t>,</w:t>
      </w:r>
      <w:r w:rsidR="00F04B5C">
        <w:t xml:space="preserve"> which has been a long-standing issue</w:t>
      </w:r>
      <w:r w:rsidR="00C116C5">
        <w:t>,</w:t>
      </w:r>
      <w:r w:rsidR="00F04B5C">
        <w:t xml:space="preserve"> and in particular</w:t>
      </w:r>
      <w:r w:rsidR="00C116C5">
        <w:t>,</w:t>
      </w:r>
      <w:r w:rsidR="00F04B5C">
        <w:t xml:space="preserve"> more latterly in regard to </w:t>
      </w:r>
      <w:r>
        <w:t>resettlement</w:t>
      </w:r>
      <w:r w:rsidR="001E52D5">
        <w:t xml:space="preserve">, many resident donors do not feel that the risk has been </w:t>
      </w:r>
      <w:r w:rsidR="00E863BE">
        <w:t>managed</w:t>
      </w:r>
      <w:r w:rsidR="001E52D5">
        <w:t xml:space="preserve"> well</w:t>
      </w:r>
      <w:r w:rsidR="00C116C5">
        <w:t xml:space="preserve">. Furthermore, </w:t>
      </w:r>
      <w:r w:rsidR="001E52D5">
        <w:t xml:space="preserve">there is no evidence to suggest that there has been a proper risk assessment in relation to specific UXO clearance tasks related to resettlement. </w:t>
      </w:r>
      <w:r w:rsidR="00F04B5C">
        <w:t xml:space="preserve">This is of particular importance for </w:t>
      </w:r>
      <w:r w:rsidR="00C116C5">
        <w:t xml:space="preserve">the </w:t>
      </w:r>
      <w:r w:rsidR="00F04B5C">
        <w:t>UNDP in 2016</w:t>
      </w:r>
      <w:r w:rsidR="00C116C5">
        <w:t>,</w:t>
      </w:r>
      <w:r w:rsidR="00F04B5C">
        <w:t xml:space="preserve"> given the </w:t>
      </w:r>
      <w:r w:rsidR="00C116C5">
        <w:t>G</w:t>
      </w:r>
      <w:r w:rsidR="00F04B5C" w:rsidRPr="00DC183C">
        <w:t xml:space="preserve">overnment and NRA </w:t>
      </w:r>
      <w:r w:rsidR="00F04B5C">
        <w:t xml:space="preserve">are expected to </w:t>
      </w:r>
      <w:r w:rsidR="00F04B5C" w:rsidRPr="00DC183C">
        <w:t>priorit</w:t>
      </w:r>
      <w:r w:rsidR="00F04B5C">
        <w:t>ise for UXO clearance in areas</w:t>
      </w:r>
      <w:r w:rsidR="00F04B5C" w:rsidRPr="00DC183C">
        <w:t xml:space="preserve"> identified as focal development areas</w:t>
      </w:r>
      <w:r w:rsidR="00C116C5">
        <w:t xml:space="preserve">, including </w:t>
      </w:r>
      <w:r w:rsidR="00F04B5C">
        <w:t xml:space="preserve">the </w:t>
      </w:r>
      <w:r w:rsidR="00F04B5C" w:rsidRPr="00DC183C">
        <w:t>167 rural areas identified for stabili</w:t>
      </w:r>
      <w:r w:rsidR="00F04B5C">
        <w:t>s</w:t>
      </w:r>
      <w:r w:rsidR="00F04B5C" w:rsidRPr="00DC183C">
        <w:t>ation for settlement and secure livelihoods, in keeping with the 5</w:t>
      </w:r>
      <w:r w:rsidR="00F04B5C">
        <w:t>-</w:t>
      </w:r>
      <w:r w:rsidR="00F04B5C" w:rsidRPr="00DC183C">
        <w:t>year Rural Development and Poverty Eradication Plan</w:t>
      </w:r>
      <w:r w:rsidR="00F04B5C">
        <w:t xml:space="preserve"> for</w:t>
      </w:r>
      <w:r w:rsidR="00F04B5C" w:rsidRPr="00DC183C">
        <w:t xml:space="preserve"> 2010-2015. For </w:t>
      </w:r>
      <w:r w:rsidR="00F04B5C">
        <w:t xml:space="preserve">the </w:t>
      </w:r>
      <w:r w:rsidR="00F04B5C" w:rsidRPr="00DC183C">
        <w:t xml:space="preserve">UNDP and donors, </w:t>
      </w:r>
      <w:r w:rsidR="00F04B5C">
        <w:t xml:space="preserve">the </w:t>
      </w:r>
      <w:r w:rsidR="00F04B5C" w:rsidRPr="00DC183C">
        <w:t>key is safeguarding the rights of people who are asked to relocate. This issue is also linked to broader task prioritisation concerns</w:t>
      </w:r>
      <w:r w:rsidR="00F04B5C">
        <w:t>,</w:t>
      </w:r>
      <w:r w:rsidR="00F04B5C" w:rsidRPr="00DC183C">
        <w:t xml:space="preserve"> which have often been described as opaque and non-standardised within the sector. The issue of task prioritisation also relates to the purpose of UXO clearance, initial</w:t>
      </w:r>
      <w:r w:rsidR="00A5713E">
        <w:t>ly seen as a humanitarian issue. However, t</w:t>
      </w:r>
      <w:r w:rsidR="00F04B5C" w:rsidRPr="00DC183C">
        <w:t>he purpose has shifted to a development and poverty reduction issue, despite there being no empirical evidence to support this. To dat</w:t>
      </w:r>
      <w:r w:rsidR="00F04B5C">
        <w:t>e</w:t>
      </w:r>
      <w:r w:rsidR="00F04B5C" w:rsidRPr="00DC183C">
        <w:t xml:space="preserve">, </w:t>
      </w:r>
      <w:r w:rsidR="00F04B5C">
        <w:t xml:space="preserve">the </w:t>
      </w:r>
      <w:r w:rsidR="00F04B5C" w:rsidRPr="00DC183C">
        <w:t xml:space="preserve">UNDP has not adequately supported the NRA or </w:t>
      </w:r>
      <w:r w:rsidR="00F04B5C">
        <w:t xml:space="preserve">the </w:t>
      </w:r>
      <w:r w:rsidR="00F04B5C" w:rsidRPr="00DC183C">
        <w:t xml:space="preserve">UXO Lao in </w:t>
      </w:r>
      <w:r w:rsidR="00F04B5C">
        <w:t>developing</w:t>
      </w:r>
      <w:r w:rsidR="00F04B5C" w:rsidRPr="00DC183C">
        <w:t xml:space="preserve"> these links</w:t>
      </w:r>
      <w:r w:rsidR="00F04B5C">
        <w:t>,</w:t>
      </w:r>
      <w:r w:rsidR="00F04B5C" w:rsidRPr="00DC183C">
        <w:t xml:space="preserve"> which further frustrate</w:t>
      </w:r>
      <w:r w:rsidR="00F04B5C">
        <w:t>s</w:t>
      </w:r>
      <w:r w:rsidR="00F04B5C" w:rsidRPr="00DC183C">
        <w:t xml:space="preserve"> some donors who are required to demonstrate how taxpayer money is addressing donor country priorities.  </w:t>
      </w:r>
    </w:p>
    <w:p w:rsidR="00FA26BE" w:rsidRDefault="001E52D5" w:rsidP="00326A0C">
      <w:r>
        <w:t xml:space="preserve">Similarly, the NRA and </w:t>
      </w:r>
      <w:r w:rsidR="006B3A20">
        <w:t xml:space="preserve">the </w:t>
      </w:r>
      <w:r w:rsidRPr="001E52D5">
        <w:t xml:space="preserve">UXO Lao </w:t>
      </w:r>
      <w:r>
        <w:t>have continued to be highly dependent on donor funding as evidenced by the 2</w:t>
      </w:r>
      <w:r w:rsidR="006B3A20">
        <w:t>01</w:t>
      </w:r>
      <w:r>
        <w:t>4 financial crisis</w:t>
      </w:r>
      <w:r w:rsidR="00A5713E">
        <w:t xml:space="preserve">. In this instance, </w:t>
      </w:r>
      <w:r>
        <w:t xml:space="preserve">risk mitigation strategies were not particularly effective, evidenced by the </w:t>
      </w:r>
      <w:r w:rsidR="00C4045A">
        <w:t>numbers of people who were</w:t>
      </w:r>
      <w:r>
        <w:t xml:space="preserve"> stood down. From a donor perspective, </w:t>
      </w:r>
      <w:r w:rsidRPr="001E52D5">
        <w:t xml:space="preserve">Government </w:t>
      </w:r>
      <w:r>
        <w:t>contributions are still too low. While i</w:t>
      </w:r>
      <w:r w:rsidRPr="001E52D5">
        <w:t xml:space="preserve">nsufficient opportunity for dialogue among </w:t>
      </w:r>
      <w:r w:rsidR="00A5713E">
        <w:t xml:space="preserve">the </w:t>
      </w:r>
      <w:r w:rsidRPr="001E52D5">
        <w:t>NRA, donors</w:t>
      </w:r>
      <w:r w:rsidR="00A5713E">
        <w:t>,</w:t>
      </w:r>
      <w:r w:rsidRPr="001E52D5">
        <w:t xml:space="preserve"> and operators</w:t>
      </w:r>
      <w:r w:rsidR="00A5713E">
        <w:t>,</w:t>
      </w:r>
      <w:r>
        <w:t xml:space="preserve"> was identified as a risk, mechanisms to mitigate this, such as a communication strategy developed and implemented and </w:t>
      </w:r>
      <w:r w:rsidR="00326A0C">
        <w:t>policy forums</w:t>
      </w:r>
      <w:r w:rsidR="006B3A20">
        <w:t>,</w:t>
      </w:r>
      <w:r w:rsidR="00326A0C">
        <w:t xml:space="preserve"> were not consistently implemented. Staff turnover </w:t>
      </w:r>
      <w:r w:rsidR="006B3A20">
        <w:t>w</w:t>
      </w:r>
      <w:r w:rsidR="00326A0C">
        <w:t>as identified as a risk</w:t>
      </w:r>
      <w:r w:rsidR="006B3A20">
        <w:t>,</w:t>
      </w:r>
      <w:r w:rsidR="00326A0C">
        <w:t xml:space="preserve"> but this is a reality for all organisations in a growing market economy and is one that needs to be planned for </w:t>
      </w:r>
      <w:r w:rsidR="006B3A20">
        <w:t xml:space="preserve">in order </w:t>
      </w:r>
      <w:r w:rsidR="00326A0C">
        <w:t xml:space="preserve">to minimise the effect. </w:t>
      </w:r>
    </w:p>
    <w:p w:rsidR="00606782" w:rsidRDefault="00326A0C" w:rsidP="00326A0C">
      <w:r>
        <w:t xml:space="preserve">The programme document also identifies </w:t>
      </w:r>
      <w:r w:rsidR="006B3A20">
        <w:t xml:space="preserve">the </w:t>
      </w:r>
      <w:r>
        <w:t>t</w:t>
      </w:r>
      <w:r w:rsidR="00323A39" w:rsidRPr="00326A0C">
        <w:t xml:space="preserve">echnical complexity of </w:t>
      </w:r>
      <w:r w:rsidR="006B3A20">
        <w:t xml:space="preserve">the </w:t>
      </w:r>
      <w:r w:rsidR="00323A39" w:rsidRPr="00326A0C">
        <w:t xml:space="preserve">sector </w:t>
      </w:r>
      <w:r>
        <w:t xml:space="preserve">as a </w:t>
      </w:r>
      <w:r w:rsidR="005F3B75">
        <w:t>risk;</w:t>
      </w:r>
      <w:r>
        <w:t xml:space="preserve"> yet technical capacity building is where most of the effort has been directed. </w:t>
      </w:r>
      <w:r w:rsidR="005F3B75">
        <w:t xml:space="preserve">Compared to most interventions, aside from the </w:t>
      </w:r>
      <w:r w:rsidR="006B3A20">
        <w:t>significant</w:t>
      </w:r>
      <w:r w:rsidR="005F3B75">
        <w:t xml:space="preserve"> problem of </w:t>
      </w:r>
      <w:r w:rsidR="006B3A20">
        <w:t xml:space="preserve">not </w:t>
      </w:r>
      <w:r w:rsidR="005F3B75">
        <w:t xml:space="preserve">knowing which areas are contaminated, the actions and outputs in the programme document related to technical competence are relatively straightforward. More complex </w:t>
      </w:r>
      <w:r w:rsidR="00E863BE">
        <w:t>is</w:t>
      </w:r>
      <w:r w:rsidR="005F3B75">
        <w:t xml:space="preserve"> achieving the upstream outcomes, which are not included in the programme document</w:t>
      </w:r>
      <w:r w:rsidR="006B3A20">
        <w:t>. These</w:t>
      </w:r>
      <w:r w:rsidR="005F3B75">
        <w:t xml:space="preserve"> relate to the broader purpose of </w:t>
      </w:r>
      <w:r w:rsidR="006B3A20">
        <w:t xml:space="preserve">the </w:t>
      </w:r>
      <w:r w:rsidR="004F1A16">
        <w:t>UXO/Mine A</w:t>
      </w:r>
      <w:r w:rsidR="005F3B75">
        <w:t>ction to contribute to poverty reduction</w:t>
      </w:r>
      <w:r w:rsidR="006B3A20">
        <w:t>,</w:t>
      </w:r>
      <w:r w:rsidR="005F3B75">
        <w:t xml:space="preserve"> </w:t>
      </w:r>
      <w:r w:rsidR="006B3A20">
        <w:t xml:space="preserve">whereby </w:t>
      </w:r>
      <w:r w:rsidR="005F3B75">
        <w:t>poverty has multiple layers of cause and effect pathways, making i</w:t>
      </w:r>
      <w:r w:rsidR="004F1A16">
        <w:t>t difficult to disentangle UXO/Mine A</w:t>
      </w:r>
      <w:r w:rsidR="005F3B75">
        <w:t>ction’s contribution. Another risk that seems more relevant to achieving outcomes than technical complexity are the downstream tasks of community engagement and task prioritisation</w:t>
      </w:r>
      <w:r w:rsidR="006B3A20">
        <w:t>,</w:t>
      </w:r>
      <w:r w:rsidR="005F3B75">
        <w:t xml:space="preserve"> which influence the quality and type of outcomes that are observed.  </w:t>
      </w:r>
      <w:r w:rsidR="00131037">
        <w:t xml:space="preserve">Another risk identified in the project document is that </w:t>
      </w:r>
      <w:r w:rsidR="00606782">
        <w:t>provincial and d</w:t>
      </w:r>
      <w:r w:rsidR="00606782" w:rsidRPr="00606782">
        <w:t xml:space="preserve">istrict authorities </w:t>
      </w:r>
      <w:r w:rsidR="00606782">
        <w:t xml:space="preserve">are </w:t>
      </w:r>
      <w:r w:rsidR="00606782" w:rsidRPr="00606782">
        <w:t xml:space="preserve">reluctant to accept </w:t>
      </w:r>
      <w:r w:rsidR="00467198">
        <w:t>an</w:t>
      </w:r>
      <w:r w:rsidR="00606782">
        <w:t xml:space="preserve"> </w:t>
      </w:r>
      <w:r w:rsidR="00A5713E">
        <w:t>NRA proactive, centralis</w:t>
      </w:r>
      <w:r w:rsidR="00606782" w:rsidRPr="00606782">
        <w:t>ed role</w:t>
      </w:r>
      <w:r w:rsidR="00467198">
        <w:t>, in prioritis</w:t>
      </w:r>
      <w:r w:rsidR="00606782" w:rsidRPr="00606782">
        <w:t>ation and planning of activities.</w:t>
      </w:r>
      <w:r w:rsidR="00606782">
        <w:t xml:space="preserve"> Few activities, if any, seem to have been undertaken to mitigate this potential risk, although in reality</w:t>
      </w:r>
      <w:r w:rsidR="00467198">
        <w:t>,</w:t>
      </w:r>
      <w:r w:rsidR="00606782">
        <w:t xml:space="preserve"> a centralised approach has not been implemented to date. </w:t>
      </w:r>
      <w:r w:rsidR="00606782" w:rsidRPr="00606782">
        <w:t xml:space="preserve">Changes in governance arrangements or key personnel in </w:t>
      </w:r>
      <w:r w:rsidR="00467198">
        <w:t xml:space="preserve">the </w:t>
      </w:r>
      <w:r w:rsidR="00606782" w:rsidRPr="00606782">
        <w:t>NRA or UXO Lao</w:t>
      </w:r>
      <w:r w:rsidR="00606782">
        <w:t xml:space="preserve"> were also identified in the project document</w:t>
      </w:r>
      <w:r w:rsidR="00467198">
        <w:t>.</w:t>
      </w:r>
      <w:r w:rsidR="00606782">
        <w:t xml:space="preserve"> </w:t>
      </w:r>
      <w:r w:rsidR="00467198">
        <w:t>D</w:t>
      </w:r>
      <w:r w:rsidR="00606782">
        <w:t>espite this being a well-documented phenomena, limited action seems to have been undertaken (or at least documented)</w:t>
      </w:r>
      <w:r w:rsidR="00ED390E">
        <w:t xml:space="preserve"> </w:t>
      </w:r>
      <w:r w:rsidR="00606782">
        <w:t xml:space="preserve">to actively mitigate the risk </w:t>
      </w:r>
      <w:r w:rsidR="00606782" w:rsidRPr="00606782">
        <w:t>.</w:t>
      </w:r>
    </w:p>
    <w:p w:rsidR="00567D03" w:rsidRPr="00DC183C" w:rsidRDefault="00567D03" w:rsidP="00A25570">
      <w:pPr>
        <w:pStyle w:val="Heading1"/>
        <w:numPr>
          <w:ilvl w:val="0"/>
          <w:numId w:val="26"/>
        </w:numPr>
      </w:pPr>
      <w:bookmarkStart w:id="43" w:name="_Toc438468822"/>
      <w:bookmarkStart w:id="44" w:name="_Toc438469042"/>
      <w:bookmarkStart w:id="45" w:name="_Toc441609345"/>
      <w:bookmarkEnd w:id="43"/>
      <w:bookmarkEnd w:id="44"/>
      <w:r w:rsidRPr="00DC183C">
        <w:t>Conclusions and Recommendations</w:t>
      </w:r>
      <w:r w:rsidR="00366FD2" w:rsidRPr="00DC183C">
        <w:t xml:space="preserve"> for further UNDP support</w:t>
      </w:r>
      <w:bookmarkEnd w:id="45"/>
    </w:p>
    <w:p w:rsidR="00EA24EB" w:rsidRPr="00DC183C" w:rsidRDefault="00EA24EB" w:rsidP="00561E18">
      <w:pPr>
        <w:pStyle w:val="NormalModified"/>
      </w:pPr>
      <w:r>
        <w:t>The UXO sector has made steady progress since its beginnings in 1995</w:t>
      </w:r>
      <w:r w:rsidR="00561E18">
        <w:t>,</w:t>
      </w:r>
      <w:r>
        <w:t xml:space="preserve"> but despite this</w:t>
      </w:r>
      <w:r w:rsidR="00561E18">
        <w:t>,</w:t>
      </w:r>
      <w:r>
        <w:t xml:space="preserve"> much remains to be done</w:t>
      </w:r>
      <w:r w:rsidR="00561E18">
        <w:t>. This</w:t>
      </w:r>
      <w:r>
        <w:t xml:space="preserve"> </w:t>
      </w:r>
      <w:r w:rsidR="00561E18">
        <w:t>includes</w:t>
      </w:r>
      <w:r>
        <w:t xml:space="preserve"> getting a better understanding of the extent of UXO contamination and determining where it has the most impact on individual</w:t>
      </w:r>
      <w:r w:rsidR="00561E18">
        <w:t>s</w:t>
      </w:r>
      <w:r>
        <w:t>, families</w:t>
      </w:r>
      <w:r w:rsidR="00561E18">
        <w:t>,</w:t>
      </w:r>
      <w:r>
        <w:t xml:space="preserve"> </w:t>
      </w:r>
      <w:r w:rsidR="00561E18">
        <w:t>and</w:t>
      </w:r>
      <w:r>
        <w:t xml:space="preserve"> communities</w:t>
      </w:r>
      <w:r w:rsidR="00561E18">
        <w:t>,</w:t>
      </w:r>
      <w:r>
        <w:t xml:space="preserve"> so that resources can be prioritised to the areas where they will be the most impactful. </w:t>
      </w:r>
      <w:r w:rsidR="00D66835">
        <w:t>A summary of recommendation</w:t>
      </w:r>
      <w:r w:rsidR="00561E18">
        <w:t>s</w:t>
      </w:r>
      <w:r w:rsidR="005F2BA6">
        <w:t xml:space="preserve"> is also provided in Appendix 5</w:t>
      </w:r>
      <w:r w:rsidR="00D66835">
        <w:t>.</w:t>
      </w:r>
    </w:p>
    <w:p w:rsidR="00AE01A7" w:rsidRPr="00336109" w:rsidRDefault="00AE01A7" w:rsidP="005275F8">
      <w:pPr>
        <w:pStyle w:val="Heading2"/>
        <w:numPr>
          <w:ilvl w:val="0"/>
          <w:numId w:val="0"/>
        </w:numPr>
      </w:pPr>
      <w:bookmarkStart w:id="46" w:name="_Toc441609346"/>
      <w:r w:rsidRPr="00336109">
        <w:t>Programme design</w:t>
      </w:r>
      <w:bookmarkEnd w:id="46"/>
      <w:r w:rsidRPr="00336109">
        <w:t xml:space="preserve"> </w:t>
      </w:r>
    </w:p>
    <w:p w:rsidR="005275F8" w:rsidRDefault="00394A4F" w:rsidP="00AE01A7">
      <w:pPr>
        <w:rPr>
          <w:rFonts w:cs="TT15Et00"/>
        </w:rPr>
      </w:pPr>
      <w:r>
        <w:t>In many ways</w:t>
      </w:r>
      <w:r w:rsidRPr="00336109">
        <w:t xml:space="preserve">, </w:t>
      </w:r>
      <w:r w:rsidR="00561E18">
        <w:t xml:space="preserve">the </w:t>
      </w:r>
      <w:r w:rsidRPr="00336109">
        <w:t xml:space="preserve">UNDP support to </w:t>
      </w:r>
      <w:r>
        <w:t>UXO/</w:t>
      </w:r>
      <w:r w:rsidR="004F1A16">
        <w:t>M</w:t>
      </w:r>
      <w:r w:rsidR="00561E18">
        <w:t xml:space="preserve">ine </w:t>
      </w:r>
      <w:r w:rsidR="004F1A16">
        <w:t>A</w:t>
      </w:r>
      <w:r w:rsidRPr="00336109">
        <w:t xml:space="preserve">ction in </w:t>
      </w:r>
      <w:r>
        <w:t xml:space="preserve">this project period </w:t>
      </w:r>
      <w:r w:rsidRPr="00336109">
        <w:t xml:space="preserve">has been appropriate and </w:t>
      </w:r>
      <w:r>
        <w:t xml:space="preserve">many of the programme outputs have been, or are likely to be, achieved by the end of the three-year period. These outputs contribute to the Government of the Lao PDR achieving </w:t>
      </w:r>
      <w:r w:rsidRPr="00336109">
        <w:t>its</w:t>
      </w:r>
      <w:r>
        <w:t xml:space="preserve"> CCM </w:t>
      </w:r>
      <w:r w:rsidRPr="00336109">
        <w:t>obligations</w:t>
      </w:r>
      <w:r w:rsidR="00561E18">
        <w:t>. I</w:t>
      </w:r>
      <w:r>
        <w:t xml:space="preserve">n </w:t>
      </w:r>
      <w:r w:rsidR="00C4115B">
        <w:t>relation to the CCM</w:t>
      </w:r>
      <w:r>
        <w:t xml:space="preserve">, the programme design can be considered </w:t>
      </w:r>
      <w:r w:rsidRPr="00336109">
        <w:t xml:space="preserve">satisfactory. </w:t>
      </w:r>
      <w:r>
        <w:t>T</w:t>
      </w:r>
      <w:r w:rsidRPr="00336109">
        <w:t>he</w:t>
      </w:r>
      <w:r>
        <w:t xml:space="preserve"> </w:t>
      </w:r>
      <w:r w:rsidRPr="00185A12">
        <w:t xml:space="preserve">objective </w:t>
      </w:r>
      <w:r>
        <w:t xml:space="preserve">of </w:t>
      </w:r>
      <w:r w:rsidR="00561E18">
        <w:t xml:space="preserve">the </w:t>
      </w:r>
      <w:r>
        <w:t>UNDP’s support</w:t>
      </w:r>
      <w:r w:rsidR="00561E18">
        <w:t>,</w:t>
      </w:r>
      <w:r>
        <w:t xml:space="preserve"> however, is not simply to </w:t>
      </w:r>
      <w:r w:rsidR="00F26034">
        <w:t>strengthen the delivery of UXO/Mine A</w:t>
      </w:r>
      <w:r>
        <w:t xml:space="preserve">ction related services. Rather, the purpose is to strengthen the capacity of the NRA and UXO Lao </w:t>
      </w:r>
      <w:r w:rsidR="00F26034">
        <w:t>as articulated in the programme title, to enable</w:t>
      </w:r>
      <w:r w:rsidR="004F1A16">
        <w:t xml:space="preserve"> the delivery of effectiv</w:t>
      </w:r>
      <w:r w:rsidR="00E863BE">
        <w:t xml:space="preserve">e UXO/Mine </w:t>
      </w:r>
      <w:r w:rsidR="004F1A16">
        <w:t>A</w:t>
      </w:r>
      <w:r w:rsidR="00E863BE">
        <w:t>c</w:t>
      </w:r>
      <w:r w:rsidR="00F26034">
        <w:t>tion services. The purpose of these services</w:t>
      </w:r>
      <w:r w:rsidR="00561E18">
        <w:t>,</w:t>
      </w:r>
      <w:r w:rsidR="00F26034">
        <w:t xml:space="preserve"> as stated in government documents</w:t>
      </w:r>
      <w:r w:rsidR="00561E18">
        <w:t>, is to contribute to</w:t>
      </w:r>
      <w:r w:rsidR="00F26034">
        <w:t xml:space="preserve"> the government’s rural development and poverty eradication objectives</w:t>
      </w:r>
      <w:r w:rsidR="00D25CD4">
        <w:t xml:space="preserve">. </w:t>
      </w:r>
      <w:r w:rsidR="00F26034">
        <w:t>That is, UXO clearance is the means to an end, not an end in itself</w:t>
      </w:r>
      <w:r w:rsidR="00E863BE">
        <w:t xml:space="preserve">. </w:t>
      </w:r>
      <w:r w:rsidR="008379B7">
        <w:t>From this perspective, t</w:t>
      </w:r>
      <w:r w:rsidR="00C4115B">
        <w:t>he lack of focus in the programme document related to task prioritisation</w:t>
      </w:r>
      <w:r w:rsidR="00561E18">
        <w:t>,</w:t>
      </w:r>
      <w:r w:rsidR="00C4115B">
        <w:t xml:space="preserve"> for example, and the absence of outcome indicators</w:t>
      </w:r>
      <w:r w:rsidR="00561E18">
        <w:t>,</w:t>
      </w:r>
      <w:r w:rsidR="00C4115B">
        <w:t xml:space="preserve"> including indicators relating to </w:t>
      </w:r>
      <w:r w:rsidR="00561E18">
        <w:t xml:space="preserve">capacity development and </w:t>
      </w:r>
      <w:r w:rsidR="008379B7">
        <w:t>gender and human rights</w:t>
      </w:r>
      <w:r w:rsidR="00561E18">
        <w:t>,</w:t>
      </w:r>
      <w:r w:rsidR="008379B7">
        <w:t xml:space="preserve"> significantly diminishes the effectiveness of the program design. </w:t>
      </w:r>
      <w:r w:rsidR="00F26034">
        <w:t>W</w:t>
      </w:r>
      <w:r w:rsidR="00E863BE">
        <w:t>hile not uncommon in Mine Ac</w:t>
      </w:r>
      <w:r>
        <w:t xml:space="preserve">tion programmes, these limitations make assessing </w:t>
      </w:r>
      <w:r w:rsidR="00561E18">
        <w:t xml:space="preserve">the </w:t>
      </w:r>
      <w:r>
        <w:t>UNDP’s full contribution</w:t>
      </w:r>
      <w:r w:rsidR="00561E18">
        <w:t xml:space="preserve"> challenging</w:t>
      </w:r>
      <w:r>
        <w:t xml:space="preserve">. Furthermore, it does not hold </w:t>
      </w:r>
      <w:r w:rsidR="00561E18">
        <w:t xml:space="preserve">the </w:t>
      </w:r>
      <w:r>
        <w:t xml:space="preserve">UNDP accountable for capacity building. </w:t>
      </w:r>
      <w:r w:rsidR="00561E18">
        <w:t xml:space="preserve">The </w:t>
      </w:r>
      <w:r>
        <w:t xml:space="preserve">UNDP has begun to address this through the </w:t>
      </w:r>
      <w:r w:rsidRPr="00EA2ABF">
        <w:rPr>
          <w:rFonts w:cs="TT15Et00"/>
        </w:rPr>
        <w:t>implementation of the NRA and UXO Lao Capacity Development Strategy and Action Plans (2014)</w:t>
      </w:r>
      <w:r w:rsidR="00561E18">
        <w:rPr>
          <w:rFonts w:cs="TT15Et00"/>
        </w:rPr>
        <w:t>,</w:t>
      </w:r>
      <w:r>
        <w:rPr>
          <w:rFonts w:cs="TT15Et00"/>
        </w:rPr>
        <w:t xml:space="preserve"> and this work should be continued i</w:t>
      </w:r>
      <w:r w:rsidR="00F26034">
        <w:rPr>
          <w:rFonts w:cs="TT15Et00"/>
        </w:rPr>
        <w:t>n the next programme cycle (2017 onwards)</w:t>
      </w:r>
      <w:r>
        <w:rPr>
          <w:rFonts w:cs="TT15Et00"/>
        </w:rPr>
        <w:t xml:space="preserve">. </w:t>
      </w:r>
      <w:r w:rsidR="00C6036C" w:rsidRPr="00C6036C">
        <w:rPr>
          <w:rFonts w:cs="TT15Et00"/>
        </w:rPr>
        <w:t xml:space="preserve">This will also allow for a more rigorous analysis of the UNDP’s contribution to achieving the programme’s objectives. </w:t>
      </w:r>
    </w:p>
    <w:p w:rsidR="00AE01A7" w:rsidRDefault="00AE01A7" w:rsidP="00AE01A7">
      <w:pPr>
        <w:rPr>
          <w:rFonts w:cs="TT15Et00"/>
          <w:b/>
        </w:rPr>
      </w:pPr>
      <w:r w:rsidRPr="008724DE">
        <w:rPr>
          <w:rFonts w:cs="TT15Et00"/>
          <w:b/>
        </w:rPr>
        <w:t>Specific Recommendations</w:t>
      </w:r>
      <w:r w:rsidR="00D25CD4">
        <w:rPr>
          <w:rFonts w:cs="TT15Et00"/>
          <w:b/>
        </w:rPr>
        <w:t xml:space="preserve"> </w:t>
      </w:r>
    </w:p>
    <w:p w:rsidR="00394A4F" w:rsidRPr="00D32F8F" w:rsidRDefault="0043071F" w:rsidP="00D32F8F">
      <w:pPr>
        <w:pStyle w:val="ListParagraph"/>
        <w:numPr>
          <w:ilvl w:val="0"/>
          <w:numId w:val="47"/>
        </w:numPr>
        <w:tabs>
          <w:tab w:val="left" w:pos="284"/>
        </w:tabs>
        <w:spacing w:after="200"/>
        <w:rPr>
          <w:rFonts w:cs="TT15Et00"/>
        </w:rPr>
      </w:pPr>
      <w:r w:rsidRPr="00D32F8F">
        <w:rPr>
          <w:rFonts w:cs="TT15Et00"/>
        </w:rPr>
        <w:t xml:space="preserve">The UNDP, with the NRA and the UXO Lao, should actively promote the allocation of resources to developing management capacities, clearly articulating </w:t>
      </w:r>
      <w:r>
        <w:t xml:space="preserve">how the UNDP’s support contributes to programme outputs and outcomes and capacity development. </w:t>
      </w:r>
    </w:p>
    <w:p w:rsidR="00AE01A7" w:rsidRPr="00336109" w:rsidRDefault="00AE01A7" w:rsidP="005275F8">
      <w:pPr>
        <w:pStyle w:val="Heading2"/>
        <w:numPr>
          <w:ilvl w:val="0"/>
          <w:numId w:val="0"/>
        </w:numPr>
      </w:pPr>
      <w:bookmarkStart w:id="47" w:name="_Toc441609347"/>
      <w:r w:rsidRPr="00336109">
        <w:t>Outputs, outcomes, impact and relevance</w:t>
      </w:r>
      <w:bookmarkEnd w:id="47"/>
    </w:p>
    <w:p w:rsidR="00081B7E" w:rsidRDefault="00E74FC6" w:rsidP="002C0B7D">
      <w:r>
        <w:t>UXO/Mine A</w:t>
      </w:r>
      <w:r w:rsidR="008E4D1E" w:rsidRPr="00336109">
        <w:t xml:space="preserve">ction in Lao PDR remains highly relevant </w:t>
      </w:r>
      <w:r>
        <w:t xml:space="preserve">to the Lao context and </w:t>
      </w:r>
      <w:r w:rsidR="002C0B7D">
        <w:t xml:space="preserve">is </w:t>
      </w:r>
      <w:r>
        <w:t>a priority for</w:t>
      </w:r>
      <w:r w:rsidR="002C0B7D">
        <w:t xml:space="preserve"> the G</w:t>
      </w:r>
      <w:r w:rsidR="008E4D1E">
        <w:t xml:space="preserve">overnment, </w:t>
      </w:r>
      <w:r w:rsidR="002C0B7D">
        <w:t xml:space="preserve">the </w:t>
      </w:r>
      <w:r w:rsidR="008E4D1E">
        <w:t>UNDP</w:t>
      </w:r>
      <w:r w:rsidR="002C0B7D">
        <w:t>,</w:t>
      </w:r>
      <w:r w:rsidR="008E4D1E">
        <w:t xml:space="preserve"> and State Parties to </w:t>
      </w:r>
      <w:r w:rsidR="0041726F">
        <w:t xml:space="preserve">the CCM </w:t>
      </w:r>
      <w:r w:rsidR="002C0B7D">
        <w:t>(art. 6)</w:t>
      </w:r>
      <w:r w:rsidRPr="0041726F">
        <w:t>.</w:t>
      </w:r>
      <w:r w:rsidR="008E4D1E" w:rsidRPr="0041726F">
        <w:t xml:space="preserve"> </w:t>
      </w:r>
      <w:r w:rsidR="00081B7E" w:rsidRPr="0041726F">
        <w:t>Output</w:t>
      </w:r>
      <w:r w:rsidR="00081B7E">
        <w:t xml:space="preserve"> data provides an indicator of measureable progress towards CCM commitments. The absence of a transparent task prioritisation process </w:t>
      </w:r>
      <w:r w:rsidR="00E863BE">
        <w:t xml:space="preserve">(refer to sections 4.1.4, 4.1.5 </w:t>
      </w:r>
      <w:r w:rsidR="00081B7E">
        <w:t xml:space="preserve">and </w:t>
      </w:r>
      <w:r w:rsidR="00E863BE">
        <w:t xml:space="preserve">4.2) </w:t>
      </w:r>
      <w:r w:rsidR="002C0B7D">
        <w:t xml:space="preserve">and </w:t>
      </w:r>
      <w:r w:rsidR="00081B7E">
        <w:t>empirical outcome data</w:t>
      </w:r>
      <w:r w:rsidR="002C0B7D">
        <w:t>,</w:t>
      </w:r>
      <w:r w:rsidR="00081B7E">
        <w:t xml:space="preserve"> however, makes it a challenge to assess outcomes and impacts (positive, negative, intended, and unintended), and their relevance in terms of contributing to the programme’s broader purpose of rural development and poverty eradication. The plan to strengthen the monitoring and evaluation capacity beyond</w:t>
      </w:r>
      <w:r w:rsidR="002C0B7D">
        <w:t xml:space="preserve"> the</w:t>
      </w:r>
      <w:r w:rsidR="00081B7E">
        <w:t xml:space="preserve"> current QA/QC will go some way towards addressing this.</w:t>
      </w:r>
      <w:r w:rsidR="005275F8">
        <w:t xml:space="preserve"> Looking forwards, considering how the UXO sector’s work contributes to the </w:t>
      </w:r>
      <w:r w:rsidR="005275F8" w:rsidRPr="005275F8">
        <w:rPr>
          <w:rFonts w:cs="TT15Ct00"/>
        </w:rPr>
        <w:t>Sustainable Development Goal (SDGs) targets</w:t>
      </w:r>
      <w:r w:rsidR="005275F8">
        <w:rPr>
          <w:rFonts w:cs="TT15Ct00"/>
        </w:rPr>
        <w:t xml:space="preserve"> is also important.</w:t>
      </w:r>
    </w:p>
    <w:p w:rsidR="004B4DE0" w:rsidRDefault="00C6036C" w:rsidP="00D32F8F">
      <w:pPr>
        <w:pStyle w:val="ListParagraph"/>
        <w:numPr>
          <w:ilvl w:val="0"/>
          <w:numId w:val="47"/>
        </w:numPr>
        <w:tabs>
          <w:tab w:val="left" w:pos="284"/>
        </w:tabs>
        <w:spacing w:after="200"/>
      </w:pPr>
      <w:r w:rsidRPr="005275F8">
        <w:t>T</w:t>
      </w:r>
      <w:r w:rsidR="00E863BE" w:rsidRPr="005275F8">
        <w:t xml:space="preserve">he UNDP </w:t>
      </w:r>
      <w:r w:rsidR="0043071F" w:rsidRPr="005275F8">
        <w:t xml:space="preserve">should </w:t>
      </w:r>
      <w:r w:rsidR="00E863BE" w:rsidRPr="005275F8">
        <w:t>actively promote dialogue betwe</w:t>
      </w:r>
      <w:r w:rsidR="0043071F" w:rsidRPr="005275F8">
        <w:t>en the NRA, LNCRDPE, MPI</w:t>
      </w:r>
      <w:r w:rsidR="002C0B7D" w:rsidRPr="005275F8">
        <w:t>,</w:t>
      </w:r>
      <w:r w:rsidR="00E863BE" w:rsidRPr="005275F8">
        <w:t xml:space="preserve"> and other stakeholders</w:t>
      </w:r>
      <w:r w:rsidR="002C0B7D" w:rsidRPr="005275F8">
        <w:t>,</w:t>
      </w:r>
      <w:r w:rsidR="00E863BE" w:rsidRPr="005275F8">
        <w:t xml:space="preserve"> including province and district level planners</w:t>
      </w:r>
      <w:r w:rsidR="002C0B7D" w:rsidRPr="005275F8">
        <w:t>,</w:t>
      </w:r>
      <w:r w:rsidR="00E863BE" w:rsidRPr="005275F8">
        <w:t xml:space="preserve"> </w:t>
      </w:r>
      <w:r w:rsidR="0043071F" w:rsidRPr="005275F8">
        <w:t xml:space="preserve">to </w:t>
      </w:r>
      <w:r w:rsidR="00D65B84">
        <w:t xml:space="preserve">articulate a </w:t>
      </w:r>
      <w:r w:rsidR="009B7B91" w:rsidRPr="005275F8">
        <w:t>transparent, systematic, and auditable process for task prioritisation</w:t>
      </w:r>
      <w:r w:rsidR="002C0B7D" w:rsidRPr="005275F8">
        <w:t>,</w:t>
      </w:r>
      <w:r w:rsidR="0043071F" w:rsidRPr="005275F8">
        <w:t xml:space="preserve"> collection of relevant </w:t>
      </w:r>
      <w:r w:rsidR="009B7B91" w:rsidRPr="005275F8">
        <w:t xml:space="preserve">baseline and </w:t>
      </w:r>
      <w:r w:rsidR="0043071F" w:rsidRPr="005275F8">
        <w:t>outcome indicators</w:t>
      </w:r>
      <w:r w:rsidR="009B7B91" w:rsidRPr="005275F8">
        <w:t xml:space="preserve"> (possibly integrated into existing processes)</w:t>
      </w:r>
      <w:r w:rsidR="0043071F" w:rsidRPr="005275F8">
        <w:t xml:space="preserve">. </w:t>
      </w:r>
    </w:p>
    <w:p w:rsidR="00394A4F" w:rsidRPr="005275F8" w:rsidRDefault="005275F8" w:rsidP="00D32F8F">
      <w:pPr>
        <w:pStyle w:val="ListParagraph"/>
        <w:numPr>
          <w:ilvl w:val="0"/>
          <w:numId w:val="47"/>
        </w:numPr>
        <w:tabs>
          <w:tab w:val="left" w:pos="284"/>
        </w:tabs>
        <w:spacing w:after="200"/>
      </w:pPr>
      <w:r w:rsidRPr="005275F8">
        <w:t>T</w:t>
      </w:r>
      <w:r w:rsidR="00394A4F" w:rsidRPr="005275F8">
        <w:t xml:space="preserve">he UNDP </w:t>
      </w:r>
      <w:r w:rsidRPr="005275F8">
        <w:t xml:space="preserve">should </w:t>
      </w:r>
      <w:r w:rsidR="00394A4F" w:rsidRPr="005275F8">
        <w:t>support</w:t>
      </w:r>
      <w:r w:rsidRPr="005275F8">
        <w:t xml:space="preserve"> </w:t>
      </w:r>
      <w:r w:rsidR="00394A4F" w:rsidRPr="005275F8">
        <w:t xml:space="preserve">the </w:t>
      </w:r>
      <w:r w:rsidR="00394A4F" w:rsidRPr="004B4DE0">
        <w:rPr>
          <w:rFonts w:cs="TT15Ct00"/>
        </w:rPr>
        <w:t>NRA, the UXO Lao</w:t>
      </w:r>
      <w:r w:rsidR="002C0B7D" w:rsidRPr="004B4DE0">
        <w:rPr>
          <w:rFonts w:cs="TT15Ct00"/>
        </w:rPr>
        <w:t>,</w:t>
      </w:r>
      <w:r w:rsidR="00394A4F" w:rsidRPr="004B4DE0">
        <w:rPr>
          <w:rFonts w:cs="TT15Ct00"/>
        </w:rPr>
        <w:t xml:space="preserve"> and other relevant stakeholders, </w:t>
      </w:r>
      <w:r w:rsidR="00081B7E" w:rsidRPr="004B4DE0">
        <w:rPr>
          <w:rFonts w:cs="TT15Ct00"/>
        </w:rPr>
        <w:t>to identify how UXO/Mine A</w:t>
      </w:r>
      <w:r w:rsidR="00394A4F" w:rsidRPr="004B4DE0">
        <w:rPr>
          <w:rFonts w:cs="TT15Ct00"/>
        </w:rPr>
        <w:t xml:space="preserve">ction might contribute to the </w:t>
      </w:r>
      <w:r w:rsidRPr="004B4DE0">
        <w:rPr>
          <w:rFonts w:cs="TT15Ct00"/>
        </w:rPr>
        <w:t>SDG</w:t>
      </w:r>
      <w:r w:rsidR="00394A4F" w:rsidRPr="004B4DE0">
        <w:rPr>
          <w:rFonts w:cs="TT15Ct00"/>
        </w:rPr>
        <w:t xml:space="preserve"> targets and identify what, if any, </w:t>
      </w:r>
      <w:r w:rsidR="00081B7E" w:rsidRPr="004B4DE0">
        <w:rPr>
          <w:rFonts w:cs="TT15Ct00"/>
        </w:rPr>
        <w:t>outcome or impact</w:t>
      </w:r>
      <w:r w:rsidR="00394A4F" w:rsidRPr="004B4DE0">
        <w:rPr>
          <w:rFonts w:cs="TT15Ct00"/>
        </w:rPr>
        <w:t xml:space="preserve"> level data collection can be mainstreamed into other SDG data collection processes. </w:t>
      </w:r>
    </w:p>
    <w:p w:rsidR="00AE01A7" w:rsidRDefault="00AE01A7" w:rsidP="004B4DE0">
      <w:pPr>
        <w:pStyle w:val="Heading2"/>
        <w:numPr>
          <w:ilvl w:val="0"/>
          <w:numId w:val="0"/>
        </w:numPr>
      </w:pPr>
      <w:bookmarkStart w:id="48" w:name="_Toc441609348"/>
      <w:r>
        <w:t>Effectiveness and efficiency of implementation</w:t>
      </w:r>
      <w:bookmarkEnd w:id="48"/>
      <w:r>
        <w:t xml:space="preserve"> </w:t>
      </w:r>
    </w:p>
    <w:p w:rsidR="008E4D1E" w:rsidRDefault="008E4D1E" w:rsidP="00C15583">
      <w:r w:rsidRPr="008E4D1E">
        <w:t>Significant progress has been made towards agreeing</w:t>
      </w:r>
      <w:r w:rsidR="00DF5860">
        <w:t xml:space="preserve"> on,</w:t>
      </w:r>
      <w:r w:rsidRPr="008E4D1E">
        <w:t xml:space="preserve"> and improving</w:t>
      </w:r>
      <w:r w:rsidR="00DF5860">
        <w:t>,</w:t>
      </w:r>
      <w:r w:rsidRPr="008E4D1E">
        <w:t xml:space="preserve"> technical survey methodologies</w:t>
      </w:r>
      <w:r w:rsidR="00DF5860">
        <w:t>,</w:t>
      </w:r>
      <w:r w:rsidRPr="008E4D1E">
        <w:t xml:space="preserve"> including the recent approval of </w:t>
      </w:r>
      <w:r w:rsidR="00C47F17">
        <w:t>survey procedures</w:t>
      </w:r>
      <w:r w:rsidR="00DF5860">
        <w:t>,</w:t>
      </w:r>
      <w:r w:rsidR="00C47F17">
        <w:t xml:space="preserve"> which include </w:t>
      </w:r>
      <w:r w:rsidRPr="008E4D1E">
        <w:t xml:space="preserve">the CMTS. While </w:t>
      </w:r>
      <w:r w:rsidR="00C47F17" w:rsidRPr="008E4D1E">
        <w:t>the</w:t>
      </w:r>
      <w:r w:rsidR="00C47F17">
        <w:t>se procedures</w:t>
      </w:r>
      <w:r w:rsidRPr="008E4D1E">
        <w:t xml:space="preserve"> </w:t>
      </w:r>
      <w:r w:rsidR="00C47F17">
        <w:t>are</w:t>
      </w:r>
      <w:r w:rsidRPr="008E4D1E">
        <w:t xml:space="preserve"> expected to contribute to increased efficiency and effectiveness, little thought has been given to how community voice will be integrated into this process</w:t>
      </w:r>
      <w:r w:rsidR="00420127">
        <w:t xml:space="preserve"> (see for example sections 4.12, 4.15, 4.2, 4.2, 5.4)</w:t>
      </w:r>
      <w:r w:rsidRPr="008E4D1E">
        <w:t xml:space="preserve">. </w:t>
      </w:r>
    </w:p>
    <w:p w:rsidR="00C15583" w:rsidRDefault="00C15583" w:rsidP="00C15583">
      <w:pPr>
        <w:rPr>
          <w:rFonts w:cs="TT15Et00"/>
          <w:b/>
        </w:rPr>
      </w:pPr>
      <w:r w:rsidRPr="0079227A">
        <w:rPr>
          <w:rFonts w:cs="TT15Et00"/>
          <w:b/>
        </w:rPr>
        <w:t>Specific Recommendations</w:t>
      </w:r>
    </w:p>
    <w:p w:rsidR="00D65B84" w:rsidRPr="00D65B84" w:rsidRDefault="008A7A37" w:rsidP="00D32F8F">
      <w:pPr>
        <w:pStyle w:val="ListParagraph"/>
        <w:numPr>
          <w:ilvl w:val="0"/>
          <w:numId w:val="47"/>
        </w:numPr>
      </w:pPr>
      <w:r w:rsidRPr="008A7A37">
        <w:t>The UNDP should s</w:t>
      </w:r>
      <w:r w:rsidR="00394A4F" w:rsidRPr="008A7A37">
        <w:t xml:space="preserve">upport discussions within the NRA and </w:t>
      </w:r>
      <w:r w:rsidR="00C47F17" w:rsidRPr="008A7A37">
        <w:t xml:space="preserve">the Survey and Clearance </w:t>
      </w:r>
      <w:r w:rsidR="00394A4F" w:rsidRPr="008A7A37">
        <w:t xml:space="preserve">Technical Working Group to review the CMTS </w:t>
      </w:r>
      <w:r w:rsidR="000128A8" w:rsidRPr="00D65B84">
        <w:rPr>
          <w:rFonts w:eastAsiaTheme="minorEastAsia" w:cs="Calibri"/>
        </w:rPr>
        <w:t>and other approved processes</w:t>
      </w:r>
      <w:r w:rsidR="00C6036C" w:rsidRPr="00D65B84">
        <w:rPr>
          <w:rFonts w:eastAsiaTheme="minorEastAsia" w:cs="Calibri"/>
        </w:rPr>
        <w:t xml:space="preserve"> under the new concept of operations </w:t>
      </w:r>
      <w:r w:rsidR="00D65B84" w:rsidRPr="00D65B84">
        <w:rPr>
          <w:rFonts w:eastAsiaTheme="minorEastAsia" w:cs="Calibri"/>
        </w:rPr>
        <w:t>to enable community voices and concerns to be heard &amp; ensure all community members are provided with appropriate information about decisions that affect them.</w:t>
      </w:r>
    </w:p>
    <w:p w:rsidR="00394A4F" w:rsidRPr="008A7A37" w:rsidRDefault="008A7A37" w:rsidP="00D32F8F">
      <w:pPr>
        <w:pStyle w:val="ListParagraph"/>
        <w:numPr>
          <w:ilvl w:val="0"/>
          <w:numId w:val="47"/>
        </w:numPr>
      </w:pPr>
      <w:r w:rsidRPr="008A7A37">
        <w:t xml:space="preserve">The UNDP should support discussions within the NRA and the Survey and Clearance Technical Working Group to </w:t>
      </w:r>
      <w:r w:rsidR="001830B6" w:rsidRPr="008A7A37">
        <w:t xml:space="preserve">determine how </w:t>
      </w:r>
      <w:r w:rsidR="00394A4F" w:rsidRPr="008A7A37">
        <w:t xml:space="preserve">efficiency and effectiveness of </w:t>
      </w:r>
      <w:r w:rsidR="001830B6" w:rsidRPr="00D65B84">
        <w:rPr>
          <w:rFonts w:eastAsiaTheme="minorEastAsia" w:cs="Calibri"/>
        </w:rPr>
        <w:t xml:space="preserve">the new concept of operations </w:t>
      </w:r>
      <w:r w:rsidR="00394A4F" w:rsidRPr="008A7A37">
        <w:t xml:space="preserve">will be evaluated. </w:t>
      </w:r>
    </w:p>
    <w:p w:rsidR="00AE01A7" w:rsidRPr="00442F9D" w:rsidRDefault="00AE01A7" w:rsidP="004B4DE0">
      <w:pPr>
        <w:pStyle w:val="Heading2"/>
        <w:numPr>
          <w:ilvl w:val="0"/>
          <w:numId w:val="0"/>
        </w:numPr>
      </w:pPr>
      <w:bookmarkStart w:id="49" w:name="_Toc441609349"/>
      <w:r w:rsidRPr="00442F9D">
        <w:t>Partnerships</w:t>
      </w:r>
      <w:r w:rsidR="004A1843">
        <w:t xml:space="preserve"> and coordination</w:t>
      </w:r>
      <w:bookmarkEnd w:id="49"/>
      <w:r w:rsidR="004A1843">
        <w:t xml:space="preserve"> </w:t>
      </w:r>
    </w:p>
    <w:p w:rsidR="001830B6" w:rsidRDefault="00C47F17" w:rsidP="008E4D1E">
      <w:pPr>
        <w:rPr>
          <w:rFonts w:cs="TT15Et00"/>
        </w:rPr>
      </w:pPr>
      <w:r>
        <w:t>T</w:t>
      </w:r>
      <w:r>
        <w:rPr>
          <w:rFonts w:cs="TT15Et00"/>
        </w:rPr>
        <w:t>he Government of Lao PDR, the NRA</w:t>
      </w:r>
      <w:r w:rsidR="00FF0A0F">
        <w:rPr>
          <w:rFonts w:cs="TT15Et00"/>
        </w:rPr>
        <w:t>,</w:t>
      </w:r>
      <w:r>
        <w:rPr>
          <w:rFonts w:cs="TT15Et00"/>
        </w:rPr>
        <w:t xml:space="preserve"> and UXO Lao</w:t>
      </w:r>
      <w:r w:rsidRPr="004A1843">
        <w:rPr>
          <w:rFonts w:cs="TT15Et00"/>
        </w:rPr>
        <w:t xml:space="preserve"> </w:t>
      </w:r>
      <w:r>
        <w:rPr>
          <w:rFonts w:cs="TT15Et00"/>
        </w:rPr>
        <w:t xml:space="preserve">see </w:t>
      </w:r>
      <w:r w:rsidR="00FF0A0F">
        <w:rPr>
          <w:rFonts w:cs="TT15Et00"/>
        </w:rPr>
        <w:t xml:space="preserve">the </w:t>
      </w:r>
      <w:r w:rsidRPr="004A1843">
        <w:rPr>
          <w:rFonts w:cs="TT15Et00"/>
        </w:rPr>
        <w:t xml:space="preserve">UNDP </w:t>
      </w:r>
      <w:r>
        <w:rPr>
          <w:rFonts w:cs="TT15Et00"/>
        </w:rPr>
        <w:t xml:space="preserve">as a valued </w:t>
      </w:r>
      <w:r w:rsidRPr="004A1843">
        <w:rPr>
          <w:rFonts w:cs="TT15Et00"/>
        </w:rPr>
        <w:t>develo</w:t>
      </w:r>
      <w:r>
        <w:rPr>
          <w:rFonts w:cs="TT15Et00"/>
        </w:rPr>
        <w:t>pment partner</w:t>
      </w:r>
      <w:r w:rsidR="008E4D1E" w:rsidRPr="008E4D1E">
        <w:rPr>
          <w:rFonts w:cs="TT15Et00"/>
        </w:rPr>
        <w:t xml:space="preserve">. Furthermore, particularly for donors who are not </w:t>
      </w:r>
      <w:r w:rsidR="00FF0A0F">
        <w:rPr>
          <w:rFonts w:cs="TT15Et00"/>
        </w:rPr>
        <w:t xml:space="preserve">a </w:t>
      </w:r>
      <w:r w:rsidR="008E4D1E" w:rsidRPr="008E4D1E">
        <w:rPr>
          <w:rFonts w:cs="TT15Et00"/>
        </w:rPr>
        <w:t xml:space="preserve">resident in the country, </w:t>
      </w:r>
      <w:r w:rsidR="00FF0A0F">
        <w:rPr>
          <w:rFonts w:cs="TT15Et00"/>
        </w:rPr>
        <w:t xml:space="preserve">the </w:t>
      </w:r>
      <w:r w:rsidR="008E4D1E" w:rsidRPr="008E4D1E">
        <w:rPr>
          <w:rFonts w:cs="TT15Et00"/>
        </w:rPr>
        <w:t xml:space="preserve">UNDP provides a relatively low risk investment option. Nevertheless, some donors felt that </w:t>
      </w:r>
      <w:r w:rsidR="00FF0A0F">
        <w:rPr>
          <w:rFonts w:cs="TT15Et00"/>
        </w:rPr>
        <w:t xml:space="preserve">the </w:t>
      </w:r>
      <w:r w:rsidR="008E4D1E" w:rsidRPr="008E4D1E">
        <w:rPr>
          <w:rFonts w:cs="TT15Et00"/>
        </w:rPr>
        <w:t>UNDP coordination and capacity to</w:t>
      </w:r>
      <w:r w:rsidR="00FF0A0F">
        <w:rPr>
          <w:rFonts w:cs="TT15Et00"/>
        </w:rPr>
        <w:t xml:space="preserve"> present donor concerns to the G</w:t>
      </w:r>
      <w:r w:rsidR="008E4D1E" w:rsidRPr="008E4D1E">
        <w:rPr>
          <w:rFonts w:cs="TT15Et00"/>
        </w:rPr>
        <w:t>overnment was limited, sometimes to the real or perceived detriment of progress, and this has affected donor confidence. This</w:t>
      </w:r>
      <w:r>
        <w:rPr>
          <w:rFonts w:cs="TT15Et00"/>
        </w:rPr>
        <w:t xml:space="preserve"> is </w:t>
      </w:r>
      <w:r w:rsidR="008E4D1E" w:rsidRPr="008E4D1E">
        <w:rPr>
          <w:rFonts w:cs="TT15Et00"/>
        </w:rPr>
        <w:t xml:space="preserve">partly due </w:t>
      </w:r>
      <w:r>
        <w:rPr>
          <w:rFonts w:cs="TT15Et00"/>
        </w:rPr>
        <w:t xml:space="preserve">to a </w:t>
      </w:r>
      <w:r w:rsidRPr="00C47F17">
        <w:rPr>
          <w:rFonts w:cs="TT15Et00"/>
        </w:rPr>
        <w:t>misunderstandin</w:t>
      </w:r>
      <w:r>
        <w:rPr>
          <w:rFonts w:cs="TT15Et00"/>
        </w:rPr>
        <w:t>g</w:t>
      </w:r>
      <w:r w:rsidR="008E4D1E" w:rsidRPr="008E4D1E">
        <w:rPr>
          <w:rFonts w:cs="TT15Et00"/>
        </w:rPr>
        <w:t xml:space="preserve"> </w:t>
      </w:r>
      <w:r>
        <w:rPr>
          <w:rFonts w:cs="TT15Et00"/>
        </w:rPr>
        <w:t xml:space="preserve">as to </w:t>
      </w:r>
      <w:r>
        <w:t>what donors are paying for with the GMS fee</w:t>
      </w:r>
      <w:r w:rsidR="008E4D1E" w:rsidRPr="008E4D1E">
        <w:rPr>
          <w:rFonts w:cs="TT15Et00"/>
        </w:rPr>
        <w:t>. Some of these issues could be resolved th</w:t>
      </w:r>
      <w:r w:rsidR="00790009">
        <w:rPr>
          <w:rFonts w:cs="TT15Et00"/>
        </w:rPr>
        <w:t>rough an improved communication</w:t>
      </w:r>
      <w:r w:rsidR="008E4D1E" w:rsidRPr="008E4D1E">
        <w:rPr>
          <w:rFonts w:cs="TT15Et00"/>
        </w:rPr>
        <w:t xml:space="preserve"> strategy for the sector. It was</w:t>
      </w:r>
      <w:r w:rsidR="00790009">
        <w:rPr>
          <w:rFonts w:cs="TT15Et00"/>
        </w:rPr>
        <w:t>,</w:t>
      </w:r>
      <w:r w:rsidR="008E4D1E" w:rsidRPr="008E4D1E">
        <w:rPr>
          <w:rFonts w:cs="TT15Et00"/>
        </w:rPr>
        <w:t xml:space="preserve"> however</w:t>
      </w:r>
      <w:r w:rsidR="00790009">
        <w:rPr>
          <w:rFonts w:cs="TT15Et00"/>
        </w:rPr>
        <w:t>,</w:t>
      </w:r>
      <w:r w:rsidR="008E4D1E" w:rsidRPr="008E4D1E">
        <w:rPr>
          <w:rFonts w:cs="TT15Et00"/>
        </w:rPr>
        <w:t xml:space="preserve"> recognised, that </w:t>
      </w:r>
      <w:r w:rsidR="007351DE">
        <w:rPr>
          <w:rFonts w:cs="TT15Et00"/>
        </w:rPr>
        <w:t>since the beginning of 2015</w:t>
      </w:r>
      <w:r w:rsidR="00790009">
        <w:rPr>
          <w:rFonts w:cs="TT15Et00"/>
        </w:rPr>
        <w:t>,</w:t>
      </w:r>
      <w:r w:rsidR="007351DE">
        <w:rPr>
          <w:rFonts w:cs="TT15Et00"/>
        </w:rPr>
        <w:t xml:space="preserve"> coordination had</w:t>
      </w:r>
      <w:r w:rsidR="008E4D1E" w:rsidRPr="008E4D1E">
        <w:rPr>
          <w:rFonts w:cs="TT15Et00"/>
        </w:rPr>
        <w:t xml:space="preserve"> improved. Also relevant is the coordination of technical capacity building services (both </w:t>
      </w:r>
      <w:r w:rsidR="00790009">
        <w:rPr>
          <w:rFonts w:cs="TT15Et00"/>
        </w:rPr>
        <w:t xml:space="preserve">the </w:t>
      </w:r>
      <w:r w:rsidR="008E4D1E" w:rsidRPr="008E4D1E">
        <w:rPr>
          <w:rFonts w:cs="TT15Et00"/>
        </w:rPr>
        <w:t>UNDP and other donor supported advisors). This was reported a</w:t>
      </w:r>
      <w:r w:rsidR="00790009">
        <w:rPr>
          <w:rFonts w:cs="TT15Et00"/>
        </w:rPr>
        <w:t>s</w:t>
      </w:r>
      <w:r w:rsidR="008E4D1E" w:rsidRPr="008E4D1E">
        <w:rPr>
          <w:rFonts w:cs="TT15Et00"/>
        </w:rPr>
        <w:t xml:space="preserve"> frequently being limited, resulting in fragmented or contradictory advice and contributing to inefficiencies</w:t>
      </w:r>
      <w:r w:rsidR="00420127" w:rsidRPr="008E4D1E">
        <w:rPr>
          <w:rFonts w:cs="TT15Et00"/>
        </w:rPr>
        <w:t xml:space="preserve">. </w:t>
      </w:r>
    </w:p>
    <w:p w:rsidR="004B4DE0" w:rsidRDefault="00394A4F" w:rsidP="00D32F8F">
      <w:pPr>
        <w:pStyle w:val="ListParagraph"/>
        <w:numPr>
          <w:ilvl w:val="0"/>
          <w:numId w:val="47"/>
        </w:numPr>
      </w:pPr>
      <w:r w:rsidRPr="008A7A37">
        <w:t xml:space="preserve">The UNDP should </w:t>
      </w:r>
      <w:r w:rsidR="001830B6" w:rsidRPr="008A7A37">
        <w:t xml:space="preserve">support the NRA </w:t>
      </w:r>
      <w:r w:rsidRPr="008A7A37">
        <w:t xml:space="preserve">hold </w:t>
      </w:r>
      <w:r w:rsidR="008A7A37" w:rsidRPr="008A7A37">
        <w:t>quarterly operational</w:t>
      </w:r>
      <w:r w:rsidR="001830B6" w:rsidRPr="008A7A37">
        <w:t xml:space="preserve"> </w:t>
      </w:r>
      <w:r w:rsidRPr="008A7A37">
        <w:t xml:space="preserve">meetings with development partners </w:t>
      </w:r>
      <w:r w:rsidR="001830B6" w:rsidRPr="008A7A37">
        <w:t>(program manage</w:t>
      </w:r>
      <w:r w:rsidR="004B4DE0">
        <w:t>r level)</w:t>
      </w:r>
      <w:r w:rsidRPr="008A7A37">
        <w:t xml:space="preserve">. </w:t>
      </w:r>
    </w:p>
    <w:p w:rsidR="004B4DE0" w:rsidRDefault="001830B6" w:rsidP="00D32F8F">
      <w:pPr>
        <w:pStyle w:val="ListParagraph"/>
        <w:numPr>
          <w:ilvl w:val="0"/>
          <w:numId w:val="47"/>
        </w:numPr>
      </w:pPr>
      <w:r>
        <w:rPr>
          <w:lang w:eastAsia="en-AU"/>
        </w:rPr>
        <w:t xml:space="preserve">The UNDP should </w:t>
      </w:r>
      <w:r w:rsidR="002E6770">
        <w:rPr>
          <w:lang w:eastAsia="en-AU"/>
        </w:rPr>
        <w:t>support</w:t>
      </w:r>
      <w:r w:rsidR="00420127">
        <w:rPr>
          <w:lang w:eastAsia="en-AU"/>
        </w:rPr>
        <w:t xml:space="preserve"> the NRA and UXO Lao to develop an</w:t>
      </w:r>
      <w:r w:rsidR="00867D5E">
        <w:rPr>
          <w:lang w:eastAsia="en-AU"/>
        </w:rPr>
        <w:t>d</w:t>
      </w:r>
      <w:r w:rsidR="00420127">
        <w:rPr>
          <w:lang w:eastAsia="en-AU"/>
        </w:rPr>
        <w:t xml:space="preserve"> implement an effective</w:t>
      </w:r>
      <w:r w:rsidR="005C68BB">
        <w:rPr>
          <w:lang w:eastAsia="en-AU"/>
        </w:rPr>
        <w:t xml:space="preserve"> </w:t>
      </w:r>
      <w:r w:rsidR="00420127">
        <w:rPr>
          <w:lang w:eastAsia="en-AU"/>
        </w:rPr>
        <w:t>communication strategy</w:t>
      </w:r>
      <w:r w:rsidR="005C68BB">
        <w:rPr>
          <w:lang w:eastAsia="en-AU"/>
        </w:rPr>
        <w:t>, tailored to different stakeholder needs and focussed on application of safeguards, outputs, impacts and progress against the capacity building workplans.</w:t>
      </w:r>
      <w:r w:rsidR="00867D5E">
        <w:rPr>
          <w:lang w:eastAsia="en-AU"/>
        </w:rPr>
        <w:t xml:space="preserve"> </w:t>
      </w:r>
    </w:p>
    <w:p w:rsidR="004B4DE0" w:rsidRPr="004B4DE0" w:rsidRDefault="002E6770" w:rsidP="00D32F8F">
      <w:pPr>
        <w:pStyle w:val="ListParagraph"/>
        <w:numPr>
          <w:ilvl w:val="0"/>
          <w:numId w:val="47"/>
        </w:numPr>
      </w:pPr>
      <w:r w:rsidRPr="004B4DE0">
        <w:rPr>
          <w:rFonts w:cs="Arial"/>
          <w:lang w:eastAsia="en-AU"/>
        </w:rPr>
        <w:t xml:space="preserve">The </w:t>
      </w:r>
      <w:r w:rsidR="00FA5C6E" w:rsidRPr="004B4DE0">
        <w:rPr>
          <w:rFonts w:cs="Arial"/>
          <w:lang w:eastAsia="en-AU"/>
        </w:rPr>
        <w:t xml:space="preserve">UNDP should support </w:t>
      </w:r>
      <w:r w:rsidR="008A7A37" w:rsidRPr="004B4DE0">
        <w:rPr>
          <w:rFonts w:cs="Arial"/>
          <w:lang w:eastAsia="en-AU"/>
        </w:rPr>
        <w:t xml:space="preserve">constructive </w:t>
      </w:r>
      <w:r w:rsidR="00FA5C6E" w:rsidRPr="004B4DE0">
        <w:rPr>
          <w:rFonts w:cs="Arial"/>
          <w:lang w:eastAsia="en-AU"/>
        </w:rPr>
        <w:t>dialogue with the M</w:t>
      </w:r>
      <w:r w:rsidRPr="004B4DE0">
        <w:rPr>
          <w:rFonts w:cs="Arial"/>
          <w:lang w:eastAsia="en-AU"/>
        </w:rPr>
        <w:t xml:space="preserve">inistry of Foreign Affairs and development partners to </w:t>
      </w:r>
      <w:r w:rsidR="00FA5C6E" w:rsidRPr="004B4DE0">
        <w:rPr>
          <w:rFonts w:cs="Arial"/>
          <w:lang w:eastAsia="en-AU"/>
        </w:rPr>
        <w:t xml:space="preserve">determine if the </w:t>
      </w:r>
      <w:r w:rsidR="001830B6" w:rsidRPr="004B4DE0">
        <w:rPr>
          <w:rFonts w:cs="Arial"/>
          <w:lang w:eastAsia="en-AU"/>
        </w:rPr>
        <w:t xml:space="preserve">Trust Fund and its </w:t>
      </w:r>
      <w:r w:rsidR="008A7A37" w:rsidRPr="004B4DE0">
        <w:rPr>
          <w:rFonts w:cs="Arial"/>
          <w:lang w:eastAsia="en-AU"/>
        </w:rPr>
        <w:t xml:space="preserve">Terms of Reference are still </w:t>
      </w:r>
      <w:r w:rsidR="001830B6" w:rsidRPr="004B4DE0">
        <w:rPr>
          <w:rFonts w:cs="Arial"/>
          <w:lang w:eastAsia="en-AU"/>
        </w:rPr>
        <w:t>appropriate</w:t>
      </w:r>
      <w:r w:rsidR="004B4DE0">
        <w:rPr>
          <w:rFonts w:cs="Arial"/>
          <w:lang w:eastAsia="en-AU"/>
        </w:rPr>
        <w:t>.</w:t>
      </w:r>
    </w:p>
    <w:p w:rsidR="00394A4F" w:rsidRPr="00357ABD" w:rsidRDefault="00394A4F" w:rsidP="00D32F8F">
      <w:pPr>
        <w:pStyle w:val="ListParagraph"/>
        <w:numPr>
          <w:ilvl w:val="0"/>
          <w:numId w:val="47"/>
        </w:numPr>
      </w:pPr>
      <w:r w:rsidRPr="004B4DE0">
        <w:rPr>
          <w:rFonts w:cs="Arial"/>
          <w:lang w:eastAsia="en-AU"/>
        </w:rPr>
        <w:t xml:space="preserve">The UNDP should </w:t>
      </w:r>
      <w:r w:rsidR="0096679F" w:rsidRPr="004B4DE0">
        <w:rPr>
          <w:rFonts w:cs="Arial"/>
          <w:lang w:eastAsia="en-AU"/>
        </w:rPr>
        <w:t xml:space="preserve">continue to </w:t>
      </w:r>
      <w:r w:rsidRPr="004B4DE0">
        <w:rPr>
          <w:rFonts w:cs="Arial"/>
          <w:lang w:eastAsia="en-AU"/>
        </w:rPr>
        <w:t>work with the NRA, the UXO Lao</w:t>
      </w:r>
      <w:r w:rsidR="002E6770" w:rsidRPr="004B4DE0">
        <w:rPr>
          <w:rFonts w:cs="Arial"/>
          <w:lang w:eastAsia="en-AU"/>
        </w:rPr>
        <w:t>,</w:t>
      </w:r>
      <w:r w:rsidRPr="004B4DE0">
        <w:rPr>
          <w:rFonts w:cs="Arial"/>
          <w:lang w:eastAsia="en-AU"/>
        </w:rPr>
        <w:t xml:space="preserve"> and donors to ensure a coherent approach to the provision and coordination of technical advisory services. </w:t>
      </w:r>
    </w:p>
    <w:p w:rsidR="00AE01A7" w:rsidRPr="00336109" w:rsidRDefault="00AE01A7" w:rsidP="004B4DE0">
      <w:pPr>
        <w:pStyle w:val="Heading2"/>
        <w:numPr>
          <w:ilvl w:val="0"/>
          <w:numId w:val="0"/>
        </w:numPr>
      </w:pPr>
      <w:bookmarkStart w:id="50" w:name="_Toc441609350"/>
      <w:r w:rsidRPr="00336109">
        <w:t xml:space="preserve">Gender and </w:t>
      </w:r>
      <w:r w:rsidR="0096679F">
        <w:t>Human R</w:t>
      </w:r>
      <w:r w:rsidR="0096679F" w:rsidRPr="00336109">
        <w:t>ights</w:t>
      </w:r>
      <w:r w:rsidR="0096679F">
        <w:t>-B</w:t>
      </w:r>
      <w:r w:rsidR="0096679F" w:rsidRPr="00336109">
        <w:t xml:space="preserve">ased </w:t>
      </w:r>
      <w:r w:rsidR="0096679F">
        <w:t>A</w:t>
      </w:r>
      <w:r w:rsidR="0096679F" w:rsidRPr="00336109">
        <w:t>pproach</w:t>
      </w:r>
      <w:r w:rsidR="0096679F">
        <w:t xml:space="preserve"> (HRBA)</w:t>
      </w:r>
      <w:bookmarkEnd w:id="50"/>
      <w:r w:rsidR="0096679F" w:rsidRPr="00336109">
        <w:t xml:space="preserve"> </w:t>
      </w:r>
    </w:p>
    <w:p w:rsidR="00C97C4B" w:rsidRDefault="008E4D1E" w:rsidP="00AE01A7">
      <w:r w:rsidRPr="008E4D1E">
        <w:t xml:space="preserve">To be consistent with </w:t>
      </w:r>
      <w:r w:rsidR="00B0742D">
        <w:t xml:space="preserve">the </w:t>
      </w:r>
      <w:r w:rsidRPr="008E4D1E">
        <w:t>UNDP’s mandate and Government policies, the programme should pursue a gend</w:t>
      </w:r>
      <w:r w:rsidR="0096679F">
        <w:t>ered, pro-poor approach to UXO/Mine A</w:t>
      </w:r>
      <w:r w:rsidRPr="008E4D1E">
        <w:t>ction, keeping the "do no harm" principle at the forefront of its work</w:t>
      </w:r>
      <w:r w:rsidR="00357ABD" w:rsidRPr="008E4D1E">
        <w:t xml:space="preserve">. </w:t>
      </w:r>
      <w:r w:rsidRPr="008E4D1E">
        <w:t xml:space="preserve">The </w:t>
      </w:r>
      <w:r w:rsidR="0096679F">
        <w:t>current</w:t>
      </w:r>
      <w:r w:rsidRPr="008E4D1E">
        <w:t xml:space="preserve"> programme document</w:t>
      </w:r>
      <w:r w:rsidR="00B0742D">
        <w:t>,</w:t>
      </w:r>
      <w:r w:rsidRPr="008E4D1E">
        <w:t xml:space="preserve"> however, is not explicitly aligned to these principles</w:t>
      </w:r>
      <w:r w:rsidR="00357ABD">
        <w:t xml:space="preserve"> (refer to section 4.1.5)</w:t>
      </w:r>
      <w:r w:rsidRPr="008E4D1E">
        <w:t xml:space="preserve">. </w:t>
      </w:r>
    </w:p>
    <w:p w:rsidR="00AE01A7" w:rsidRPr="001B5712" w:rsidRDefault="00AE01A7" w:rsidP="00AE01A7">
      <w:pPr>
        <w:rPr>
          <w:rFonts w:ascii="Arial" w:hAnsi="Arial" w:cs="Arial"/>
          <w:b/>
          <w:sz w:val="20"/>
          <w:szCs w:val="20"/>
        </w:rPr>
      </w:pPr>
      <w:r w:rsidRPr="001B5712">
        <w:rPr>
          <w:rFonts w:ascii="Arial" w:hAnsi="Arial" w:cs="Arial"/>
          <w:b/>
          <w:sz w:val="20"/>
          <w:szCs w:val="20"/>
        </w:rPr>
        <w:t>Specific Recommendations</w:t>
      </w:r>
    </w:p>
    <w:p w:rsidR="00394A4F" w:rsidRPr="000830CC" w:rsidRDefault="00D65B84" w:rsidP="00D32F8F">
      <w:pPr>
        <w:pStyle w:val="ListParagraph"/>
        <w:numPr>
          <w:ilvl w:val="0"/>
          <w:numId w:val="47"/>
        </w:numPr>
      </w:pPr>
      <w:r w:rsidRPr="004B4DE0">
        <w:rPr>
          <w:rFonts w:cs="TT15Ct00"/>
        </w:rPr>
        <w:t xml:space="preserve">The UNDP should </w:t>
      </w:r>
      <w:r>
        <w:rPr>
          <w:rFonts w:cs="TT15Ct00"/>
        </w:rPr>
        <w:t>s</w:t>
      </w:r>
      <w:r w:rsidR="00394A4F" w:rsidRPr="004B4DE0">
        <w:rPr>
          <w:rFonts w:cs="TT15Ct00"/>
        </w:rPr>
        <w:t xml:space="preserve">upport the NRA and the UXO Lao to ensure a pro-poor, gender sensitive focus including gender indicators at the output and outcome level and implementing the </w:t>
      </w:r>
      <w:r w:rsidR="0096679F" w:rsidRPr="004B4DE0">
        <w:rPr>
          <w:rFonts w:cs="TT15Ct00"/>
        </w:rPr>
        <w:t xml:space="preserve">recent </w:t>
      </w:r>
      <w:r w:rsidR="00394A4F" w:rsidRPr="00255822">
        <w:t>GMAP</w:t>
      </w:r>
      <w:r w:rsidR="00394A4F">
        <w:t xml:space="preserve"> 2014 action plan</w:t>
      </w:r>
      <w:r w:rsidR="0096679F">
        <w:t xml:space="preserve"> and recommendations related to the 2008 gender assessment</w:t>
      </w:r>
      <w:r w:rsidR="00AA265D" w:rsidRPr="004B4DE0">
        <w:rPr>
          <w:rFonts w:cs="TT15Ct00"/>
        </w:rPr>
        <w:t>.</w:t>
      </w:r>
    </w:p>
    <w:p w:rsidR="00AE01A7" w:rsidRDefault="00AE01A7" w:rsidP="004B4DE0">
      <w:pPr>
        <w:pStyle w:val="Heading2"/>
        <w:numPr>
          <w:ilvl w:val="0"/>
          <w:numId w:val="0"/>
        </w:numPr>
      </w:pPr>
      <w:bookmarkStart w:id="51" w:name="_Toc441609351"/>
      <w:r>
        <w:t xml:space="preserve">Monitoring, </w:t>
      </w:r>
      <w:r w:rsidRPr="00442F9D">
        <w:t xml:space="preserve">evaluation </w:t>
      </w:r>
      <w:r>
        <w:t>and risk m</w:t>
      </w:r>
      <w:r w:rsidRPr="00BB531A">
        <w:t>anagement</w:t>
      </w:r>
      <w:bookmarkEnd w:id="51"/>
    </w:p>
    <w:p w:rsidR="008E4D1E" w:rsidRDefault="008E4D1E" w:rsidP="0079227A">
      <w:r w:rsidRPr="008E4D1E">
        <w:t>Most of the monitoring and evaluation focus has been on QA/QM, outputs</w:t>
      </w:r>
      <w:r w:rsidR="00B0742D">
        <w:t>,</w:t>
      </w:r>
      <w:r w:rsidRPr="008E4D1E">
        <w:t xml:space="preserve"> and financial monitoring. While important, on their own</w:t>
      </w:r>
      <w:r w:rsidR="00B0742D">
        <w:t>,</w:t>
      </w:r>
      <w:r w:rsidRPr="008E4D1E">
        <w:t xml:space="preserve"> these are insufficient in capturing the programme outcomes (positive, negative, intended, </w:t>
      </w:r>
      <w:r w:rsidR="00B0742D">
        <w:t xml:space="preserve">and </w:t>
      </w:r>
      <w:r w:rsidRPr="008E4D1E">
        <w:t>unintended) and generating lessons learned to improve performance. While more support is needed to develop a functioning monitoring and evaluation process, it is also recognised that even exi</w:t>
      </w:r>
      <w:r w:rsidR="0096679F">
        <w:t>s</w:t>
      </w:r>
      <w:r w:rsidRPr="008E4D1E">
        <w:t>ting processes</w:t>
      </w:r>
      <w:r w:rsidR="00B0742D">
        <w:t>,</w:t>
      </w:r>
      <w:r w:rsidRPr="008E4D1E">
        <w:t xml:space="preserve"> such as QA/QC an</w:t>
      </w:r>
      <w:r w:rsidR="0096679F">
        <w:t xml:space="preserve">d monitoring of post-clearance </w:t>
      </w:r>
      <w:r w:rsidRPr="008E4D1E">
        <w:t>land use as stipulated in the National Standards</w:t>
      </w:r>
      <w:r w:rsidR="00C97C4B">
        <w:t>,</w:t>
      </w:r>
      <w:r w:rsidRPr="008E4D1E">
        <w:t xml:space="preserve"> are </w:t>
      </w:r>
      <w:r w:rsidR="00C97C4B">
        <w:t xml:space="preserve">not being fully implemented. </w:t>
      </w:r>
      <w:r w:rsidRPr="008E4D1E">
        <w:t>Thus</w:t>
      </w:r>
      <w:r w:rsidR="00B0742D">
        <w:t>,</w:t>
      </w:r>
      <w:r w:rsidRPr="008E4D1E">
        <w:t xml:space="preserve"> while recommending developing a monitoring and evaluation process, and plans for this are underway, care needs to be taken not to over burden an already fragile information management capacity. </w:t>
      </w:r>
    </w:p>
    <w:p w:rsidR="00B777DF" w:rsidRDefault="00B777DF" w:rsidP="0079227A">
      <w:pPr>
        <w:rPr>
          <w:b/>
        </w:rPr>
      </w:pPr>
    </w:p>
    <w:p w:rsidR="00AE01A7" w:rsidRDefault="00AE01A7" w:rsidP="0079227A">
      <w:pPr>
        <w:rPr>
          <w:b/>
        </w:rPr>
      </w:pPr>
      <w:r w:rsidRPr="0079227A">
        <w:rPr>
          <w:b/>
        </w:rPr>
        <w:t>Specific Recommendations</w:t>
      </w:r>
    </w:p>
    <w:p w:rsidR="004B4DE0" w:rsidRDefault="0035507F" w:rsidP="00D32F8F">
      <w:pPr>
        <w:pStyle w:val="ListParagraph"/>
        <w:numPr>
          <w:ilvl w:val="0"/>
          <w:numId w:val="47"/>
        </w:numPr>
      </w:pPr>
      <w:r w:rsidRPr="004B4DE0">
        <w:rPr>
          <w:rFonts w:cs="TT15Ct00"/>
        </w:rPr>
        <w:t xml:space="preserve">The UNDP should </w:t>
      </w:r>
      <w:r w:rsidR="008A7A37" w:rsidRPr="004B4DE0">
        <w:rPr>
          <w:rFonts w:cs="TT15Ct00"/>
        </w:rPr>
        <w:t xml:space="preserve">further develop the capacity of the NRA and UXO Lao </w:t>
      </w:r>
      <w:r w:rsidR="008A7A37">
        <w:t>in all stages of the information cycle</w:t>
      </w:r>
      <w:r w:rsidR="008A7A37" w:rsidRPr="004B4DE0">
        <w:rPr>
          <w:rFonts w:cs="TT15Ct00"/>
        </w:rPr>
        <w:t xml:space="preserve"> and to</w:t>
      </w:r>
      <w:r w:rsidR="008A7A37">
        <w:t xml:space="preserve"> develop and implement</w:t>
      </w:r>
      <w:r w:rsidR="00394A4F">
        <w:t xml:space="preserve"> </w:t>
      </w:r>
      <w:r w:rsidR="008A7A37">
        <w:t>a sector monitoring</w:t>
      </w:r>
      <w:r w:rsidR="00394A4F">
        <w:t xml:space="preserve"> and evaluation framework</w:t>
      </w:r>
      <w:r w:rsidR="008A7A37">
        <w:t xml:space="preserve"> that articulates</w:t>
      </w:r>
      <w:r w:rsidR="00394A4F">
        <w:t xml:space="preserve"> minimum, output and outcome indicators. </w:t>
      </w:r>
    </w:p>
    <w:p w:rsidR="00394A4F" w:rsidRDefault="0035507F" w:rsidP="00D32F8F">
      <w:pPr>
        <w:pStyle w:val="ListParagraph"/>
        <w:numPr>
          <w:ilvl w:val="0"/>
          <w:numId w:val="47"/>
        </w:numPr>
      </w:pPr>
      <w:r w:rsidRPr="004B4DE0">
        <w:rPr>
          <w:rFonts w:cs="TT15Ct00"/>
        </w:rPr>
        <w:t xml:space="preserve">The UNDP should </w:t>
      </w:r>
      <w:r w:rsidR="002B7E0D">
        <w:t>support the NRA and the UXO Lao to integrate, monitor</w:t>
      </w:r>
      <w:r w:rsidR="00B0742D">
        <w:t>,</w:t>
      </w:r>
      <w:r w:rsidR="002B7E0D">
        <w:t xml:space="preserve"> and report on appropriate elements of the </w:t>
      </w:r>
      <w:r w:rsidR="002B7E0D" w:rsidRPr="004B4DE0">
        <w:rPr>
          <w:rFonts w:cs="TT15Ct00"/>
        </w:rPr>
        <w:t xml:space="preserve">UNDP’s </w:t>
      </w:r>
      <w:r w:rsidR="0015766C" w:rsidRPr="004B4DE0">
        <w:rPr>
          <w:rFonts w:cs="TT15Ct00"/>
        </w:rPr>
        <w:t xml:space="preserve">recently released </w:t>
      </w:r>
      <w:r w:rsidR="002B7E0D" w:rsidRPr="00336109">
        <w:t>Social and Environmental Safeguards</w:t>
      </w:r>
      <w:r w:rsidR="002B7E0D">
        <w:t xml:space="preserve"> into their work</w:t>
      </w:r>
      <w:r w:rsidR="004B4DE0">
        <w:t>.</w:t>
      </w:r>
      <w:r w:rsidR="002B7E0D">
        <w:t xml:space="preserve"> </w:t>
      </w:r>
    </w:p>
    <w:p w:rsidR="00AE01A7" w:rsidRDefault="00AE01A7" w:rsidP="004B4DE0">
      <w:pPr>
        <w:pStyle w:val="Heading2"/>
        <w:numPr>
          <w:ilvl w:val="0"/>
          <w:numId w:val="0"/>
        </w:numPr>
      </w:pPr>
      <w:bookmarkStart w:id="52" w:name="_Toc441609352"/>
      <w:r w:rsidRPr="00442F9D">
        <w:t>Sustainability</w:t>
      </w:r>
      <w:bookmarkEnd w:id="52"/>
      <w:r w:rsidRPr="00442F9D">
        <w:t xml:space="preserve"> </w:t>
      </w:r>
    </w:p>
    <w:p w:rsidR="0035507F" w:rsidRDefault="00B0742D" w:rsidP="008A7A37">
      <w:r>
        <w:t xml:space="preserve">The </w:t>
      </w:r>
      <w:r w:rsidR="00C97C4B" w:rsidRPr="00C97C4B">
        <w:t>UNDP’s activities in the sector are alig</w:t>
      </w:r>
      <w:r w:rsidR="00C97C4B">
        <w:t>ned with the priorities of the G</w:t>
      </w:r>
      <w:r w:rsidR="00C97C4B" w:rsidRPr="00C97C4B">
        <w:t xml:space="preserve">overnment of Lao PDR and </w:t>
      </w:r>
      <w:r w:rsidR="00AA265D">
        <w:t>f</w:t>
      </w:r>
      <w:r w:rsidR="00C97C4B" w:rsidRPr="00C97C4B">
        <w:t xml:space="preserve">its with the government’s international legal obligations under the CCM. The government is also actively engaged in the sector and the CCM process. On the other hand, the NRA and UXO Lao are very dependent on donor funding and </w:t>
      </w:r>
      <w:r w:rsidR="00C97C4B" w:rsidRPr="008A7A37">
        <w:t>there is no clear transition plan</w:t>
      </w:r>
      <w:r w:rsidR="0035507F" w:rsidRPr="008A7A37">
        <w:t xml:space="preserve"> that outlines how the Government’s in-kind and direct financial contrib</w:t>
      </w:r>
      <w:r w:rsidR="0035507F">
        <w:t>utions will</w:t>
      </w:r>
      <w:r w:rsidR="0035507F" w:rsidRPr="00C81B4C">
        <w:t xml:space="preserve"> increase in tandem </w:t>
      </w:r>
      <w:r w:rsidR="0035507F">
        <w:t>with decreased donor funding,</w:t>
      </w:r>
      <w:r w:rsidR="0035507F" w:rsidRPr="00C81B4C">
        <w:t xml:space="preserve"> based on projected GDP and estimated need</w:t>
      </w:r>
      <w:r w:rsidR="0035507F">
        <w:t xml:space="preserve"> (determined by CHAs)</w:t>
      </w:r>
      <w:r w:rsidR="0035507F" w:rsidRPr="00C81B4C">
        <w:t>.</w:t>
      </w:r>
      <w:r w:rsidR="0035507F">
        <w:t xml:space="preserve"> Nor is there a clear strategy that outlines how</w:t>
      </w:r>
      <w:r w:rsidR="0035507F" w:rsidRPr="00C81B4C">
        <w:t xml:space="preserve"> UXO clearance </w:t>
      </w:r>
      <w:r w:rsidR="0035507F">
        <w:t>will be</w:t>
      </w:r>
      <w:r w:rsidR="0035507F" w:rsidRPr="00C81B4C">
        <w:t xml:space="preserve"> integrated into the development planning and budgeting process a</w:t>
      </w:r>
      <w:r w:rsidR="0035507F">
        <w:t xml:space="preserve">t provincial and village levels. </w:t>
      </w:r>
      <w:r w:rsidR="00C97C4B" w:rsidRPr="00C97C4B">
        <w:t xml:space="preserve">Furthermore, </w:t>
      </w:r>
      <w:r>
        <w:t xml:space="preserve">the </w:t>
      </w:r>
      <w:r w:rsidR="00C97C4B" w:rsidRPr="00C97C4B">
        <w:t>UNDP is not actively working with other partners to enable a transfer of responsibilities to national organisations. It has</w:t>
      </w:r>
      <w:r>
        <w:t>,</w:t>
      </w:r>
      <w:r w:rsidR="00C97C4B" w:rsidRPr="00C97C4B">
        <w:t xml:space="preserve"> however, through funding support from the Republic of South Korea through the Korea International Cooperation Agency (KOICA), begun to work with the Lao army who have been identified as </w:t>
      </w:r>
      <w:r w:rsidR="00C97C4B">
        <w:t>a possible</w:t>
      </w:r>
      <w:r w:rsidR="00C97C4B" w:rsidRPr="00C97C4B">
        <w:t xml:space="preserve"> </w:t>
      </w:r>
      <w:r w:rsidR="00C97C4B">
        <w:t xml:space="preserve">option for a national </w:t>
      </w:r>
      <w:r w:rsidR="00C97C4B" w:rsidRPr="00C97C4B">
        <w:t>capacity to manage residual UXO threat</w:t>
      </w:r>
      <w:r w:rsidR="00AA265D">
        <w:t xml:space="preserve"> (refer to section 5.5)</w:t>
      </w:r>
      <w:r w:rsidR="0035507F">
        <w:t xml:space="preserve"> but no clear strategy of how this transition will take place has been articulated</w:t>
      </w:r>
    </w:p>
    <w:p w:rsidR="00AE01A7" w:rsidRPr="0079227A" w:rsidRDefault="00AE01A7" w:rsidP="0079227A">
      <w:pPr>
        <w:rPr>
          <w:b/>
        </w:rPr>
      </w:pPr>
      <w:r w:rsidRPr="0079227A">
        <w:rPr>
          <w:b/>
        </w:rPr>
        <w:t>Specific Recommendations</w:t>
      </w:r>
    </w:p>
    <w:p w:rsidR="004B4DE0" w:rsidRDefault="0035507F" w:rsidP="00D32F8F">
      <w:pPr>
        <w:pStyle w:val="ListParagraph"/>
        <w:numPr>
          <w:ilvl w:val="0"/>
          <w:numId w:val="47"/>
        </w:numPr>
      </w:pPr>
      <w:r w:rsidRPr="004B4DE0">
        <w:rPr>
          <w:rFonts w:cs="TT15Ct00"/>
        </w:rPr>
        <w:t xml:space="preserve">The UNDP should </w:t>
      </w:r>
      <w:r>
        <w:t>c</w:t>
      </w:r>
      <w:r w:rsidR="008A7A37">
        <w:t>ontinue to support the</w:t>
      </w:r>
      <w:r w:rsidR="00D50F20" w:rsidRPr="00C81B4C">
        <w:t xml:space="preserve"> NRA to develop a </w:t>
      </w:r>
      <w:r w:rsidR="008A7A37">
        <w:t xml:space="preserve">strategy to transition to increased government </w:t>
      </w:r>
      <w:r w:rsidR="00D50F20" w:rsidRPr="00C81B4C">
        <w:t xml:space="preserve">financing </w:t>
      </w:r>
      <w:r w:rsidR="008A7A37">
        <w:t xml:space="preserve">of the sector. </w:t>
      </w:r>
      <w:r w:rsidR="00D50F20" w:rsidRPr="008A7A37">
        <w:t xml:space="preserve">The strategy should be agreed on by the end of 2018, with implementation commencing at the beginning of 2019. </w:t>
      </w:r>
    </w:p>
    <w:p w:rsidR="00394A4F" w:rsidRDefault="0035507F" w:rsidP="00D32F8F">
      <w:pPr>
        <w:pStyle w:val="ListParagraph"/>
        <w:numPr>
          <w:ilvl w:val="0"/>
          <w:numId w:val="47"/>
        </w:numPr>
      </w:pPr>
      <w:r w:rsidRPr="004B4DE0">
        <w:rPr>
          <w:rFonts w:cs="TT15Et00"/>
        </w:rPr>
        <w:t>The UNDP should f</w:t>
      </w:r>
      <w:r w:rsidR="00394A4F" w:rsidRPr="004B4DE0">
        <w:rPr>
          <w:rFonts w:cs="TT15Et00"/>
        </w:rPr>
        <w:t>acilitate dialogue between the NRA, Ministry of Health</w:t>
      </w:r>
      <w:r w:rsidR="00B0742D" w:rsidRPr="004B4DE0">
        <w:rPr>
          <w:rFonts w:cs="TT15Et00"/>
        </w:rPr>
        <w:t>,</w:t>
      </w:r>
      <w:r w:rsidR="00394A4F" w:rsidRPr="004B4DE0">
        <w:rPr>
          <w:rFonts w:cs="TT15Et00"/>
        </w:rPr>
        <w:t xml:space="preserve"> and WHO</w:t>
      </w:r>
      <w:r w:rsidR="00B0742D" w:rsidRPr="004B4DE0">
        <w:rPr>
          <w:rFonts w:cs="TT15Et00"/>
        </w:rPr>
        <w:t>,</w:t>
      </w:r>
      <w:r w:rsidR="00394A4F" w:rsidRPr="004B4DE0">
        <w:rPr>
          <w:rFonts w:cs="TT15Et00"/>
        </w:rPr>
        <w:t xml:space="preserve"> and other </w:t>
      </w:r>
      <w:r w:rsidR="008A7A37" w:rsidRPr="004B4DE0">
        <w:rPr>
          <w:rFonts w:cs="TT15Et00"/>
        </w:rPr>
        <w:t xml:space="preserve">relevant </w:t>
      </w:r>
      <w:r w:rsidR="00394A4F" w:rsidRPr="004B4DE0">
        <w:rPr>
          <w:rFonts w:cs="TT15Et00"/>
        </w:rPr>
        <w:t xml:space="preserve">organisations to develop an action plan to review the quality of the incident surveillance and data collection to </w:t>
      </w:r>
      <w:r w:rsidR="00394A4F" w:rsidRPr="00C81B4C">
        <w:t>ensure alignment with (current or planned) injury surveillance systems</w:t>
      </w:r>
      <w:r w:rsidR="008A7A37">
        <w:t xml:space="preserve">, </w:t>
      </w:r>
      <w:r w:rsidR="008A7A37" w:rsidRPr="00C81B4C">
        <w:t>the integration of epidemiological principals into the surveillance of UXO injury; and adherence to WHO’s</w:t>
      </w:r>
      <w:r w:rsidR="008A7A37" w:rsidRPr="004B4DE0">
        <w:rPr>
          <w:rFonts w:ascii="Calibri" w:hAnsi="Calibri"/>
        </w:rPr>
        <w:t xml:space="preserve"> minimal recommendation dataset for injury surveillance</w:t>
      </w:r>
      <w:r w:rsidR="008A7A37" w:rsidRPr="00C81B4C">
        <w:t>.</w:t>
      </w:r>
      <w:r w:rsidR="008A7A37">
        <w:t xml:space="preserve"> </w:t>
      </w:r>
    </w:p>
    <w:p w:rsidR="008A7A37" w:rsidRPr="00C81B4C" w:rsidRDefault="008A7A37" w:rsidP="008A7A37">
      <w:pPr>
        <w:pStyle w:val="ListParagraph"/>
        <w:ind w:left="360"/>
      </w:pPr>
    </w:p>
    <w:p w:rsidR="00C124D4" w:rsidRDefault="00C124D4" w:rsidP="00AE01A7">
      <w:pPr>
        <w:sectPr w:rsidR="00C124D4">
          <w:pgSz w:w="12240" w:h="15840"/>
          <w:pgMar w:top="1440" w:right="1440" w:bottom="1440" w:left="1440" w:header="720" w:footer="720" w:gutter="0"/>
          <w:cols w:space="720"/>
          <w:docGrid w:linePitch="360"/>
        </w:sectPr>
      </w:pPr>
    </w:p>
    <w:p w:rsidR="00254258" w:rsidRPr="00DC183C" w:rsidRDefault="008E4D1E" w:rsidP="00D32F8F">
      <w:pPr>
        <w:pStyle w:val="Heading1"/>
        <w:numPr>
          <w:ilvl w:val="0"/>
          <w:numId w:val="47"/>
        </w:numPr>
      </w:pPr>
      <w:bookmarkStart w:id="53" w:name="_Toc441609353"/>
      <w:r>
        <w:t>Appendices</w:t>
      </w:r>
      <w:bookmarkEnd w:id="53"/>
      <w:r>
        <w:t xml:space="preserve"> </w:t>
      </w:r>
    </w:p>
    <w:p w:rsidR="008E4D1E" w:rsidRDefault="00E638FB" w:rsidP="008E4D1E">
      <w:pPr>
        <w:pStyle w:val="Heading1"/>
      </w:pPr>
      <w:bookmarkStart w:id="54" w:name="_Toc441609354"/>
      <w:r>
        <w:t>Appendix 1: Terms of r</w:t>
      </w:r>
      <w:r w:rsidR="008E4D1E">
        <w:t>eference</w:t>
      </w:r>
      <w:bookmarkEnd w:id="54"/>
      <w:r w:rsidR="008E4D1E">
        <w:t xml:space="preserve"> </w:t>
      </w:r>
    </w:p>
    <w:p w:rsidR="00C5275C" w:rsidRDefault="00C5275C" w:rsidP="00C5275C"/>
    <w:p w:rsidR="00C5275C" w:rsidRDefault="00C5275C" w:rsidP="00C5275C">
      <w:r>
        <w:t xml:space="preserve">Terms of Reference (TOR) </w:t>
      </w:r>
    </w:p>
    <w:p w:rsidR="00C5275C" w:rsidRDefault="00C5275C" w:rsidP="00C5275C">
      <w:r>
        <w:t>Evaluation of UN/UNDP Support to the UXO Sector (2012-2015)</w:t>
      </w:r>
    </w:p>
    <w:p w:rsidR="00C5275C" w:rsidRDefault="00C5275C" w:rsidP="00C5275C">
      <w:r>
        <w:t>Duty Station:</w:t>
      </w:r>
      <w:r>
        <w:tab/>
      </w:r>
      <w:r>
        <w:tab/>
        <w:t>home-based</w:t>
      </w:r>
    </w:p>
    <w:p w:rsidR="00C5275C" w:rsidRDefault="00C5275C" w:rsidP="00C5275C">
      <w:r>
        <w:t>Duration:</w:t>
      </w:r>
      <w:r>
        <w:tab/>
      </w:r>
      <w:r>
        <w:tab/>
        <w:t xml:space="preserve">approx. 10 days over 2 weeks </w:t>
      </w:r>
    </w:p>
    <w:p w:rsidR="007B0567" w:rsidRDefault="00C5275C" w:rsidP="00C5275C">
      <w:r>
        <w:t>Start Date:</w:t>
      </w:r>
      <w:r>
        <w:tab/>
      </w:r>
      <w:r>
        <w:tab/>
        <w:t xml:space="preserve">20 November 2015                       </w:t>
      </w:r>
    </w:p>
    <w:p w:rsidR="00C5275C" w:rsidRDefault="00C5275C" w:rsidP="00C5275C">
      <w:r>
        <w:t>Background and Context</w:t>
      </w:r>
    </w:p>
    <w:p w:rsidR="00C5275C" w:rsidRDefault="00C5275C" w:rsidP="00C5275C">
      <w:r>
        <w:t xml:space="preserve">Lao PDR is, per capita, the most heavily bombed country in the world. More than forty years after the end of the 1964-1973 Indochina Conflict, unexploded ordnance (UXO) remains a major humanitarian and socioeconomic challenge to the country, causing deaths and injuries, limiting access to potentially productive land, and adding substantial costs to processes of development. The Government of Laos PDR has been active in the process of clearance since shortly after the conflict. Lao PDR has advocated for the Convention on Cluster Munitions (CCM) and hosted the first Meeting of States Parties in 2010. It also embraced the UXO issue as a key development matter by locally establishing the Millennium Development Goal (MDG) 9 on UXO. </w:t>
      </w:r>
    </w:p>
    <w:p w:rsidR="00C5275C" w:rsidRDefault="00C5275C" w:rsidP="00C5275C">
      <w:r>
        <w:t xml:space="preserve">Currently under the framework of Outcome 9 of the UNDAF 2012-2015, UNDP and other UN bodies have supported the UXO sector of Lao PDR since 1996 through a number of mechanisms and phases,  including the 1996 establishment of national clearance operator UXO Lao. The support delivered currently aims to assist the Government of Lao PDR in achieving MDG 9: Reduce the impact of UXO. UNDP’s support to the sector has been delivered through the Trust </w:t>
      </w:r>
      <w:r w:rsidR="007B0567">
        <w:t>Fund mechanism</w:t>
      </w:r>
      <w:r>
        <w:t xml:space="preserve">, as well as other third party cost sharing mechanisms. Since 2013, UNDP’s work in the UXO sector has been framed by the project Support for the institutional Strengthening of the National Regulatory Authority for the UXO /Mine Action Sector (NRA) and of the Lao National UXO Programme (UXO Lao) 2013-2015. </w:t>
      </w:r>
    </w:p>
    <w:p w:rsidR="00C5275C" w:rsidRDefault="00C5275C" w:rsidP="00C5275C">
      <w:r>
        <w:t>The overall objective of this three year programme of cooperation between the UNDP and the Government of Lao PDR is to support and further strengthen the institutional capacity of the National Regulatory Authority for the UXO/Mine Action Sector (NRA) and The National Unexploded Ordnance Programme (UXO Lao), the national UXO Sector operator. The NRA has lead responsibility for the regulation, coordination and oversight of all work in the UXO sector, and to ensure that Lao PDR fulfils its legal obligations as a State Party to the CCM. UXO Lao is the only national operator in Lao PDR, and currently undertakes more than half of all UXO survey, clearance and risk education work throughout the country.</w:t>
      </w:r>
    </w:p>
    <w:p w:rsidR="00C5275C" w:rsidRDefault="00E32E76" w:rsidP="00C5275C">
      <w:r>
        <w:t>The two expected o</w:t>
      </w:r>
      <w:r w:rsidR="00C5275C">
        <w:t xml:space="preserve">utputs of the project are: </w:t>
      </w:r>
    </w:p>
    <w:p w:rsidR="00C5275C" w:rsidRDefault="00C5275C" w:rsidP="00C5275C">
      <w:r>
        <w:t>OUTPUT 1: The National Regulatory Authority is able to effectively develop and provide policy guidance and to coordinate and regulate the UXO sector in support of national development goals, the implementation of the national UXO sector strategy “Safe Path Forward II”, and to ensure the fulfillment of relevant international treaty obligations</w:t>
      </w:r>
    </w:p>
    <w:p w:rsidR="00C5275C" w:rsidRDefault="00C5275C" w:rsidP="00C5275C"/>
    <w:p w:rsidR="00C5275C" w:rsidRDefault="00C5275C" w:rsidP="00C5275C">
      <w:r>
        <w:t>OUTPUT 2: UXO Lao is better able to manage clearance and risk education programmes for the needs of communities at risk</w:t>
      </w:r>
    </w:p>
    <w:p w:rsidR="00C5275C" w:rsidRDefault="00C5275C" w:rsidP="00C5275C">
      <w:r>
        <w:t>Under the umbrella of the current UNDAF, UNICEF has also been involved in Mine Risk Education and the development of materials to reduce children’s exposure to UXO. The WHO has also identified the effects of UXO as an area to address in terms of rehabilitation in its 2012-2015 Cooperation Strategy for Lao PDR.</w:t>
      </w:r>
    </w:p>
    <w:p w:rsidR="00C5275C" w:rsidRDefault="00C5275C" w:rsidP="00C5275C">
      <w:r>
        <w:t>Evaluation Purpose</w:t>
      </w:r>
    </w:p>
    <w:p w:rsidR="00C5275C" w:rsidRDefault="00C5275C" w:rsidP="00C5275C">
      <w:r>
        <w:t xml:space="preserve">2015 is the penultimate year of UNDAF implementation (2012-2016) and UN will be embarking on an independent evaluation of its cooperation. Under the framework of the UNDAF evaluation, it is also an opportune moment to commission an independent evaluation of the UN and UNDP’s contributions to the UXO sector. The Monitoring and Evaluation provisions for the 2013-2015 project include an assessment in the final year (2015) focusing on a review of progress against projected Outputs and their alignment to Outcomes. It has also been more than five years since the Trust Fund was established, and therefore, it is time to ensure its relevance and effectiveness in the context of the full range of modalities used for UN and UNDP’s work in the sector. </w:t>
      </w:r>
    </w:p>
    <w:p w:rsidR="00C5275C" w:rsidRDefault="00C5275C" w:rsidP="00C5275C">
      <w:r>
        <w:t xml:space="preserve">From the national perspective, 2015 is an important year to steer strategic thinking around the future of the UXO support and Trust Fund mechanism. The Safe Path Forward II strategy will be subjected to a mid-term evaluation in 2015, the purpose of which is to take stock of achievements in the 2011-2015 period relative to the objectives and indicators in the National Strategic Plan, and to involve all stakeholders in making recommendations for 2016-2020 based on experience, highlighting achievements and shortcomings of each involved party in the process. Also in 2015, the government will launch its 8th National Socio-Economic Development Plan, and the first Review Conference of the Convention on Cluster Munitions will take place in 2015. The evaluation, in tandem with the others, is aimed at informing the design of UNDP’s continued involvement in the UXO sector in Lao PDR. A particular focus will be on the extent to which the UN and UNDP’s support addressed the rural development and livelihoods aspects of the Government of Lao PDR’s national development plan, and how this can be improved. This evaluation will be conducted alongside, and feed into, the overall UNDAF evaluation under way in 2015. It will present forward-looking recommendations to shape the design of the next phase of the programme. </w:t>
      </w:r>
    </w:p>
    <w:p w:rsidR="00C5275C" w:rsidRDefault="00C5275C" w:rsidP="00C5275C">
      <w:r>
        <w:t>Evaluation Scope and Objectives</w:t>
      </w:r>
    </w:p>
    <w:p w:rsidR="00C5275C" w:rsidRDefault="00C5275C" w:rsidP="00C5275C">
      <w:r>
        <w:t>The independent evaluation will cover the period 2012-2015 and all facets of the UN and UNDP’s support to the UXO sector, including a focus on the efficacy of the Trust Fund mechanism; the use of cost-sharing agreements; the provision of technical assistance and all other modalities employed. Although it will be conducted independently, the evaluation exercise will be closely coordinated with the UNDAF evaluation and its findings will inform the UNDAF evaluation. In line with the evaluation criteria of relevance, efficiency, effectiveness and sustainability, the below areas will form the parameters of the evaluation and the areas in which recommendations should be made for a subsequent approach.</w:t>
      </w:r>
    </w:p>
    <w:p w:rsidR="00C5275C" w:rsidRDefault="00C5275C" w:rsidP="00C5275C">
      <w:r>
        <w:t>Strategic Positioning, Concept and Design</w:t>
      </w:r>
    </w:p>
    <w:p w:rsidR="00C5275C" w:rsidRDefault="00C5275C" w:rsidP="00C5275C">
      <w:r>
        <w:t xml:space="preserve">The Evaluation will assess the concept and design of the UN/UNDP’s overall intervention in the UXO sector since 2012, including an assessment of the appropriateness of the objectives, planned outputs, activities and inputs as compared to cost-effective alternatives. </w:t>
      </w:r>
    </w:p>
    <w:p w:rsidR="00C5275C" w:rsidRDefault="00C5275C" w:rsidP="00C5275C">
      <w:r>
        <w:t>Implementation</w:t>
      </w:r>
    </w:p>
    <w:p w:rsidR="00C5275C" w:rsidRDefault="00C5275C" w:rsidP="00C5275C">
      <w:r>
        <w:t xml:space="preserve">The evaluation will assess the implementation of the intervention in terms of quality and timeliness of inputs and efficiency and effectiveness of activities carried out. Also, the effectiveness of management as well as the quality and timeliness of monitoring and backstopping by all parties to the project should be evaluated. In particular, the evaluation is to assess the use of adaptive management. </w:t>
      </w:r>
    </w:p>
    <w:p w:rsidR="00C5275C" w:rsidRDefault="00C5275C" w:rsidP="00C5275C">
      <w:r>
        <w:t>Partnership and Coordination</w:t>
      </w:r>
    </w:p>
    <w:p w:rsidR="00C5275C" w:rsidRDefault="00C5275C" w:rsidP="00C5275C">
      <w:r>
        <w:t>The evaluation will assess effectiveness and appropriateness of the collaborations and partnerships that were established to deliver support to the UXO sector. This includes an assessment of the partnerships with key line ministries, as well as with international Development Partners, Non-Governmental Organizations, and local Non Profit Associations. The evaluation should draw conclusions about the extent to which the UN and UNDP were effective in coordination the support offered by all partners in the UXO sector. It will also evaluation what risks were taken with regards to partnership management and how these were managed.</w:t>
      </w:r>
    </w:p>
    <w:p w:rsidR="00C5275C" w:rsidRDefault="00C5275C" w:rsidP="00C5275C">
      <w:r>
        <w:t>Monitoring, Evaluation and Risk Management</w:t>
      </w:r>
    </w:p>
    <w:p w:rsidR="00C5275C" w:rsidRDefault="00C5275C" w:rsidP="00C5275C">
      <w:r>
        <w:t>A further focus of the evaluation will be on the extent to which adequate monitoring was undertaken throughout the period, and the extent to which evaluation systems were adequate to capture significant developments and inform responsive management. The evaluation will assess how Lessons Learned have been captured and operationalized throughout the period under investigation. It will look into how effectively the management of support to the UXO sector incorporated relevant global knowledge on good practices.</w:t>
      </w:r>
    </w:p>
    <w:p w:rsidR="00C5275C" w:rsidRDefault="00DD6323" w:rsidP="00C5275C">
      <w:r>
        <w:t>Rights-B</w:t>
      </w:r>
      <w:r w:rsidR="00C5275C">
        <w:t>ased Approach and Gender Mainstreaming</w:t>
      </w:r>
    </w:p>
    <w:p w:rsidR="00C5275C" w:rsidRDefault="00C5275C" w:rsidP="00C5275C">
      <w:r>
        <w:t xml:space="preserve">The evaluation will assess the extent to which the </w:t>
      </w:r>
      <w:r w:rsidR="00DD6323">
        <w:t>project sought to strengthen a Rights-Based A</w:t>
      </w:r>
      <w:r>
        <w:t xml:space="preserve">pproach and the mainstreaming of gender into development efforts. This should look at what measures were taken to this end and how successful those have been in addressing specific rights- and gender-related aspects of the UXO issue. </w:t>
      </w:r>
    </w:p>
    <w:p w:rsidR="00C5275C" w:rsidRDefault="00C5275C" w:rsidP="00C5275C">
      <w:r>
        <w:t>Use and Management Response</w:t>
      </w:r>
    </w:p>
    <w:p w:rsidR="00C5275C" w:rsidRDefault="00C5275C" w:rsidP="00C5275C">
      <w:r>
        <w:t xml:space="preserve">UNDP evaluation policy, approved by its Executive Board in 2009, requires all independent evaluations to have a management response. According to the policy, UNDP management, in close consultation with NRA, UXO Lao, Ministry of Foreign Affairs and other stakeholders, will prepare a management response to the recommendations and follow up action points.  This plan will note the responsible parties for each follow-up activity, as well as the timeframe by quarter, to allow for clear tracking of progress on the corporate public website, Evaluation Resource Center (erc.undp.org). </w:t>
      </w:r>
    </w:p>
    <w:p w:rsidR="00C5275C" w:rsidRDefault="00C5275C" w:rsidP="00C5275C">
      <w:r>
        <w:t>Evaluation Questions</w:t>
      </w:r>
    </w:p>
    <w:p w:rsidR="00C5275C" w:rsidRDefault="00C5275C" w:rsidP="00C5275C">
      <w:r>
        <w:t>The evaluation should address the following questions:</w:t>
      </w:r>
    </w:p>
    <w:p w:rsidR="00C5275C" w:rsidRDefault="00C5275C" w:rsidP="00C5275C">
      <w:r>
        <w:t>Relevance</w:t>
      </w:r>
    </w:p>
    <w:p w:rsidR="00C5275C" w:rsidRDefault="00C5275C" w:rsidP="00C5275C">
      <w:r>
        <w:t>•</w:t>
      </w:r>
      <w:r>
        <w:tab/>
        <w:t xml:space="preserve">To what extent was the support to the UXO sector by the UN/UNDP based on clearly identifiable development needs as outlined in the government’s strategies, international obligations and others? </w:t>
      </w:r>
    </w:p>
    <w:p w:rsidR="00C5275C" w:rsidRDefault="00C5275C" w:rsidP="00C5275C">
      <w:r>
        <w:t>•</w:t>
      </w:r>
      <w:r>
        <w:tab/>
        <w:t xml:space="preserve">During the evaluation period, what economic, social or political changes have taken place that affected UN/UNDP-supported UXO initiatives? How do these relate to the relevance of the UXO sector to poverty eradication and economic development in Lao PDR? </w:t>
      </w:r>
    </w:p>
    <w:p w:rsidR="00C5275C" w:rsidRDefault="00C5275C" w:rsidP="00C5275C">
      <w:r>
        <w:t>•</w:t>
      </w:r>
      <w:r>
        <w:tab/>
        <w:t>What opportunities are there to better align the support to the changed context and the needs of the beneficiaries?</w:t>
      </w:r>
    </w:p>
    <w:p w:rsidR="00C5275C" w:rsidRDefault="00C5275C" w:rsidP="00C5275C">
      <w:r>
        <w:t>•</w:t>
      </w:r>
      <w:r>
        <w:tab/>
        <w:t>How does the UN and UNDP’s UXO work link to other development initiatives, implemented by the UN, other Development Partners, Civil Society Organisations, or government agencies?</w:t>
      </w:r>
    </w:p>
    <w:p w:rsidR="00C5275C" w:rsidRDefault="00C5275C" w:rsidP="00C5275C">
      <w:r>
        <w:t>Effectiveness</w:t>
      </w:r>
    </w:p>
    <w:p w:rsidR="00C5275C" w:rsidRDefault="00C5275C" w:rsidP="00C5275C">
      <w:r>
        <w:t>•</w:t>
      </w:r>
      <w:r>
        <w:tab/>
        <w:t>To what extent were the Outputs and Outcomes of the UXO sector, and the indicators used, successful in guiding the support to have maximum positive impact in human development terms? How might this be improved in future?</w:t>
      </w:r>
    </w:p>
    <w:p w:rsidR="00C5275C" w:rsidRDefault="00C5275C" w:rsidP="00C5275C">
      <w:r>
        <w:t>•</w:t>
      </w:r>
      <w:r>
        <w:tab/>
        <w:t>What factors have contributed to achieving or not achieving intended outcomes? To what extent have UNDP outputs and assistance contributed to outcomes?</w:t>
      </w:r>
    </w:p>
    <w:p w:rsidR="00C5275C" w:rsidRDefault="00C5275C" w:rsidP="00C5275C">
      <w:r>
        <w:t>•</w:t>
      </w:r>
      <w:r>
        <w:tab/>
        <w:t>How far was the Trust Fund mechanism, its objective, set-up and rules and procedures, effective in fulfilling the intended objectives and needs of the users? How has its effectiveness compared with that of other funding modalities?</w:t>
      </w:r>
    </w:p>
    <w:p w:rsidR="00C5275C" w:rsidRDefault="00C5275C" w:rsidP="00C5275C">
      <w:r>
        <w:t>•</w:t>
      </w:r>
      <w:r>
        <w:tab/>
        <w:t xml:space="preserve">To what extent was the planning undertaken for support to the sector adequate to sustain and improve operations? </w:t>
      </w:r>
    </w:p>
    <w:p w:rsidR="00C5275C" w:rsidRDefault="00C5275C" w:rsidP="00C5275C">
      <w:r>
        <w:t>•</w:t>
      </w:r>
      <w:r>
        <w:tab/>
        <w:t>To what extent are the intended beneficiaries satisfied with the results? How well have gender considerations been taken into account?</w:t>
      </w:r>
    </w:p>
    <w:p w:rsidR="00C5275C" w:rsidRDefault="00C5275C" w:rsidP="00C5275C">
      <w:r>
        <w:t>Efficiency</w:t>
      </w:r>
    </w:p>
    <w:p w:rsidR="00C5275C" w:rsidRDefault="00C5275C" w:rsidP="00C5275C">
      <w:r>
        <w:t>•</w:t>
      </w:r>
      <w:r>
        <w:tab/>
        <w:t>To what extent was the response designed to maximize the efficiency of the UN/UNDP’s support to the UXO sector?</w:t>
      </w:r>
    </w:p>
    <w:p w:rsidR="00C5275C" w:rsidRDefault="00C5275C" w:rsidP="00C5275C">
      <w:r>
        <w:t>•</w:t>
      </w:r>
      <w:r>
        <w:tab/>
        <w:t>How cost-effective and time-efficient was the implementation by the UN and UNDP of their UXO sector activities and outputs in the evaluation period? What measures were taken to ensure competitiveness?</w:t>
      </w:r>
    </w:p>
    <w:p w:rsidR="00C5275C" w:rsidRDefault="00C5275C" w:rsidP="00C5275C">
      <w:r>
        <w:t>•</w:t>
      </w:r>
      <w:r>
        <w:tab/>
        <w:t xml:space="preserve">How efficient did the various modalities of UN and UNDP support prove to be in the period? </w:t>
      </w:r>
    </w:p>
    <w:p w:rsidR="00C5275C" w:rsidRDefault="00C5275C" w:rsidP="00C5275C">
      <w:r>
        <w:t>•</w:t>
      </w:r>
      <w:r>
        <w:tab/>
        <w:t>To what extent are the planned funding and timeframe sufficient to achieve the intended outcomes?</w:t>
      </w:r>
    </w:p>
    <w:p w:rsidR="00C5275C" w:rsidRDefault="00C5275C" w:rsidP="00C5275C">
      <w:r>
        <w:t>•</w:t>
      </w:r>
      <w:r>
        <w:tab/>
        <w:t>How appropriate was the approach taken to organizing clearance activities in terms of competitiveness? How could this be improved?</w:t>
      </w:r>
    </w:p>
    <w:p w:rsidR="00C5275C" w:rsidRDefault="00C5275C" w:rsidP="00C5275C">
      <w:r>
        <w:t xml:space="preserve">Partnership and Coordination </w:t>
      </w:r>
    </w:p>
    <w:p w:rsidR="00C5275C" w:rsidRDefault="00C5275C" w:rsidP="00C5275C">
      <w:r>
        <w:t>•</w:t>
      </w:r>
      <w:r>
        <w:tab/>
        <w:t>How appropriate and effective has the UNDP partnership strategy been? What factors contributed to this effectiveness or ineffectiveness?</w:t>
      </w:r>
    </w:p>
    <w:p w:rsidR="00C5275C" w:rsidRDefault="00C5275C" w:rsidP="00C5275C">
      <w:r>
        <w:t>•</w:t>
      </w:r>
      <w:r>
        <w:tab/>
        <w:t>How is policy dialogue being used to effectively influence government and development partners and support the outcomes?</w:t>
      </w:r>
    </w:p>
    <w:p w:rsidR="00C5275C" w:rsidRDefault="00C5275C" w:rsidP="00C5275C">
      <w:r>
        <w:t>•</w:t>
      </w:r>
      <w:r>
        <w:tab/>
        <w:t>How could the approach to policy dialogue be strengthened and made more impactful?</w:t>
      </w:r>
    </w:p>
    <w:p w:rsidR="00C5275C" w:rsidRDefault="00C5275C" w:rsidP="00C5275C">
      <w:r>
        <w:t xml:space="preserve">Sustainability </w:t>
      </w:r>
    </w:p>
    <w:p w:rsidR="00C5275C" w:rsidRDefault="00C5275C" w:rsidP="00C5275C">
      <w:r>
        <w:t>•</w:t>
      </w:r>
      <w:r>
        <w:tab/>
        <w:t>To what extent will the benefits and outcomes continue after external donor funding ends?</w:t>
      </w:r>
    </w:p>
    <w:p w:rsidR="00C5275C" w:rsidRDefault="00C5275C" w:rsidP="00C5275C">
      <w:r>
        <w:t>•</w:t>
      </w:r>
      <w:r>
        <w:tab/>
        <w:t>What can be done to maximise the likelihood of sustainable outcomes?</w:t>
      </w:r>
    </w:p>
    <w:p w:rsidR="00C5275C" w:rsidRDefault="00C5275C" w:rsidP="00C5275C">
      <w:r>
        <w:t>•</w:t>
      </w:r>
      <w:r>
        <w:tab/>
        <w:t>To what extent has the Government of Lao PDR increased its ownership of the UXO issue during the period in question? What impact has this had on external support?</w:t>
      </w:r>
    </w:p>
    <w:p w:rsidR="00C5275C" w:rsidRDefault="00C5275C" w:rsidP="00C5275C">
      <w:r>
        <w:t>•</w:t>
      </w:r>
      <w:r>
        <w:tab/>
        <w:t xml:space="preserve">In what ways were relevant social, environmental, resettlement and other safeguards taken into consideration during the evaluation period? </w:t>
      </w:r>
    </w:p>
    <w:p w:rsidR="00C5275C" w:rsidRDefault="00C5275C" w:rsidP="00C5275C">
      <w:r>
        <w:t>Monitoring &amp; Evaluation and Risk Management</w:t>
      </w:r>
    </w:p>
    <w:p w:rsidR="00C5275C" w:rsidRDefault="00C5275C" w:rsidP="00C5275C">
      <w:r>
        <w:t>•</w:t>
      </w:r>
      <w:r>
        <w:tab/>
        <w:t xml:space="preserve">To what extent is the Monitoring and Evaluation system generating credible information that can be used for program improvement, learning and accountability? </w:t>
      </w:r>
    </w:p>
    <w:p w:rsidR="00C5275C" w:rsidRDefault="00C5275C" w:rsidP="00C5275C">
      <w:r>
        <w:t>•</w:t>
      </w:r>
      <w:r>
        <w:tab/>
        <w:t>To what extent did the results framework allow for relevant monitoring of progress and impact of interventions? How could this be improved, with particular reference to the findings regarding relevance?</w:t>
      </w:r>
    </w:p>
    <w:p w:rsidR="00C5275C" w:rsidRDefault="00C5275C" w:rsidP="00C5275C">
      <w:r>
        <w:t>•</w:t>
      </w:r>
      <w:r>
        <w:tab/>
        <w:t xml:space="preserve">How accurate was the risk assessment undertaken? How effectively were the risks managed? </w:t>
      </w:r>
    </w:p>
    <w:p w:rsidR="00C5275C" w:rsidRDefault="00C5275C" w:rsidP="00C5275C">
      <w:r>
        <w:t>•</w:t>
      </w:r>
      <w:r>
        <w:tab/>
        <w:t xml:space="preserve">How effective were the provisions for oversight of the work in the sector? </w:t>
      </w:r>
    </w:p>
    <w:p w:rsidR="00C5275C" w:rsidRDefault="00C5275C" w:rsidP="00C5275C">
      <w:r>
        <w:t>Methodology</w:t>
      </w:r>
    </w:p>
    <w:p w:rsidR="00C5275C" w:rsidRDefault="00C5275C" w:rsidP="00C5275C">
      <w:r>
        <w:t xml:space="preserve">The report will be developed based upon field data previously collected by another consultant, and through a related case study of community level impacts of mine action in Lao PDR, carried out by UNDP IEO in July 2015. </w:t>
      </w:r>
    </w:p>
    <w:p w:rsidR="00C5275C" w:rsidRDefault="00C5275C" w:rsidP="00C5275C">
      <w:r>
        <w:t>Data Collection</w:t>
      </w:r>
    </w:p>
    <w:p w:rsidR="00C5275C" w:rsidRDefault="00C5275C" w:rsidP="00C5275C">
      <w:r>
        <w:t>•</w:t>
      </w:r>
      <w:r>
        <w:tab/>
        <w:t xml:space="preserve">Data collection will be limited to telephone and email contacts to gain additional information and insights in addition to the background data and evidence already amassed from previous work on this evaluation.    </w:t>
      </w:r>
    </w:p>
    <w:p w:rsidR="00C5275C" w:rsidRDefault="00C5275C" w:rsidP="00C5275C">
      <w:r>
        <w:t>Field Visits</w:t>
      </w:r>
    </w:p>
    <w:p w:rsidR="00C5275C" w:rsidRDefault="00C5275C" w:rsidP="00C5275C">
      <w:r>
        <w:t>•</w:t>
      </w:r>
      <w:r>
        <w:tab/>
        <w:t>No field visits will take place</w:t>
      </w:r>
    </w:p>
    <w:p w:rsidR="00C5275C" w:rsidRDefault="00C5275C" w:rsidP="00C5275C">
      <w:r>
        <w:t>Data Analysis</w:t>
      </w:r>
    </w:p>
    <w:p w:rsidR="00C5275C" w:rsidRDefault="00C5275C" w:rsidP="00C5275C">
      <w:r>
        <w:t>•</w:t>
      </w:r>
      <w:r>
        <w:tab/>
        <w:t xml:space="preserve">Application of triangulation of both qualitative and quantitative methods of analysis of the data. </w:t>
      </w:r>
    </w:p>
    <w:p w:rsidR="00C5275C" w:rsidRDefault="00C5275C" w:rsidP="00C5275C">
      <w:r>
        <w:t xml:space="preserve">The evaluation should be undertaken with the guidance of the 2009 UNDP Handbook on Planning, Monitoring and Evaluating for Development Results, available here: </w:t>
      </w:r>
    </w:p>
    <w:p w:rsidR="00C5275C" w:rsidRDefault="00C5275C" w:rsidP="00C5275C">
      <w:r>
        <w:t>http://web.undp.org/evaluation/handbook/documents/english/pme-handbook.pdf</w:t>
      </w:r>
    </w:p>
    <w:p w:rsidR="00C5275C" w:rsidRDefault="00C5275C" w:rsidP="00C5275C">
      <w:r>
        <w:t>Evaluation Deliverables</w:t>
      </w:r>
    </w:p>
    <w:p w:rsidR="00C5275C" w:rsidRDefault="00C5275C" w:rsidP="00C5275C">
      <w:r>
        <w:t>The Consultant will be responsible for delivering the following products by the end date of the contract (15, December):</w:t>
      </w:r>
    </w:p>
    <w:p w:rsidR="00C5275C" w:rsidRDefault="00C5275C" w:rsidP="00C5275C"/>
    <w:p w:rsidR="00C5275C" w:rsidRDefault="00C5275C" w:rsidP="00C5275C">
      <w:r>
        <w:t>•</w:t>
      </w:r>
      <w:r>
        <w:tab/>
        <w:t>A power point presentation on key findings, for use by the UNDP country office during their planned workshop with donors</w:t>
      </w:r>
    </w:p>
    <w:p w:rsidR="00C5275C" w:rsidRDefault="00C5275C" w:rsidP="00C5275C">
      <w:r>
        <w:t>•</w:t>
      </w:r>
      <w:r>
        <w:tab/>
        <w:t xml:space="preserve">Draft and Final evaluation report –finalized based on feedback from, and submitted to, UNDP IEO and UNDP country office in Lao PDR. </w:t>
      </w:r>
    </w:p>
    <w:p w:rsidR="00C5275C" w:rsidRDefault="00C5275C" w:rsidP="00C5275C">
      <w:r>
        <w:t>Evaluation Team Composition and Required Competencies</w:t>
      </w:r>
    </w:p>
    <w:p w:rsidR="00C5275C" w:rsidRDefault="00C5275C" w:rsidP="00C5275C">
      <w:r>
        <w:t xml:space="preserve">The work will be carried out by an independent evaluation consultant, who is responsible for drafting and timely delivery of the evaluation report.  </w:t>
      </w:r>
    </w:p>
    <w:p w:rsidR="00C5275C" w:rsidRDefault="00C5275C" w:rsidP="00C5275C">
      <w:r>
        <w:t>Required Qualifications</w:t>
      </w:r>
    </w:p>
    <w:p w:rsidR="00C5275C" w:rsidRDefault="00C5275C" w:rsidP="00C5275C">
      <w:r>
        <w:t>•</w:t>
      </w:r>
      <w:r>
        <w:tab/>
        <w:t xml:space="preserve">Master’s degree or equivalent; </w:t>
      </w:r>
    </w:p>
    <w:p w:rsidR="00C5275C" w:rsidRDefault="00C5275C" w:rsidP="00C5275C">
      <w:r>
        <w:t>•</w:t>
      </w:r>
      <w:r>
        <w:tab/>
        <w:t xml:space="preserve">Proven record of leading complex programmatic evaluations for at least ten years, including Mine Action/UXO programmes. </w:t>
      </w:r>
    </w:p>
    <w:p w:rsidR="00C5275C" w:rsidRDefault="00C5275C" w:rsidP="00C5275C">
      <w:r>
        <w:t>•</w:t>
      </w:r>
      <w:r>
        <w:tab/>
        <w:t>Demonstrable in-depth understanding of Results-Based Management and strategic planning;</w:t>
      </w:r>
    </w:p>
    <w:p w:rsidR="00C5275C" w:rsidRDefault="00C5275C" w:rsidP="00C5275C">
      <w:r>
        <w:t>•</w:t>
      </w:r>
      <w:r>
        <w:tab/>
        <w:t xml:space="preserve">Fluency in English both in speaking and writing; knowledge of Lao is an asset; </w:t>
      </w:r>
    </w:p>
    <w:p w:rsidR="00C5275C" w:rsidRDefault="00C5275C" w:rsidP="00C5275C">
      <w:r>
        <w:t>•</w:t>
      </w:r>
      <w:r>
        <w:tab/>
        <w:t>Strong drafting and analytical skills;</w:t>
      </w:r>
    </w:p>
    <w:p w:rsidR="00C5275C" w:rsidRDefault="00C5275C" w:rsidP="00C5275C">
      <w:r>
        <w:t>•</w:t>
      </w:r>
      <w:r>
        <w:tab/>
        <w:t>Experience in evaluating a financing mechanisms is an asset;</w:t>
      </w:r>
    </w:p>
    <w:p w:rsidR="00C5275C" w:rsidRDefault="00C5275C" w:rsidP="00C5275C">
      <w:r>
        <w:t>•</w:t>
      </w:r>
      <w:r>
        <w:tab/>
        <w:t>Knowledge of the context of Lao PDR is an asset.</w:t>
      </w:r>
    </w:p>
    <w:p w:rsidR="00C5275C" w:rsidRDefault="00C5275C" w:rsidP="00C5275C">
      <w:r>
        <w:t>Evaluation Ethics</w:t>
      </w:r>
    </w:p>
    <w:p w:rsidR="00C5275C" w:rsidRDefault="00C5275C" w:rsidP="00C5275C">
      <w:r>
        <w:t xml:space="preserve">The evaluation must be undertaken in accordance with the UNEG Ethical Guidelines for Evaluation, which are available here: http://www.unevaluation.org/document/download/548 </w:t>
      </w:r>
    </w:p>
    <w:p w:rsidR="00C5275C" w:rsidRDefault="00C5275C" w:rsidP="00C5275C">
      <w:r>
        <w:t>Implementation Arrangements</w:t>
      </w:r>
    </w:p>
    <w:p w:rsidR="00C5275C" w:rsidRDefault="00C5275C" w:rsidP="00C5275C">
      <w:r>
        <w:t xml:space="preserve">The below table outlines key roles and responsibilities for the evaluation process. </w:t>
      </w:r>
    </w:p>
    <w:p w:rsidR="00C5275C" w:rsidRDefault="00C5275C" w:rsidP="00C5275C">
      <w:r>
        <w:t>Person/ Organization</w:t>
      </w:r>
      <w:r>
        <w:tab/>
        <w:t>Roles and Responsibilities</w:t>
      </w:r>
    </w:p>
    <w:p w:rsidR="00C5275C" w:rsidRDefault="00C5275C" w:rsidP="00C5275C">
      <w:r>
        <w:t>Commissioner of the Evaluation: UNDP IEO</w:t>
      </w:r>
      <w:r>
        <w:tab/>
        <w:t>•</w:t>
      </w:r>
      <w:r>
        <w:tab/>
        <w:t>Determine scope of evaluation in consultation with UINDP Lao PDR CO;</w:t>
      </w:r>
    </w:p>
    <w:p w:rsidR="00C5275C" w:rsidRDefault="00C5275C" w:rsidP="00C5275C">
      <w:r>
        <w:t>•</w:t>
      </w:r>
      <w:r>
        <w:tab/>
        <w:t>Safeguard the independence of the exercise;</w:t>
      </w:r>
    </w:p>
    <w:p w:rsidR="00C5275C" w:rsidRDefault="00C5275C" w:rsidP="00C5275C">
      <w:r>
        <w:t>•</w:t>
      </w:r>
      <w:r>
        <w:tab/>
        <w:t>Review the draft evaluation report, ensure the final draft meets quality standards.</w:t>
      </w:r>
    </w:p>
    <w:p w:rsidR="00C5275C" w:rsidRDefault="00C5275C" w:rsidP="00C5275C">
      <w:r>
        <w:t xml:space="preserve">Evaluation Report Recipient: UNDP CO: Lao PDR </w:t>
      </w:r>
      <w:r>
        <w:tab/>
        <w:t>•</w:t>
      </w:r>
      <w:r>
        <w:tab/>
        <w:t>Provide the Evaluation Team with administrative support and required data;</w:t>
      </w:r>
    </w:p>
    <w:p w:rsidR="00C5275C" w:rsidRDefault="00C5275C" w:rsidP="00C5275C">
      <w:r>
        <w:t>•</w:t>
      </w:r>
      <w:r>
        <w:tab/>
        <w:t>Review the draft evaluation report, ensure the final draft meets quality standards.</w:t>
      </w:r>
    </w:p>
    <w:p w:rsidR="00C5275C" w:rsidRDefault="00C5275C" w:rsidP="00C5275C">
      <w:r>
        <w:t>Evaluation Consultant</w:t>
      </w:r>
      <w:r>
        <w:tab/>
        <w:t>•</w:t>
      </w:r>
      <w:r>
        <w:tab/>
        <w:t>Fulfill the contractual arrangements in line with the UNEG norms and standards and ethical guidelines</w:t>
      </w:r>
    </w:p>
    <w:p w:rsidR="00C5275C" w:rsidRDefault="00C5275C" w:rsidP="00C5275C">
      <w:r>
        <w:t>Time Frame for the Evaluation</w:t>
      </w:r>
    </w:p>
    <w:p w:rsidR="00C5275C" w:rsidRDefault="00C5275C" w:rsidP="00C5275C">
      <w:r>
        <w:t xml:space="preserve">The process of report writing is expected to take 10 days over two weeks, and will be completed by 15, December 2015.  </w:t>
      </w:r>
    </w:p>
    <w:p w:rsidR="00C5275C" w:rsidRDefault="00C5275C" w:rsidP="00C5275C">
      <w:r>
        <w:t>Indicative Cost</w:t>
      </w:r>
    </w:p>
    <w:p w:rsidR="00C5275C" w:rsidRDefault="00C5275C" w:rsidP="00C5275C">
      <w:r>
        <w:t xml:space="preserve">International Consultant: lump sum contract: $8000 </w:t>
      </w:r>
    </w:p>
    <w:p w:rsidR="00C5275C" w:rsidRDefault="00C5275C" w:rsidP="00C5275C">
      <w:r>
        <w:t>International and field travel = none planned</w:t>
      </w:r>
    </w:p>
    <w:p w:rsidR="00C5275C" w:rsidRDefault="00C5275C" w:rsidP="00C5275C">
      <w:r>
        <w:t>Annexes</w:t>
      </w:r>
    </w:p>
    <w:p w:rsidR="00C5275C" w:rsidRDefault="00C5275C" w:rsidP="00C5275C">
      <w:r>
        <w:t>Annex 1 – Project Document: Support for the institutional Strengthening of the National Regulatory Authority for the UXO /Mine Action Sector (NRA) and of the Lao National UXO Programme (UXO Lao) 2013-2015 (available here:</w:t>
      </w:r>
      <w:r>
        <w:tab/>
      </w:r>
    </w:p>
    <w:p w:rsidR="00C5275C" w:rsidRDefault="00C5275C" w:rsidP="00C5275C">
      <w:r>
        <w:t xml:space="preserve">http://www.la.undp.org/content/dam/laopdr/docs/Project%20Documents/UXO/Signed%20Project%20Document%20UXO%20Lao%20and%20NRA%202013-2015_Eng.pdf ) </w:t>
      </w:r>
    </w:p>
    <w:p w:rsidR="00C5275C" w:rsidRDefault="00C5275C" w:rsidP="00C5275C">
      <w:r>
        <w:t xml:space="preserve">Annex 2 – Safe Path Forward II strategy (available here: </w:t>
      </w:r>
      <w:r>
        <w:tab/>
      </w:r>
    </w:p>
    <w:p w:rsidR="00C5275C" w:rsidRDefault="00C5275C" w:rsidP="00C5275C">
      <w:r>
        <w:t>http://www.la.undp.org/content/dam/laopdr/docs/Reports%20and%20publications/UNDP_LA_SPFII%20%20Eng.pdf )</w:t>
      </w:r>
    </w:p>
    <w:p w:rsidR="00C5275C" w:rsidRDefault="00C5275C" w:rsidP="00C5275C">
      <w:r>
        <w:t xml:space="preserve">Annex 3 – UNDAF Action Plan 2012-2015 Lao PDR (available here: </w:t>
      </w:r>
      <w:r>
        <w:tab/>
      </w:r>
    </w:p>
    <w:p w:rsidR="00C5275C" w:rsidRDefault="00C5275C" w:rsidP="00C5275C">
      <w:r>
        <w:t>http://www.la.undp.org/content/dam/laopdr/docs/Legal%20Framework/UN_LA_UNDAF_2012_2015.pdf )</w:t>
      </w:r>
    </w:p>
    <w:p w:rsidR="00C5275C" w:rsidRDefault="00C5275C" w:rsidP="00C5275C">
      <w:r>
        <w:t xml:space="preserve">Annex 4: Suggested outline for the Evaluation Report </w:t>
      </w:r>
    </w:p>
    <w:p w:rsidR="00C5275C" w:rsidRDefault="00C5275C" w:rsidP="00C5275C">
      <w:r>
        <w:t>Executive Summary</w:t>
      </w:r>
    </w:p>
    <w:p w:rsidR="00C5275C" w:rsidRDefault="00C5275C" w:rsidP="00C5275C">
      <w:r>
        <w:t>1.</w:t>
      </w:r>
      <w:r>
        <w:tab/>
        <w:t>Introduction</w:t>
      </w:r>
    </w:p>
    <w:p w:rsidR="00C5275C" w:rsidRDefault="00C5275C" w:rsidP="00C5275C">
      <w:r>
        <w:t>Evaluation background</w:t>
      </w:r>
    </w:p>
    <w:p w:rsidR="00C5275C" w:rsidRDefault="00C5275C" w:rsidP="00C5275C">
      <w:r>
        <w:t>Evaluation purpose</w:t>
      </w:r>
    </w:p>
    <w:p w:rsidR="00C5275C" w:rsidRDefault="00C5275C" w:rsidP="00C5275C">
      <w:r>
        <w:t>Evaluation methodology</w:t>
      </w:r>
    </w:p>
    <w:p w:rsidR="00C5275C" w:rsidRDefault="00C5275C" w:rsidP="00C5275C">
      <w:r>
        <w:t>Evaluation limitations and constraints</w:t>
      </w:r>
    </w:p>
    <w:p w:rsidR="00C5275C" w:rsidRDefault="00C5275C" w:rsidP="00C5275C">
      <w:r>
        <w:t>2.</w:t>
      </w:r>
      <w:r>
        <w:tab/>
        <w:t>Country Context</w:t>
      </w:r>
    </w:p>
    <w:p w:rsidR="00C5275C" w:rsidRDefault="00C5275C" w:rsidP="00C5275C">
      <w:r>
        <w:t>3.</w:t>
      </w:r>
      <w:r>
        <w:tab/>
        <w:t>Situation at beginning of UNDP UXO support project 2013-2015</w:t>
      </w:r>
    </w:p>
    <w:p w:rsidR="00C5275C" w:rsidRDefault="00C5275C" w:rsidP="00C5275C">
      <w:r>
        <w:t>4.</w:t>
      </w:r>
      <w:r>
        <w:tab/>
        <w:t>Development of national mine action and UNDP support 2013-2015</w:t>
      </w:r>
    </w:p>
    <w:p w:rsidR="00C5275C" w:rsidRDefault="00C5275C" w:rsidP="00C5275C">
      <w:r>
        <w:t>5.</w:t>
      </w:r>
      <w:r>
        <w:tab/>
        <w:t>Key evaluation questions and results</w:t>
      </w:r>
    </w:p>
    <w:p w:rsidR="00C5275C" w:rsidRDefault="00C5275C" w:rsidP="00C5275C">
      <w:r>
        <w:t xml:space="preserve">Relevance </w:t>
      </w:r>
    </w:p>
    <w:p w:rsidR="00C5275C" w:rsidRDefault="00C5275C" w:rsidP="00C5275C">
      <w:r>
        <w:t xml:space="preserve">Effectiveness </w:t>
      </w:r>
    </w:p>
    <w:p w:rsidR="00C5275C" w:rsidRDefault="00C5275C" w:rsidP="00C5275C">
      <w:r>
        <w:t xml:space="preserve">Monitoring and reporting </w:t>
      </w:r>
    </w:p>
    <w:p w:rsidR="00C5275C" w:rsidRDefault="00C5275C" w:rsidP="00C5275C">
      <w:r>
        <w:t>Partnership and coordination</w:t>
      </w:r>
    </w:p>
    <w:p w:rsidR="00C5275C" w:rsidRDefault="00C5275C" w:rsidP="00C5275C">
      <w:r>
        <w:t>Efficiency of UNDP support</w:t>
      </w:r>
    </w:p>
    <w:p w:rsidR="00C5275C" w:rsidRDefault="00C5275C" w:rsidP="00C5275C">
      <w:r>
        <w:t>Impact</w:t>
      </w:r>
    </w:p>
    <w:p w:rsidR="00C5275C" w:rsidRDefault="00C5275C" w:rsidP="00C5275C">
      <w:r>
        <w:t>Sustainability</w:t>
      </w:r>
    </w:p>
    <w:p w:rsidR="00C5275C" w:rsidRDefault="00C5275C" w:rsidP="00C5275C">
      <w:r>
        <w:t>6.</w:t>
      </w:r>
      <w:r>
        <w:tab/>
        <w:t>Conclusions and Recommendations for further UNDP support</w:t>
      </w:r>
    </w:p>
    <w:p w:rsidR="00C124D4" w:rsidRDefault="00C5275C" w:rsidP="00C5275C">
      <w:pPr>
        <w:sectPr w:rsidR="00C124D4">
          <w:pgSz w:w="12240" w:h="15840"/>
          <w:pgMar w:top="1440" w:right="1440" w:bottom="1440" w:left="1440" w:header="720" w:footer="720" w:gutter="0"/>
          <w:cols w:space="720"/>
          <w:docGrid w:linePitch="360"/>
        </w:sectPr>
      </w:pPr>
      <w:r>
        <w:t>7.</w:t>
      </w:r>
      <w:r>
        <w:tab/>
        <w:t>Annexes</w:t>
      </w:r>
    </w:p>
    <w:p w:rsidR="00C124D4" w:rsidRDefault="00C124D4" w:rsidP="00C124D4">
      <w:pPr>
        <w:pStyle w:val="Heading1"/>
      </w:pPr>
      <w:bookmarkStart w:id="55" w:name="_Toc441609355"/>
      <w:r>
        <w:t>Appendix 2: Documents reviewed</w:t>
      </w:r>
      <w:bookmarkEnd w:id="55"/>
      <w:r>
        <w:t xml:space="preserve"> </w:t>
      </w:r>
    </w:p>
    <w:p w:rsidR="00C124D4" w:rsidRPr="007F3C79" w:rsidRDefault="00C124D4" w:rsidP="00C124D4">
      <w:r w:rsidRPr="007F3C79">
        <w:t>Agricultural Census Office May 2012</w:t>
      </w:r>
    </w:p>
    <w:p w:rsidR="00C124D4" w:rsidRPr="007F3C79" w:rsidRDefault="00C124D4" w:rsidP="00C124D4">
      <w:r w:rsidRPr="007F3C79">
        <w:t>Andersson N, Dasousa CP, Paredes S. Social costs of landmines in four countries -Afghanistan, Bosnia, Cambodia and Mozambique British Medical Journal. 1995;311(7007):718-21</w:t>
      </w:r>
    </w:p>
    <w:p w:rsidR="00C124D4" w:rsidRPr="007F3C79" w:rsidRDefault="00C124D4" w:rsidP="00C124D4">
      <w:r w:rsidRPr="007F3C79">
        <w:t>Bini, A.C., &amp; Sosamphan, Report on GMAP’s Gender Assessment of Lao PDR UXO/Mine Action Programme, 2014</w:t>
      </w:r>
    </w:p>
    <w:p w:rsidR="00C124D4" w:rsidRPr="007F3C79" w:rsidRDefault="00C124D4" w:rsidP="00C124D4">
      <w:r w:rsidRPr="007F3C79">
        <w:t>Bolton M. Foreign aid and landmine clearance. London: I.B. Touris &amp; Co Ltd; 2010</w:t>
      </w:r>
    </w:p>
    <w:p w:rsidR="00C124D4" w:rsidRPr="007F3C79" w:rsidRDefault="00C124D4" w:rsidP="00C124D4">
      <w:r w:rsidRPr="007F3C79">
        <w:t>Boddington M.A.B., &amp; Chanthavongsa, B, National Survey of UXO Victims and Accidents (Phase 1), 2008</w:t>
      </w:r>
    </w:p>
    <w:p w:rsidR="00C124D4" w:rsidRPr="007F3C79" w:rsidRDefault="00C124D4" w:rsidP="00C124D4">
      <w:r w:rsidRPr="007F3C79">
        <w:t xml:space="preserve">CIA. CIA Factbook 2015 [cited 2015 12th August ]. Available from: </w:t>
      </w:r>
      <w:hyperlink r:id="rId12" w:history="1">
        <w:r w:rsidRPr="007F3C79">
          <w:rPr>
            <w:rStyle w:val="Hyperlink"/>
          </w:rPr>
          <w:t>https://www.cia.gov/library/publications/the-world-factbook/</w:t>
        </w:r>
      </w:hyperlink>
      <w:r w:rsidRPr="007F3C79">
        <w:t>.</w:t>
      </w:r>
    </w:p>
    <w:p w:rsidR="00C124D4" w:rsidRPr="007F3C79" w:rsidRDefault="00C124D4" w:rsidP="00C124D4">
      <w:r w:rsidRPr="007F3C79">
        <w:t>Davading S. Background paper: Lao PDR: Growth Analysis for a Small Resource-Rich Transition Economy Vientiane World Bank, 2010</w:t>
      </w:r>
    </w:p>
    <w:p w:rsidR="00C124D4" w:rsidRPr="007F3C79" w:rsidRDefault="00C124D4" w:rsidP="00C124D4">
      <w:r w:rsidRPr="007F3C79">
        <w:t>Epprecht M, Minot N, Dewina R, Messerli P, Heinimann A. The geography of poverty and inequality in the Lao PDR. Vientiane Swiss National Centre of Competence in Research (NCCR) North-South, Geographica Bernensia,Berne, Switzerland, International Food Policy Research Institute (IFPRI), Washington DC, USA; 2008</w:t>
      </w:r>
    </w:p>
    <w:p w:rsidR="00C124D4" w:rsidRPr="007F3C79" w:rsidRDefault="00C124D4" w:rsidP="00C124D4">
      <w:r w:rsidRPr="007F3C79">
        <w:t>Evans G. Lao peasants under socialism and post-socialism Chaing Mai: Silkworm Books; 1995.</w:t>
      </w:r>
    </w:p>
    <w:p w:rsidR="00C124D4" w:rsidRPr="007F3C79" w:rsidRDefault="00C124D4" w:rsidP="00C124D4">
      <w:r w:rsidRPr="007F3C79">
        <w:t>Filippino, E.M. Assessment of the 2007-2010 UXO/MRE Strategic Plan in Lao PDR, 2010</w:t>
      </w:r>
    </w:p>
    <w:p w:rsidR="00C124D4" w:rsidRPr="007F3C79" w:rsidRDefault="00C124D4" w:rsidP="00C124D4">
      <w:r w:rsidRPr="007F3C79">
        <w:t>Geneva International Centre for Humanitarian Demining. Lao PDR Risk Management and Mitigation Model. Geneva: GICHD, 2007</w:t>
      </w:r>
    </w:p>
    <w:p w:rsidR="00C124D4" w:rsidRPr="007F3C79" w:rsidRDefault="00C124D4" w:rsidP="00C124D4">
      <w:r w:rsidRPr="007F3C79">
        <w:t>Geneva International Centre for Humanitarian Demining. Sourcebook on socio-economic survey 1st ed. Geneva: GICHD; 2011</w:t>
      </w:r>
    </w:p>
    <w:p w:rsidR="00C124D4" w:rsidRPr="007F3C79" w:rsidRDefault="00C124D4" w:rsidP="00C124D4">
      <w:r w:rsidRPr="007F3C79">
        <w:t>Geneva International Centre for Humanitarian Demining, Strategic Planning in Mine Action Programmes, 2014</w:t>
      </w:r>
    </w:p>
    <w:p w:rsidR="00C124D4" w:rsidRPr="007F3C79" w:rsidRDefault="00C124D4" w:rsidP="00C124D4">
      <w:r w:rsidRPr="007F3C79">
        <w:t xml:space="preserve">Government of Lao PDR, CCM, 2015 </w:t>
      </w:r>
    </w:p>
    <w:p w:rsidR="00C124D4" w:rsidRPr="007F3C79" w:rsidRDefault="00C124D4" w:rsidP="00C124D4">
      <w:r w:rsidRPr="007F3C79">
        <w:t>Griffin R, Keeley R, Sayyasouk P. UXO Sector Evaluation: Final Report. Vientiane: UNDP, 2008</w:t>
      </w:r>
    </w:p>
    <w:p w:rsidR="00C124D4" w:rsidRPr="007F3C79" w:rsidRDefault="00C124D4" w:rsidP="00C124D4">
      <w:r w:rsidRPr="007F3C79">
        <w:t>Handicap International. Living with UXO, final report, national survey on the socio-economic impact of UXO in the Lao PDR. Vientiane: 1997</w:t>
      </w:r>
    </w:p>
    <w:p w:rsidR="00C124D4" w:rsidRPr="007F3C79" w:rsidRDefault="00C124D4" w:rsidP="00C124D4">
      <w:r w:rsidRPr="007F3C79">
        <w:t>Horwood C. Ideological and analytical foundations of mine action: Human rights and community impact. Third World Quarterly. 2003;24(5):939-54</w:t>
      </w:r>
    </w:p>
    <w:p w:rsidR="00C124D4" w:rsidRPr="007F3C79" w:rsidRDefault="00C124D4" w:rsidP="00C124D4">
      <w:r w:rsidRPr="007F3C79">
        <w:t>Irish Aid, UNDP Lao PDR and Mine Advisory Group, ‘Assessment of Gender Perspectives in UXO Action in the Lao PDR, Vientiane. 2008</w:t>
      </w:r>
    </w:p>
    <w:p w:rsidR="00C124D4" w:rsidRPr="007F3C79" w:rsidRDefault="00C124D4" w:rsidP="00C124D4">
      <w:r w:rsidRPr="007F3C79">
        <w:t>Keely, R et al, Mission to assess future sustainable options of the Lao UXO Trust Fund and the UXO Lao Mine Action Programme: Mission Report, 2002</w:t>
      </w:r>
    </w:p>
    <w:p w:rsidR="00C124D4" w:rsidRPr="007F3C79" w:rsidRDefault="00C124D4" w:rsidP="00C124D4">
      <w:r w:rsidRPr="007F3C79">
        <w:t>LADLF, UXO Lao impact assessment readiness report, LADLF, Vientiane, 2015</w:t>
      </w:r>
    </w:p>
    <w:p w:rsidR="00C124D4" w:rsidRPr="007F3C79" w:rsidRDefault="00C124D4" w:rsidP="00C124D4">
      <w:r w:rsidRPr="007F3C79">
        <w:t xml:space="preserve">Landmine Monitor, 2015: </w:t>
      </w:r>
      <w:hyperlink r:id="rId13" w:history="1">
        <w:r w:rsidRPr="007F3C79">
          <w:rPr>
            <w:rStyle w:val="Hyperlink"/>
          </w:rPr>
          <w:t>www.the-monitor.org</w:t>
        </w:r>
      </w:hyperlink>
      <w:r w:rsidRPr="007F3C79">
        <w:t>, accessed 30th August, 2015</w:t>
      </w:r>
    </w:p>
    <w:p w:rsidR="00C124D4" w:rsidRPr="007F3C79" w:rsidRDefault="00C124D4" w:rsidP="00C124D4">
      <w:r w:rsidRPr="007F3C79">
        <w:t>Lardner T. The GICHD land release project. Journal of ERW and Mine Action. 2008/9;12(21).</w:t>
      </w:r>
    </w:p>
    <w:p w:rsidR="00C124D4" w:rsidRPr="007F3C79" w:rsidRDefault="00C124D4" w:rsidP="00C124D4">
      <w:r w:rsidRPr="007F3C79">
        <w:t xml:space="preserve">MAG, Assessment of Gender Perspectives in UXO Action in Lao PDR, 2008 </w:t>
      </w:r>
    </w:p>
    <w:p w:rsidR="00C124D4" w:rsidRPr="007F3C79" w:rsidRDefault="00C124D4" w:rsidP="00C124D4">
      <w:r w:rsidRPr="007F3C79">
        <w:t>Mennonite Central Committee, Timeline of Mennonite and Quaker work on Cluster munitions, 2011</w:t>
      </w:r>
    </w:p>
    <w:p w:rsidR="00C124D4" w:rsidRPr="007F3C79" w:rsidRDefault="00C124D4" w:rsidP="00C124D4">
      <w:pPr>
        <w:rPr>
          <w:noProof/>
        </w:rPr>
      </w:pPr>
      <w:r w:rsidRPr="007F3C79">
        <w:rPr>
          <w:noProof/>
        </w:rPr>
        <w:t>Ministry of Planning and Investment. Five Year National Socio-Economic Development Plan III (2016-2020) -5th Draft Vientiane Ministry of Planning and Investment, 2015</w:t>
      </w:r>
    </w:p>
    <w:p w:rsidR="00C124D4" w:rsidRPr="007F3C79" w:rsidRDefault="00C124D4" w:rsidP="00C124D4">
      <w:r w:rsidRPr="007F3C79">
        <w:t>National Regulatory Authority, Annual Reports (2006-2014)</w:t>
      </w:r>
    </w:p>
    <w:p w:rsidR="00C124D4" w:rsidRPr="007F3C79" w:rsidRDefault="00C124D4" w:rsidP="00C124D4">
      <w:r w:rsidRPr="007F3C79">
        <w:t>National Regulatory Authority, Post-clearance impact assessment, NRA, Vientiane 2010</w:t>
      </w:r>
    </w:p>
    <w:p w:rsidR="00C124D4" w:rsidRPr="007F3C79" w:rsidRDefault="00C124D4" w:rsidP="00C124D4">
      <w:r w:rsidRPr="007F3C79">
        <w:t>National Regulatory Authority, National Strategic Plan for the UXO Sector</w:t>
      </w:r>
      <w:r w:rsidRPr="007F3C79">
        <w:rPr>
          <w:rFonts w:ascii="MS Gothic" w:eastAsia="MS Gothic" w:hAnsi="MS Gothic" w:cs="MS Gothic"/>
        </w:rPr>
        <w:t> </w:t>
      </w:r>
      <w:r w:rsidRPr="007F3C79">
        <w:t>in the Lao People’s Democratic Republic 2011 – 2020. “The Safe Path Forward II</w:t>
      </w:r>
    </w:p>
    <w:p w:rsidR="00C124D4" w:rsidRPr="007F3C79" w:rsidRDefault="00C124D4" w:rsidP="00C124D4">
      <w:r w:rsidRPr="007F3C79">
        <w:t>National Regulatory Authority, UXO/Mine Victim Assistance Strategy 2014-2020</w:t>
      </w:r>
    </w:p>
    <w:p w:rsidR="00C124D4" w:rsidRPr="007F3C79" w:rsidRDefault="00C124D4" w:rsidP="00C124D4">
      <w:r w:rsidRPr="007F3C79">
        <w:t>National Regulatory Authority, Lao PDR Unexploded Ordnance Sector Overview, 2012</w:t>
      </w:r>
    </w:p>
    <w:p w:rsidR="00C124D4" w:rsidRPr="007F3C79" w:rsidRDefault="00C124D4" w:rsidP="00C124D4">
      <w:r w:rsidRPr="007F3C79">
        <w:t>Paterson, T &amp; Tollefsen, E, Lao PDR Country Mission Report: Evaluation of EC-Funded Mine Action Asia-Pacific Region, 2008</w:t>
      </w:r>
    </w:p>
    <w:p w:rsidR="00C124D4" w:rsidRPr="007F3C79" w:rsidRDefault="00C124D4" w:rsidP="00C124D4">
      <w:r w:rsidRPr="007F3C79">
        <w:t>Sekkenes, S &amp; Palmer, A, Programme Review 2003-2011 UNDP support to NRA and UXO Lao, UXO sector, LAO PDR, 2012</w:t>
      </w:r>
    </w:p>
    <w:p w:rsidR="00C124D4" w:rsidRPr="007F3C79" w:rsidRDefault="00C124D4" w:rsidP="00C124D4">
      <w:r w:rsidRPr="007F3C79">
        <w:t>Stuart-Fox M. The politics of ritual and remembrance: Laos since 1975 Canada: University of British Columbia 2000</w:t>
      </w:r>
    </w:p>
    <w:p w:rsidR="00C124D4" w:rsidRPr="007F3C79" w:rsidRDefault="00C124D4" w:rsidP="00C124D4">
      <w:r w:rsidRPr="007F3C79">
        <w:t>UN, UNDAF Action Plan 2012-2015 Lao PDR</w:t>
      </w:r>
    </w:p>
    <w:p w:rsidR="00C124D4" w:rsidRPr="007F3C79" w:rsidRDefault="00C124D4" w:rsidP="00C124D4">
      <w:r w:rsidRPr="007F3C79">
        <w:t>UNDP, Lao PDR Trust Fund for Clearance of Unexploded Ordnance ANNEX 1, 1995</w:t>
      </w:r>
    </w:p>
    <w:p w:rsidR="00C124D4" w:rsidRPr="007F3C79" w:rsidRDefault="00C124D4" w:rsidP="00C124D4">
      <w:r w:rsidRPr="007F3C79">
        <w:t>UNDP, United Nations Development Programme Project of the Government of Lao PDR: Project Document, 1995</w:t>
      </w:r>
    </w:p>
    <w:p w:rsidR="00C124D4" w:rsidRPr="007F3C79" w:rsidRDefault="00C124D4" w:rsidP="00C124D4">
      <w:r w:rsidRPr="007F3C79">
        <w:t>UNDP, Terms of Reference: UXO Sector Evaluation Lao PDR 2008</w:t>
      </w:r>
    </w:p>
    <w:p w:rsidR="00C124D4" w:rsidRPr="007F3C79" w:rsidRDefault="00C124D4" w:rsidP="00C124D4">
      <w:r w:rsidRPr="007F3C79">
        <w:t xml:space="preserve">UNDP, Hazardous ground, cluster munitions and UXO in the Lao PDR. Vientianne: UNDP, 2008 </w:t>
      </w:r>
    </w:p>
    <w:p w:rsidR="00C124D4" w:rsidRPr="007F3C79" w:rsidRDefault="00C124D4" w:rsidP="00C124D4">
      <w:r w:rsidRPr="007F3C79">
        <w:t>UNDP,  Beyond the Horizon: Reducing UXO Impact for Poverty Reduction in Lao PDR. Vientiane, Lao PDR: UNDP, 2012</w:t>
      </w:r>
    </w:p>
    <w:p w:rsidR="00C124D4" w:rsidRPr="007F3C79" w:rsidRDefault="00C124D4" w:rsidP="00C124D4">
      <w:r w:rsidRPr="007F3C79">
        <w:t>UNDP UXO Lao Interim End of Phase Report 2010 – 2012</w:t>
      </w:r>
    </w:p>
    <w:p w:rsidR="00C124D4" w:rsidRPr="007F3C79" w:rsidRDefault="00C124D4" w:rsidP="00C124D4">
      <w:r w:rsidRPr="007F3C79">
        <w:t>UNDP, UXO Lao, UNDP UXO Lao Interim End of Phase Report 2010 – 2012, 2013</w:t>
      </w:r>
    </w:p>
    <w:p w:rsidR="00C124D4" w:rsidRPr="007F3C79" w:rsidRDefault="00C124D4" w:rsidP="00C124D4">
      <w:r w:rsidRPr="007F3C79">
        <w:t xml:space="preserve">UNDP, Programme Review 2003-2011 UNDP support to NRA and UXO Lao, UXO sector, LAO PDR </w:t>
      </w:r>
    </w:p>
    <w:p w:rsidR="00C124D4" w:rsidRPr="007F3C79" w:rsidRDefault="00C124D4" w:rsidP="00C124D4">
      <w:r w:rsidRPr="007F3C79">
        <w:t>UNDP. Country analysis report: Lao People’s Democratic Republic. Vientiane, Lao PDR: UNDP, 2012</w:t>
      </w:r>
    </w:p>
    <w:p w:rsidR="00C124D4" w:rsidRPr="007F3C79" w:rsidRDefault="00C124D4" w:rsidP="00C124D4">
      <w:r w:rsidRPr="007F3C79">
        <w:t>UNDP, Government of Republic of Korea, Agreement between the Government of the Republic of Korea and UNDP regarding contribution to the thematic trust fund for crisis prevention and recovery, 2012</w:t>
      </w:r>
    </w:p>
    <w:p w:rsidR="00C124D4" w:rsidRPr="007F3C79" w:rsidRDefault="00C124D4" w:rsidP="00C124D4">
      <w:r w:rsidRPr="007F3C79">
        <w:t>UNDP, Submission of Final Narrative and Financial Reports (Canada), 2012</w:t>
      </w:r>
    </w:p>
    <w:p w:rsidR="00C124D4" w:rsidRPr="007F3C79" w:rsidRDefault="00C124D4" w:rsidP="00C124D4">
      <w:r w:rsidRPr="007F3C79">
        <w:t>UNDP, Submission of Final Narrative and Financial Reports (France), 2012</w:t>
      </w:r>
    </w:p>
    <w:p w:rsidR="00C124D4" w:rsidRPr="007F3C79" w:rsidRDefault="00C124D4" w:rsidP="00C124D4">
      <w:r w:rsidRPr="007F3C79">
        <w:t>UNDP, Lao PDR Government, Support to Lao National Unexploded Ordnance Programme (UXO LAO): Annual Project Report, 2013</w:t>
      </w:r>
    </w:p>
    <w:p w:rsidR="00C124D4" w:rsidRPr="007F3C79" w:rsidRDefault="00C124D4" w:rsidP="00C124D4">
      <w:r w:rsidRPr="007F3C79">
        <w:t>UNICEF, Mine Risk Assessment, Vientiane, 2006</w:t>
      </w:r>
    </w:p>
    <w:p w:rsidR="00C124D4" w:rsidRPr="007F3C79" w:rsidRDefault="00C124D4" w:rsidP="00C124D4">
      <w:r w:rsidRPr="007F3C79">
        <w:t>United Nations Mine Action Service. IMAS 07.11: Guide for the management of mine risk education New York: UNMAS, 2003</w:t>
      </w:r>
    </w:p>
    <w:p w:rsidR="00C124D4" w:rsidRPr="007F3C79" w:rsidRDefault="00C124D4" w:rsidP="00C124D4">
      <w:r w:rsidRPr="007F3C79">
        <w:t>UXO Lao, UXO Lao Work Plans (2006-2013)</w:t>
      </w:r>
    </w:p>
    <w:p w:rsidR="00C124D4" w:rsidRPr="007F3C79" w:rsidRDefault="00C124D4" w:rsidP="00C124D4">
      <w:r w:rsidRPr="007F3C79">
        <w:t>World Bank, World Development Indicators: World Bank; 2012</w:t>
      </w:r>
    </w:p>
    <w:p w:rsidR="00C124D4" w:rsidRPr="007F3C79" w:rsidRDefault="00C124D4" w:rsidP="00C124D4">
      <w:r w:rsidRPr="007F3C79">
        <w:t>World Bank. 2015. World Development Report 2015: Mind, Society, and Behavior. Washington, DC: World Bank</w:t>
      </w:r>
    </w:p>
    <w:p w:rsidR="00C124D4" w:rsidRPr="00C5275C" w:rsidRDefault="00C124D4" w:rsidP="00C124D4">
      <w:pPr>
        <w:sectPr w:rsidR="00C124D4" w:rsidRPr="00C5275C">
          <w:pgSz w:w="12240" w:h="15840"/>
          <w:pgMar w:top="1440" w:right="1440" w:bottom="1440" w:left="1440" w:header="720" w:footer="720" w:gutter="0"/>
          <w:cols w:space="720"/>
          <w:docGrid w:linePitch="360"/>
        </w:sectPr>
      </w:pPr>
    </w:p>
    <w:p w:rsidR="00C124D4" w:rsidRDefault="00C124D4" w:rsidP="00C124D4">
      <w:pPr>
        <w:pStyle w:val="Heading1"/>
      </w:pPr>
      <w:bookmarkStart w:id="56" w:name="_Toc441609356"/>
      <w:r>
        <w:t>Appendix 3: People met</w:t>
      </w:r>
      <w:bookmarkEnd w:id="56"/>
    </w:p>
    <w:p w:rsidR="00C124D4" w:rsidRPr="007F3C79" w:rsidRDefault="00C124D4" w:rsidP="00C124D4">
      <w:pPr>
        <w:rPr>
          <w:b/>
        </w:rPr>
      </w:pPr>
      <w:r w:rsidRPr="007F3C79">
        <w:rPr>
          <w:b/>
        </w:rPr>
        <w:t>Government of the Lao PDR</w:t>
      </w:r>
      <w:r>
        <w:rPr>
          <w:b/>
        </w:rPr>
        <w:t>/National Regulatory Authority/UXO Lao</w:t>
      </w:r>
    </w:p>
    <w:p w:rsidR="00C124D4" w:rsidRPr="007F3C79" w:rsidRDefault="00C124D4" w:rsidP="00C124D4">
      <w:r w:rsidRPr="007F3C79">
        <w:t>Mr Ki Boutsada, Chief of Operations, UXO Lao</w:t>
      </w:r>
    </w:p>
    <w:p w:rsidR="00C124D4" w:rsidRPr="007F3C79" w:rsidRDefault="00C124D4" w:rsidP="00C124D4">
      <w:r w:rsidRPr="007F3C79">
        <w:t>Mr Phoukiou, Chanthasomboune, Director, NRA</w:t>
      </w:r>
    </w:p>
    <w:p w:rsidR="00C124D4" w:rsidRPr="007F3C79" w:rsidRDefault="00C124D4" w:rsidP="00C124D4">
      <w:r w:rsidRPr="007F3C79">
        <w:t>Mr Bountao Chanthavonsa, UXO Victim Assistance Officer, NRA</w:t>
      </w:r>
    </w:p>
    <w:p w:rsidR="00C124D4" w:rsidRPr="007F3C79" w:rsidRDefault="00C124D4" w:rsidP="00C124D4">
      <w:r w:rsidRPr="007F3C79">
        <w:t>Mr Thongchan Duanmalalay, Lao Disabled People’s Association (LDPA)</w:t>
      </w:r>
    </w:p>
    <w:p w:rsidR="00C124D4" w:rsidRPr="007F3C79" w:rsidRDefault="00C124D4" w:rsidP="00C124D4">
      <w:r w:rsidRPr="007F3C79">
        <w:t>Mr Wanthong Kamada, Deputy Director, UXO Lao</w:t>
      </w:r>
    </w:p>
    <w:p w:rsidR="00C124D4" w:rsidRPr="007F3C79" w:rsidRDefault="00C124D4" w:rsidP="00C124D4">
      <w:r w:rsidRPr="007F3C79">
        <w:t>Mr King Phet, PC, UXO Lao, Xieng Khouang</w:t>
      </w:r>
    </w:p>
    <w:p w:rsidR="00C124D4" w:rsidRPr="007F3C79" w:rsidRDefault="00C124D4" w:rsidP="00C124D4">
      <w:r w:rsidRPr="007F3C79">
        <w:t>Dr Maligna Saignavongs, ex Director NRA</w:t>
      </w:r>
    </w:p>
    <w:p w:rsidR="00C124D4" w:rsidRPr="007F3C79" w:rsidRDefault="00C124D4" w:rsidP="00C124D4">
      <w:r w:rsidRPr="007F3C79">
        <w:t>Mr Souban Sayasenh, Head of Cabinet</w:t>
      </w:r>
    </w:p>
    <w:p w:rsidR="00C124D4" w:rsidRPr="007F3C79" w:rsidRDefault="00C124D4" w:rsidP="00C124D4">
      <w:r w:rsidRPr="007F3C79">
        <w:t>Mr Boungpheng Sisawath, Deputy Director, NRA</w:t>
      </w:r>
    </w:p>
    <w:p w:rsidR="00C124D4" w:rsidRPr="007F3C79" w:rsidRDefault="00C124D4" w:rsidP="00C124D4">
      <w:r w:rsidRPr="007F3C79">
        <w:t xml:space="preserve">Mr Thiphasone, Soukhathammavong, Director UXO Lao </w:t>
      </w:r>
    </w:p>
    <w:p w:rsidR="00C124D4" w:rsidRPr="007F3C79" w:rsidRDefault="00C124D4" w:rsidP="00C124D4">
      <w:r w:rsidRPr="007F3C79">
        <w:t>Mr Thongdeng Singthilath, ex Deputy Director UXO Lao</w:t>
      </w:r>
    </w:p>
    <w:p w:rsidR="00C124D4" w:rsidRPr="007F3C79" w:rsidRDefault="00C124D4" w:rsidP="00C124D4">
      <w:r w:rsidRPr="007F3C79">
        <w:t>Mr Bounphamit Somvichith, Deputy Director, NRA</w:t>
      </w:r>
    </w:p>
    <w:p w:rsidR="00C124D4" w:rsidRPr="007F3C79" w:rsidRDefault="00C124D4" w:rsidP="00C124D4">
      <w:r w:rsidRPr="007F3C79">
        <w:t>Mr Somneuk, Volasane</w:t>
      </w:r>
    </w:p>
    <w:p w:rsidR="00C124D4" w:rsidRPr="007F3C79" w:rsidRDefault="00C124D4" w:rsidP="00C124D4">
      <w:r w:rsidRPr="007F3C79">
        <w:t>Mr Morlakot Vongxay, the Director General of Department of International Cooperation</w:t>
      </w:r>
    </w:p>
    <w:p w:rsidR="00C124D4" w:rsidRDefault="00C124D4" w:rsidP="00C124D4">
      <w:pPr>
        <w:rPr>
          <w:b/>
        </w:rPr>
      </w:pPr>
      <w:r w:rsidRPr="007F3C79">
        <w:rPr>
          <w:b/>
        </w:rPr>
        <w:t>U</w:t>
      </w:r>
      <w:r>
        <w:rPr>
          <w:b/>
        </w:rPr>
        <w:t xml:space="preserve">NDP project or programme staff </w:t>
      </w:r>
    </w:p>
    <w:p w:rsidR="00C124D4" w:rsidRPr="007F3C79" w:rsidRDefault="00C124D4" w:rsidP="00C124D4">
      <w:r w:rsidRPr="007F3C79">
        <w:t>Mr Nils Christensen, UXO Unit Manager, UNDP</w:t>
      </w:r>
    </w:p>
    <w:p w:rsidR="00C124D4" w:rsidRPr="007F3C79" w:rsidRDefault="00C124D4" w:rsidP="00C124D4">
      <w:r w:rsidRPr="007F3C79">
        <w:t>Ms Azusa Kubota, DRR, UNDP Lao PDR</w:t>
      </w:r>
    </w:p>
    <w:p w:rsidR="00C124D4" w:rsidRPr="007F3C79" w:rsidRDefault="00C124D4" w:rsidP="00C124D4">
      <w:r w:rsidRPr="007F3C79">
        <w:t>Mr Sebastian Kollach, interim advisor, NRA</w:t>
      </w:r>
    </w:p>
    <w:p w:rsidR="00C124D4" w:rsidRPr="007F3C79" w:rsidRDefault="00C124D4" w:rsidP="00C124D4">
      <w:r w:rsidRPr="007F3C79">
        <w:t>Mr Tim Lardner, ex CTA UXO Lao</w:t>
      </w:r>
    </w:p>
    <w:p w:rsidR="00C124D4" w:rsidRPr="007F3C79" w:rsidRDefault="00C124D4" w:rsidP="00C124D4">
      <w:pPr>
        <w:rPr>
          <w:b/>
        </w:rPr>
      </w:pPr>
      <w:r w:rsidRPr="007F3C79">
        <w:rPr>
          <w:b/>
        </w:rPr>
        <w:t xml:space="preserve">Contractors </w:t>
      </w:r>
    </w:p>
    <w:p w:rsidR="00C124D4" w:rsidRDefault="00C124D4" w:rsidP="00C124D4">
      <w:r w:rsidRPr="007F3C79">
        <w:t xml:space="preserve">Mr Olivier Bauduin, Task Manager, Sterling </w:t>
      </w:r>
      <w:r>
        <w:t xml:space="preserve">International </w:t>
      </w:r>
    </w:p>
    <w:p w:rsidR="00C124D4" w:rsidRPr="007F3C79" w:rsidRDefault="00C124D4" w:rsidP="00C124D4">
      <w:r w:rsidRPr="007F3C79">
        <w:t>Mr Nigel Orr, Advisor, Sterling</w:t>
      </w:r>
      <w:r>
        <w:t xml:space="preserve"> International </w:t>
      </w:r>
    </w:p>
    <w:p w:rsidR="00C124D4" w:rsidRPr="007F3C79" w:rsidRDefault="00C124D4" w:rsidP="00C124D4">
      <w:pPr>
        <w:rPr>
          <w:b/>
        </w:rPr>
      </w:pPr>
      <w:r w:rsidRPr="007F3C79">
        <w:rPr>
          <w:b/>
        </w:rPr>
        <w:t>Donors</w:t>
      </w:r>
    </w:p>
    <w:p w:rsidR="00C124D4" w:rsidRPr="007F3C79" w:rsidRDefault="00C124D4" w:rsidP="00C124D4">
      <w:r w:rsidRPr="007F3C79">
        <w:t>Ms Sawada Keisuke, Aid Coordination Officer, at JICA</w:t>
      </w:r>
    </w:p>
    <w:p w:rsidR="00C124D4" w:rsidRPr="007F3C79" w:rsidRDefault="00C124D4" w:rsidP="00C124D4">
      <w:r w:rsidRPr="007F3C79">
        <w:t>Mr Hideyuki Onishi, the Counsellor, the Japan Embassy</w:t>
      </w:r>
    </w:p>
    <w:p w:rsidR="00C124D4" w:rsidRPr="007F3C79" w:rsidRDefault="00C124D4" w:rsidP="00C124D4">
      <w:r w:rsidRPr="007F3C79">
        <w:t xml:space="preserve">Mr Brent Rapson, NZAID (by phone) </w:t>
      </w:r>
    </w:p>
    <w:p w:rsidR="00C124D4" w:rsidRPr="007F3C79" w:rsidRDefault="00C124D4" w:rsidP="00C124D4">
      <w:r w:rsidRPr="007F3C79">
        <w:t>Ms Vesna Roche, SDC</w:t>
      </w:r>
    </w:p>
    <w:p w:rsidR="00C124D4" w:rsidRPr="007F3C79" w:rsidRDefault="00C124D4" w:rsidP="00C124D4">
      <w:r w:rsidRPr="007F3C79">
        <w:t>Ms Dulce Simmanivong, DfAT</w:t>
      </w:r>
    </w:p>
    <w:p w:rsidR="00C124D4" w:rsidRPr="007F3C79" w:rsidRDefault="00C124D4" w:rsidP="00C124D4">
      <w:r w:rsidRPr="007F3C79">
        <w:t>Ms Kath Sweet, SDC</w:t>
      </w:r>
    </w:p>
    <w:p w:rsidR="00C124D4" w:rsidRPr="007F3C79" w:rsidRDefault="00C124D4" w:rsidP="00C124D4">
      <w:r w:rsidRPr="007F3C79">
        <w:t>Mr James Toone, British Embassy</w:t>
      </w:r>
    </w:p>
    <w:p w:rsidR="00C124D4" w:rsidRPr="007F3C79" w:rsidRDefault="00C124D4" w:rsidP="00C124D4">
      <w:r w:rsidRPr="007F3C79">
        <w:t>Tone Wroldsen, Norwegian Embassy, Hanoi</w:t>
      </w:r>
    </w:p>
    <w:p w:rsidR="00C124D4" w:rsidRPr="007F3C79" w:rsidRDefault="00C124D4" w:rsidP="00C124D4">
      <w:r w:rsidRPr="007F3C79">
        <w:t>Mr Mike Toyryla, Chief Political/Economic Section, US Embassy</w:t>
      </w:r>
    </w:p>
    <w:p w:rsidR="00C124D4" w:rsidRPr="007F3C79" w:rsidRDefault="00C124D4" w:rsidP="00C124D4">
      <w:r w:rsidRPr="007F3C79">
        <w:t>Mr Dave Vosen, DfAT</w:t>
      </w:r>
    </w:p>
    <w:p w:rsidR="00C124D4" w:rsidRPr="007F3C79" w:rsidRDefault="00C124D4" w:rsidP="00C124D4">
      <w:r w:rsidRPr="007F3C79">
        <w:t>Mr Andreas Zurbrugg, DfAT</w:t>
      </w:r>
    </w:p>
    <w:p w:rsidR="00C124D4" w:rsidRPr="007F3C79" w:rsidRDefault="00C124D4" w:rsidP="00C124D4">
      <w:pPr>
        <w:rPr>
          <w:lang w:eastAsia="da-DK"/>
        </w:rPr>
      </w:pPr>
      <w:r w:rsidRPr="007F3C79">
        <w:rPr>
          <w:lang w:eastAsia="da-DK"/>
        </w:rPr>
        <w:t xml:space="preserve">Ignacio Oliver-Cruz, Attache, Cooperation, EU </w:t>
      </w:r>
    </w:p>
    <w:p w:rsidR="00C124D4" w:rsidRPr="007F3C79" w:rsidRDefault="00C124D4" w:rsidP="00C124D4">
      <w:r w:rsidRPr="007F3C79">
        <w:rPr>
          <w:lang w:eastAsia="da-DK"/>
        </w:rPr>
        <w:t>Phonesavanh Sethanaphaixanh (Programme Officer)</w:t>
      </w:r>
      <w:r w:rsidRPr="007F3C79">
        <w:t xml:space="preserve"> EU</w:t>
      </w:r>
    </w:p>
    <w:p w:rsidR="00C124D4" w:rsidRPr="007F3C79" w:rsidRDefault="00C124D4" w:rsidP="00C124D4">
      <w:r w:rsidRPr="007F3C79">
        <w:t xml:space="preserve">Ms Minyoung, the Aid Effective Specialist, KOICA </w:t>
      </w:r>
    </w:p>
    <w:p w:rsidR="00C124D4" w:rsidRPr="007F3C79" w:rsidRDefault="00C124D4" w:rsidP="00C124D4">
      <w:pPr>
        <w:rPr>
          <w:b/>
        </w:rPr>
      </w:pPr>
      <w:r w:rsidRPr="007F3C79">
        <w:rPr>
          <w:b/>
        </w:rPr>
        <w:t>Others</w:t>
      </w:r>
    </w:p>
    <w:p w:rsidR="00C124D4" w:rsidRPr="007F3C79" w:rsidRDefault="00C124D4" w:rsidP="00C124D4">
      <w:r w:rsidRPr="007F3C79">
        <w:t xml:space="preserve">Mr Thoummy Silamphan, Quality of Life Association </w:t>
      </w:r>
    </w:p>
    <w:p w:rsidR="00C124D4" w:rsidRPr="007F3C79" w:rsidRDefault="00C124D4" w:rsidP="00C124D4">
      <w:r w:rsidRPr="007F3C79">
        <w:t>Mr Ernst Woest, MAG, Xieng Khouang</w:t>
      </w:r>
    </w:p>
    <w:p w:rsidR="00C124D4" w:rsidRPr="007F3C79" w:rsidRDefault="00C124D4" w:rsidP="00C124D4">
      <w:r w:rsidRPr="007F3C79">
        <w:t xml:space="preserve">Mr Julien Rossard, World Bank Poverty Reduction Fund  </w:t>
      </w:r>
    </w:p>
    <w:p w:rsidR="00C124D4" w:rsidRPr="007F3C79" w:rsidRDefault="00C124D4" w:rsidP="00C124D4">
      <w:r w:rsidRPr="007F3C79">
        <w:t xml:space="preserve">Ms Courtney Innes, VA consultant   </w:t>
      </w:r>
    </w:p>
    <w:p w:rsidR="00C124D4" w:rsidRPr="007F3C79" w:rsidRDefault="00C124D4" w:rsidP="00C124D4">
      <w:r w:rsidRPr="007F3C79">
        <w:t>Mr Samnieng Thammavong, World Education</w:t>
      </w:r>
    </w:p>
    <w:p w:rsidR="00C124D4" w:rsidRPr="007F3C79" w:rsidRDefault="00C124D4" w:rsidP="00C124D4">
      <w:r w:rsidRPr="007F3C79">
        <w:t>Mr Avi Sarkar (UNHABITAT)</w:t>
      </w:r>
    </w:p>
    <w:p w:rsidR="00C124D4" w:rsidRPr="007F3C79" w:rsidRDefault="00C124D4" w:rsidP="00C124D4">
      <w:r w:rsidRPr="007F3C79">
        <w:t>Mr Sommai Faming (UNIDO)</w:t>
      </w:r>
    </w:p>
    <w:p w:rsidR="00C124D4" w:rsidRPr="007F3C79" w:rsidRDefault="00C124D4" w:rsidP="00C124D4">
      <w:r w:rsidRPr="007F3C79">
        <w:t>Mr Bounpone Sayasenh, the Director General of the Pension Department, MLSW</w:t>
      </w:r>
    </w:p>
    <w:p w:rsidR="00C124D4" w:rsidRPr="007F3C79" w:rsidRDefault="00C124D4" w:rsidP="00C124D4">
      <w:r w:rsidRPr="007F3C79">
        <w:t>Mr Samnieng Thammavong (VA TL Integrated UXO Victim Assistance Support Project), World Education</w:t>
      </w:r>
    </w:p>
    <w:p w:rsidR="005F2BA6" w:rsidRDefault="005F2BA6" w:rsidP="00C5275C"/>
    <w:p w:rsidR="00C5275C" w:rsidRDefault="00C5275C" w:rsidP="00C5275C">
      <w:pPr>
        <w:sectPr w:rsidR="00C5275C">
          <w:pgSz w:w="12240" w:h="15840"/>
          <w:pgMar w:top="1440" w:right="1440" w:bottom="1440" w:left="1440" w:header="720" w:footer="720" w:gutter="0"/>
          <w:cols w:space="720"/>
          <w:docGrid w:linePitch="360"/>
        </w:sectPr>
      </w:pPr>
    </w:p>
    <w:p w:rsidR="00E4152E" w:rsidRDefault="005F2BA6" w:rsidP="005F2BA6">
      <w:pPr>
        <w:pStyle w:val="Heading1"/>
      </w:pPr>
      <w:bookmarkStart w:id="57" w:name="_Toc441609357"/>
      <w:r>
        <w:t xml:space="preserve">Appendix 4: </w:t>
      </w:r>
      <w:r w:rsidR="00E4152E">
        <w:t>Achievements against the program document</w:t>
      </w:r>
      <w:bookmarkEnd w:id="57"/>
      <w:r w:rsidR="00E4152E">
        <w:t xml:space="preserve"> </w:t>
      </w:r>
    </w:p>
    <w:p w:rsidR="005F2BA6" w:rsidRPr="00E4152E" w:rsidRDefault="005F2BA6" w:rsidP="00E4152E"/>
    <w:tbl>
      <w:tblPr>
        <w:tblStyle w:val="TableGrid"/>
        <w:tblW w:w="0" w:type="auto"/>
        <w:tblLook w:val="04A0" w:firstRow="1" w:lastRow="0" w:firstColumn="1" w:lastColumn="0" w:noHBand="0" w:noVBand="1"/>
      </w:tblPr>
      <w:tblGrid>
        <w:gridCol w:w="2081"/>
        <w:gridCol w:w="2096"/>
        <w:gridCol w:w="2514"/>
        <w:gridCol w:w="1438"/>
        <w:gridCol w:w="1714"/>
        <w:gridCol w:w="1493"/>
        <w:gridCol w:w="1840"/>
      </w:tblGrid>
      <w:tr w:rsidR="00E4152E" w:rsidRPr="00E4152E">
        <w:trPr>
          <w:tblHeader/>
        </w:trPr>
        <w:tc>
          <w:tcPr>
            <w:tcW w:w="0" w:type="auto"/>
            <w:shd w:val="clear" w:color="auto" w:fill="D0CECE" w:themeFill="background2" w:themeFillShade="E6"/>
          </w:tcPr>
          <w:p w:rsidR="00E4152E" w:rsidRPr="00E4152E" w:rsidRDefault="00E4152E" w:rsidP="00E94E89">
            <w:pPr>
              <w:jc w:val="center"/>
              <w:rPr>
                <w:rFonts w:eastAsiaTheme="majorEastAsia" w:cstheme="majorBidi"/>
                <w:b/>
                <w:sz w:val="20"/>
              </w:rPr>
            </w:pPr>
            <w:r w:rsidRPr="00E4152E">
              <w:rPr>
                <w:rFonts w:eastAsiaTheme="majorEastAsia" w:cstheme="majorBidi"/>
                <w:b/>
                <w:sz w:val="20"/>
              </w:rPr>
              <w:t>Indicator Established</w:t>
            </w:r>
          </w:p>
        </w:tc>
        <w:tc>
          <w:tcPr>
            <w:tcW w:w="0" w:type="auto"/>
            <w:shd w:val="clear" w:color="auto" w:fill="D0CECE" w:themeFill="background2" w:themeFillShade="E6"/>
          </w:tcPr>
          <w:p w:rsidR="00E4152E" w:rsidRPr="00E4152E" w:rsidRDefault="00E4152E" w:rsidP="00E94E89">
            <w:pPr>
              <w:jc w:val="center"/>
              <w:rPr>
                <w:rFonts w:eastAsiaTheme="majorEastAsia" w:cstheme="majorBidi"/>
                <w:b/>
                <w:sz w:val="20"/>
              </w:rPr>
            </w:pPr>
            <w:r w:rsidRPr="00E4152E">
              <w:rPr>
                <w:rFonts w:eastAsiaTheme="majorEastAsia" w:cstheme="majorBidi"/>
                <w:b/>
                <w:sz w:val="20"/>
              </w:rPr>
              <w:t>Target Issue</w:t>
            </w:r>
          </w:p>
        </w:tc>
        <w:tc>
          <w:tcPr>
            <w:tcW w:w="0" w:type="auto"/>
            <w:shd w:val="clear" w:color="auto" w:fill="D0CECE" w:themeFill="background2" w:themeFillShade="E6"/>
          </w:tcPr>
          <w:p w:rsidR="00E4152E" w:rsidRPr="00E4152E" w:rsidRDefault="00E4152E" w:rsidP="00E94E89">
            <w:pPr>
              <w:jc w:val="center"/>
              <w:rPr>
                <w:rFonts w:eastAsiaTheme="majorEastAsia" w:cstheme="majorBidi"/>
                <w:b/>
                <w:sz w:val="20"/>
              </w:rPr>
            </w:pPr>
            <w:r w:rsidRPr="00E4152E">
              <w:rPr>
                <w:rFonts w:eastAsiaTheme="majorEastAsia" w:cstheme="majorBidi"/>
                <w:b/>
                <w:sz w:val="20"/>
              </w:rPr>
              <w:t>Evaluator Comment</w:t>
            </w:r>
          </w:p>
        </w:tc>
        <w:tc>
          <w:tcPr>
            <w:tcW w:w="0" w:type="auto"/>
            <w:shd w:val="clear" w:color="auto" w:fill="D0CECE" w:themeFill="background2" w:themeFillShade="E6"/>
          </w:tcPr>
          <w:p w:rsidR="00E4152E" w:rsidRPr="00E4152E" w:rsidRDefault="00E4152E" w:rsidP="00E94E89">
            <w:pPr>
              <w:jc w:val="center"/>
              <w:rPr>
                <w:rFonts w:eastAsiaTheme="majorEastAsia" w:cstheme="majorBidi"/>
                <w:b/>
                <w:sz w:val="20"/>
              </w:rPr>
            </w:pPr>
            <w:r w:rsidRPr="00E4152E">
              <w:rPr>
                <w:rFonts w:eastAsiaTheme="majorEastAsia" w:cstheme="majorBidi"/>
                <w:b/>
                <w:sz w:val="20"/>
              </w:rPr>
              <w:t>Target Year 1 (2013)</w:t>
            </w:r>
          </w:p>
        </w:tc>
        <w:tc>
          <w:tcPr>
            <w:tcW w:w="0" w:type="auto"/>
            <w:shd w:val="clear" w:color="auto" w:fill="D0CECE" w:themeFill="background2" w:themeFillShade="E6"/>
          </w:tcPr>
          <w:p w:rsidR="00E4152E" w:rsidRPr="00E4152E" w:rsidRDefault="00E4152E" w:rsidP="00E94E89">
            <w:pPr>
              <w:jc w:val="center"/>
              <w:rPr>
                <w:rFonts w:eastAsiaTheme="majorEastAsia" w:cstheme="majorBidi"/>
                <w:b/>
                <w:sz w:val="20"/>
              </w:rPr>
            </w:pPr>
            <w:r w:rsidRPr="00E4152E">
              <w:rPr>
                <w:rFonts w:eastAsiaTheme="majorEastAsia" w:cstheme="majorBidi"/>
                <w:b/>
                <w:sz w:val="20"/>
              </w:rPr>
              <w:t>Target Year 2 (2014)</w:t>
            </w:r>
          </w:p>
        </w:tc>
        <w:tc>
          <w:tcPr>
            <w:tcW w:w="0" w:type="auto"/>
            <w:shd w:val="clear" w:color="auto" w:fill="D0CECE" w:themeFill="background2" w:themeFillShade="E6"/>
          </w:tcPr>
          <w:p w:rsidR="00E4152E" w:rsidRPr="00E4152E" w:rsidRDefault="00E4152E" w:rsidP="00E94E89">
            <w:pPr>
              <w:jc w:val="center"/>
              <w:rPr>
                <w:rFonts w:eastAsiaTheme="majorEastAsia" w:cstheme="majorBidi"/>
                <w:b/>
                <w:sz w:val="20"/>
              </w:rPr>
            </w:pPr>
            <w:r w:rsidRPr="00E4152E">
              <w:rPr>
                <w:rFonts w:eastAsiaTheme="majorEastAsia" w:cstheme="majorBidi"/>
                <w:b/>
                <w:sz w:val="20"/>
              </w:rPr>
              <w:t>Target Year 3 (2015)</w:t>
            </w:r>
          </w:p>
        </w:tc>
        <w:tc>
          <w:tcPr>
            <w:tcW w:w="0" w:type="auto"/>
            <w:shd w:val="clear" w:color="auto" w:fill="D0CECE" w:themeFill="background2" w:themeFillShade="E6"/>
          </w:tcPr>
          <w:p w:rsidR="00E4152E" w:rsidRPr="00E4152E" w:rsidRDefault="00E4152E" w:rsidP="00E94E89">
            <w:pPr>
              <w:jc w:val="center"/>
              <w:rPr>
                <w:rFonts w:eastAsiaTheme="majorEastAsia" w:cstheme="majorBidi"/>
                <w:b/>
                <w:sz w:val="20"/>
              </w:rPr>
            </w:pPr>
            <w:r w:rsidRPr="00E4152E">
              <w:rPr>
                <w:rFonts w:eastAsiaTheme="majorEastAsia" w:cstheme="majorBidi"/>
                <w:b/>
                <w:sz w:val="20"/>
              </w:rPr>
              <w:t>Evaluator Comment</w:t>
            </w:r>
          </w:p>
        </w:tc>
      </w:tr>
      <w:tr w:rsidR="00E4152E" w:rsidRPr="00E4152E">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NRA Report to consider the need for a national policy on ‘UXO within the scrap metal trade’ drafted 92010: no, 2015: yes, MoV: availability of NRA report including recommendations)</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Scrap Metal Trade (AR1, Action 4)</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This was already an old issue by 2012 even. The scrap trade did cause a surge in incidents/accidents with UXO in the mid-2000s and a number of studies were commissioned, including an excellent study by GICHD in 2005.  The broader economic and environmental conditions which made the scrap trade significant had long since passed. By 2012/13. This therefore seems a relatively irrelevant target by 2012, and sits oddly as the first target</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Draft report of Research on Scrap Metal Trade is finalized</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To continue to monitor the trade in scrap metal, and if necessary, propose measures to Government to regulate it</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No Target</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 xml:space="preserve">Since the global financial crisis and the collapse in the price of metal there has been a steady decline in the industry and consequent related injury. Nevertheless, the policy may provide some protection should demand for scrap grow beyond current supply </w:t>
            </w:r>
          </w:p>
        </w:tc>
      </w:tr>
      <w:tr w:rsidR="00E4152E" w:rsidRPr="00E4152E">
        <w:tc>
          <w:tcPr>
            <w:tcW w:w="0" w:type="auto"/>
          </w:tcPr>
          <w:p w:rsidR="00E4152E" w:rsidRPr="00E4152E" w:rsidRDefault="00E4152E" w:rsidP="00E94E89">
            <w:pPr>
              <w:rPr>
                <w:rFonts w:eastAsiaTheme="majorEastAsia" w:cstheme="majorBidi"/>
                <w:b/>
                <w:sz w:val="20"/>
                <w:szCs w:val="20"/>
              </w:rPr>
            </w:pPr>
            <w:r w:rsidRPr="00E4152E">
              <w:rPr>
                <w:rFonts w:eastAsiaTheme="majorEastAsia" w:cstheme="majorBidi"/>
                <w:sz w:val="20"/>
                <w:szCs w:val="20"/>
              </w:rPr>
              <w:t>Number of UXO Survivors whose needs are tracked</w:t>
            </w:r>
            <w:r w:rsidRPr="00E4152E">
              <w:rPr>
                <w:rFonts w:eastAsiaTheme="majorEastAsia" w:cstheme="majorBidi"/>
                <w:b/>
                <w:sz w:val="20"/>
                <w:szCs w:val="20"/>
              </w:rPr>
              <w:t xml:space="preserve"> </w:t>
            </w:r>
            <w:r w:rsidRPr="00E4152E">
              <w:rPr>
                <w:rFonts w:eastAsiaTheme="majorEastAsia" w:cstheme="majorBidi"/>
                <w:sz w:val="20"/>
                <w:szCs w:val="20"/>
              </w:rPr>
              <w:t>(2010, 2015: 10,000, MoV: NRA Database)</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Tracking of UXO Survivors (AR2, Action 9)</w:t>
            </w:r>
          </w:p>
        </w:tc>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rPr>
            </w:pPr>
            <w:r w:rsidRPr="00E4152E">
              <w:rPr>
                <w:rFonts w:eastAsiaTheme="majorEastAsia" w:cstheme="majorBidi"/>
                <w:sz w:val="20"/>
              </w:rPr>
              <w:t>Track 5000 UXO Survivors</w:t>
            </w:r>
          </w:p>
        </w:tc>
        <w:tc>
          <w:tcPr>
            <w:tcW w:w="0" w:type="auto"/>
          </w:tcPr>
          <w:p w:rsidR="00E4152E" w:rsidRPr="00E4152E" w:rsidRDefault="00E4152E" w:rsidP="00E94E89">
            <w:pPr>
              <w:rPr>
                <w:rFonts w:eastAsiaTheme="majorEastAsia" w:cstheme="majorBidi"/>
                <w:sz w:val="20"/>
              </w:rPr>
            </w:pPr>
            <w:r w:rsidRPr="00E4152E">
              <w:rPr>
                <w:rFonts w:eastAsiaTheme="majorEastAsia" w:cstheme="majorBidi"/>
                <w:sz w:val="20"/>
              </w:rPr>
              <w:t>Track 5000 UXO Survivors</w:t>
            </w:r>
          </w:p>
        </w:tc>
        <w:tc>
          <w:tcPr>
            <w:tcW w:w="0" w:type="auto"/>
          </w:tcPr>
          <w:p w:rsidR="00E4152E" w:rsidRPr="00E4152E" w:rsidRDefault="00E4152E" w:rsidP="00E94E89">
            <w:pPr>
              <w:rPr>
                <w:rFonts w:eastAsiaTheme="majorEastAsia" w:cstheme="majorBidi"/>
                <w:sz w:val="20"/>
              </w:rPr>
            </w:pPr>
            <w:r w:rsidRPr="00E4152E">
              <w:rPr>
                <w:rFonts w:eastAsiaTheme="majorEastAsia" w:cstheme="majorBidi"/>
                <w:sz w:val="20"/>
              </w:rPr>
              <w:t>Number of new UXO survivors who are tracked (estimated at 100 persons for 2015)</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 xml:space="preserve">It is somewhat unclear how this figure was set and what the purpose of the tracking is. Potentially it could lead to raising expectations of services which are unlikely to materialize in the near future </w:t>
            </w:r>
          </w:p>
        </w:tc>
      </w:tr>
      <w:tr w:rsidR="00E4152E" w:rsidRPr="00E4152E">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Victim Assistance Strategy is drafted (2010: no 2015, yes, MoV: NRA Annual Report)</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Victim Assistance Strategy is finalized (AR2, Action 11)</w:t>
            </w:r>
          </w:p>
        </w:tc>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Victim Assistance Strategy is finalized</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Victim Assistance Strategy is approved and implementation begins</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Victim Assistance Strategy is implemented with attention to VA as a component of broader disability sector.</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 xml:space="preserve">This is positive, important now is to report on the outcomes of the strategy  </w:t>
            </w:r>
          </w:p>
        </w:tc>
      </w:tr>
      <w:tr w:rsidR="00E4152E" w:rsidRPr="00E4152E">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Number of districts with District Clearance Plans based on District Focused Approach (DFA) (2010: 0, 2015: 20, Mov:, District Clearance Plans)</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District Focused Planning Approach (DFA) (AR3 13, 14)</w:t>
            </w:r>
          </w:p>
        </w:tc>
        <w:tc>
          <w:tcPr>
            <w:tcW w:w="0" w:type="auto"/>
          </w:tcPr>
          <w:p w:rsidR="00E4152E" w:rsidRPr="00E4152E" w:rsidRDefault="00E4152E" w:rsidP="00E94E89">
            <w:pPr>
              <w:rPr>
                <w:rFonts w:eastAsiaTheme="majorEastAsia" w:cstheme="majorBidi"/>
                <w:sz w:val="20"/>
                <w:szCs w:val="20"/>
              </w:rPr>
            </w:pP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3 districts (pilot project areas) have district clearance plans based on district survey</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No of districts with district clearance plans TBC.</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No of districts with district clearance plans TBC.</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This is positive progress but important now is to monitor the results of the plans (if implemented)</w:t>
            </w:r>
          </w:p>
        </w:tc>
      </w:tr>
      <w:tr w:rsidR="00E4152E" w:rsidRPr="00E4152E">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 of Operators Accredited (2010: 33%, 2015: 100%, MoV: NRA Annual Report)</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Accreditation of Operators (AR4, Action 21)</w:t>
            </w:r>
          </w:p>
        </w:tc>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rPr>
            </w:pPr>
            <w:r w:rsidRPr="00E4152E">
              <w:rPr>
                <w:rFonts w:eastAsiaTheme="majorEastAsia" w:cstheme="majorBidi"/>
                <w:sz w:val="20"/>
              </w:rPr>
              <w:t>65% of operators accredited</w:t>
            </w:r>
          </w:p>
        </w:tc>
        <w:tc>
          <w:tcPr>
            <w:tcW w:w="0" w:type="auto"/>
          </w:tcPr>
          <w:p w:rsidR="00E4152E" w:rsidRPr="00E4152E" w:rsidRDefault="00E4152E" w:rsidP="00E94E89">
            <w:pPr>
              <w:rPr>
                <w:rFonts w:eastAsiaTheme="majorEastAsia" w:cstheme="majorBidi"/>
                <w:sz w:val="20"/>
              </w:rPr>
            </w:pPr>
            <w:r w:rsidRPr="00E4152E">
              <w:rPr>
                <w:rFonts w:eastAsiaTheme="majorEastAsia" w:cstheme="majorBidi"/>
                <w:sz w:val="20"/>
              </w:rPr>
              <w:t>100% of operators accredited</w:t>
            </w:r>
          </w:p>
        </w:tc>
        <w:tc>
          <w:tcPr>
            <w:tcW w:w="0" w:type="auto"/>
          </w:tcPr>
          <w:p w:rsidR="00E4152E" w:rsidRPr="00E4152E" w:rsidRDefault="00E4152E" w:rsidP="00E94E89">
            <w:pPr>
              <w:rPr>
                <w:rFonts w:eastAsiaTheme="majorEastAsia" w:cstheme="majorBidi"/>
                <w:sz w:val="20"/>
              </w:rPr>
            </w:pPr>
            <w:r w:rsidRPr="00E4152E">
              <w:rPr>
                <w:rFonts w:eastAsiaTheme="majorEastAsia" w:cstheme="majorBidi"/>
                <w:sz w:val="20"/>
              </w:rPr>
              <w:t>100% of operators accredited</w:t>
            </w:r>
          </w:p>
        </w:tc>
        <w:tc>
          <w:tcPr>
            <w:tcW w:w="0" w:type="auto"/>
          </w:tcPr>
          <w:p w:rsidR="00E4152E" w:rsidRPr="00E4152E" w:rsidRDefault="00E4152E" w:rsidP="00E94E89">
            <w:pPr>
              <w:rPr>
                <w:rFonts w:eastAsiaTheme="majorEastAsia" w:cstheme="majorBidi"/>
                <w:sz w:val="20"/>
              </w:rPr>
            </w:pPr>
          </w:p>
        </w:tc>
      </w:tr>
      <w:tr w:rsidR="00E4152E" w:rsidRPr="00E4152E">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 of operators reporting electronically (2010: 33%, 2015: 100%, MoV: NRA Annual Reports)</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Reporting from Operators (AR4 – no particular Action point?)</w:t>
            </w:r>
          </w:p>
        </w:tc>
        <w:tc>
          <w:tcPr>
            <w:tcW w:w="0" w:type="auto"/>
          </w:tcPr>
          <w:p w:rsidR="00E4152E" w:rsidRPr="00E4152E" w:rsidRDefault="00E4152E" w:rsidP="00E94E89">
            <w:pPr>
              <w:rPr>
                <w:rFonts w:eastAsiaTheme="majorEastAsia" w:cstheme="majorBidi"/>
                <w:sz w:val="20"/>
                <w:szCs w:val="20"/>
              </w:rPr>
            </w:pP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40% of operators reporting electronically</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60% of operators reporting electronically</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80% of operators reporting electronically</w:t>
            </w:r>
          </w:p>
        </w:tc>
        <w:tc>
          <w:tcPr>
            <w:tcW w:w="0" w:type="auto"/>
          </w:tcPr>
          <w:p w:rsidR="00E4152E" w:rsidRPr="00E4152E" w:rsidRDefault="00E4152E" w:rsidP="00E94E89">
            <w:pPr>
              <w:rPr>
                <w:rFonts w:eastAsiaTheme="majorEastAsia" w:cstheme="majorBidi"/>
                <w:sz w:val="20"/>
                <w:szCs w:val="20"/>
              </w:rPr>
            </w:pPr>
          </w:p>
        </w:tc>
      </w:tr>
      <w:tr w:rsidR="00E4152E" w:rsidRPr="00E4152E">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 of population in UXO affected areas with improved knowledge, attitudes and practices related to UXO Risk Reduction (2010: NA, 2015 TBD, MoV: KAP studies)</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No Target established, relates to AR1, Action Point 5</w:t>
            </w:r>
          </w:p>
        </w:tc>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rPr>
            </w:pPr>
          </w:p>
        </w:tc>
      </w:tr>
      <w:tr w:rsidR="00E4152E" w:rsidRPr="00E4152E">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Post Clearance Impact Assessment submitted to the Government (2010: Yes, 2015 Yes, MoV: Report)</w:t>
            </w:r>
          </w:p>
        </w:tc>
        <w:tc>
          <w:tcPr>
            <w:tcW w:w="0" w:type="auto"/>
          </w:tcPr>
          <w:p w:rsidR="00E4152E" w:rsidRPr="00E4152E" w:rsidRDefault="00E4152E" w:rsidP="00E94E89">
            <w:pPr>
              <w:rPr>
                <w:rFonts w:eastAsiaTheme="majorEastAsia" w:cstheme="majorBidi"/>
                <w:sz w:val="20"/>
                <w:szCs w:val="20"/>
                <w:highlight w:val="yellow"/>
              </w:rPr>
            </w:pPr>
            <w:r w:rsidRPr="00AF404E">
              <w:rPr>
                <w:rFonts w:eastAsiaTheme="majorEastAsia" w:cstheme="majorBidi"/>
                <w:sz w:val="20"/>
                <w:szCs w:val="20"/>
              </w:rPr>
              <w:t>No Target established, relates to AR3, Action Point 18</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 xml:space="preserve">Two action points appear merged together, including reference to PCIA: </w:t>
            </w:r>
          </w:p>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Action 18: Convene quarterly meetings of Clearance TWG. Action in 2014: Commission Post Clearance Impact Assessment including gender perspective</w:t>
            </w:r>
          </w:p>
        </w:tc>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rPr>
            </w:pPr>
          </w:p>
        </w:tc>
      </w:tr>
      <w:tr w:rsidR="00E4152E" w:rsidRPr="00E4152E">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Timely submission of UXO SWG’s quality inputs to RTM/RTiM (2010: Yes, 2013-15 Yes, MoV: receipt by DIC/MPI).</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AR4, Action 28</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No targets</w:t>
            </w:r>
          </w:p>
        </w:tc>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rPr>
            </w:pPr>
          </w:p>
        </w:tc>
      </w:tr>
      <w:tr w:rsidR="00E4152E" w:rsidRPr="00E4152E">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UXO Sector Multi-Year Work Plan til 2020 based on SPFII and CCM draft, approved and implemented (2010: no, 2015: yes, MoV: availability of WP)</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AR5, Action 41 &amp; AR4, Action 26</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No targets</w:t>
            </w:r>
          </w:p>
          <w:p w:rsidR="00E4152E" w:rsidRPr="00E4152E" w:rsidRDefault="00E4152E" w:rsidP="00E94E89">
            <w:pPr>
              <w:rPr>
                <w:rFonts w:eastAsiaTheme="majorEastAsia" w:cstheme="majorBidi"/>
                <w:sz w:val="20"/>
                <w:szCs w:val="20"/>
              </w:rPr>
            </w:pPr>
          </w:p>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This is really relating to AR5, Action 41, but is to some extent a duplication of AR4, Action 26</w:t>
            </w:r>
          </w:p>
        </w:tc>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rPr>
            </w:pPr>
          </w:p>
        </w:tc>
      </w:tr>
      <w:tr w:rsidR="00E4152E" w:rsidRPr="00E4152E">
        <w:tc>
          <w:tcPr>
            <w:tcW w:w="0" w:type="auto"/>
          </w:tcPr>
          <w:p w:rsidR="00E4152E" w:rsidRPr="00E4152E" w:rsidRDefault="00E4152E" w:rsidP="00E94E89">
            <w:pPr>
              <w:rPr>
                <w:rFonts w:eastAsiaTheme="majorEastAsia" w:cstheme="majorBidi"/>
                <w:sz w:val="20"/>
              </w:rPr>
            </w:pPr>
            <w:r w:rsidRPr="00E4152E">
              <w:rPr>
                <w:rFonts w:eastAsiaTheme="majorEastAsia" w:cstheme="majorBidi"/>
                <w:sz w:val="20"/>
                <w:szCs w:val="20"/>
              </w:rPr>
              <w:t>Increase in the per-centage of ‘un-earmarked’ contributions to the UXO Trust Fund (2010: 25%, 2015: 50%, MoV: UXO TF Steering Committee report</w:t>
            </w:r>
            <w:r w:rsidRPr="00E4152E">
              <w:rPr>
                <w:rFonts w:eastAsiaTheme="majorEastAsia" w:cstheme="majorBidi"/>
                <w:sz w:val="20"/>
              </w:rPr>
              <w:t>)</w:t>
            </w:r>
          </w:p>
        </w:tc>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rPr>
            </w:pPr>
          </w:p>
          <w:p w:rsidR="00E4152E" w:rsidRPr="00E4152E" w:rsidRDefault="00E4152E" w:rsidP="00E94E89">
            <w:pPr>
              <w:rPr>
                <w:rFonts w:eastAsiaTheme="majorEastAsia" w:cstheme="majorBidi"/>
                <w:sz w:val="20"/>
              </w:rPr>
            </w:pPr>
            <w:r w:rsidRPr="00E4152E">
              <w:rPr>
                <w:rFonts w:eastAsiaTheme="majorEastAsia" w:cstheme="majorBidi"/>
                <w:sz w:val="20"/>
              </w:rPr>
              <w:t>No targets set in NRA Work Plan</w:t>
            </w:r>
          </w:p>
        </w:tc>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rPr>
            </w:pPr>
          </w:p>
        </w:tc>
      </w:tr>
      <w:tr w:rsidR="00E4152E" w:rsidRPr="00E4152E">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Increase in GoL contribution to the UXO sector (2010: in-kind only, 2015: financial contribution included, MoV UXO Sector Annual Report)</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AR5, Action 42: Develop a long term resource mobilization strategy outline cost recovery schemes for administrative expenditures, future potentials for external funding support and access to national budget allocations for clearance, risk reduction education and VA etc, examining various fundraising opportunities, private sector co-operation, corporate social responsibility etc</w:t>
            </w:r>
          </w:p>
        </w:tc>
        <w:tc>
          <w:tcPr>
            <w:tcW w:w="0" w:type="auto"/>
          </w:tcPr>
          <w:p w:rsidR="00E4152E" w:rsidRPr="00E4152E" w:rsidRDefault="00E4152E" w:rsidP="00E94E89">
            <w:pPr>
              <w:rPr>
                <w:rFonts w:eastAsiaTheme="majorEastAsia" w:cstheme="majorBidi"/>
                <w:sz w:val="20"/>
                <w:szCs w:val="20"/>
              </w:rPr>
            </w:pPr>
          </w:p>
        </w:tc>
        <w:tc>
          <w:tcPr>
            <w:tcW w:w="0" w:type="auto"/>
          </w:tcPr>
          <w:p w:rsidR="00E4152E" w:rsidRPr="00E4152E" w:rsidRDefault="00E4152E" w:rsidP="00E94E89">
            <w:pPr>
              <w:rPr>
                <w:rFonts w:eastAsiaTheme="majorEastAsia" w:cstheme="majorBidi"/>
                <w:sz w:val="20"/>
                <w:szCs w:val="20"/>
              </w:rPr>
            </w:pPr>
          </w:p>
        </w:tc>
        <w:tc>
          <w:tcPr>
            <w:tcW w:w="0" w:type="auto"/>
          </w:tcPr>
          <w:p w:rsidR="00E4152E" w:rsidRPr="00E4152E" w:rsidRDefault="00E4152E" w:rsidP="00E94E89">
            <w:pPr>
              <w:rPr>
                <w:rFonts w:eastAsiaTheme="majorEastAsia" w:cstheme="majorBidi"/>
                <w:sz w:val="20"/>
                <w:szCs w:val="20"/>
              </w:rPr>
            </w:pPr>
          </w:p>
        </w:tc>
        <w:tc>
          <w:tcPr>
            <w:tcW w:w="0" w:type="auto"/>
          </w:tcPr>
          <w:p w:rsidR="00E4152E" w:rsidRPr="00E4152E" w:rsidRDefault="00E4152E" w:rsidP="00E94E89">
            <w:pPr>
              <w:rPr>
                <w:rFonts w:eastAsiaTheme="majorEastAsia" w:cstheme="majorBidi"/>
                <w:sz w:val="20"/>
                <w:szCs w:val="20"/>
              </w:rPr>
            </w:pP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 xml:space="preserve">This is an area where very limited observable progress has been made other than possibly a better accounting of in-kind contribution </w:t>
            </w:r>
          </w:p>
        </w:tc>
      </w:tr>
      <w:tr w:rsidR="00E4152E" w:rsidRPr="00E4152E">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rPr>
            </w:pPr>
            <w:r w:rsidRPr="00E4152E">
              <w:rPr>
                <w:rFonts w:eastAsiaTheme="majorEastAsia" w:cstheme="majorBidi"/>
                <w:b/>
                <w:sz w:val="20"/>
              </w:rPr>
              <w:t>CCM Treaty Compliance (AR6, Action 44)</w:t>
            </w:r>
          </w:p>
        </w:tc>
        <w:tc>
          <w:tcPr>
            <w:tcW w:w="0" w:type="auto"/>
          </w:tcPr>
          <w:p w:rsidR="00E4152E" w:rsidRPr="00E4152E" w:rsidRDefault="00E4152E" w:rsidP="00E94E89">
            <w:pPr>
              <w:rPr>
                <w:rFonts w:eastAsiaTheme="majorEastAsia" w:cstheme="majorBidi"/>
                <w:sz w:val="20"/>
              </w:rPr>
            </w:pPr>
            <w:r w:rsidRPr="00E4152E">
              <w:rPr>
                <w:rFonts w:eastAsiaTheme="majorEastAsia" w:cstheme="majorBidi"/>
                <w:sz w:val="20"/>
              </w:rPr>
              <w:t>Project Action only refers to Articles 7 and 11, not Articles 1,3,4,5,6,7,9, and 11 as referred to in the target. In both cases the document relies on Cluster Munitions Monitor, rather than internal monitoring as the means of verification.</w:t>
            </w:r>
          </w:p>
        </w:tc>
        <w:tc>
          <w:tcPr>
            <w:tcW w:w="0" w:type="auto"/>
          </w:tcPr>
          <w:p w:rsidR="00E4152E" w:rsidRPr="00E4152E" w:rsidRDefault="00E4152E" w:rsidP="00E94E89">
            <w:pPr>
              <w:rPr>
                <w:rFonts w:eastAsiaTheme="majorEastAsia" w:cstheme="majorBidi"/>
                <w:sz w:val="20"/>
              </w:rPr>
            </w:pPr>
            <w:r w:rsidRPr="00E4152E">
              <w:rPr>
                <w:rFonts w:eastAsiaTheme="majorEastAsia" w:cstheme="majorBidi"/>
                <w:sz w:val="20"/>
              </w:rPr>
              <w:t xml:space="preserve">Lao PDR complies with Articles 1,3,4,5,6,7,9, and 11 </w:t>
            </w:r>
          </w:p>
        </w:tc>
        <w:tc>
          <w:tcPr>
            <w:tcW w:w="0" w:type="auto"/>
          </w:tcPr>
          <w:p w:rsidR="00E4152E" w:rsidRPr="00E4152E" w:rsidRDefault="00E4152E" w:rsidP="00E94E89">
            <w:pPr>
              <w:rPr>
                <w:rFonts w:eastAsiaTheme="majorEastAsia" w:cstheme="majorBidi"/>
                <w:sz w:val="20"/>
              </w:rPr>
            </w:pPr>
            <w:r w:rsidRPr="00E4152E">
              <w:rPr>
                <w:rFonts w:eastAsiaTheme="majorEastAsia" w:cstheme="majorBidi"/>
                <w:sz w:val="20"/>
              </w:rPr>
              <w:t>Lao PDR complies with Articles 1,3,4,5,6,7,9, and 11</w:t>
            </w:r>
          </w:p>
        </w:tc>
        <w:tc>
          <w:tcPr>
            <w:tcW w:w="0" w:type="auto"/>
          </w:tcPr>
          <w:p w:rsidR="00E4152E" w:rsidRPr="00E4152E" w:rsidRDefault="00E4152E" w:rsidP="00E94E89">
            <w:pPr>
              <w:rPr>
                <w:rFonts w:eastAsiaTheme="majorEastAsia" w:cstheme="majorBidi"/>
                <w:sz w:val="20"/>
              </w:rPr>
            </w:pPr>
            <w:r w:rsidRPr="00E4152E">
              <w:rPr>
                <w:rFonts w:eastAsiaTheme="majorEastAsia" w:cstheme="majorBidi"/>
                <w:sz w:val="20"/>
              </w:rPr>
              <w:t>Lao PDR complies with Articles 1,3,4,5,6,7,9, and 11</w:t>
            </w:r>
          </w:p>
        </w:tc>
        <w:tc>
          <w:tcPr>
            <w:tcW w:w="0" w:type="auto"/>
          </w:tcPr>
          <w:p w:rsidR="00E4152E" w:rsidRPr="00E4152E" w:rsidRDefault="00E4152E" w:rsidP="00E94E89">
            <w:pPr>
              <w:rPr>
                <w:rFonts w:eastAsiaTheme="majorEastAsia" w:cstheme="majorBidi"/>
                <w:sz w:val="20"/>
              </w:rPr>
            </w:pPr>
          </w:p>
        </w:tc>
      </w:tr>
      <w:tr w:rsidR="00E4152E" w:rsidRPr="00E4152E">
        <w:tc>
          <w:tcPr>
            <w:tcW w:w="0" w:type="auto"/>
          </w:tcPr>
          <w:p w:rsidR="00E4152E" w:rsidRPr="00E4152E" w:rsidRDefault="00E4152E" w:rsidP="00E94E89">
            <w:pPr>
              <w:rPr>
                <w:rFonts w:eastAsiaTheme="majorEastAsia" w:cstheme="majorBidi"/>
                <w:sz w:val="20"/>
              </w:rPr>
            </w:pP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CCM Treaty Promotion and Compliance  (AR 6 – no particular Action point)</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In a situation with a dearth of Targets, this is repetition of one issue area around CCM Treaty compliance. In both cases the document relies on Cluster Munitions Monitor, rather than internal monitoring as the means of verification.</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CCM Treaty Promotion and Compliance with Article 21</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CCM Treaty Promotion and Compliance with Article 21</w:t>
            </w:r>
          </w:p>
        </w:tc>
        <w:tc>
          <w:tcPr>
            <w:tcW w:w="0" w:type="auto"/>
          </w:tcPr>
          <w:p w:rsidR="00E4152E" w:rsidRPr="00E4152E" w:rsidRDefault="00E4152E" w:rsidP="00E94E89">
            <w:pPr>
              <w:rPr>
                <w:rFonts w:eastAsiaTheme="majorEastAsia" w:cstheme="majorBidi"/>
                <w:sz w:val="20"/>
                <w:szCs w:val="20"/>
              </w:rPr>
            </w:pPr>
            <w:r w:rsidRPr="00E4152E">
              <w:rPr>
                <w:rFonts w:eastAsiaTheme="majorEastAsia" w:cstheme="majorBidi"/>
                <w:sz w:val="20"/>
                <w:szCs w:val="20"/>
              </w:rPr>
              <w:t>CCM Treaty Promotion and Compliance with Article 21</w:t>
            </w:r>
          </w:p>
        </w:tc>
        <w:tc>
          <w:tcPr>
            <w:tcW w:w="0" w:type="auto"/>
          </w:tcPr>
          <w:p w:rsidR="00E4152E" w:rsidRPr="00E4152E" w:rsidRDefault="00E4152E" w:rsidP="00E94E89">
            <w:pPr>
              <w:rPr>
                <w:rFonts w:eastAsiaTheme="majorEastAsia" w:cstheme="majorBidi"/>
                <w:sz w:val="20"/>
              </w:rPr>
            </w:pPr>
          </w:p>
        </w:tc>
      </w:tr>
    </w:tbl>
    <w:p w:rsidR="004D3FC5" w:rsidRPr="004D3FC5" w:rsidRDefault="00505E8D" w:rsidP="004D3FC5">
      <w:pPr>
        <w:pStyle w:val="Heading1"/>
      </w:pPr>
      <w:r>
        <w:br/>
      </w:r>
      <w:bookmarkStart w:id="58" w:name="_Toc441609358"/>
      <w:r w:rsidR="005F2BA6">
        <w:t>Appendix 5</w:t>
      </w:r>
      <w:r w:rsidR="00C5275C">
        <w:t>: Summary of recommendations</w:t>
      </w:r>
      <w:bookmarkEnd w:id="58"/>
    </w:p>
    <w:p w:rsidR="00C5275C" w:rsidRPr="00606F9C" w:rsidRDefault="00C5275C" w:rsidP="00606F9C"/>
    <w:tbl>
      <w:tblPr>
        <w:tblStyle w:val="TableGrid"/>
        <w:tblW w:w="5000" w:type="pct"/>
        <w:tblLook w:val="04A0" w:firstRow="1" w:lastRow="0" w:firstColumn="1" w:lastColumn="0" w:noHBand="0" w:noVBand="1"/>
      </w:tblPr>
      <w:tblGrid>
        <w:gridCol w:w="3294"/>
        <w:gridCol w:w="3294"/>
        <w:gridCol w:w="3294"/>
        <w:gridCol w:w="3294"/>
      </w:tblGrid>
      <w:tr w:rsidR="00D50F20" w:rsidRPr="0076778F" w:rsidTr="0076778F">
        <w:trPr>
          <w:tblHeader/>
        </w:trPr>
        <w:tc>
          <w:tcPr>
            <w:tcW w:w="1250" w:type="pct"/>
          </w:tcPr>
          <w:p w:rsidR="00D50F20" w:rsidRPr="0076778F" w:rsidRDefault="00D50F20" w:rsidP="00C5275C">
            <w:pPr>
              <w:rPr>
                <w:b/>
                <w:sz w:val="20"/>
                <w:szCs w:val="20"/>
              </w:rPr>
            </w:pPr>
            <w:r w:rsidRPr="0076778F">
              <w:rPr>
                <w:b/>
                <w:sz w:val="20"/>
                <w:szCs w:val="20"/>
              </w:rPr>
              <w:t>Actions (UNDP)</w:t>
            </w:r>
          </w:p>
        </w:tc>
        <w:tc>
          <w:tcPr>
            <w:tcW w:w="1250" w:type="pct"/>
          </w:tcPr>
          <w:p w:rsidR="00D50F20" w:rsidRPr="0076778F" w:rsidRDefault="00D50F20" w:rsidP="00C5275C">
            <w:pPr>
              <w:rPr>
                <w:b/>
                <w:sz w:val="20"/>
                <w:szCs w:val="20"/>
              </w:rPr>
            </w:pPr>
            <w:r w:rsidRPr="0076778F">
              <w:rPr>
                <w:b/>
                <w:sz w:val="20"/>
                <w:szCs w:val="20"/>
              </w:rPr>
              <w:t xml:space="preserve">Indicators </w:t>
            </w:r>
          </w:p>
        </w:tc>
        <w:tc>
          <w:tcPr>
            <w:tcW w:w="1250" w:type="pct"/>
          </w:tcPr>
          <w:p w:rsidR="00D50F20" w:rsidRPr="0076778F" w:rsidRDefault="00D50F20" w:rsidP="00C5275C">
            <w:pPr>
              <w:rPr>
                <w:b/>
                <w:sz w:val="20"/>
                <w:szCs w:val="20"/>
              </w:rPr>
            </w:pPr>
            <w:r w:rsidRPr="0076778F">
              <w:rPr>
                <w:b/>
                <w:sz w:val="20"/>
                <w:szCs w:val="20"/>
              </w:rPr>
              <w:t>Method of verification  (of UNDP support)</w:t>
            </w:r>
          </w:p>
        </w:tc>
        <w:tc>
          <w:tcPr>
            <w:tcW w:w="1250" w:type="pct"/>
          </w:tcPr>
          <w:p w:rsidR="00D50F20" w:rsidRPr="0076778F" w:rsidRDefault="00D50F20" w:rsidP="00C5275C">
            <w:pPr>
              <w:rPr>
                <w:b/>
                <w:sz w:val="20"/>
                <w:szCs w:val="20"/>
              </w:rPr>
            </w:pPr>
            <w:r w:rsidRPr="0076778F">
              <w:rPr>
                <w:b/>
                <w:sz w:val="20"/>
                <w:szCs w:val="20"/>
              </w:rPr>
              <w:t xml:space="preserve">Timeframe  </w:t>
            </w:r>
          </w:p>
        </w:tc>
      </w:tr>
      <w:tr w:rsidR="00AA265D" w:rsidRPr="0076778F" w:rsidTr="0076778F">
        <w:tc>
          <w:tcPr>
            <w:tcW w:w="5000" w:type="pct"/>
            <w:gridSpan w:val="4"/>
          </w:tcPr>
          <w:p w:rsidR="00AA265D" w:rsidRPr="0076778F" w:rsidRDefault="0076778F" w:rsidP="005B02BF">
            <w:pPr>
              <w:rPr>
                <w:sz w:val="20"/>
                <w:szCs w:val="20"/>
              </w:rPr>
            </w:pPr>
            <w:r w:rsidRPr="0076778F">
              <w:rPr>
                <w:rFonts w:cs="TT15Et00"/>
                <w:b/>
                <w:sz w:val="20"/>
                <w:szCs w:val="20"/>
              </w:rPr>
              <w:t xml:space="preserve">Recommendation 1 </w:t>
            </w:r>
            <w:r w:rsidRPr="0076778F">
              <w:rPr>
                <w:rFonts w:cs="TT15Et00"/>
                <w:sz w:val="20"/>
                <w:szCs w:val="20"/>
              </w:rPr>
              <w:t>The UNDP, with the NRA and the UXO Lao, should actively promote the allocation of resources to developing management capacities, clearly articulating how the UNDP’s support contributes to programme outputs and outcomes and capacity development.</w:t>
            </w:r>
          </w:p>
        </w:tc>
      </w:tr>
      <w:tr w:rsidR="00D50F20" w:rsidRPr="0076778F" w:rsidTr="0076778F">
        <w:tc>
          <w:tcPr>
            <w:tcW w:w="1250" w:type="pct"/>
          </w:tcPr>
          <w:p w:rsidR="00D50F20" w:rsidRPr="0076778F" w:rsidRDefault="00D50F20" w:rsidP="00FA5C6E">
            <w:pPr>
              <w:rPr>
                <w:sz w:val="20"/>
                <w:szCs w:val="20"/>
              </w:rPr>
            </w:pPr>
            <w:r w:rsidRPr="0076778F">
              <w:rPr>
                <w:sz w:val="20"/>
                <w:szCs w:val="20"/>
              </w:rPr>
              <w:t>Support the NRA and UXO Lao to progress the 2014 Capacity Self-Assessment</w:t>
            </w:r>
          </w:p>
          <w:p w:rsidR="00D50F20" w:rsidRPr="0076778F" w:rsidRDefault="00D50F20" w:rsidP="005C68BB">
            <w:pPr>
              <w:rPr>
                <w:sz w:val="20"/>
                <w:szCs w:val="20"/>
              </w:rPr>
            </w:pPr>
            <w:r w:rsidRPr="0076778F">
              <w:rPr>
                <w:sz w:val="20"/>
                <w:szCs w:val="20"/>
              </w:rPr>
              <w:t xml:space="preserve">Support mobilisation of resources  and implementation of action plans </w:t>
            </w:r>
          </w:p>
          <w:p w:rsidR="00D50F20" w:rsidRPr="0076778F" w:rsidRDefault="00D50F20" w:rsidP="005C68BB">
            <w:pPr>
              <w:rPr>
                <w:sz w:val="20"/>
                <w:szCs w:val="20"/>
              </w:rPr>
            </w:pPr>
            <w:r w:rsidRPr="0076778F">
              <w:rPr>
                <w:sz w:val="20"/>
                <w:szCs w:val="20"/>
              </w:rPr>
              <w:t>Identify and help source external expertise where required</w:t>
            </w:r>
          </w:p>
          <w:p w:rsidR="00D50F20" w:rsidRPr="0076778F" w:rsidRDefault="00D50F20" w:rsidP="005C68BB">
            <w:pPr>
              <w:rPr>
                <w:sz w:val="20"/>
                <w:szCs w:val="20"/>
              </w:rPr>
            </w:pPr>
          </w:p>
          <w:p w:rsidR="00D50F20" w:rsidRPr="0076778F" w:rsidRDefault="00D50F20" w:rsidP="005C68BB">
            <w:pPr>
              <w:rPr>
                <w:sz w:val="20"/>
                <w:szCs w:val="20"/>
              </w:rPr>
            </w:pPr>
            <w:r w:rsidRPr="0076778F">
              <w:rPr>
                <w:sz w:val="20"/>
                <w:szCs w:val="20"/>
              </w:rPr>
              <w:t>Develop output and outcome indicators in the new programme document that demonstrates how the UNDP’s support contributes to programme’s outputs and outcomes</w:t>
            </w:r>
          </w:p>
        </w:tc>
        <w:tc>
          <w:tcPr>
            <w:tcW w:w="1250" w:type="pct"/>
          </w:tcPr>
          <w:p w:rsidR="00D50F20" w:rsidRPr="0076778F" w:rsidRDefault="00D50F20" w:rsidP="00C5275C">
            <w:pPr>
              <w:rPr>
                <w:sz w:val="20"/>
                <w:szCs w:val="20"/>
              </w:rPr>
            </w:pPr>
            <w:r w:rsidRPr="0076778F">
              <w:rPr>
                <w:sz w:val="20"/>
                <w:szCs w:val="20"/>
              </w:rPr>
              <w:t xml:space="preserve">Amount of resources raised through UNDP’s activities to support implementation </w:t>
            </w:r>
          </w:p>
          <w:p w:rsidR="00D50F20" w:rsidRPr="0076778F" w:rsidRDefault="00D50F20" w:rsidP="00C5275C">
            <w:pPr>
              <w:rPr>
                <w:sz w:val="20"/>
                <w:szCs w:val="20"/>
              </w:rPr>
            </w:pPr>
            <w:r w:rsidRPr="0076778F">
              <w:rPr>
                <w:sz w:val="20"/>
                <w:szCs w:val="20"/>
              </w:rPr>
              <w:t>of the Action Plans</w:t>
            </w:r>
          </w:p>
          <w:p w:rsidR="00D50F20" w:rsidRPr="0076778F" w:rsidRDefault="00D50F20" w:rsidP="00C5275C">
            <w:pPr>
              <w:rPr>
                <w:sz w:val="20"/>
                <w:szCs w:val="20"/>
              </w:rPr>
            </w:pPr>
            <w:r w:rsidRPr="0076778F">
              <w:rPr>
                <w:sz w:val="20"/>
                <w:szCs w:val="20"/>
              </w:rPr>
              <w:t xml:space="preserve">Number of activities undertaken by UNDP to support implementation </w:t>
            </w:r>
          </w:p>
          <w:p w:rsidR="00D50F20" w:rsidRPr="0076778F" w:rsidRDefault="00D50F20" w:rsidP="00C5275C">
            <w:pPr>
              <w:rPr>
                <w:sz w:val="20"/>
                <w:szCs w:val="20"/>
              </w:rPr>
            </w:pPr>
            <w:r w:rsidRPr="0076778F">
              <w:rPr>
                <w:sz w:val="20"/>
                <w:szCs w:val="20"/>
              </w:rPr>
              <w:t>of the Action Plans</w:t>
            </w:r>
          </w:p>
          <w:p w:rsidR="00D50F20" w:rsidRPr="0076778F" w:rsidRDefault="00D50F20" w:rsidP="00C5275C">
            <w:pPr>
              <w:rPr>
                <w:sz w:val="20"/>
                <w:szCs w:val="20"/>
              </w:rPr>
            </w:pPr>
            <w:r w:rsidRPr="0076778F">
              <w:rPr>
                <w:sz w:val="20"/>
                <w:szCs w:val="20"/>
              </w:rPr>
              <w:t xml:space="preserve">Action Plans used to plan and monitor development partner contributions </w:t>
            </w:r>
          </w:p>
          <w:p w:rsidR="00D50F20" w:rsidRPr="0076778F" w:rsidRDefault="00D50F20" w:rsidP="00C5275C">
            <w:pPr>
              <w:rPr>
                <w:sz w:val="20"/>
                <w:szCs w:val="20"/>
              </w:rPr>
            </w:pPr>
            <w:r w:rsidRPr="0076778F">
              <w:rPr>
                <w:sz w:val="20"/>
                <w:szCs w:val="20"/>
              </w:rPr>
              <w:t xml:space="preserve">Relevance, effectiveness and impact of UNDP’s activities in support of the implementation </w:t>
            </w:r>
          </w:p>
          <w:p w:rsidR="00D50F20" w:rsidRPr="0076778F" w:rsidRDefault="00D50F20" w:rsidP="00C5275C">
            <w:pPr>
              <w:rPr>
                <w:sz w:val="20"/>
                <w:szCs w:val="20"/>
              </w:rPr>
            </w:pPr>
            <w:r w:rsidRPr="0076778F">
              <w:rPr>
                <w:sz w:val="20"/>
                <w:szCs w:val="20"/>
              </w:rPr>
              <w:t>of the Action Plans</w:t>
            </w:r>
          </w:p>
          <w:p w:rsidR="00D50F20" w:rsidRPr="0076778F" w:rsidRDefault="00D50F20" w:rsidP="00C5275C">
            <w:pPr>
              <w:rPr>
                <w:sz w:val="20"/>
                <w:szCs w:val="20"/>
              </w:rPr>
            </w:pPr>
            <w:r w:rsidRPr="0076778F">
              <w:rPr>
                <w:sz w:val="20"/>
                <w:szCs w:val="20"/>
              </w:rPr>
              <w:t xml:space="preserve">External institutional change processes expert recruited </w:t>
            </w:r>
          </w:p>
          <w:p w:rsidR="00D50F20" w:rsidRPr="0076778F" w:rsidRDefault="00D50F20" w:rsidP="005C68BB">
            <w:pPr>
              <w:rPr>
                <w:rFonts w:cs="TT15Et00"/>
                <w:sz w:val="20"/>
                <w:szCs w:val="20"/>
              </w:rPr>
            </w:pPr>
            <w:r w:rsidRPr="0076778F">
              <w:rPr>
                <w:sz w:val="20"/>
                <w:szCs w:val="20"/>
              </w:rPr>
              <w:t xml:space="preserve">Number of meetings facilitated by UNDP with NRA and UXO Lao leadership to develop </w:t>
            </w:r>
            <w:r w:rsidRPr="0076778F">
              <w:rPr>
                <w:rFonts w:cs="TT15Et00"/>
                <w:sz w:val="20"/>
                <w:szCs w:val="20"/>
              </w:rPr>
              <w:t>output and outcome indicators</w:t>
            </w:r>
          </w:p>
          <w:p w:rsidR="00D50F20" w:rsidRPr="0076778F" w:rsidRDefault="00D50F20" w:rsidP="005C68BB">
            <w:pPr>
              <w:rPr>
                <w:sz w:val="20"/>
                <w:szCs w:val="20"/>
              </w:rPr>
            </w:pPr>
            <w:r w:rsidRPr="0076778F">
              <w:rPr>
                <w:sz w:val="20"/>
                <w:szCs w:val="20"/>
              </w:rPr>
              <w:t>Number of meetings facilitated by UNDP with NRA and UXO Lao leadership to a programme theory of change</w:t>
            </w:r>
          </w:p>
          <w:p w:rsidR="00D50F20" w:rsidRPr="0076778F" w:rsidRDefault="00D50F20" w:rsidP="005C68BB">
            <w:pPr>
              <w:rPr>
                <w:sz w:val="20"/>
                <w:szCs w:val="20"/>
              </w:rPr>
            </w:pPr>
            <w:r w:rsidRPr="0076778F">
              <w:rPr>
                <w:sz w:val="20"/>
                <w:szCs w:val="20"/>
              </w:rPr>
              <w:t>Relevance, effectiveness and impact of UNDP’s facilitation</w:t>
            </w:r>
          </w:p>
        </w:tc>
        <w:tc>
          <w:tcPr>
            <w:tcW w:w="1250" w:type="pct"/>
          </w:tcPr>
          <w:p w:rsidR="00D50F20" w:rsidRPr="0076778F" w:rsidRDefault="00D50F20" w:rsidP="00C5275C">
            <w:pPr>
              <w:rPr>
                <w:sz w:val="20"/>
                <w:szCs w:val="20"/>
              </w:rPr>
            </w:pPr>
            <w:r w:rsidRPr="0076778F">
              <w:rPr>
                <w:sz w:val="20"/>
                <w:szCs w:val="20"/>
              </w:rPr>
              <w:t>Action Plans indicate where Trust Fund and other UNDP raised resources are covering some or all of the costs</w:t>
            </w:r>
          </w:p>
          <w:p w:rsidR="00D50F20" w:rsidRPr="0076778F" w:rsidRDefault="00D50F20" w:rsidP="00C5275C">
            <w:pPr>
              <w:rPr>
                <w:sz w:val="20"/>
                <w:szCs w:val="20"/>
              </w:rPr>
            </w:pPr>
            <w:r w:rsidRPr="0076778F">
              <w:rPr>
                <w:sz w:val="20"/>
                <w:szCs w:val="20"/>
              </w:rPr>
              <w:t xml:space="preserve">Action Plans indicate where UNDP has provided technical support </w:t>
            </w:r>
          </w:p>
          <w:p w:rsidR="00D50F20" w:rsidRPr="0076778F" w:rsidRDefault="00D50F20" w:rsidP="00C5275C">
            <w:pPr>
              <w:rPr>
                <w:sz w:val="20"/>
                <w:szCs w:val="20"/>
              </w:rPr>
            </w:pPr>
            <w:r w:rsidRPr="0076778F">
              <w:rPr>
                <w:sz w:val="20"/>
                <w:szCs w:val="20"/>
              </w:rPr>
              <w:t>Annual reports</w:t>
            </w:r>
          </w:p>
          <w:p w:rsidR="00D50F20" w:rsidRPr="0076778F" w:rsidRDefault="00D50F20" w:rsidP="00C5275C">
            <w:pPr>
              <w:rPr>
                <w:sz w:val="20"/>
                <w:szCs w:val="20"/>
              </w:rPr>
            </w:pPr>
            <w:r w:rsidRPr="0076778F">
              <w:rPr>
                <w:sz w:val="20"/>
                <w:szCs w:val="20"/>
              </w:rPr>
              <w:t>Minutes of meetings (TWGs/SWG)</w:t>
            </w:r>
          </w:p>
          <w:p w:rsidR="00D50F20" w:rsidRPr="0076778F" w:rsidRDefault="00D50F20" w:rsidP="00C5275C">
            <w:pPr>
              <w:rPr>
                <w:sz w:val="20"/>
                <w:szCs w:val="20"/>
              </w:rPr>
            </w:pPr>
            <w:r w:rsidRPr="0076778F">
              <w:rPr>
                <w:sz w:val="20"/>
                <w:szCs w:val="20"/>
              </w:rPr>
              <w:t>Monitoring reports of the action plans</w:t>
            </w:r>
          </w:p>
          <w:p w:rsidR="00D50F20" w:rsidRPr="0076778F" w:rsidRDefault="00D50F20" w:rsidP="00C5275C">
            <w:pPr>
              <w:rPr>
                <w:sz w:val="20"/>
                <w:szCs w:val="20"/>
              </w:rPr>
            </w:pPr>
            <w:r w:rsidRPr="0076778F">
              <w:rPr>
                <w:sz w:val="20"/>
                <w:szCs w:val="20"/>
              </w:rPr>
              <w:t>Interviews with NRA, UXO Lao staff</w:t>
            </w:r>
          </w:p>
          <w:p w:rsidR="00D50F20" w:rsidRPr="0076778F" w:rsidRDefault="00D50F20" w:rsidP="00C5275C">
            <w:pPr>
              <w:rPr>
                <w:sz w:val="20"/>
                <w:szCs w:val="20"/>
              </w:rPr>
            </w:pPr>
            <w:r w:rsidRPr="0076778F">
              <w:rPr>
                <w:sz w:val="20"/>
                <w:szCs w:val="20"/>
              </w:rPr>
              <w:t>Interviews with NRA, UXO Lao staff</w:t>
            </w:r>
          </w:p>
        </w:tc>
        <w:tc>
          <w:tcPr>
            <w:tcW w:w="1250" w:type="pct"/>
          </w:tcPr>
          <w:p w:rsidR="00D50F20" w:rsidRPr="0076778F" w:rsidRDefault="00D50F20" w:rsidP="005C68BB">
            <w:pPr>
              <w:rPr>
                <w:sz w:val="20"/>
                <w:szCs w:val="20"/>
              </w:rPr>
            </w:pPr>
            <w:r w:rsidRPr="0076778F">
              <w:rPr>
                <w:sz w:val="20"/>
                <w:szCs w:val="20"/>
              </w:rPr>
              <w:t>From first quarter 2016 and continuing through to development of new programme</w:t>
            </w:r>
          </w:p>
        </w:tc>
      </w:tr>
      <w:tr w:rsidR="006B459B" w:rsidRPr="0076778F" w:rsidTr="0076778F">
        <w:tc>
          <w:tcPr>
            <w:tcW w:w="5000" w:type="pct"/>
            <w:gridSpan w:val="4"/>
          </w:tcPr>
          <w:p w:rsidR="006B459B" w:rsidRPr="0076778F" w:rsidRDefault="005C68BB" w:rsidP="0076778F">
            <w:pPr>
              <w:tabs>
                <w:tab w:val="left" w:pos="284"/>
              </w:tabs>
              <w:spacing w:after="200"/>
              <w:rPr>
                <w:sz w:val="20"/>
                <w:szCs w:val="20"/>
              </w:rPr>
            </w:pPr>
            <w:r w:rsidRPr="0076778F">
              <w:rPr>
                <w:rFonts w:cs="TT15Et00"/>
                <w:b/>
                <w:sz w:val="20"/>
                <w:szCs w:val="20"/>
              </w:rPr>
              <w:t xml:space="preserve">Recommendation </w:t>
            </w:r>
            <w:r w:rsidR="009629A6" w:rsidRPr="0076778F">
              <w:rPr>
                <w:rFonts w:cs="TT15Et00"/>
                <w:b/>
                <w:sz w:val="20"/>
                <w:szCs w:val="20"/>
              </w:rPr>
              <w:t>2</w:t>
            </w:r>
            <w:r w:rsidR="0076778F" w:rsidRPr="0076778F">
              <w:rPr>
                <w:rFonts w:cs="TT15Et00"/>
                <w:b/>
                <w:sz w:val="20"/>
                <w:szCs w:val="20"/>
              </w:rPr>
              <w:t xml:space="preserve"> </w:t>
            </w:r>
            <w:r w:rsidR="009629A6" w:rsidRPr="0076778F">
              <w:rPr>
                <w:rFonts w:cs="TT15Et00"/>
                <w:b/>
                <w:sz w:val="20"/>
                <w:szCs w:val="20"/>
              </w:rPr>
              <w:t xml:space="preserve"> </w:t>
            </w:r>
            <w:r w:rsidR="0076778F" w:rsidRPr="0076778F">
              <w:rPr>
                <w:sz w:val="20"/>
                <w:szCs w:val="20"/>
              </w:rPr>
              <w:t>In developing the next programme document, the UNDP should actively promote dialogue The UNDP should actively promote dialogue between the NRA, LNCRDPE, MPI, and other stakeholders, including province and district level planners, to articulate a transparent, systematic, and auditable process for task prioritisation, collection of relevant baseline and outcome indicators (possibly integrated into existing processes)</w:t>
            </w:r>
          </w:p>
        </w:tc>
      </w:tr>
      <w:tr w:rsidR="00C81B4C" w:rsidRPr="0076778F" w:rsidTr="0076778F">
        <w:tc>
          <w:tcPr>
            <w:tcW w:w="1250" w:type="pct"/>
          </w:tcPr>
          <w:p w:rsidR="00C81B4C" w:rsidRPr="0076778F" w:rsidRDefault="00C81B4C" w:rsidP="006B459B">
            <w:pPr>
              <w:rPr>
                <w:sz w:val="20"/>
                <w:szCs w:val="20"/>
              </w:rPr>
            </w:pPr>
            <w:r w:rsidRPr="0076778F">
              <w:rPr>
                <w:sz w:val="20"/>
                <w:szCs w:val="20"/>
              </w:rPr>
              <w:t xml:space="preserve">Actively promote dialogue between the NRA, LNCRDPE, MPI offices, and other stakeholders, including province and district level planners, to develop a transparent, systematic, and auditable process for task prioritisation </w:t>
            </w:r>
          </w:p>
          <w:p w:rsidR="00C81B4C" w:rsidRPr="0076778F" w:rsidRDefault="00C81B4C" w:rsidP="006B459B">
            <w:pPr>
              <w:rPr>
                <w:sz w:val="20"/>
                <w:szCs w:val="20"/>
              </w:rPr>
            </w:pPr>
          </w:p>
          <w:p w:rsidR="00C81B4C" w:rsidRPr="0076778F" w:rsidRDefault="00C81B4C" w:rsidP="006B459B">
            <w:pPr>
              <w:rPr>
                <w:sz w:val="20"/>
                <w:szCs w:val="20"/>
              </w:rPr>
            </w:pPr>
            <w:r w:rsidRPr="0076778F">
              <w:rPr>
                <w:sz w:val="20"/>
                <w:szCs w:val="20"/>
              </w:rPr>
              <w:t xml:space="preserve">Facilitate dialogue between the NRA and the UXO Lao to identify feasible ways in which standardised baseline and post-clearance outcome indicators can be incorporated into existing processes (e.g. survey) and </w:t>
            </w:r>
            <w:r w:rsidRPr="0076778F">
              <w:rPr>
                <w:rFonts w:cs="TT15Ct00"/>
                <w:sz w:val="20"/>
                <w:szCs w:val="20"/>
              </w:rPr>
              <w:t xml:space="preserve">are relevant to government priorities, the UNDP’s Strategic Plan </w:t>
            </w:r>
            <w:r w:rsidRPr="0076778F">
              <w:rPr>
                <w:sz w:val="20"/>
                <w:szCs w:val="20"/>
              </w:rPr>
              <w:t>current and subsequent after current ends in 2017</w:t>
            </w:r>
          </w:p>
          <w:p w:rsidR="00C81B4C" w:rsidRPr="0076778F" w:rsidRDefault="00C81B4C" w:rsidP="006B459B">
            <w:pPr>
              <w:rPr>
                <w:sz w:val="20"/>
                <w:szCs w:val="20"/>
              </w:rPr>
            </w:pPr>
          </w:p>
          <w:p w:rsidR="00C81B4C" w:rsidRPr="0076778F" w:rsidRDefault="00C81B4C" w:rsidP="006B459B">
            <w:pPr>
              <w:rPr>
                <w:sz w:val="20"/>
                <w:szCs w:val="20"/>
              </w:rPr>
            </w:pPr>
          </w:p>
        </w:tc>
        <w:tc>
          <w:tcPr>
            <w:tcW w:w="1250" w:type="pct"/>
          </w:tcPr>
          <w:p w:rsidR="00C81B4C" w:rsidRPr="0076778F" w:rsidRDefault="00C81B4C" w:rsidP="00C5275C">
            <w:pPr>
              <w:rPr>
                <w:sz w:val="20"/>
                <w:szCs w:val="20"/>
              </w:rPr>
            </w:pPr>
            <w:r w:rsidRPr="0076778F">
              <w:rPr>
                <w:sz w:val="20"/>
                <w:szCs w:val="20"/>
              </w:rPr>
              <w:t>Number of meetings facilitated by UNDP with appropriate decision-makers and relevant stakeholders</w:t>
            </w:r>
          </w:p>
          <w:p w:rsidR="00C81B4C" w:rsidRPr="0076778F" w:rsidRDefault="00C81B4C" w:rsidP="00C5275C">
            <w:pPr>
              <w:rPr>
                <w:sz w:val="20"/>
                <w:szCs w:val="20"/>
              </w:rPr>
            </w:pPr>
            <w:r w:rsidRPr="0076778F">
              <w:rPr>
                <w:sz w:val="20"/>
                <w:szCs w:val="20"/>
              </w:rPr>
              <w:t>Relevance, effectiveness and impact of UNDP’s facilitation</w:t>
            </w:r>
          </w:p>
        </w:tc>
        <w:tc>
          <w:tcPr>
            <w:tcW w:w="1250" w:type="pct"/>
          </w:tcPr>
          <w:p w:rsidR="00C81B4C" w:rsidRPr="0076778F" w:rsidRDefault="00C81B4C" w:rsidP="00C5275C">
            <w:pPr>
              <w:rPr>
                <w:sz w:val="20"/>
                <w:szCs w:val="20"/>
              </w:rPr>
            </w:pPr>
            <w:r w:rsidRPr="0076778F">
              <w:rPr>
                <w:sz w:val="20"/>
                <w:szCs w:val="20"/>
              </w:rPr>
              <w:t>Minutes of meetings/ workshops</w:t>
            </w:r>
          </w:p>
          <w:p w:rsidR="00C81B4C" w:rsidRPr="0076778F" w:rsidRDefault="00C81B4C" w:rsidP="00C5275C">
            <w:pPr>
              <w:rPr>
                <w:sz w:val="20"/>
                <w:szCs w:val="20"/>
              </w:rPr>
            </w:pPr>
            <w:r w:rsidRPr="0076778F">
              <w:rPr>
                <w:sz w:val="20"/>
                <w:szCs w:val="20"/>
              </w:rPr>
              <w:t>Minutes of TWG meetings</w:t>
            </w:r>
          </w:p>
          <w:p w:rsidR="00C81B4C" w:rsidRPr="0076778F" w:rsidRDefault="00C81B4C" w:rsidP="00C5275C">
            <w:pPr>
              <w:rPr>
                <w:sz w:val="20"/>
                <w:szCs w:val="20"/>
              </w:rPr>
            </w:pPr>
            <w:r w:rsidRPr="0076778F">
              <w:rPr>
                <w:sz w:val="20"/>
                <w:szCs w:val="20"/>
              </w:rPr>
              <w:t>Interviews with NRA, LNCRDPE, MPI staff</w:t>
            </w:r>
          </w:p>
          <w:p w:rsidR="00C81B4C" w:rsidRPr="0076778F" w:rsidRDefault="00C81B4C" w:rsidP="00C5275C">
            <w:pPr>
              <w:rPr>
                <w:sz w:val="20"/>
                <w:szCs w:val="20"/>
              </w:rPr>
            </w:pPr>
            <w:r w:rsidRPr="0076778F">
              <w:rPr>
                <w:sz w:val="20"/>
                <w:szCs w:val="20"/>
              </w:rPr>
              <w:t>Task prioritisation  criteria integrated into relevant National Standard and UXO Lao SOPs</w:t>
            </w:r>
          </w:p>
          <w:p w:rsidR="00C81B4C" w:rsidRPr="0076778F" w:rsidRDefault="00C81B4C" w:rsidP="009629A6">
            <w:pPr>
              <w:rPr>
                <w:sz w:val="20"/>
                <w:szCs w:val="20"/>
              </w:rPr>
            </w:pPr>
            <w:r w:rsidRPr="0076778F">
              <w:rPr>
                <w:sz w:val="20"/>
                <w:szCs w:val="20"/>
              </w:rPr>
              <w:t xml:space="preserve">Outcome indicators included in the next programme document </w:t>
            </w:r>
          </w:p>
          <w:p w:rsidR="00C81B4C" w:rsidRPr="0076778F" w:rsidRDefault="00C81B4C" w:rsidP="009629A6">
            <w:pPr>
              <w:rPr>
                <w:sz w:val="20"/>
                <w:szCs w:val="20"/>
              </w:rPr>
            </w:pPr>
            <w:r w:rsidRPr="0076778F">
              <w:rPr>
                <w:sz w:val="20"/>
                <w:szCs w:val="20"/>
              </w:rPr>
              <w:t xml:space="preserve">Monitoring and reports </w:t>
            </w:r>
          </w:p>
          <w:p w:rsidR="00C81B4C" w:rsidRPr="0076778F" w:rsidRDefault="00C81B4C" w:rsidP="009629A6">
            <w:pPr>
              <w:rPr>
                <w:sz w:val="20"/>
                <w:szCs w:val="20"/>
              </w:rPr>
            </w:pPr>
            <w:r w:rsidRPr="0076778F">
              <w:rPr>
                <w:sz w:val="20"/>
                <w:szCs w:val="20"/>
              </w:rPr>
              <w:t>Interviews with NRA, UXO Lao staff</w:t>
            </w:r>
          </w:p>
          <w:p w:rsidR="00C81B4C" w:rsidRPr="0076778F" w:rsidRDefault="00C81B4C" w:rsidP="009629A6">
            <w:pPr>
              <w:rPr>
                <w:sz w:val="20"/>
                <w:szCs w:val="20"/>
              </w:rPr>
            </w:pPr>
          </w:p>
          <w:p w:rsidR="00C81B4C" w:rsidRPr="0076778F" w:rsidRDefault="00C81B4C" w:rsidP="00C5275C">
            <w:pPr>
              <w:rPr>
                <w:sz w:val="20"/>
                <w:szCs w:val="20"/>
              </w:rPr>
            </w:pPr>
            <w:r w:rsidRPr="0076778F">
              <w:rPr>
                <w:sz w:val="20"/>
                <w:szCs w:val="20"/>
              </w:rPr>
              <w:t xml:space="preserve"> </w:t>
            </w:r>
          </w:p>
        </w:tc>
        <w:tc>
          <w:tcPr>
            <w:tcW w:w="1250" w:type="pct"/>
          </w:tcPr>
          <w:p w:rsidR="00C81B4C" w:rsidRPr="0076778F" w:rsidRDefault="00C81B4C" w:rsidP="00C5275C">
            <w:pPr>
              <w:rPr>
                <w:sz w:val="20"/>
                <w:szCs w:val="20"/>
              </w:rPr>
            </w:pPr>
            <w:r w:rsidRPr="0076778F">
              <w:rPr>
                <w:sz w:val="20"/>
                <w:szCs w:val="20"/>
              </w:rPr>
              <w:t>From first quarter 2016 and continuing throughout programme cycle</w:t>
            </w:r>
          </w:p>
          <w:p w:rsidR="00C81B4C" w:rsidRPr="0076778F" w:rsidRDefault="00C81B4C" w:rsidP="009629A6">
            <w:pPr>
              <w:rPr>
                <w:sz w:val="20"/>
                <w:szCs w:val="20"/>
              </w:rPr>
            </w:pPr>
            <w:r w:rsidRPr="0076778F">
              <w:rPr>
                <w:sz w:val="20"/>
                <w:szCs w:val="20"/>
              </w:rPr>
              <w:t xml:space="preserve">Criteria into the relevant National Standards in 2017 </w:t>
            </w:r>
          </w:p>
          <w:p w:rsidR="00C81B4C" w:rsidRPr="0076778F" w:rsidRDefault="00C81B4C" w:rsidP="009629A6">
            <w:pPr>
              <w:rPr>
                <w:sz w:val="20"/>
                <w:szCs w:val="20"/>
              </w:rPr>
            </w:pPr>
          </w:p>
          <w:p w:rsidR="00C81B4C" w:rsidRPr="0076778F" w:rsidRDefault="00C81B4C" w:rsidP="009629A6">
            <w:pPr>
              <w:rPr>
                <w:sz w:val="20"/>
                <w:szCs w:val="20"/>
              </w:rPr>
            </w:pPr>
          </w:p>
        </w:tc>
      </w:tr>
      <w:tr w:rsidR="0076778F" w:rsidRPr="0076778F" w:rsidTr="008D18EC">
        <w:trPr>
          <w:trHeight w:val="512"/>
        </w:trPr>
        <w:tc>
          <w:tcPr>
            <w:tcW w:w="5000" w:type="pct"/>
            <w:gridSpan w:val="4"/>
          </w:tcPr>
          <w:p w:rsidR="0076778F" w:rsidRPr="0076778F" w:rsidRDefault="0076778F" w:rsidP="0076778F">
            <w:pPr>
              <w:tabs>
                <w:tab w:val="left" w:pos="284"/>
              </w:tabs>
              <w:spacing w:after="200"/>
              <w:rPr>
                <w:sz w:val="20"/>
                <w:szCs w:val="20"/>
              </w:rPr>
            </w:pPr>
            <w:r w:rsidRPr="0076778F">
              <w:rPr>
                <w:rFonts w:cs="TT15Et00"/>
                <w:b/>
                <w:sz w:val="20"/>
                <w:szCs w:val="20"/>
              </w:rPr>
              <w:t xml:space="preserve">Recommendation </w:t>
            </w:r>
            <w:r>
              <w:rPr>
                <w:rFonts w:cs="TT15Et00"/>
                <w:b/>
                <w:sz w:val="20"/>
                <w:szCs w:val="20"/>
              </w:rPr>
              <w:t xml:space="preserve">3 </w:t>
            </w:r>
            <w:r w:rsidRPr="0076778F">
              <w:rPr>
                <w:sz w:val="20"/>
                <w:szCs w:val="20"/>
              </w:rPr>
              <w:t xml:space="preserve">The UNDP should support the </w:t>
            </w:r>
            <w:r w:rsidRPr="0076778F">
              <w:rPr>
                <w:rFonts w:cs="TT15Ct00"/>
                <w:sz w:val="20"/>
                <w:szCs w:val="20"/>
              </w:rPr>
              <w:t xml:space="preserve">NRA, the UXO Lao, and other relevant stakeholders, to identify how UXO/Mine Action might contribute to the SDG targets and identify what, if any, outcome or impact level data collection can be mainstreamed into other SDG data collection processes. </w:t>
            </w:r>
          </w:p>
        </w:tc>
      </w:tr>
      <w:tr w:rsidR="0076778F" w:rsidRPr="0076778F" w:rsidTr="0076778F">
        <w:tc>
          <w:tcPr>
            <w:tcW w:w="1250" w:type="pct"/>
          </w:tcPr>
          <w:p w:rsidR="0076778F" w:rsidRPr="0076778F" w:rsidRDefault="0076778F" w:rsidP="0076778F">
            <w:pPr>
              <w:rPr>
                <w:sz w:val="20"/>
                <w:szCs w:val="20"/>
              </w:rPr>
            </w:pPr>
            <w:r w:rsidRPr="0076778F">
              <w:rPr>
                <w:sz w:val="20"/>
                <w:szCs w:val="20"/>
              </w:rPr>
              <w:t>Facilitate the NRA to initiate dialogue within the sector of how the sector  contributes to the SDGs</w:t>
            </w:r>
          </w:p>
          <w:p w:rsidR="0076778F" w:rsidRPr="0076778F" w:rsidRDefault="0076778F" w:rsidP="0076778F">
            <w:pPr>
              <w:rPr>
                <w:sz w:val="20"/>
                <w:szCs w:val="20"/>
              </w:rPr>
            </w:pPr>
            <w:r w:rsidRPr="0076778F">
              <w:rPr>
                <w:sz w:val="20"/>
                <w:szCs w:val="20"/>
              </w:rPr>
              <w:t>Link the NRA with Lao SDG processes a</w:t>
            </w:r>
          </w:p>
        </w:tc>
        <w:tc>
          <w:tcPr>
            <w:tcW w:w="1250" w:type="pct"/>
          </w:tcPr>
          <w:p w:rsidR="0076778F" w:rsidRPr="0076778F" w:rsidRDefault="0076778F" w:rsidP="00C5275C">
            <w:pPr>
              <w:rPr>
                <w:sz w:val="20"/>
                <w:szCs w:val="20"/>
              </w:rPr>
            </w:pPr>
            <w:r w:rsidRPr="0076778F">
              <w:rPr>
                <w:sz w:val="20"/>
                <w:szCs w:val="20"/>
              </w:rPr>
              <w:t xml:space="preserve">Number of meetings where SDGS relevant to the sector are discussed </w:t>
            </w:r>
          </w:p>
          <w:p w:rsidR="0076778F" w:rsidRPr="0076778F" w:rsidRDefault="0076778F" w:rsidP="00C5275C">
            <w:pPr>
              <w:rPr>
                <w:sz w:val="20"/>
                <w:szCs w:val="20"/>
              </w:rPr>
            </w:pPr>
          </w:p>
          <w:p w:rsidR="0076778F" w:rsidRPr="0076778F" w:rsidRDefault="0076778F" w:rsidP="00C5275C">
            <w:pPr>
              <w:rPr>
                <w:sz w:val="20"/>
                <w:szCs w:val="20"/>
              </w:rPr>
            </w:pPr>
            <w:r w:rsidRPr="0076778F">
              <w:rPr>
                <w:sz w:val="20"/>
                <w:szCs w:val="20"/>
              </w:rPr>
              <w:t xml:space="preserve">Relevant SDGs identified </w:t>
            </w:r>
          </w:p>
        </w:tc>
        <w:tc>
          <w:tcPr>
            <w:tcW w:w="1250" w:type="pct"/>
          </w:tcPr>
          <w:p w:rsidR="0076778F" w:rsidRPr="0076778F" w:rsidRDefault="0076778F" w:rsidP="0076778F">
            <w:pPr>
              <w:rPr>
                <w:sz w:val="20"/>
                <w:szCs w:val="20"/>
              </w:rPr>
            </w:pPr>
            <w:r w:rsidRPr="0076778F">
              <w:rPr>
                <w:sz w:val="20"/>
                <w:szCs w:val="20"/>
              </w:rPr>
              <w:t>Minutes of meetings/ workshops</w:t>
            </w:r>
          </w:p>
          <w:p w:rsidR="0076778F" w:rsidRPr="0076778F" w:rsidRDefault="0076778F" w:rsidP="0076778F">
            <w:pPr>
              <w:rPr>
                <w:sz w:val="20"/>
                <w:szCs w:val="20"/>
              </w:rPr>
            </w:pPr>
            <w:r w:rsidRPr="0076778F">
              <w:rPr>
                <w:sz w:val="20"/>
                <w:szCs w:val="20"/>
              </w:rPr>
              <w:t xml:space="preserve">Next programme document articulates links with SDGs </w:t>
            </w:r>
          </w:p>
        </w:tc>
        <w:tc>
          <w:tcPr>
            <w:tcW w:w="1250" w:type="pct"/>
          </w:tcPr>
          <w:p w:rsidR="0076778F" w:rsidRPr="0076778F" w:rsidRDefault="0076778F" w:rsidP="00C5275C">
            <w:pPr>
              <w:rPr>
                <w:sz w:val="20"/>
                <w:szCs w:val="20"/>
              </w:rPr>
            </w:pPr>
            <w:r w:rsidRPr="0076778F">
              <w:rPr>
                <w:sz w:val="20"/>
                <w:szCs w:val="20"/>
              </w:rPr>
              <w:t>In tandem with Lao SDG process  and in preparation of the next programme document</w:t>
            </w:r>
          </w:p>
        </w:tc>
      </w:tr>
      <w:tr w:rsidR="006B459B" w:rsidRPr="0076778F" w:rsidTr="0076778F">
        <w:tc>
          <w:tcPr>
            <w:tcW w:w="5000" w:type="pct"/>
            <w:gridSpan w:val="4"/>
          </w:tcPr>
          <w:p w:rsidR="006B459B" w:rsidRPr="0076778F" w:rsidRDefault="009629A6" w:rsidP="0076778F">
            <w:pPr>
              <w:rPr>
                <w:sz w:val="20"/>
                <w:szCs w:val="20"/>
              </w:rPr>
            </w:pPr>
            <w:r w:rsidRPr="0076778F">
              <w:rPr>
                <w:rFonts w:cs="TT15Et00"/>
                <w:b/>
                <w:sz w:val="20"/>
                <w:szCs w:val="20"/>
              </w:rPr>
              <w:t xml:space="preserve">Recommendation </w:t>
            </w:r>
            <w:r w:rsidR="0076778F" w:rsidRPr="0076778F">
              <w:rPr>
                <w:rFonts w:cs="TT15Et00"/>
                <w:b/>
                <w:sz w:val="20"/>
                <w:szCs w:val="20"/>
              </w:rPr>
              <w:t>4</w:t>
            </w:r>
            <w:r w:rsidR="0076778F" w:rsidRPr="0076778F">
              <w:rPr>
                <w:sz w:val="20"/>
                <w:szCs w:val="20"/>
              </w:rPr>
              <w:t xml:space="preserve"> The UNDP should support discussions within the NRA and the Survey and Clearance Technical Working Group to review the CMTS </w:t>
            </w:r>
            <w:r w:rsidR="0076778F" w:rsidRPr="0076778F">
              <w:rPr>
                <w:rFonts w:eastAsiaTheme="minorEastAsia" w:cs="Calibri"/>
                <w:sz w:val="20"/>
                <w:szCs w:val="20"/>
              </w:rPr>
              <w:t xml:space="preserve">and other approved processes under the new concept of operations </w:t>
            </w:r>
            <w:r w:rsidR="00D65B84" w:rsidRPr="00D65B84">
              <w:rPr>
                <w:rFonts w:eastAsiaTheme="minorEastAsia" w:cs="Calibri"/>
                <w:sz w:val="20"/>
                <w:szCs w:val="20"/>
              </w:rPr>
              <w:t>to enable community voices and concerns to be heard &amp; ensure all community members are provided with appropriate information about decisions that affect them.</w:t>
            </w:r>
          </w:p>
        </w:tc>
      </w:tr>
      <w:tr w:rsidR="00C81B4C" w:rsidRPr="0076778F" w:rsidTr="0076778F">
        <w:tc>
          <w:tcPr>
            <w:tcW w:w="1250" w:type="pct"/>
          </w:tcPr>
          <w:p w:rsidR="00C81B4C" w:rsidRPr="0076778F" w:rsidRDefault="00C81B4C" w:rsidP="008D18EC">
            <w:pPr>
              <w:rPr>
                <w:sz w:val="20"/>
                <w:szCs w:val="20"/>
              </w:rPr>
            </w:pPr>
            <w:r w:rsidRPr="0076778F">
              <w:rPr>
                <w:sz w:val="20"/>
                <w:szCs w:val="20"/>
              </w:rPr>
              <w:t xml:space="preserve">Support discussions with the NRA and the TWG to review the CMTS and other survey processes </w:t>
            </w:r>
            <w:r w:rsidR="008D18EC">
              <w:rPr>
                <w:sz w:val="20"/>
                <w:szCs w:val="20"/>
              </w:rPr>
              <w:t xml:space="preserve"> to </w:t>
            </w:r>
            <w:r w:rsidRPr="0076778F">
              <w:rPr>
                <w:sz w:val="20"/>
                <w:szCs w:val="20"/>
              </w:rPr>
              <w:t xml:space="preserve">integrate community participation into CMTS and other survey </w:t>
            </w:r>
          </w:p>
        </w:tc>
        <w:tc>
          <w:tcPr>
            <w:tcW w:w="1250" w:type="pct"/>
          </w:tcPr>
          <w:p w:rsidR="00C81B4C" w:rsidRPr="0076778F" w:rsidRDefault="00C81B4C" w:rsidP="0076778F">
            <w:pPr>
              <w:rPr>
                <w:sz w:val="20"/>
                <w:szCs w:val="20"/>
              </w:rPr>
            </w:pPr>
            <w:r w:rsidRPr="0076778F">
              <w:rPr>
                <w:sz w:val="20"/>
                <w:szCs w:val="20"/>
              </w:rPr>
              <w:t>Number of meetings facilitated by UNDP with appropriate NRA staff and relevant stakeholders</w:t>
            </w:r>
          </w:p>
          <w:p w:rsidR="00C81B4C" w:rsidRPr="0076778F" w:rsidRDefault="00C81B4C" w:rsidP="0076778F">
            <w:pPr>
              <w:rPr>
                <w:sz w:val="20"/>
                <w:szCs w:val="20"/>
              </w:rPr>
            </w:pPr>
            <w:r w:rsidRPr="0076778F">
              <w:rPr>
                <w:sz w:val="20"/>
                <w:szCs w:val="20"/>
              </w:rPr>
              <w:t>Relevance, effectiveness and impact of UNDP’s facilitation</w:t>
            </w:r>
          </w:p>
        </w:tc>
        <w:tc>
          <w:tcPr>
            <w:tcW w:w="1250" w:type="pct"/>
          </w:tcPr>
          <w:p w:rsidR="00C81B4C" w:rsidRPr="0076778F" w:rsidRDefault="00C81B4C" w:rsidP="0076778F">
            <w:pPr>
              <w:rPr>
                <w:sz w:val="20"/>
                <w:szCs w:val="20"/>
              </w:rPr>
            </w:pPr>
            <w:r w:rsidRPr="0076778F">
              <w:rPr>
                <w:sz w:val="20"/>
                <w:szCs w:val="20"/>
              </w:rPr>
              <w:t>Minutes of meetings</w:t>
            </w:r>
          </w:p>
          <w:p w:rsidR="00C81B4C" w:rsidRPr="0076778F" w:rsidRDefault="00C81B4C" w:rsidP="0076778F">
            <w:pPr>
              <w:rPr>
                <w:sz w:val="20"/>
                <w:szCs w:val="20"/>
              </w:rPr>
            </w:pPr>
            <w:r w:rsidRPr="0076778F">
              <w:rPr>
                <w:sz w:val="20"/>
                <w:szCs w:val="20"/>
              </w:rPr>
              <w:t>Minutes of TWG meetings</w:t>
            </w:r>
          </w:p>
          <w:p w:rsidR="00C81B4C" w:rsidRPr="0076778F" w:rsidRDefault="00C81B4C" w:rsidP="0076778F">
            <w:pPr>
              <w:rPr>
                <w:sz w:val="20"/>
                <w:szCs w:val="20"/>
              </w:rPr>
            </w:pPr>
            <w:r w:rsidRPr="0076778F">
              <w:rPr>
                <w:sz w:val="20"/>
                <w:szCs w:val="20"/>
              </w:rPr>
              <w:t>Interviews with NRA staff and relevant stakeholders</w:t>
            </w:r>
          </w:p>
          <w:p w:rsidR="00C81B4C" w:rsidRPr="0076778F" w:rsidRDefault="00C81B4C" w:rsidP="0076778F">
            <w:pPr>
              <w:rPr>
                <w:sz w:val="20"/>
                <w:szCs w:val="20"/>
              </w:rPr>
            </w:pPr>
            <w:r w:rsidRPr="0076778F">
              <w:rPr>
                <w:sz w:val="20"/>
                <w:szCs w:val="20"/>
              </w:rPr>
              <w:t>Changes should be integrated into the relevant National Standards</w:t>
            </w:r>
          </w:p>
          <w:p w:rsidR="00C81B4C" w:rsidRPr="0076778F" w:rsidRDefault="00C81B4C" w:rsidP="0076778F">
            <w:pPr>
              <w:rPr>
                <w:sz w:val="20"/>
                <w:szCs w:val="20"/>
              </w:rPr>
            </w:pPr>
            <w:r w:rsidRPr="0076778F">
              <w:rPr>
                <w:sz w:val="20"/>
                <w:szCs w:val="20"/>
              </w:rPr>
              <w:t xml:space="preserve">Interviews with community members </w:t>
            </w:r>
          </w:p>
          <w:p w:rsidR="00C81B4C" w:rsidRPr="0076778F" w:rsidRDefault="00C81B4C" w:rsidP="0076778F">
            <w:pPr>
              <w:rPr>
                <w:sz w:val="20"/>
                <w:szCs w:val="20"/>
              </w:rPr>
            </w:pPr>
            <w:r w:rsidRPr="0076778F">
              <w:rPr>
                <w:sz w:val="20"/>
                <w:szCs w:val="20"/>
              </w:rPr>
              <w:t xml:space="preserve">Monitoring and on reports </w:t>
            </w:r>
          </w:p>
        </w:tc>
        <w:tc>
          <w:tcPr>
            <w:tcW w:w="1250" w:type="pct"/>
          </w:tcPr>
          <w:p w:rsidR="00C81B4C" w:rsidRPr="0076778F" w:rsidRDefault="00C81B4C" w:rsidP="00C5275C">
            <w:pPr>
              <w:rPr>
                <w:sz w:val="20"/>
                <w:szCs w:val="20"/>
              </w:rPr>
            </w:pPr>
            <w:r w:rsidRPr="0076778F">
              <w:rPr>
                <w:sz w:val="20"/>
                <w:szCs w:val="20"/>
              </w:rPr>
              <w:t xml:space="preserve">From first quarter 2016 and integrated into National Standards by end of 2016 </w:t>
            </w:r>
          </w:p>
        </w:tc>
      </w:tr>
      <w:tr w:rsidR="008D18EC" w:rsidRPr="0076778F" w:rsidTr="008D18EC">
        <w:tc>
          <w:tcPr>
            <w:tcW w:w="5000" w:type="pct"/>
            <w:gridSpan w:val="4"/>
          </w:tcPr>
          <w:p w:rsidR="008D18EC" w:rsidRPr="0076778F" w:rsidRDefault="008D18EC" w:rsidP="00C5275C">
            <w:pPr>
              <w:rPr>
                <w:sz w:val="20"/>
                <w:szCs w:val="20"/>
              </w:rPr>
            </w:pPr>
            <w:r w:rsidRPr="008D18EC">
              <w:rPr>
                <w:b/>
                <w:sz w:val="20"/>
                <w:szCs w:val="20"/>
              </w:rPr>
              <w:t>Recommendation 5</w:t>
            </w:r>
            <w:r w:rsidRPr="008D18EC">
              <w:rPr>
                <w:sz w:val="20"/>
                <w:szCs w:val="20"/>
              </w:rPr>
              <w:t xml:space="preserve"> The UNDP should support discussions within the NRA and the Survey and Clearance Technical Working Group to determine how efficiency and effectiveness of </w:t>
            </w:r>
            <w:r w:rsidRPr="008D18EC">
              <w:rPr>
                <w:rFonts w:eastAsiaTheme="minorEastAsia" w:cs="Calibri"/>
                <w:sz w:val="20"/>
                <w:szCs w:val="20"/>
              </w:rPr>
              <w:t xml:space="preserve">the new concept of operations </w:t>
            </w:r>
            <w:r w:rsidRPr="008D18EC">
              <w:rPr>
                <w:sz w:val="20"/>
                <w:szCs w:val="20"/>
              </w:rPr>
              <w:t xml:space="preserve">will be evaluated. </w:t>
            </w:r>
          </w:p>
        </w:tc>
      </w:tr>
      <w:tr w:rsidR="008D18EC" w:rsidRPr="0076778F" w:rsidTr="0076778F">
        <w:tc>
          <w:tcPr>
            <w:tcW w:w="1250" w:type="pct"/>
          </w:tcPr>
          <w:p w:rsidR="008D18EC" w:rsidRPr="0076778F" w:rsidRDefault="008D18EC" w:rsidP="0076778F">
            <w:pPr>
              <w:rPr>
                <w:sz w:val="20"/>
                <w:szCs w:val="20"/>
              </w:rPr>
            </w:pPr>
            <w:r w:rsidRPr="0076778F">
              <w:rPr>
                <w:sz w:val="20"/>
                <w:szCs w:val="20"/>
              </w:rPr>
              <w:t>processes Support development of criteria against which the efficiency and effectiveness of the and other survey processes will be evaluated</w:t>
            </w:r>
          </w:p>
        </w:tc>
        <w:tc>
          <w:tcPr>
            <w:tcW w:w="1250" w:type="pct"/>
          </w:tcPr>
          <w:p w:rsidR="008D18EC" w:rsidRPr="0076778F" w:rsidRDefault="008D18EC" w:rsidP="008D18EC">
            <w:pPr>
              <w:rPr>
                <w:sz w:val="20"/>
                <w:szCs w:val="20"/>
              </w:rPr>
            </w:pPr>
            <w:r w:rsidRPr="0076778F">
              <w:rPr>
                <w:sz w:val="20"/>
                <w:szCs w:val="20"/>
              </w:rPr>
              <w:t>Number of meetings facilitated by UNDP with appropriate NRA staff and relevant stakeholders</w:t>
            </w:r>
          </w:p>
          <w:p w:rsidR="008D18EC" w:rsidRPr="0076778F" w:rsidRDefault="008D18EC" w:rsidP="008D18EC">
            <w:pPr>
              <w:rPr>
                <w:sz w:val="20"/>
                <w:szCs w:val="20"/>
              </w:rPr>
            </w:pPr>
            <w:r w:rsidRPr="0076778F">
              <w:rPr>
                <w:sz w:val="20"/>
                <w:szCs w:val="20"/>
              </w:rPr>
              <w:t>Relevance, effectiveness and impact of UNDP’s facilitation</w:t>
            </w:r>
          </w:p>
        </w:tc>
        <w:tc>
          <w:tcPr>
            <w:tcW w:w="1250" w:type="pct"/>
          </w:tcPr>
          <w:p w:rsidR="008D18EC" w:rsidRPr="0076778F" w:rsidRDefault="008D18EC" w:rsidP="008D18EC">
            <w:pPr>
              <w:rPr>
                <w:sz w:val="20"/>
                <w:szCs w:val="20"/>
              </w:rPr>
            </w:pPr>
            <w:r w:rsidRPr="0076778F">
              <w:rPr>
                <w:sz w:val="20"/>
                <w:szCs w:val="20"/>
              </w:rPr>
              <w:t>Minutes of meetings</w:t>
            </w:r>
          </w:p>
          <w:p w:rsidR="008D18EC" w:rsidRPr="0076778F" w:rsidRDefault="008D18EC" w:rsidP="008D18EC">
            <w:pPr>
              <w:rPr>
                <w:sz w:val="20"/>
                <w:szCs w:val="20"/>
              </w:rPr>
            </w:pPr>
            <w:r w:rsidRPr="0076778F">
              <w:rPr>
                <w:sz w:val="20"/>
                <w:szCs w:val="20"/>
              </w:rPr>
              <w:t>Minutes of TWG meetings</w:t>
            </w:r>
          </w:p>
          <w:p w:rsidR="008D18EC" w:rsidRPr="0076778F" w:rsidRDefault="008D18EC" w:rsidP="008D18EC">
            <w:pPr>
              <w:rPr>
                <w:sz w:val="20"/>
                <w:szCs w:val="20"/>
              </w:rPr>
            </w:pPr>
            <w:r w:rsidRPr="0076778F">
              <w:rPr>
                <w:sz w:val="20"/>
                <w:szCs w:val="20"/>
              </w:rPr>
              <w:t>Interviews with NRA staff and relevant stakeholders</w:t>
            </w:r>
          </w:p>
          <w:p w:rsidR="008D18EC" w:rsidRPr="0076778F" w:rsidRDefault="008D18EC" w:rsidP="008D18EC">
            <w:pPr>
              <w:rPr>
                <w:sz w:val="20"/>
                <w:szCs w:val="20"/>
              </w:rPr>
            </w:pPr>
            <w:r w:rsidRPr="0076778F">
              <w:rPr>
                <w:sz w:val="20"/>
                <w:szCs w:val="20"/>
              </w:rPr>
              <w:t>Monitoring and on reports</w:t>
            </w:r>
          </w:p>
        </w:tc>
        <w:tc>
          <w:tcPr>
            <w:tcW w:w="1250" w:type="pct"/>
          </w:tcPr>
          <w:p w:rsidR="008D18EC" w:rsidRPr="0076778F" w:rsidRDefault="008D18EC" w:rsidP="00C5275C">
            <w:pPr>
              <w:rPr>
                <w:sz w:val="20"/>
                <w:szCs w:val="20"/>
              </w:rPr>
            </w:pPr>
            <w:r w:rsidRPr="0076778F">
              <w:rPr>
                <w:sz w:val="20"/>
                <w:szCs w:val="20"/>
              </w:rPr>
              <w:t>From first quarter 2016 and integrated into National Standards by end of 2016</w:t>
            </w:r>
          </w:p>
        </w:tc>
      </w:tr>
      <w:tr w:rsidR="00FA5C6E" w:rsidRPr="0076778F" w:rsidTr="0076778F">
        <w:tc>
          <w:tcPr>
            <w:tcW w:w="5000" w:type="pct"/>
            <w:gridSpan w:val="4"/>
          </w:tcPr>
          <w:p w:rsidR="00FA5C6E" w:rsidRPr="0076778F" w:rsidRDefault="009629A6" w:rsidP="008D18EC">
            <w:pPr>
              <w:rPr>
                <w:sz w:val="20"/>
                <w:szCs w:val="20"/>
              </w:rPr>
            </w:pPr>
            <w:r w:rsidRPr="0076778F">
              <w:rPr>
                <w:rFonts w:cs="TT15Et00"/>
                <w:b/>
                <w:sz w:val="20"/>
                <w:szCs w:val="20"/>
              </w:rPr>
              <w:t xml:space="preserve">Recommendation </w:t>
            </w:r>
            <w:r w:rsidR="008D18EC">
              <w:rPr>
                <w:rFonts w:cs="TT15Et00"/>
                <w:b/>
                <w:sz w:val="20"/>
                <w:szCs w:val="20"/>
              </w:rPr>
              <w:t xml:space="preserve">6 </w:t>
            </w:r>
            <w:r w:rsidR="00394A4F" w:rsidRPr="008D18EC">
              <w:rPr>
                <w:rFonts w:cs="TT15Et00"/>
                <w:sz w:val="20"/>
                <w:szCs w:val="20"/>
              </w:rPr>
              <w:t xml:space="preserve">The UNDP should </w:t>
            </w:r>
            <w:r w:rsidR="001830B6" w:rsidRPr="008D18EC">
              <w:rPr>
                <w:rFonts w:cs="TT15Et00"/>
                <w:sz w:val="20"/>
                <w:szCs w:val="20"/>
              </w:rPr>
              <w:t xml:space="preserve">support the NRA </w:t>
            </w:r>
            <w:r w:rsidR="00394A4F" w:rsidRPr="008D18EC">
              <w:rPr>
                <w:rFonts w:cs="TT15Et00"/>
                <w:sz w:val="20"/>
                <w:szCs w:val="20"/>
              </w:rPr>
              <w:t xml:space="preserve">hold </w:t>
            </w:r>
            <w:r w:rsidR="008A7A37" w:rsidRPr="008D18EC">
              <w:rPr>
                <w:rFonts w:cs="TT15Et00"/>
                <w:sz w:val="20"/>
                <w:szCs w:val="20"/>
              </w:rPr>
              <w:t>quarterly operational</w:t>
            </w:r>
            <w:r w:rsidR="001830B6" w:rsidRPr="008D18EC">
              <w:rPr>
                <w:rFonts w:cs="TT15Et00"/>
                <w:sz w:val="20"/>
                <w:szCs w:val="20"/>
              </w:rPr>
              <w:t xml:space="preserve"> </w:t>
            </w:r>
            <w:r w:rsidR="00394A4F" w:rsidRPr="008D18EC">
              <w:rPr>
                <w:rFonts w:cs="TT15Et00"/>
                <w:sz w:val="20"/>
                <w:szCs w:val="20"/>
              </w:rPr>
              <w:t xml:space="preserve">meetings with development partners </w:t>
            </w:r>
            <w:r w:rsidR="001830B6" w:rsidRPr="008D18EC">
              <w:rPr>
                <w:rFonts w:cs="TT15Et00"/>
                <w:sz w:val="20"/>
                <w:szCs w:val="20"/>
              </w:rPr>
              <w:t>(program manager level)</w:t>
            </w:r>
          </w:p>
        </w:tc>
      </w:tr>
      <w:tr w:rsidR="008D18EC" w:rsidRPr="0076778F" w:rsidTr="0076778F">
        <w:tc>
          <w:tcPr>
            <w:tcW w:w="1250" w:type="pct"/>
          </w:tcPr>
          <w:p w:rsidR="008D18EC" w:rsidRPr="0076778F" w:rsidRDefault="008D18EC" w:rsidP="008D18EC">
            <w:pPr>
              <w:rPr>
                <w:sz w:val="20"/>
                <w:szCs w:val="20"/>
              </w:rPr>
            </w:pPr>
            <w:r w:rsidRPr="0076778F">
              <w:rPr>
                <w:rFonts w:cs="Arial"/>
                <w:sz w:val="20"/>
                <w:szCs w:val="20"/>
                <w:lang w:eastAsia="en-AU"/>
              </w:rPr>
              <w:t xml:space="preserve">Support the NRA to host </w:t>
            </w:r>
            <w:r>
              <w:rPr>
                <w:rFonts w:cs="Arial"/>
                <w:sz w:val="20"/>
                <w:szCs w:val="20"/>
                <w:lang w:eastAsia="en-AU"/>
              </w:rPr>
              <w:t>quarterly</w:t>
            </w:r>
            <w:r w:rsidRPr="0076778F">
              <w:rPr>
                <w:rFonts w:cs="Arial"/>
                <w:sz w:val="20"/>
                <w:szCs w:val="20"/>
                <w:lang w:eastAsia="en-AU"/>
              </w:rPr>
              <w:t xml:space="preserve"> meetings for development partners and other stakeholders to provide a forum for discussions and recommendations that could feed up to the higher level SWG for its endorsement</w:t>
            </w:r>
          </w:p>
        </w:tc>
        <w:tc>
          <w:tcPr>
            <w:tcW w:w="1250" w:type="pct"/>
          </w:tcPr>
          <w:p w:rsidR="008D18EC" w:rsidRPr="0076778F" w:rsidRDefault="008D18EC" w:rsidP="008D18EC">
            <w:pPr>
              <w:rPr>
                <w:sz w:val="20"/>
                <w:szCs w:val="20"/>
              </w:rPr>
            </w:pPr>
            <w:r w:rsidRPr="0076778F">
              <w:rPr>
                <w:sz w:val="20"/>
                <w:szCs w:val="20"/>
              </w:rPr>
              <w:t>Number of meetings facilitated by UNDP with appropriate NRA staff and relevant stakeholders</w:t>
            </w:r>
          </w:p>
          <w:p w:rsidR="008D18EC" w:rsidRDefault="008D18EC" w:rsidP="008D18EC">
            <w:pPr>
              <w:rPr>
                <w:sz w:val="20"/>
                <w:szCs w:val="20"/>
              </w:rPr>
            </w:pPr>
            <w:r w:rsidRPr="0076778F">
              <w:rPr>
                <w:sz w:val="20"/>
                <w:szCs w:val="20"/>
              </w:rPr>
              <w:t>Relevance, effectiveness and impact of UNDP’s facilitation</w:t>
            </w:r>
          </w:p>
          <w:p w:rsidR="008D18EC" w:rsidRPr="0076778F" w:rsidRDefault="008D18EC" w:rsidP="008D18EC">
            <w:pPr>
              <w:rPr>
                <w:sz w:val="20"/>
                <w:szCs w:val="20"/>
              </w:rPr>
            </w:pPr>
            <w:r>
              <w:rPr>
                <w:rFonts w:cs="TT15Et00"/>
                <w:sz w:val="20"/>
                <w:szCs w:val="20"/>
              </w:rPr>
              <w:t xml:space="preserve">Development partner </w:t>
            </w:r>
            <w:r w:rsidRPr="0076778F">
              <w:rPr>
                <w:sz w:val="20"/>
                <w:szCs w:val="20"/>
              </w:rPr>
              <w:t xml:space="preserve">satisfaction </w:t>
            </w:r>
            <w:r>
              <w:rPr>
                <w:sz w:val="20"/>
                <w:szCs w:val="20"/>
              </w:rPr>
              <w:t>with</w:t>
            </w:r>
            <w:r w:rsidRPr="0076778F">
              <w:rPr>
                <w:sz w:val="20"/>
                <w:szCs w:val="20"/>
              </w:rPr>
              <w:t xml:space="preserve"> UNDP’s </w:t>
            </w:r>
            <w:r>
              <w:rPr>
                <w:sz w:val="20"/>
                <w:szCs w:val="20"/>
              </w:rPr>
              <w:t xml:space="preserve">and NRA </w:t>
            </w:r>
            <w:r w:rsidRPr="0076778F">
              <w:rPr>
                <w:sz w:val="20"/>
                <w:szCs w:val="20"/>
              </w:rPr>
              <w:t>communicatio</w:t>
            </w:r>
            <w:r>
              <w:rPr>
                <w:sz w:val="20"/>
                <w:szCs w:val="20"/>
              </w:rPr>
              <w:t>n</w:t>
            </w:r>
          </w:p>
        </w:tc>
        <w:tc>
          <w:tcPr>
            <w:tcW w:w="1250" w:type="pct"/>
          </w:tcPr>
          <w:p w:rsidR="008D18EC" w:rsidRPr="0076778F" w:rsidRDefault="008D18EC" w:rsidP="008D18EC">
            <w:pPr>
              <w:rPr>
                <w:sz w:val="20"/>
                <w:szCs w:val="20"/>
              </w:rPr>
            </w:pPr>
            <w:r w:rsidRPr="0076778F">
              <w:rPr>
                <w:sz w:val="20"/>
                <w:szCs w:val="20"/>
              </w:rPr>
              <w:t>Interviews with development partners</w:t>
            </w:r>
          </w:p>
          <w:p w:rsidR="008D18EC" w:rsidRPr="0076778F" w:rsidRDefault="008D18EC" w:rsidP="008D18EC">
            <w:pPr>
              <w:rPr>
                <w:sz w:val="20"/>
                <w:szCs w:val="20"/>
              </w:rPr>
            </w:pPr>
            <w:r w:rsidRPr="0076778F">
              <w:rPr>
                <w:sz w:val="20"/>
                <w:szCs w:val="20"/>
              </w:rPr>
              <w:t>Minutes of meetings</w:t>
            </w:r>
          </w:p>
          <w:p w:rsidR="008D18EC" w:rsidRPr="0076778F" w:rsidRDefault="008D18EC" w:rsidP="0076778F">
            <w:pPr>
              <w:rPr>
                <w:sz w:val="20"/>
                <w:szCs w:val="20"/>
              </w:rPr>
            </w:pPr>
          </w:p>
        </w:tc>
        <w:tc>
          <w:tcPr>
            <w:tcW w:w="1250" w:type="pct"/>
          </w:tcPr>
          <w:p w:rsidR="008D18EC" w:rsidRPr="0076778F" w:rsidRDefault="008D18EC" w:rsidP="00C5275C">
            <w:pPr>
              <w:rPr>
                <w:sz w:val="20"/>
                <w:szCs w:val="20"/>
              </w:rPr>
            </w:pPr>
            <w:r w:rsidRPr="0076778F">
              <w:rPr>
                <w:sz w:val="20"/>
                <w:szCs w:val="20"/>
              </w:rPr>
              <w:t>Immediate and continuing</w:t>
            </w:r>
          </w:p>
        </w:tc>
      </w:tr>
      <w:tr w:rsidR="008D18EC" w:rsidRPr="0076778F" w:rsidTr="008D18EC">
        <w:tc>
          <w:tcPr>
            <w:tcW w:w="5000" w:type="pct"/>
            <w:gridSpan w:val="4"/>
          </w:tcPr>
          <w:p w:rsidR="008D18EC" w:rsidRPr="0076778F" w:rsidRDefault="008D18EC" w:rsidP="00C5275C">
            <w:pPr>
              <w:rPr>
                <w:sz w:val="20"/>
                <w:szCs w:val="20"/>
              </w:rPr>
            </w:pPr>
            <w:r w:rsidRPr="0076778F">
              <w:rPr>
                <w:rFonts w:cs="TT15Et00"/>
                <w:b/>
                <w:sz w:val="20"/>
                <w:szCs w:val="20"/>
              </w:rPr>
              <w:t>Recommendation</w:t>
            </w:r>
            <w:r w:rsidRPr="008D18EC">
              <w:rPr>
                <w:sz w:val="20"/>
                <w:szCs w:val="20"/>
              </w:rPr>
              <w:t xml:space="preserve"> </w:t>
            </w:r>
            <w:r w:rsidRPr="008D18EC">
              <w:rPr>
                <w:b/>
                <w:sz w:val="20"/>
                <w:szCs w:val="20"/>
              </w:rPr>
              <w:t>7</w:t>
            </w:r>
            <w:r>
              <w:rPr>
                <w:sz w:val="20"/>
                <w:szCs w:val="20"/>
              </w:rPr>
              <w:t xml:space="preserve"> </w:t>
            </w:r>
            <w:r w:rsidRPr="008D18EC">
              <w:rPr>
                <w:sz w:val="20"/>
                <w:szCs w:val="20"/>
              </w:rPr>
              <w:t>The UNDP should support the NRA and UXO Lao to develop and implement an effective communication strategy, tailored to different stakeholder needs and focussed on application of safeguards, outputs, impacts and progress against the capacity building workplans.</w:t>
            </w:r>
          </w:p>
        </w:tc>
      </w:tr>
      <w:tr w:rsidR="00C81B4C" w:rsidRPr="0076778F" w:rsidTr="0076778F">
        <w:tc>
          <w:tcPr>
            <w:tcW w:w="1250" w:type="pct"/>
          </w:tcPr>
          <w:p w:rsidR="00C81B4C" w:rsidRPr="0076778F" w:rsidRDefault="00C81B4C" w:rsidP="0076778F">
            <w:pPr>
              <w:rPr>
                <w:sz w:val="20"/>
                <w:szCs w:val="20"/>
              </w:rPr>
            </w:pPr>
            <w:r w:rsidRPr="0076778F">
              <w:rPr>
                <w:sz w:val="20"/>
                <w:szCs w:val="20"/>
              </w:rPr>
              <w:t xml:space="preserve">Support the NRA/UXO Lao to: understand development partner information needs; develop and implement a strategic communication plan </w:t>
            </w:r>
          </w:p>
          <w:p w:rsidR="00C81B4C" w:rsidRPr="0076778F" w:rsidRDefault="00C81B4C" w:rsidP="0076778F">
            <w:pPr>
              <w:rPr>
                <w:sz w:val="20"/>
                <w:szCs w:val="20"/>
              </w:rPr>
            </w:pPr>
          </w:p>
        </w:tc>
        <w:tc>
          <w:tcPr>
            <w:tcW w:w="1250" w:type="pct"/>
          </w:tcPr>
          <w:p w:rsidR="00C81B4C" w:rsidRPr="0076778F" w:rsidRDefault="00C81B4C" w:rsidP="0076778F">
            <w:pPr>
              <w:rPr>
                <w:sz w:val="20"/>
                <w:szCs w:val="20"/>
              </w:rPr>
            </w:pPr>
            <w:r w:rsidRPr="0076778F">
              <w:rPr>
                <w:sz w:val="20"/>
                <w:szCs w:val="20"/>
              </w:rPr>
              <w:t>Communication plan</w:t>
            </w:r>
          </w:p>
          <w:p w:rsidR="00C81B4C" w:rsidRPr="0076778F" w:rsidRDefault="008D18EC" w:rsidP="0076778F">
            <w:pPr>
              <w:rPr>
                <w:sz w:val="20"/>
                <w:szCs w:val="20"/>
              </w:rPr>
            </w:pPr>
            <w:r>
              <w:rPr>
                <w:sz w:val="20"/>
                <w:szCs w:val="20"/>
              </w:rPr>
              <w:t xml:space="preserve">Appropriate resources allocated to communication </w:t>
            </w:r>
          </w:p>
          <w:p w:rsidR="00C81B4C" w:rsidRPr="0076778F" w:rsidRDefault="00C81B4C" w:rsidP="0076778F">
            <w:pPr>
              <w:rPr>
                <w:sz w:val="20"/>
                <w:szCs w:val="20"/>
              </w:rPr>
            </w:pPr>
            <w:r w:rsidRPr="0076778F">
              <w:rPr>
                <w:sz w:val="20"/>
                <w:szCs w:val="20"/>
              </w:rPr>
              <w:t>Relevance, effectiveness and impact of UNDP’s support and its own communication processes</w:t>
            </w:r>
          </w:p>
          <w:p w:rsidR="00C81B4C" w:rsidRPr="0076778F" w:rsidRDefault="00C81B4C" w:rsidP="0076778F">
            <w:pPr>
              <w:rPr>
                <w:sz w:val="20"/>
                <w:szCs w:val="20"/>
              </w:rPr>
            </w:pPr>
          </w:p>
        </w:tc>
        <w:tc>
          <w:tcPr>
            <w:tcW w:w="1250" w:type="pct"/>
          </w:tcPr>
          <w:p w:rsidR="00C81B4C" w:rsidRPr="0076778F" w:rsidRDefault="00C81B4C" w:rsidP="0076778F">
            <w:pPr>
              <w:rPr>
                <w:sz w:val="20"/>
                <w:szCs w:val="20"/>
              </w:rPr>
            </w:pPr>
            <w:r w:rsidRPr="0076778F">
              <w:rPr>
                <w:sz w:val="20"/>
                <w:szCs w:val="20"/>
              </w:rPr>
              <w:t>Interviews with development partners</w:t>
            </w:r>
          </w:p>
          <w:p w:rsidR="00C81B4C" w:rsidRPr="0076778F" w:rsidRDefault="00C81B4C" w:rsidP="0076778F">
            <w:pPr>
              <w:rPr>
                <w:sz w:val="20"/>
                <w:szCs w:val="20"/>
              </w:rPr>
            </w:pPr>
            <w:r w:rsidRPr="0076778F">
              <w:rPr>
                <w:sz w:val="20"/>
                <w:szCs w:val="20"/>
              </w:rPr>
              <w:t>Minutes of meetings</w:t>
            </w:r>
          </w:p>
          <w:p w:rsidR="00C81B4C" w:rsidRPr="0076778F" w:rsidRDefault="00C81B4C" w:rsidP="0076778F">
            <w:pPr>
              <w:rPr>
                <w:sz w:val="20"/>
                <w:szCs w:val="20"/>
              </w:rPr>
            </w:pPr>
            <w:r w:rsidRPr="0076778F">
              <w:rPr>
                <w:sz w:val="20"/>
                <w:szCs w:val="20"/>
              </w:rPr>
              <w:t>Needs assessment of communication needs</w:t>
            </w:r>
          </w:p>
          <w:p w:rsidR="00C81B4C" w:rsidRPr="0076778F" w:rsidRDefault="00C81B4C" w:rsidP="0076778F">
            <w:pPr>
              <w:rPr>
                <w:sz w:val="20"/>
                <w:szCs w:val="20"/>
              </w:rPr>
            </w:pPr>
          </w:p>
        </w:tc>
        <w:tc>
          <w:tcPr>
            <w:tcW w:w="1250" w:type="pct"/>
          </w:tcPr>
          <w:p w:rsidR="00C81B4C" w:rsidRPr="0076778F" w:rsidRDefault="00C81B4C" w:rsidP="00C5275C">
            <w:pPr>
              <w:rPr>
                <w:sz w:val="20"/>
                <w:szCs w:val="20"/>
              </w:rPr>
            </w:pPr>
            <w:r w:rsidRPr="0076778F">
              <w:rPr>
                <w:sz w:val="20"/>
                <w:szCs w:val="20"/>
              </w:rPr>
              <w:t xml:space="preserve">Immediate and continuing </w:t>
            </w:r>
          </w:p>
        </w:tc>
      </w:tr>
      <w:tr w:rsidR="007F5DE4" w:rsidRPr="0076778F" w:rsidTr="0076778F">
        <w:tc>
          <w:tcPr>
            <w:tcW w:w="5000" w:type="pct"/>
            <w:gridSpan w:val="4"/>
          </w:tcPr>
          <w:p w:rsidR="007F5DE4" w:rsidRPr="0076778F" w:rsidRDefault="007F5DE4" w:rsidP="0076778F">
            <w:pPr>
              <w:rPr>
                <w:sz w:val="20"/>
                <w:szCs w:val="20"/>
              </w:rPr>
            </w:pPr>
            <w:r w:rsidRPr="0076778F">
              <w:rPr>
                <w:rFonts w:cs="TT15Et00"/>
                <w:b/>
                <w:sz w:val="20"/>
                <w:szCs w:val="20"/>
              </w:rPr>
              <w:t xml:space="preserve">Recommendation </w:t>
            </w:r>
            <w:r w:rsidR="008D18EC" w:rsidRPr="008D18EC">
              <w:rPr>
                <w:rFonts w:cs="TT15Et00"/>
                <w:b/>
                <w:sz w:val="20"/>
                <w:szCs w:val="20"/>
              </w:rPr>
              <w:t xml:space="preserve">8 </w:t>
            </w:r>
            <w:r w:rsidR="008D18EC" w:rsidRPr="008D18EC">
              <w:rPr>
                <w:rFonts w:cs="TT15Et00"/>
                <w:sz w:val="20"/>
                <w:szCs w:val="20"/>
              </w:rPr>
              <w:t>The UNDP should support constructive dialogue with the Ministry of Foreign Affairs and development partners to determine if the Trust Fund and its Terms of Reference are still appropriate</w:t>
            </w:r>
          </w:p>
        </w:tc>
      </w:tr>
      <w:tr w:rsidR="00C81B4C" w:rsidRPr="0076778F" w:rsidTr="0076778F">
        <w:tc>
          <w:tcPr>
            <w:tcW w:w="1250" w:type="pct"/>
          </w:tcPr>
          <w:p w:rsidR="00C81B4C" w:rsidRPr="0076778F" w:rsidRDefault="00C81B4C" w:rsidP="0076778F">
            <w:pPr>
              <w:rPr>
                <w:sz w:val="20"/>
                <w:szCs w:val="20"/>
              </w:rPr>
            </w:pPr>
            <w:r w:rsidRPr="0076778F">
              <w:rPr>
                <w:sz w:val="20"/>
                <w:szCs w:val="20"/>
              </w:rPr>
              <w:t>Consultation and facilitation with relevant stakeholders to review Trust Fund Terms of Reference</w:t>
            </w:r>
          </w:p>
        </w:tc>
        <w:tc>
          <w:tcPr>
            <w:tcW w:w="1250" w:type="pct"/>
          </w:tcPr>
          <w:p w:rsidR="00C81B4C" w:rsidRPr="0076778F" w:rsidRDefault="00C81B4C" w:rsidP="0076778F">
            <w:pPr>
              <w:rPr>
                <w:sz w:val="20"/>
                <w:szCs w:val="20"/>
              </w:rPr>
            </w:pPr>
            <w:r w:rsidRPr="0076778F">
              <w:rPr>
                <w:sz w:val="20"/>
                <w:szCs w:val="20"/>
              </w:rPr>
              <w:t>Number of meetings/workshops</w:t>
            </w:r>
          </w:p>
          <w:p w:rsidR="00C81B4C" w:rsidRPr="0076778F" w:rsidRDefault="00C81B4C" w:rsidP="0076778F">
            <w:pPr>
              <w:rPr>
                <w:sz w:val="20"/>
                <w:szCs w:val="20"/>
              </w:rPr>
            </w:pPr>
            <w:r w:rsidRPr="0076778F">
              <w:rPr>
                <w:sz w:val="20"/>
                <w:szCs w:val="20"/>
              </w:rPr>
              <w:t>Number of relevant people consulted</w:t>
            </w:r>
          </w:p>
          <w:p w:rsidR="00C81B4C" w:rsidRPr="0076778F" w:rsidRDefault="00C81B4C" w:rsidP="0076778F">
            <w:pPr>
              <w:rPr>
                <w:sz w:val="20"/>
                <w:szCs w:val="20"/>
              </w:rPr>
            </w:pPr>
            <w:r w:rsidRPr="0076778F">
              <w:rPr>
                <w:sz w:val="20"/>
                <w:szCs w:val="20"/>
              </w:rPr>
              <w:t>Stakeholder satisfaction with process</w:t>
            </w:r>
          </w:p>
        </w:tc>
        <w:tc>
          <w:tcPr>
            <w:tcW w:w="1250" w:type="pct"/>
          </w:tcPr>
          <w:p w:rsidR="00C81B4C" w:rsidRPr="0076778F" w:rsidRDefault="00C81B4C" w:rsidP="0076778F">
            <w:pPr>
              <w:rPr>
                <w:sz w:val="20"/>
                <w:szCs w:val="20"/>
              </w:rPr>
            </w:pPr>
            <w:r w:rsidRPr="0076778F">
              <w:rPr>
                <w:sz w:val="20"/>
                <w:szCs w:val="20"/>
              </w:rPr>
              <w:t>Interviews with development partners</w:t>
            </w:r>
          </w:p>
          <w:p w:rsidR="00C81B4C" w:rsidRPr="0076778F" w:rsidRDefault="00C81B4C" w:rsidP="0076778F">
            <w:pPr>
              <w:rPr>
                <w:sz w:val="20"/>
                <w:szCs w:val="20"/>
              </w:rPr>
            </w:pPr>
            <w:r w:rsidRPr="0076778F">
              <w:rPr>
                <w:sz w:val="20"/>
                <w:szCs w:val="20"/>
              </w:rPr>
              <w:t>Minutes of meetings</w:t>
            </w:r>
          </w:p>
          <w:p w:rsidR="00C81B4C" w:rsidRPr="0076778F" w:rsidRDefault="00C81B4C" w:rsidP="0076778F">
            <w:pPr>
              <w:rPr>
                <w:sz w:val="20"/>
                <w:szCs w:val="20"/>
              </w:rPr>
            </w:pPr>
            <w:r w:rsidRPr="0076778F">
              <w:rPr>
                <w:sz w:val="20"/>
                <w:szCs w:val="20"/>
              </w:rPr>
              <w:t>Dissemination of progress through communication strategy</w:t>
            </w:r>
          </w:p>
        </w:tc>
        <w:tc>
          <w:tcPr>
            <w:tcW w:w="1250" w:type="pct"/>
          </w:tcPr>
          <w:p w:rsidR="00C81B4C" w:rsidRPr="0076778F" w:rsidRDefault="00C81B4C" w:rsidP="007F5DE4">
            <w:pPr>
              <w:rPr>
                <w:sz w:val="20"/>
                <w:szCs w:val="20"/>
              </w:rPr>
            </w:pPr>
            <w:r w:rsidRPr="0076778F">
              <w:rPr>
                <w:sz w:val="20"/>
                <w:szCs w:val="20"/>
              </w:rPr>
              <w:t xml:space="preserve">Process started in first quarter 2016 </w:t>
            </w:r>
          </w:p>
        </w:tc>
      </w:tr>
      <w:tr w:rsidR="007F5DE4" w:rsidRPr="0076778F" w:rsidTr="0076778F">
        <w:tc>
          <w:tcPr>
            <w:tcW w:w="5000" w:type="pct"/>
            <w:gridSpan w:val="4"/>
          </w:tcPr>
          <w:p w:rsidR="007F5DE4" w:rsidRPr="0076778F" w:rsidRDefault="007F5DE4" w:rsidP="0076778F">
            <w:pPr>
              <w:rPr>
                <w:sz w:val="20"/>
                <w:szCs w:val="20"/>
              </w:rPr>
            </w:pPr>
            <w:r w:rsidRPr="0076778F">
              <w:rPr>
                <w:rFonts w:cs="TT15Et00"/>
                <w:b/>
                <w:sz w:val="20"/>
                <w:szCs w:val="20"/>
              </w:rPr>
              <w:t>Recommendation</w:t>
            </w:r>
            <w:r w:rsidRPr="0076778F">
              <w:rPr>
                <w:sz w:val="20"/>
                <w:szCs w:val="20"/>
              </w:rPr>
              <w:t xml:space="preserve"> </w:t>
            </w:r>
            <w:r w:rsidR="008D18EC" w:rsidRPr="008D18EC">
              <w:rPr>
                <w:b/>
                <w:sz w:val="20"/>
                <w:szCs w:val="20"/>
              </w:rPr>
              <w:t>9</w:t>
            </w:r>
            <w:r w:rsidRPr="0076778F">
              <w:rPr>
                <w:sz w:val="20"/>
                <w:szCs w:val="20"/>
              </w:rPr>
              <w:t xml:space="preserve"> </w:t>
            </w:r>
            <w:r w:rsidR="008D18EC" w:rsidRPr="008D18EC">
              <w:rPr>
                <w:sz w:val="20"/>
                <w:szCs w:val="20"/>
              </w:rPr>
              <w:t>The UNDP should continue to work with the NRA, the UXO Lao, and donors to ensure a coherent approach to the provision and coordination of technical advisory services.</w:t>
            </w:r>
            <w:r w:rsidRPr="0076778F">
              <w:rPr>
                <w:sz w:val="20"/>
                <w:szCs w:val="20"/>
              </w:rPr>
              <w:t>.</w:t>
            </w:r>
          </w:p>
        </w:tc>
      </w:tr>
      <w:tr w:rsidR="00C81B4C" w:rsidRPr="0076778F" w:rsidTr="0076778F">
        <w:tc>
          <w:tcPr>
            <w:tcW w:w="1250" w:type="pct"/>
          </w:tcPr>
          <w:p w:rsidR="00C81B4C" w:rsidRPr="0076778F" w:rsidRDefault="00C81B4C" w:rsidP="0076778F">
            <w:pPr>
              <w:rPr>
                <w:sz w:val="20"/>
                <w:szCs w:val="20"/>
              </w:rPr>
            </w:pPr>
            <w:r w:rsidRPr="0076778F">
              <w:rPr>
                <w:sz w:val="20"/>
                <w:szCs w:val="20"/>
              </w:rPr>
              <w:t>Work with NRA and other providers of TA services, to develop a coherent approach to the provision and coordination of technical advisory services</w:t>
            </w:r>
          </w:p>
        </w:tc>
        <w:tc>
          <w:tcPr>
            <w:tcW w:w="1250" w:type="pct"/>
          </w:tcPr>
          <w:p w:rsidR="00C81B4C" w:rsidRPr="0076778F" w:rsidRDefault="00C81B4C" w:rsidP="0076778F">
            <w:pPr>
              <w:rPr>
                <w:sz w:val="20"/>
                <w:szCs w:val="20"/>
              </w:rPr>
            </w:pPr>
            <w:r w:rsidRPr="0076778F">
              <w:rPr>
                <w:sz w:val="20"/>
                <w:szCs w:val="20"/>
              </w:rPr>
              <w:t>Reported coherence and coordination in technical advisory services</w:t>
            </w:r>
          </w:p>
        </w:tc>
        <w:tc>
          <w:tcPr>
            <w:tcW w:w="1250" w:type="pct"/>
          </w:tcPr>
          <w:p w:rsidR="00C81B4C" w:rsidRPr="0076778F" w:rsidRDefault="00C81B4C" w:rsidP="0076778F">
            <w:pPr>
              <w:rPr>
                <w:sz w:val="20"/>
                <w:szCs w:val="20"/>
              </w:rPr>
            </w:pPr>
            <w:r w:rsidRPr="0076778F">
              <w:rPr>
                <w:sz w:val="20"/>
                <w:szCs w:val="20"/>
              </w:rPr>
              <w:t>Interviews with relevant NRA and UXO Lao staff</w:t>
            </w:r>
          </w:p>
          <w:p w:rsidR="00C81B4C" w:rsidRPr="0076778F" w:rsidRDefault="00C81B4C" w:rsidP="0076778F">
            <w:pPr>
              <w:rPr>
                <w:sz w:val="20"/>
                <w:szCs w:val="20"/>
              </w:rPr>
            </w:pPr>
            <w:r w:rsidRPr="0076778F">
              <w:rPr>
                <w:sz w:val="20"/>
                <w:szCs w:val="20"/>
              </w:rPr>
              <w:t>Interviews with UNDP staff</w:t>
            </w:r>
          </w:p>
          <w:p w:rsidR="00C81B4C" w:rsidRPr="0076778F" w:rsidRDefault="00C81B4C" w:rsidP="0076778F">
            <w:pPr>
              <w:rPr>
                <w:sz w:val="20"/>
                <w:szCs w:val="20"/>
              </w:rPr>
            </w:pPr>
            <w:r w:rsidRPr="0076778F">
              <w:rPr>
                <w:sz w:val="20"/>
                <w:szCs w:val="20"/>
              </w:rPr>
              <w:t>Minutes of meetings</w:t>
            </w:r>
          </w:p>
          <w:p w:rsidR="00C81B4C" w:rsidRPr="0076778F" w:rsidRDefault="00C81B4C" w:rsidP="0076778F">
            <w:pPr>
              <w:rPr>
                <w:sz w:val="20"/>
                <w:szCs w:val="20"/>
              </w:rPr>
            </w:pPr>
            <w:r w:rsidRPr="0076778F">
              <w:rPr>
                <w:sz w:val="20"/>
                <w:szCs w:val="20"/>
              </w:rPr>
              <w:t>MoUs</w:t>
            </w:r>
          </w:p>
          <w:p w:rsidR="00C81B4C" w:rsidRPr="0076778F" w:rsidRDefault="00C81B4C" w:rsidP="0076778F">
            <w:pPr>
              <w:rPr>
                <w:sz w:val="20"/>
                <w:szCs w:val="20"/>
              </w:rPr>
            </w:pPr>
            <w:r w:rsidRPr="0076778F">
              <w:rPr>
                <w:sz w:val="20"/>
                <w:szCs w:val="20"/>
              </w:rPr>
              <w:t xml:space="preserve">Action plans sow where donor supported is provided </w:t>
            </w:r>
          </w:p>
          <w:p w:rsidR="00C81B4C" w:rsidRPr="0076778F" w:rsidRDefault="00C81B4C" w:rsidP="0076778F">
            <w:pPr>
              <w:rPr>
                <w:sz w:val="20"/>
                <w:szCs w:val="20"/>
              </w:rPr>
            </w:pPr>
          </w:p>
        </w:tc>
        <w:tc>
          <w:tcPr>
            <w:tcW w:w="1250" w:type="pct"/>
          </w:tcPr>
          <w:p w:rsidR="00C81B4C" w:rsidRPr="0076778F" w:rsidRDefault="00C81B4C" w:rsidP="00C5275C">
            <w:pPr>
              <w:rPr>
                <w:sz w:val="20"/>
                <w:szCs w:val="20"/>
              </w:rPr>
            </w:pPr>
            <w:r w:rsidRPr="0076778F">
              <w:rPr>
                <w:sz w:val="20"/>
                <w:szCs w:val="20"/>
              </w:rPr>
              <w:t>From first quarter 2016 and continuing</w:t>
            </w:r>
          </w:p>
        </w:tc>
      </w:tr>
      <w:tr w:rsidR="00FA5C6E" w:rsidRPr="0076778F" w:rsidTr="0076778F">
        <w:tc>
          <w:tcPr>
            <w:tcW w:w="5000" w:type="pct"/>
            <w:gridSpan w:val="4"/>
          </w:tcPr>
          <w:p w:rsidR="00FA5C6E" w:rsidRPr="0076778F" w:rsidRDefault="007F5DE4" w:rsidP="0076778F">
            <w:pPr>
              <w:rPr>
                <w:sz w:val="20"/>
                <w:szCs w:val="20"/>
              </w:rPr>
            </w:pPr>
            <w:r w:rsidRPr="0076778F">
              <w:rPr>
                <w:rFonts w:cs="TT15Et00"/>
                <w:b/>
                <w:sz w:val="20"/>
                <w:szCs w:val="20"/>
              </w:rPr>
              <w:t>Recommendation</w:t>
            </w:r>
            <w:r w:rsidRPr="0076778F">
              <w:rPr>
                <w:rFonts w:cs="TT15Ct00"/>
                <w:sz w:val="20"/>
                <w:szCs w:val="20"/>
              </w:rPr>
              <w:t xml:space="preserve"> </w:t>
            </w:r>
            <w:r w:rsidR="00596A2A" w:rsidRPr="00596A2A">
              <w:rPr>
                <w:rFonts w:cs="TT15Ct00"/>
                <w:b/>
                <w:sz w:val="20"/>
                <w:szCs w:val="20"/>
              </w:rPr>
              <w:t>10</w:t>
            </w:r>
            <w:r w:rsidR="00596A2A">
              <w:rPr>
                <w:rFonts w:cs="TT15Ct00"/>
                <w:sz w:val="20"/>
                <w:szCs w:val="20"/>
              </w:rPr>
              <w:t xml:space="preserve"> </w:t>
            </w:r>
            <w:r w:rsidR="00596A2A" w:rsidRPr="00596A2A">
              <w:rPr>
                <w:rFonts w:cs="TT15Ct00"/>
                <w:sz w:val="20"/>
                <w:szCs w:val="20"/>
              </w:rPr>
              <w:t>Support the NRA and the UXO Lao to ensure a pro-poor, gender sensitive focus including gender indicators at the output and outcome level and implementing the recent GMAP 2014 action plan and recommendations related to the 2008 gender assessment.</w:t>
            </w:r>
          </w:p>
        </w:tc>
      </w:tr>
      <w:tr w:rsidR="00C81B4C" w:rsidRPr="0076778F" w:rsidTr="0076778F">
        <w:tc>
          <w:tcPr>
            <w:tcW w:w="1250" w:type="pct"/>
          </w:tcPr>
          <w:p w:rsidR="00C81B4C" w:rsidRPr="0076778F" w:rsidRDefault="00C81B4C" w:rsidP="0076778F">
            <w:pPr>
              <w:rPr>
                <w:sz w:val="20"/>
                <w:szCs w:val="20"/>
              </w:rPr>
            </w:pPr>
            <w:r w:rsidRPr="0076778F">
              <w:rPr>
                <w:sz w:val="20"/>
                <w:szCs w:val="20"/>
              </w:rPr>
              <w:t>Support the NRA and UXO Lao to orientate the UXO programme to having a pro-poor, gender sensitive focus including gender indicators as a minimum at the output and outcome level</w:t>
            </w:r>
          </w:p>
          <w:p w:rsidR="00C81B4C" w:rsidRPr="0076778F" w:rsidRDefault="00C81B4C" w:rsidP="0076778F">
            <w:pPr>
              <w:rPr>
                <w:sz w:val="20"/>
                <w:szCs w:val="20"/>
              </w:rPr>
            </w:pPr>
            <w:r w:rsidRPr="0076778F">
              <w:rPr>
                <w:sz w:val="20"/>
                <w:szCs w:val="20"/>
              </w:rPr>
              <w:t>Support the NRA and UXO Lao to implement action plan in GMAP 2014 report</w:t>
            </w:r>
          </w:p>
        </w:tc>
        <w:tc>
          <w:tcPr>
            <w:tcW w:w="1250" w:type="pct"/>
          </w:tcPr>
          <w:p w:rsidR="00C81B4C" w:rsidRPr="0076778F" w:rsidRDefault="00C81B4C" w:rsidP="0076778F">
            <w:pPr>
              <w:rPr>
                <w:sz w:val="20"/>
                <w:szCs w:val="20"/>
              </w:rPr>
            </w:pPr>
            <w:r w:rsidRPr="0076778F">
              <w:rPr>
                <w:sz w:val="20"/>
                <w:szCs w:val="20"/>
              </w:rPr>
              <w:t>Number of meetings/ workshops</w:t>
            </w:r>
          </w:p>
          <w:p w:rsidR="00C81B4C" w:rsidRPr="0076778F" w:rsidRDefault="00C81B4C" w:rsidP="0076778F">
            <w:pPr>
              <w:rPr>
                <w:sz w:val="20"/>
                <w:szCs w:val="20"/>
              </w:rPr>
            </w:pPr>
            <w:r w:rsidRPr="0076778F">
              <w:rPr>
                <w:sz w:val="20"/>
                <w:szCs w:val="20"/>
              </w:rPr>
              <w:t>Number of relevant people consulted</w:t>
            </w:r>
          </w:p>
          <w:p w:rsidR="00C81B4C" w:rsidRPr="0076778F" w:rsidRDefault="00C81B4C" w:rsidP="0076778F">
            <w:pPr>
              <w:rPr>
                <w:sz w:val="20"/>
                <w:szCs w:val="20"/>
              </w:rPr>
            </w:pPr>
            <w:r w:rsidRPr="0076778F">
              <w:rPr>
                <w:sz w:val="20"/>
                <w:szCs w:val="20"/>
              </w:rPr>
              <w:t>Number of activities undertaken by UNDP to support implementation</w:t>
            </w:r>
          </w:p>
          <w:p w:rsidR="00C81B4C" w:rsidRPr="0076778F" w:rsidRDefault="00C81B4C" w:rsidP="0076778F">
            <w:pPr>
              <w:rPr>
                <w:sz w:val="20"/>
                <w:szCs w:val="20"/>
              </w:rPr>
            </w:pPr>
            <w:r w:rsidRPr="0076778F">
              <w:rPr>
                <w:sz w:val="20"/>
                <w:szCs w:val="20"/>
              </w:rPr>
              <w:t>of the GMAP recommendations</w:t>
            </w:r>
          </w:p>
          <w:p w:rsidR="00C81B4C" w:rsidRPr="0076778F" w:rsidRDefault="00C81B4C" w:rsidP="0076778F">
            <w:pPr>
              <w:rPr>
                <w:sz w:val="20"/>
                <w:szCs w:val="20"/>
              </w:rPr>
            </w:pPr>
            <w:r w:rsidRPr="0076778F">
              <w:rPr>
                <w:sz w:val="20"/>
                <w:szCs w:val="20"/>
              </w:rPr>
              <w:t>Action plan to implement GMAP recommendations</w:t>
            </w:r>
          </w:p>
          <w:p w:rsidR="00C81B4C" w:rsidRPr="0076778F" w:rsidRDefault="00C81B4C" w:rsidP="0076778F">
            <w:pPr>
              <w:rPr>
                <w:sz w:val="20"/>
                <w:szCs w:val="20"/>
              </w:rPr>
            </w:pPr>
            <w:r w:rsidRPr="0076778F">
              <w:rPr>
                <w:sz w:val="20"/>
                <w:szCs w:val="20"/>
              </w:rPr>
              <w:t>Action plan used to plan and monitor progress</w:t>
            </w:r>
          </w:p>
          <w:p w:rsidR="00C81B4C" w:rsidRPr="0076778F" w:rsidRDefault="00C81B4C" w:rsidP="0076778F">
            <w:pPr>
              <w:rPr>
                <w:sz w:val="20"/>
                <w:szCs w:val="20"/>
              </w:rPr>
            </w:pPr>
            <w:r w:rsidRPr="0076778F">
              <w:rPr>
                <w:sz w:val="20"/>
                <w:szCs w:val="20"/>
              </w:rPr>
              <w:t>Relevance, effectiveness and impact of UNDP’s activities in support of the implementation</w:t>
            </w:r>
          </w:p>
          <w:p w:rsidR="00C81B4C" w:rsidRPr="0076778F" w:rsidRDefault="00C81B4C" w:rsidP="0076778F">
            <w:pPr>
              <w:rPr>
                <w:sz w:val="20"/>
                <w:szCs w:val="20"/>
              </w:rPr>
            </w:pPr>
            <w:r w:rsidRPr="0076778F">
              <w:rPr>
                <w:sz w:val="20"/>
                <w:szCs w:val="20"/>
              </w:rPr>
              <w:t>of the action plan</w:t>
            </w:r>
          </w:p>
        </w:tc>
        <w:tc>
          <w:tcPr>
            <w:tcW w:w="1250" w:type="pct"/>
          </w:tcPr>
          <w:p w:rsidR="00C81B4C" w:rsidRPr="0076778F" w:rsidRDefault="00C81B4C" w:rsidP="0076778F">
            <w:pPr>
              <w:rPr>
                <w:sz w:val="20"/>
                <w:szCs w:val="20"/>
              </w:rPr>
            </w:pPr>
            <w:r w:rsidRPr="0076778F">
              <w:rPr>
                <w:sz w:val="20"/>
                <w:szCs w:val="20"/>
              </w:rPr>
              <w:t>Interviews with relevant NRA and UXO Lao staff</w:t>
            </w:r>
          </w:p>
          <w:p w:rsidR="00C81B4C" w:rsidRPr="0076778F" w:rsidRDefault="00C81B4C" w:rsidP="0076778F">
            <w:pPr>
              <w:rPr>
                <w:sz w:val="20"/>
                <w:szCs w:val="20"/>
              </w:rPr>
            </w:pPr>
            <w:r w:rsidRPr="0076778F">
              <w:rPr>
                <w:sz w:val="20"/>
                <w:szCs w:val="20"/>
              </w:rPr>
              <w:t>Interviews with UNDP staff</w:t>
            </w:r>
          </w:p>
          <w:p w:rsidR="00C81B4C" w:rsidRPr="0076778F" w:rsidRDefault="00C81B4C" w:rsidP="0076778F">
            <w:pPr>
              <w:rPr>
                <w:sz w:val="20"/>
                <w:szCs w:val="20"/>
              </w:rPr>
            </w:pPr>
            <w:r w:rsidRPr="0076778F">
              <w:rPr>
                <w:sz w:val="20"/>
                <w:szCs w:val="20"/>
              </w:rPr>
              <w:t>Minutes of meetings</w:t>
            </w:r>
          </w:p>
          <w:p w:rsidR="00C81B4C" w:rsidRPr="0076778F" w:rsidRDefault="00C81B4C" w:rsidP="0076778F">
            <w:pPr>
              <w:rPr>
                <w:sz w:val="20"/>
                <w:szCs w:val="20"/>
              </w:rPr>
            </w:pPr>
            <w:r w:rsidRPr="0076778F">
              <w:rPr>
                <w:sz w:val="20"/>
                <w:szCs w:val="20"/>
              </w:rPr>
              <w:t>Annual reports</w:t>
            </w:r>
          </w:p>
          <w:p w:rsidR="00C81B4C" w:rsidRPr="0076778F" w:rsidRDefault="00C81B4C" w:rsidP="0076778F">
            <w:pPr>
              <w:rPr>
                <w:sz w:val="20"/>
                <w:szCs w:val="20"/>
              </w:rPr>
            </w:pPr>
            <w:r w:rsidRPr="0076778F">
              <w:rPr>
                <w:sz w:val="20"/>
                <w:szCs w:val="20"/>
              </w:rPr>
              <w:t xml:space="preserve">TWG meeting minutes </w:t>
            </w:r>
          </w:p>
          <w:p w:rsidR="00C81B4C" w:rsidRPr="0076778F" w:rsidRDefault="00C81B4C" w:rsidP="0076778F">
            <w:pPr>
              <w:rPr>
                <w:sz w:val="20"/>
                <w:szCs w:val="20"/>
              </w:rPr>
            </w:pPr>
            <w:r w:rsidRPr="0076778F">
              <w:rPr>
                <w:sz w:val="20"/>
                <w:szCs w:val="20"/>
              </w:rPr>
              <w:t xml:space="preserve">Action Plans indicate where UNDP has provided technical support </w:t>
            </w:r>
          </w:p>
          <w:p w:rsidR="00C81B4C" w:rsidRPr="0076778F" w:rsidRDefault="00C81B4C" w:rsidP="0076778F">
            <w:pPr>
              <w:rPr>
                <w:sz w:val="20"/>
                <w:szCs w:val="20"/>
              </w:rPr>
            </w:pPr>
            <w:r w:rsidRPr="0076778F">
              <w:rPr>
                <w:sz w:val="20"/>
                <w:szCs w:val="20"/>
              </w:rPr>
              <w:t>Gender indicators included in the next programme document Dissemination of progress through communication strategy</w:t>
            </w:r>
          </w:p>
          <w:p w:rsidR="00C81B4C" w:rsidRPr="0076778F" w:rsidRDefault="00C81B4C" w:rsidP="0076778F">
            <w:pPr>
              <w:rPr>
                <w:sz w:val="20"/>
                <w:szCs w:val="20"/>
              </w:rPr>
            </w:pPr>
            <w:r w:rsidRPr="0076778F">
              <w:rPr>
                <w:sz w:val="20"/>
                <w:szCs w:val="20"/>
              </w:rPr>
              <w:t xml:space="preserve">Monitoring and on reports </w:t>
            </w:r>
          </w:p>
        </w:tc>
        <w:tc>
          <w:tcPr>
            <w:tcW w:w="1250" w:type="pct"/>
          </w:tcPr>
          <w:p w:rsidR="00C81B4C" w:rsidRPr="0076778F" w:rsidRDefault="00C81B4C" w:rsidP="00D66835">
            <w:pPr>
              <w:rPr>
                <w:sz w:val="20"/>
                <w:szCs w:val="20"/>
              </w:rPr>
            </w:pPr>
            <w:r w:rsidRPr="0076778F">
              <w:rPr>
                <w:sz w:val="20"/>
                <w:szCs w:val="20"/>
              </w:rPr>
              <w:t xml:space="preserve">From first quarter 2016 and incorporated into next programme document </w:t>
            </w:r>
          </w:p>
        </w:tc>
      </w:tr>
      <w:tr w:rsidR="00FA5C6E" w:rsidRPr="0076778F" w:rsidTr="0076778F">
        <w:tc>
          <w:tcPr>
            <w:tcW w:w="5000" w:type="pct"/>
            <w:gridSpan w:val="4"/>
          </w:tcPr>
          <w:p w:rsidR="00FA5C6E" w:rsidRPr="0076778F" w:rsidRDefault="007F5DE4" w:rsidP="0076778F">
            <w:pPr>
              <w:rPr>
                <w:sz w:val="20"/>
                <w:szCs w:val="20"/>
              </w:rPr>
            </w:pPr>
            <w:r w:rsidRPr="00596A2A">
              <w:rPr>
                <w:rFonts w:cs="TT15Et00"/>
                <w:b/>
                <w:sz w:val="20"/>
                <w:szCs w:val="20"/>
              </w:rPr>
              <w:t>Recommendation</w:t>
            </w:r>
            <w:r w:rsidRPr="00596A2A">
              <w:rPr>
                <w:rFonts w:cs="TT15Ct00"/>
                <w:sz w:val="20"/>
                <w:szCs w:val="20"/>
              </w:rPr>
              <w:t xml:space="preserve"> </w:t>
            </w:r>
            <w:r w:rsidR="00596A2A" w:rsidRPr="00596A2A">
              <w:rPr>
                <w:rFonts w:cs="TT15Ct00"/>
                <w:b/>
                <w:sz w:val="20"/>
                <w:szCs w:val="20"/>
              </w:rPr>
              <w:t>1</w:t>
            </w:r>
            <w:r w:rsidRPr="00596A2A">
              <w:rPr>
                <w:rFonts w:cs="TT15Ct00"/>
                <w:b/>
                <w:sz w:val="20"/>
                <w:szCs w:val="20"/>
              </w:rPr>
              <w:t>1</w:t>
            </w:r>
            <w:r w:rsidRPr="00596A2A">
              <w:rPr>
                <w:rFonts w:cs="TT15Ct00"/>
                <w:sz w:val="20"/>
                <w:szCs w:val="20"/>
              </w:rPr>
              <w:t xml:space="preserve"> </w:t>
            </w:r>
            <w:r w:rsidR="00596A2A" w:rsidRPr="00596A2A">
              <w:rPr>
                <w:rFonts w:cs="TT15Ct00"/>
                <w:sz w:val="20"/>
                <w:szCs w:val="20"/>
              </w:rPr>
              <w:t xml:space="preserve">The UNDP should further develop the capacity of the NRA and UXO Lao </w:t>
            </w:r>
            <w:r w:rsidR="00596A2A" w:rsidRPr="00596A2A">
              <w:rPr>
                <w:sz w:val="20"/>
                <w:szCs w:val="20"/>
              </w:rPr>
              <w:t>in all stages of the information cycle</w:t>
            </w:r>
            <w:r w:rsidR="00596A2A" w:rsidRPr="00596A2A">
              <w:rPr>
                <w:rFonts w:cs="TT15Ct00"/>
                <w:sz w:val="20"/>
                <w:szCs w:val="20"/>
              </w:rPr>
              <w:t xml:space="preserve"> and to</w:t>
            </w:r>
            <w:r w:rsidR="00596A2A" w:rsidRPr="00596A2A">
              <w:rPr>
                <w:sz w:val="20"/>
                <w:szCs w:val="20"/>
              </w:rPr>
              <w:t xml:space="preserve"> develop and implement a sector monitoring and evaluation framework that articulates minimum, output and outcome indicators. </w:t>
            </w:r>
          </w:p>
        </w:tc>
      </w:tr>
      <w:tr w:rsidR="00C81B4C" w:rsidRPr="0076778F" w:rsidTr="0076778F">
        <w:tc>
          <w:tcPr>
            <w:tcW w:w="1250" w:type="pct"/>
          </w:tcPr>
          <w:p w:rsidR="00C81B4C" w:rsidRPr="0076778F" w:rsidRDefault="00C81B4C" w:rsidP="0076778F">
            <w:pPr>
              <w:rPr>
                <w:sz w:val="20"/>
                <w:szCs w:val="20"/>
              </w:rPr>
            </w:pPr>
            <w:r w:rsidRPr="0076778F">
              <w:rPr>
                <w:sz w:val="20"/>
                <w:szCs w:val="20"/>
              </w:rPr>
              <w:t>Support the development, implementation and reporting of a monitoring and evaluation framework including the development of relevant, appropriate and feasible process and output and outcome indicators</w:t>
            </w:r>
          </w:p>
          <w:p w:rsidR="00C81B4C" w:rsidRPr="0076778F" w:rsidRDefault="00C81B4C" w:rsidP="0076778F">
            <w:pPr>
              <w:rPr>
                <w:sz w:val="20"/>
                <w:szCs w:val="20"/>
              </w:rPr>
            </w:pPr>
            <w:r w:rsidRPr="0076778F">
              <w:rPr>
                <w:sz w:val="20"/>
                <w:szCs w:val="20"/>
              </w:rPr>
              <w:t>Recruit external expertise if required (national, regional or international)</w:t>
            </w:r>
          </w:p>
          <w:p w:rsidR="00C81B4C" w:rsidRPr="0076778F" w:rsidRDefault="00C81B4C" w:rsidP="0076778F">
            <w:pPr>
              <w:rPr>
                <w:sz w:val="20"/>
                <w:szCs w:val="20"/>
              </w:rPr>
            </w:pPr>
          </w:p>
          <w:p w:rsidR="00C81B4C" w:rsidRPr="0076778F" w:rsidRDefault="00C81B4C" w:rsidP="0076778F">
            <w:pPr>
              <w:rPr>
                <w:sz w:val="20"/>
                <w:szCs w:val="20"/>
              </w:rPr>
            </w:pPr>
          </w:p>
        </w:tc>
        <w:tc>
          <w:tcPr>
            <w:tcW w:w="1250" w:type="pct"/>
          </w:tcPr>
          <w:p w:rsidR="00C81B4C" w:rsidRPr="0076778F" w:rsidRDefault="00C81B4C" w:rsidP="0076778F">
            <w:pPr>
              <w:rPr>
                <w:sz w:val="20"/>
                <w:szCs w:val="20"/>
              </w:rPr>
            </w:pPr>
            <w:r w:rsidRPr="0076778F">
              <w:rPr>
                <w:sz w:val="20"/>
                <w:szCs w:val="20"/>
              </w:rPr>
              <w:t>Number of activities undertaken by UNDP to support development of implementation of monitoring and evaluation framework</w:t>
            </w:r>
          </w:p>
          <w:p w:rsidR="00C81B4C" w:rsidRPr="0076778F" w:rsidRDefault="00C81B4C" w:rsidP="0076778F">
            <w:pPr>
              <w:rPr>
                <w:sz w:val="20"/>
                <w:szCs w:val="20"/>
              </w:rPr>
            </w:pPr>
            <w:r w:rsidRPr="0076778F">
              <w:rPr>
                <w:sz w:val="20"/>
                <w:szCs w:val="20"/>
              </w:rPr>
              <w:t>Number of relevant people consulted</w:t>
            </w:r>
          </w:p>
          <w:p w:rsidR="00C81B4C" w:rsidRPr="0076778F" w:rsidRDefault="00C81B4C" w:rsidP="0076778F">
            <w:pPr>
              <w:rPr>
                <w:sz w:val="20"/>
                <w:szCs w:val="20"/>
              </w:rPr>
            </w:pPr>
            <w:r w:rsidRPr="0076778F">
              <w:rPr>
                <w:sz w:val="20"/>
                <w:szCs w:val="20"/>
              </w:rPr>
              <w:t>Number of activities undertaken by UNDP to support data analysis, dissemination and use</w:t>
            </w:r>
          </w:p>
        </w:tc>
        <w:tc>
          <w:tcPr>
            <w:tcW w:w="1250" w:type="pct"/>
          </w:tcPr>
          <w:p w:rsidR="00C81B4C" w:rsidRPr="0076778F" w:rsidRDefault="00C81B4C" w:rsidP="0076778F">
            <w:pPr>
              <w:rPr>
                <w:sz w:val="20"/>
                <w:szCs w:val="20"/>
              </w:rPr>
            </w:pPr>
            <w:r w:rsidRPr="0076778F">
              <w:rPr>
                <w:sz w:val="20"/>
                <w:szCs w:val="20"/>
              </w:rPr>
              <w:t>Interviews with relevant NRA and UXO Lao staff</w:t>
            </w:r>
          </w:p>
          <w:p w:rsidR="00C81B4C" w:rsidRPr="0076778F" w:rsidRDefault="00C81B4C" w:rsidP="0076778F">
            <w:pPr>
              <w:rPr>
                <w:sz w:val="20"/>
                <w:szCs w:val="20"/>
              </w:rPr>
            </w:pPr>
            <w:r w:rsidRPr="0076778F">
              <w:rPr>
                <w:sz w:val="20"/>
                <w:szCs w:val="20"/>
              </w:rPr>
              <w:t>Minutes of meetings</w:t>
            </w:r>
          </w:p>
          <w:p w:rsidR="00C81B4C" w:rsidRPr="0076778F" w:rsidRDefault="00C81B4C" w:rsidP="0076778F">
            <w:pPr>
              <w:rPr>
                <w:sz w:val="20"/>
                <w:szCs w:val="20"/>
              </w:rPr>
            </w:pPr>
            <w:r w:rsidRPr="0076778F">
              <w:rPr>
                <w:sz w:val="20"/>
                <w:szCs w:val="20"/>
              </w:rPr>
              <w:t>Annual reports</w:t>
            </w:r>
          </w:p>
          <w:p w:rsidR="00C81B4C" w:rsidRPr="0076778F" w:rsidRDefault="00C81B4C" w:rsidP="0076778F">
            <w:pPr>
              <w:rPr>
                <w:sz w:val="20"/>
                <w:szCs w:val="20"/>
              </w:rPr>
            </w:pPr>
            <w:r w:rsidRPr="0076778F">
              <w:rPr>
                <w:sz w:val="20"/>
                <w:szCs w:val="20"/>
              </w:rPr>
              <w:t>TWG meeting minutes</w:t>
            </w:r>
          </w:p>
          <w:p w:rsidR="00C81B4C" w:rsidRPr="0076778F" w:rsidRDefault="00C81B4C" w:rsidP="0076778F">
            <w:pPr>
              <w:rPr>
                <w:sz w:val="20"/>
                <w:szCs w:val="20"/>
              </w:rPr>
            </w:pPr>
            <w:r w:rsidRPr="0076778F">
              <w:rPr>
                <w:sz w:val="20"/>
                <w:szCs w:val="20"/>
              </w:rPr>
              <w:t>SWG meetings</w:t>
            </w:r>
          </w:p>
          <w:p w:rsidR="00C81B4C" w:rsidRPr="0076778F" w:rsidRDefault="00C81B4C" w:rsidP="0076778F">
            <w:pPr>
              <w:rPr>
                <w:sz w:val="20"/>
                <w:szCs w:val="20"/>
              </w:rPr>
            </w:pPr>
            <w:r w:rsidRPr="0076778F">
              <w:rPr>
                <w:sz w:val="20"/>
                <w:szCs w:val="20"/>
              </w:rPr>
              <w:t xml:space="preserve">Monitoring and evaluation framework indicates where UNDP has provided technical support </w:t>
            </w:r>
          </w:p>
          <w:p w:rsidR="00C81B4C" w:rsidRPr="0076778F" w:rsidRDefault="00C81B4C" w:rsidP="00596A2A">
            <w:pPr>
              <w:rPr>
                <w:sz w:val="20"/>
                <w:szCs w:val="20"/>
              </w:rPr>
            </w:pPr>
          </w:p>
        </w:tc>
        <w:tc>
          <w:tcPr>
            <w:tcW w:w="1250" w:type="pct"/>
          </w:tcPr>
          <w:p w:rsidR="00C81B4C" w:rsidRPr="0076778F" w:rsidRDefault="00C81B4C" w:rsidP="00C5275C">
            <w:pPr>
              <w:rPr>
                <w:sz w:val="20"/>
                <w:szCs w:val="20"/>
              </w:rPr>
            </w:pPr>
            <w:r w:rsidRPr="0076778F">
              <w:rPr>
                <w:sz w:val="20"/>
                <w:szCs w:val="20"/>
              </w:rPr>
              <w:t xml:space="preserve">Process has started and should continue </w:t>
            </w:r>
          </w:p>
          <w:p w:rsidR="00C81B4C" w:rsidRPr="0076778F" w:rsidRDefault="00C81B4C" w:rsidP="00C5275C">
            <w:pPr>
              <w:rPr>
                <w:sz w:val="20"/>
                <w:szCs w:val="20"/>
              </w:rPr>
            </w:pPr>
          </w:p>
        </w:tc>
      </w:tr>
      <w:tr w:rsidR="00596A2A" w:rsidRPr="0076778F" w:rsidTr="00596A2A">
        <w:tc>
          <w:tcPr>
            <w:tcW w:w="5000" w:type="pct"/>
            <w:gridSpan w:val="4"/>
          </w:tcPr>
          <w:p w:rsidR="00596A2A" w:rsidRPr="0076778F" w:rsidRDefault="00596A2A" w:rsidP="00C5275C">
            <w:pPr>
              <w:rPr>
                <w:sz w:val="20"/>
                <w:szCs w:val="20"/>
              </w:rPr>
            </w:pPr>
            <w:r w:rsidRPr="0076778F">
              <w:rPr>
                <w:rFonts w:cs="TT15Et00"/>
                <w:b/>
                <w:sz w:val="20"/>
                <w:szCs w:val="20"/>
              </w:rPr>
              <w:t>Recommendation</w:t>
            </w:r>
            <w:r w:rsidRPr="00596A2A">
              <w:rPr>
                <w:sz w:val="20"/>
                <w:szCs w:val="20"/>
              </w:rPr>
              <w:t xml:space="preserve"> </w:t>
            </w:r>
            <w:r w:rsidRPr="00596A2A">
              <w:rPr>
                <w:b/>
                <w:sz w:val="20"/>
                <w:szCs w:val="20"/>
              </w:rPr>
              <w:t>12</w:t>
            </w:r>
            <w:r>
              <w:rPr>
                <w:sz w:val="20"/>
                <w:szCs w:val="20"/>
              </w:rPr>
              <w:t xml:space="preserve"> </w:t>
            </w:r>
            <w:r w:rsidRPr="00596A2A">
              <w:rPr>
                <w:sz w:val="20"/>
                <w:szCs w:val="20"/>
              </w:rPr>
              <w:t>The UNDP should support the NRA and the UXO Lao to integrate, monitor, and report on appropriate elements of the UNDP’s recently released Social and Environmental Safeguards into their work.</w:t>
            </w:r>
          </w:p>
        </w:tc>
      </w:tr>
      <w:tr w:rsidR="00596A2A" w:rsidRPr="0076778F" w:rsidTr="0076778F">
        <w:tc>
          <w:tcPr>
            <w:tcW w:w="1250" w:type="pct"/>
          </w:tcPr>
          <w:p w:rsidR="00596A2A" w:rsidRPr="0076778F" w:rsidRDefault="00596A2A" w:rsidP="0076778F">
            <w:pPr>
              <w:rPr>
                <w:sz w:val="20"/>
                <w:szCs w:val="20"/>
              </w:rPr>
            </w:pPr>
            <w:r w:rsidRPr="0076778F">
              <w:rPr>
                <w:sz w:val="20"/>
                <w:szCs w:val="20"/>
              </w:rPr>
              <w:t>Support the NRA and UXO Lao to integrate appropriate elements of UNDP’s Social and Environmental Safeguards into National Standards, SOPs and practice</w:t>
            </w:r>
          </w:p>
        </w:tc>
        <w:tc>
          <w:tcPr>
            <w:tcW w:w="1250" w:type="pct"/>
          </w:tcPr>
          <w:p w:rsidR="00596A2A" w:rsidRPr="0076778F" w:rsidRDefault="00596A2A" w:rsidP="0076778F">
            <w:pPr>
              <w:rPr>
                <w:sz w:val="20"/>
                <w:szCs w:val="20"/>
              </w:rPr>
            </w:pPr>
            <w:r w:rsidRPr="0076778F">
              <w:rPr>
                <w:sz w:val="20"/>
                <w:szCs w:val="20"/>
              </w:rPr>
              <w:t>NRA and UXO Lao</w:t>
            </w:r>
            <w:r>
              <w:rPr>
                <w:sz w:val="20"/>
                <w:szCs w:val="20"/>
              </w:rPr>
              <w:t xml:space="preserve"> understand safeguards and are able to apply them</w:t>
            </w:r>
          </w:p>
        </w:tc>
        <w:tc>
          <w:tcPr>
            <w:tcW w:w="1250" w:type="pct"/>
          </w:tcPr>
          <w:p w:rsidR="00596A2A" w:rsidRPr="0076778F" w:rsidRDefault="00596A2A" w:rsidP="00596A2A">
            <w:pPr>
              <w:rPr>
                <w:sz w:val="20"/>
                <w:szCs w:val="20"/>
              </w:rPr>
            </w:pPr>
            <w:r w:rsidRPr="0076778F">
              <w:rPr>
                <w:sz w:val="20"/>
                <w:szCs w:val="20"/>
              </w:rPr>
              <w:t>Safeguards incorporated into National Standards and UXO Lao SOPs</w:t>
            </w:r>
          </w:p>
          <w:p w:rsidR="00596A2A" w:rsidRDefault="00596A2A" w:rsidP="0076778F">
            <w:pPr>
              <w:rPr>
                <w:sz w:val="20"/>
                <w:szCs w:val="20"/>
              </w:rPr>
            </w:pPr>
            <w:r>
              <w:rPr>
                <w:sz w:val="20"/>
                <w:szCs w:val="20"/>
              </w:rPr>
              <w:t>Interviews with NRA and UXO Lao staff</w:t>
            </w:r>
          </w:p>
          <w:p w:rsidR="00596A2A" w:rsidRPr="0076778F" w:rsidRDefault="00596A2A" w:rsidP="0076778F">
            <w:pPr>
              <w:rPr>
                <w:sz w:val="20"/>
                <w:szCs w:val="20"/>
              </w:rPr>
            </w:pPr>
            <w:r>
              <w:rPr>
                <w:sz w:val="20"/>
                <w:szCs w:val="20"/>
              </w:rPr>
              <w:t>Reports</w:t>
            </w:r>
          </w:p>
        </w:tc>
        <w:tc>
          <w:tcPr>
            <w:tcW w:w="1250" w:type="pct"/>
          </w:tcPr>
          <w:p w:rsidR="00596A2A" w:rsidRPr="0076778F" w:rsidRDefault="00596A2A" w:rsidP="00C5275C">
            <w:pPr>
              <w:rPr>
                <w:sz w:val="20"/>
                <w:szCs w:val="20"/>
              </w:rPr>
            </w:pPr>
            <w:r w:rsidRPr="0076778F">
              <w:rPr>
                <w:sz w:val="20"/>
                <w:szCs w:val="20"/>
              </w:rPr>
              <w:t>Safeguard’s and monitoring of application to be in pace for the beginning of the 2017 programme for</w:t>
            </w:r>
          </w:p>
        </w:tc>
      </w:tr>
      <w:tr w:rsidR="00382783" w:rsidRPr="0076778F" w:rsidTr="0076778F">
        <w:tc>
          <w:tcPr>
            <w:tcW w:w="5000" w:type="pct"/>
            <w:gridSpan w:val="4"/>
          </w:tcPr>
          <w:p w:rsidR="00382783" w:rsidRPr="0076778F" w:rsidRDefault="00D50F20" w:rsidP="0076778F">
            <w:pPr>
              <w:rPr>
                <w:sz w:val="20"/>
                <w:szCs w:val="20"/>
              </w:rPr>
            </w:pPr>
            <w:r w:rsidRPr="0076778F">
              <w:rPr>
                <w:rFonts w:cs="TT15Et00"/>
                <w:b/>
                <w:sz w:val="20"/>
                <w:szCs w:val="20"/>
              </w:rPr>
              <w:t>Recommendation</w:t>
            </w:r>
            <w:r w:rsidRPr="0076778F">
              <w:rPr>
                <w:rFonts w:cs="TT15Ct00"/>
                <w:sz w:val="20"/>
                <w:szCs w:val="20"/>
              </w:rPr>
              <w:t xml:space="preserve"> </w:t>
            </w:r>
            <w:r w:rsidR="00596A2A">
              <w:rPr>
                <w:rFonts w:cs="TT15Ct00"/>
                <w:b/>
                <w:sz w:val="20"/>
                <w:szCs w:val="20"/>
              </w:rPr>
              <w:t xml:space="preserve">13 </w:t>
            </w:r>
            <w:r w:rsidR="00596A2A" w:rsidRPr="00596A2A">
              <w:rPr>
                <w:sz w:val="20"/>
                <w:szCs w:val="20"/>
              </w:rPr>
              <w:t>The UNDP should continue to support the NRA to develop a strategy to transition to increased government financing of the sector. The strategy should be agreed on by the end of 2018, with implementation commencing at the beginning of 2019.</w:t>
            </w:r>
          </w:p>
        </w:tc>
      </w:tr>
      <w:tr w:rsidR="00C81B4C" w:rsidRPr="0076778F" w:rsidTr="0076778F">
        <w:tc>
          <w:tcPr>
            <w:tcW w:w="1250" w:type="pct"/>
          </w:tcPr>
          <w:p w:rsidR="00C81B4C" w:rsidRPr="0076778F" w:rsidRDefault="00C81B4C" w:rsidP="0076778F">
            <w:pPr>
              <w:rPr>
                <w:sz w:val="20"/>
                <w:szCs w:val="20"/>
              </w:rPr>
            </w:pPr>
            <w:r w:rsidRPr="0076778F">
              <w:rPr>
                <w:sz w:val="20"/>
                <w:szCs w:val="20"/>
              </w:rPr>
              <w:t>Support the examination of ways in which MRE, victim assistance and UXO survey and clearance can be further mainstreamed into government organisations for sustainability</w:t>
            </w:r>
          </w:p>
          <w:p w:rsidR="00C81B4C" w:rsidRPr="0076778F" w:rsidRDefault="00C81B4C" w:rsidP="0076778F">
            <w:pPr>
              <w:rPr>
                <w:sz w:val="20"/>
                <w:szCs w:val="20"/>
              </w:rPr>
            </w:pPr>
          </w:p>
          <w:p w:rsidR="00C81B4C" w:rsidRPr="0076778F" w:rsidRDefault="00C81B4C" w:rsidP="0076778F">
            <w:pPr>
              <w:rPr>
                <w:sz w:val="20"/>
                <w:szCs w:val="20"/>
              </w:rPr>
            </w:pPr>
            <w:r w:rsidRPr="0076778F">
              <w:rPr>
                <w:sz w:val="20"/>
                <w:szCs w:val="20"/>
              </w:rPr>
              <w:t>Support the development of plans for MRE, UXO injury surveillance, survey and clearance to transition to government entities</w:t>
            </w:r>
          </w:p>
          <w:p w:rsidR="00C81B4C" w:rsidRPr="0076778F" w:rsidRDefault="00C81B4C" w:rsidP="0076778F">
            <w:pPr>
              <w:rPr>
                <w:sz w:val="20"/>
                <w:szCs w:val="20"/>
              </w:rPr>
            </w:pPr>
          </w:p>
          <w:p w:rsidR="00C81B4C" w:rsidRPr="0076778F" w:rsidRDefault="00C81B4C" w:rsidP="0076778F">
            <w:pPr>
              <w:rPr>
                <w:sz w:val="20"/>
                <w:szCs w:val="20"/>
              </w:rPr>
            </w:pPr>
            <w:r w:rsidRPr="0076778F">
              <w:rPr>
                <w:sz w:val="20"/>
                <w:szCs w:val="20"/>
              </w:rPr>
              <w:t>Support the development of financing strategies based on projected GDP with increasing government contributions and decreasing donor contributions</w:t>
            </w:r>
          </w:p>
          <w:p w:rsidR="00C81B4C" w:rsidRPr="0076778F" w:rsidRDefault="00C81B4C" w:rsidP="0076778F">
            <w:pPr>
              <w:rPr>
                <w:sz w:val="20"/>
                <w:szCs w:val="20"/>
              </w:rPr>
            </w:pPr>
          </w:p>
          <w:p w:rsidR="00C81B4C" w:rsidRPr="0076778F" w:rsidRDefault="00C81B4C" w:rsidP="0076778F">
            <w:pPr>
              <w:rPr>
                <w:sz w:val="20"/>
                <w:szCs w:val="20"/>
              </w:rPr>
            </w:pPr>
            <w:r w:rsidRPr="0076778F">
              <w:rPr>
                <w:sz w:val="20"/>
                <w:szCs w:val="20"/>
              </w:rPr>
              <w:t>Support UXO Lao to examine ways in which UXO Lao could mobilise its own funds, undertaking a risk assessment of each option and identifying the capacity requirements for the various options</w:t>
            </w:r>
          </w:p>
        </w:tc>
        <w:tc>
          <w:tcPr>
            <w:tcW w:w="1250" w:type="pct"/>
          </w:tcPr>
          <w:p w:rsidR="00C81B4C" w:rsidRPr="0076778F" w:rsidRDefault="00C81B4C" w:rsidP="0076778F">
            <w:pPr>
              <w:rPr>
                <w:sz w:val="20"/>
                <w:szCs w:val="20"/>
              </w:rPr>
            </w:pPr>
            <w:r w:rsidRPr="0076778F">
              <w:rPr>
                <w:sz w:val="20"/>
                <w:szCs w:val="20"/>
              </w:rPr>
              <w:t>Number of relevant people consulted (within and outside of the sector)</w:t>
            </w:r>
          </w:p>
          <w:p w:rsidR="00C81B4C" w:rsidRPr="0076778F" w:rsidRDefault="00C81B4C" w:rsidP="0076778F">
            <w:pPr>
              <w:rPr>
                <w:sz w:val="20"/>
                <w:szCs w:val="20"/>
              </w:rPr>
            </w:pPr>
            <w:r w:rsidRPr="0076778F">
              <w:rPr>
                <w:sz w:val="20"/>
                <w:szCs w:val="20"/>
              </w:rPr>
              <w:t>Number of activities undertaken by UNDP to support transition strategy Donor satisfaction</w:t>
            </w:r>
          </w:p>
          <w:p w:rsidR="00C81B4C" w:rsidRPr="0076778F" w:rsidRDefault="00C81B4C" w:rsidP="0076778F">
            <w:pPr>
              <w:rPr>
                <w:sz w:val="20"/>
                <w:szCs w:val="20"/>
              </w:rPr>
            </w:pPr>
            <w:r w:rsidRPr="0076778F">
              <w:rPr>
                <w:sz w:val="20"/>
                <w:szCs w:val="20"/>
              </w:rPr>
              <w:t>Relevance, effectiveness and impact of UNDP’s support</w:t>
            </w:r>
          </w:p>
          <w:p w:rsidR="00C81B4C" w:rsidRPr="0076778F" w:rsidRDefault="00C81B4C" w:rsidP="0076778F">
            <w:pPr>
              <w:rPr>
                <w:sz w:val="20"/>
                <w:szCs w:val="20"/>
              </w:rPr>
            </w:pPr>
          </w:p>
          <w:p w:rsidR="00C81B4C" w:rsidRPr="0076778F" w:rsidRDefault="00C81B4C" w:rsidP="0076778F">
            <w:pPr>
              <w:rPr>
                <w:sz w:val="20"/>
                <w:szCs w:val="20"/>
              </w:rPr>
            </w:pPr>
          </w:p>
          <w:p w:rsidR="00C81B4C" w:rsidRPr="0076778F" w:rsidRDefault="00C81B4C" w:rsidP="0076778F">
            <w:pPr>
              <w:rPr>
                <w:sz w:val="20"/>
                <w:szCs w:val="20"/>
              </w:rPr>
            </w:pPr>
          </w:p>
        </w:tc>
        <w:tc>
          <w:tcPr>
            <w:tcW w:w="1250" w:type="pct"/>
          </w:tcPr>
          <w:p w:rsidR="00C81B4C" w:rsidRPr="0076778F" w:rsidRDefault="00C81B4C" w:rsidP="0076778F">
            <w:pPr>
              <w:rPr>
                <w:sz w:val="20"/>
                <w:szCs w:val="20"/>
              </w:rPr>
            </w:pPr>
            <w:r w:rsidRPr="0076778F">
              <w:rPr>
                <w:sz w:val="20"/>
                <w:szCs w:val="20"/>
              </w:rPr>
              <w:t>Interviews with relevant NRA and UXO Lao staff</w:t>
            </w:r>
          </w:p>
          <w:p w:rsidR="00C81B4C" w:rsidRPr="0076778F" w:rsidRDefault="00C81B4C" w:rsidP="0076778F">
            <w:pPr>
              <w:rPr>
                <w:sz w:val="20"/>
                <w:szCs w:val="20"/>
              </w:rPr>
            </w:pPr>
            <w:r w:rsidRPr="0076778F">
              <w:rPr>
                <w:sz w:val="20"/>
                <w:szCs w:val="20"/>
              </w:rPr>
              <w:t>Minutes of meetings</w:t>
            </w:r>
          </w:p>
          <w:p w:rsidR="00C81B4C" w:rsidRPr="0076778F" w:rsidRDefault="00C81B4C" w:rsidP="0076778F">
            <w:pPr>
              <w:rPr>
                <w:sz w:val="20"/>
                <w:szCs w:val="20"/>
              </w:rPr>
            </w:pPr>
            <w:r w:rsidRPr="0076778F">
              <w:rPr>
                <w:sz w:val="20"/>
                <w:szCs w:val="20"/>
              </w:rPr>
              <w:t>Annual reports</w:t>
            </w:r>
          </w:p>
          <w:p w:rsidR="00C81B4C" w:rsidRPr="0076778F" w:rsidRDefault="00C81B4C" w:rsidP="0076778F">
            <w:pPr>
              <w:rPr>
                <w:sz w:val="20"/>
                <w:szCs w:val="20"/>
              </w:rPr>
            </w:pPr>
            <w:r w:rsidRPr="0076778F">
              <w:rPr>
                <w:sz w:val="20"/>
                <w:szCs w:val="20"/>
              </w:rPr>
              <w:t>TWG meeting minutes</w:t>
            </w:r>
          </w:p>
          <w:p w:rsidR="00C81B4C" w:rsidRPr="0076778F" w:rsidRDefault="00C81B4C" w:rsidP="0076778F">
            <w:pPr>
              <w:rPr>
                <w:sz w:val="20"/>
                <w:szCs w:val="20"/>
              </w:rPr>
            </w:pPr>
            <w:r w:rsidRPr="0076778F">
              <w:rPr>
                <w:sz w:val="20"/>
                <w:szCs w:val="20"/>
              </w:rPr>
              <w:t>SWG meetings</w:t>
            </w:r>
          </w:p>
          <w:p w:rsidR="00C81B4C" w:rsidRPr="0076778F" w:rsidRDefault="00C81B4C" w:rsidP="0076778F">
            <w:pPr>
              <w:rPr>
                <w:sz w:val="20"/>
                <w:szCs w:val="20"/>
              </w:rPr>
            </w:pPr>
            <w:r w:rsidRPr="0076778F">
              <w:rPr>
                <w:sz w:val="20"/>
                <w:szCs w:val="20"/>
              </w:rPr>
              <w:t xml:space="preserve">Dissemination of progress through communication strategy </w:t>
            </w:r>
          </w:p>
        </w:tc>
        <w:tc>
          <w:tcPr>
            <w:tcW w:w="1250" w:type="pct"/>
          </w:tcPr>
          <w:p w:rsidR="00C81B4C" w:rsidRPr="0076778F" w:rsidRDefault="00C81B4C" w:rsidP="00C5275C">
            <w:pPr>
              <w:rPr>
                <w:sz w:val="20"/>
                <w:szCs w:val="20"/>
              </w:rPr>
            </w:pPr>
            <w:r w:rsidRPr="0076778F">
              <w:rPr>
                <w:sz w:val="20"/>
                <w:szCs w:val="20"/>
              </w:rPr>
              <w:t>Action plan developed by end of 2016</w:t>
            </w:r>
          </w:p>
        </w:tc>
      </w:tr>
      <w:tr w:rsidR="00D50F20" w:rsidRPr="0076778F" w:rsidTr="0076778F">
        <w:tc>
          <w:tcPr>
            <w:tcW w:w="5000" w:type="pct"/>
            <w:gridSpan w:val="4"/>
          </w:tcPr>
          <w:p w:rsidR="00D50F20" w:rsidRPr="0076778F" w:rsidRDefault="00D50F20" w:rsidP="00596A2A">
            <w:pPr>
              <w:rPr>
                <w:sz w:val="20"/>
                <w:szCs w:val="20"/>
              </w:rPr>
            </w:pPr>
            <w:r w:rsidRPr="0076778F">
              <w:rPr>
                <w:rFonts w:cs="TT15Et00"/>
                <w:b/>
                <w:sz w:val="20"/>
                <w:szCs w:val="20"/>
              </w:rPr>
              <w:t>Recommendation</w:t>
            </w:r>
            <w:r w:rsidRPr="0076778F">
              <w:rPr>
                <w:rFonts w:cs="TT15Ct00"/>
                <w:sz w:val="20"/>
                <w:szCs w:val="20"/>
              </w:rPr>
              <w:t xml:space="preserve"> </w:t>
            </w:r>
            <w:r w:rsidR="00596A2A">
              <w:rPr>
                <w:rFonts w:cs="TT15Ct00"/>
                <w:b/>
                <w:sz w:val="20"/>
                <w:szCs w:val="20"/>
              </w:rPr>
              <w:t>14</w:t>
            </w:r>
            <w:r w:rsidR="00596A2A">
              <w:rPr>
                <w:sz w:val="20"/>
                <w:szCs w:val="20"/>
              </w:rPr>
              <w:t xml:space="preserve"> </w:t>
            </w:r>
            <w:r w:rsidR="00596A2A" w:rsidRPr="00596A2A">
              <w:rPr>
                <w:sz w:val="20"/>
                <w:szCs w:val="20"/>
              </w:rPr>
              <w:t>The UNDP should facilitate dialogue between the NRA, Ministry of Health, and WHO, and other relevant organisations to develop an action plan to review the quality of the incident surveillance and data collection to ensure alignment with (current or planned) injury surveillance systems, the integration of epidemiological principals into the surveillance of UXO injury; and adherence to WHO’s minimal recommendation dataset for injury surveillance.</w:t>
            </w:r>
          </w:p>
        </w:tc>
      </w:tr>
      <w:tr w:rsidR="00C81B4C" w:rsidRPr="0076778F" w:rsidTr="0076778F">
        <w:tc>
          <w:tcPr>
            <w:tcW w:w="1250" w:type="pct"/>
          </w:tcPr>
          <w:p w:rsidR="00C81B4C" w:rsidRPr="0076778F" w:rsidRDefault="00C81B4C" w:rsidP="00D50F20">
            <w:pPr>
              <w:rPr>
                <w:sz w:val="20"/>
                <w:szCs w:val="20"/>
              </w:rPr>
            </w:pPr>
            <w:r w:rsidRPr="0076778F">
              <w:rPr>
                <w:sz w:val="20"/>
                <w:szCs w:val="20"/>
              </w:rPr>
              <w:t>Consultation and facilitation of meetings/workshops with NRA, UXO Lao, WHO, MOH &amp; other stakeholders</w:t>
            </w:r>
          </w:p>
          <w:p w:rsidR="00C81B4C" w:rsidRPr="0076778F" w:rsidRDefault="00C81B4C" w:rsidP="00D50F20">
            <w:pPr>
              <w:rPr>
                <w:sz w:val="20"/>
                <w:szCs w:val="20"/>
              </w:rPr>
            </w:pPr>
            <w:r w:rsidRPr="0076778F">
              <w:rPr>
                <w:sz w:val="20"/>
                <w:szCs w:val="20"/>
              </w:rPr>
              <w:t>Facilitating integration of transition of UXO injury surveillance to national injury surveillance system</w:t>
            </w:r>
          </w:p>
          <w:p w:rsidR="00C81B4C" w:rsidRPr="0076778F" w:rsidRDefault="00C81B4C" w:rsidP="00D50F20">
            <w:pPr>
              <w:rPr>
                <w:sz w:val="20"/>
                <w:szCs w:val="20"/>
              </w:rPr>
            </w:pPr>
          </w:p>
          <w:p w:rsidR="00C81B4C" w:rsidRPr="0076778F" w:rsidRDefault="00C81B4C" w:rsidP="00D50F20">
            <w:pPr>
              <w:rPr>
                <w:sz w:val="20"/>
                <w:szCs w:val="20"/>
              </w:rPr>
            </w:pPr>
            <w:r w:rsidRPr="0076778F">
              <w:rPr>
                <w:sz w:val="20"/>
                <w:szCs w:val="20"/>
              </w:rPr>
              <w:t>Develop an action plan to review the quality of the incident surveillance and data collection to ensure alignment with (current or planned) injury surveillance systems</w:t>
            </w:r>
          </w:p>
          <w:p w:rsidR="00C81B4C" w:rsidRPr="0076778F" w:rsidRDefault="00C81B4C" w:rsidP="00D50F20">
            <w:pPr>
              <w:rPr>
                <w:sz w:val="20"/>
                <w:szCs w:val="20"/>
              </w:rPr>
            </w:pPr>
          </w:p>
          <w:p w:rsidR="00C81B4C" w:rsidRPr="0076778F" w:rsidRDefault="00C81B4C" w:rsidP="006B459B">
            <w:pPr>
              <w:rPr>
                <w:sz w:val="20"/>
                <w:szCs w:val="20"/>
              </w:rPr>
            </w:pPr>
          </w:p>
          <w:p w:rsidR="00C81B4C" w:rsidRPr="0076778F" w:rsidRDefault="00C81B4C" w:rsidP="006B459B">
            <w:pPr>
              <w:rPr>
                <w:sz w:val="20"/>
                <w:szCs w:val="20"/>
              </w:rPr>
            </w:pPr>
          </w:p>
          <w:p w:rsidR="00C81B4C" w:rsidRPr="0076778F" w:rsidRDefault="00C81B4C" w:rsidP="006B459B">
            <w:pPr>
              <w:rPr>
                <w:sz w:val="20"/>
                <w:szCs w:val="20"/>
              </w:rPr>
            </w:pPr>
          </w:p>
          <w:p w:rsidR="00C81B4C" w:rsidRPr="0076778F" w:rsidRDefault="00C81B4C" w:rsidP="006B459B">
            <w:pPr>
              <w:rPr>
                <w:sz w:val="20"/>
                <w:szCs w:val="20"/>
              </w:rPr>
            </w:pPr>
          </w:p>
          <w:p w:rsidR="00C81B4C" w:rsidRPr="0076778F" w:rsidRDefault="00C81B4C" w:rsidP="006B459B">
            <w:pPr>
              <w:tabs>
                <w:tab w:val="left" w:pos="2190"/>
              </w:tabs>
              <w:rPr>
                <w:sz w:val="20"/>
                <w:szCs w:val="20"/>
              </w:rPr>
            </w:pPr>
            <w:r w:rsidRPr="0076778F">
              <w:rPr>
                <w:sz w:val="20"/>
                <w:szCs w:val="20"/>
              </w:rPr>
              <w:tab/>
            </w:r>
          </w:p>
        </w:tc>
        <w:tc>
          <w:tcPr>
            <w:tcW w:w="1250" w:type="pct"/>
          </w:tcPr>
          <w:p w:rsidR="00C81B4C" w:rsidRPr="0076778F" w:rsidRDefault="00C81B4C" w:rsidP="00C5275C">
            <w:pPr>
              <w:rPr>
                <w:sz w:val="20"/>
                <w:szCs w:val="20"/>
              </w:rPr>
            </w:pPr>
            <w:r w:rsidRPr="0076778F">
              <w:rPr>
                <w:sz w:val="20"/>
                <w:szCs w:val="20"/>
              </w:rPr>
              <w:t>Number of meetings facilitated by UNDP</w:t>
            </w:r>
          </w:p>
          <w:p w:rsidR="00C81B4C" w:rsidRPr="0076778F" w:rsidRDefault="00C81B4C" w:rsidP="00C5275C">
            <w:pPr>
              <w:rPr>
                <w:sz w:val="20"/>
                <w:szCs w:val="20"/>
              </w:rPr>
            </w:pPr>
            <w:r w:rsidRPr="0076778F">
              <w:rPr>
                <w:sz w:val="20"/>
                <w:szCs w:val="20"/>
              </w:rPr>
              <w:t>Relevance, effectiveness and impact of UNDP’s facilitation</w:t>
            </w:r>
          </w:p>
        </w:tc>
        <w:tc>
          <w:tcPr>
            <w:tcW w:w="1250" w:type="pct"/>
          </w:tcPr>
          <w:p w:rsidR="00C81B4C" w:rsidRPr="0076778F" w:rsidRDefault="00C81B4C" w:rsidP="00C5275C">
            <w:pPr>
              <w:rPr>
                <w:sz w:val="20"/>
                <w:szCs w:val="20"/>
              </w:rPr>
            </w:pPr>
            <w:r w:rsidRPr="0076778F">
              <w:rPr>
                <w:sz w:val="20"/>
                <w:szCs w:val="20"/>
              </w:rPr>
              <w:t>Minutes of meetings (including VA TWG minutes)</w:t>
            </w:r>
          </w:p>
          <w:p w:rsidR="00C81B4C" w:rsidRPr="0076778F" w:rsidRDefault="00C81B4C" w:rsidP="00C5275C">
            <w:pPr>
              <w:rPr>
                <w:sz w:val="20"/>
                <w:szCs w:val="20"/>
              </w:rPr>
            </w:pPr>
            <w:r w:rsidRPr="0076778F">
              <w:rPr>
                <w:sz w:val="20"/>
                <w:szCs w:val="20"/>
              </w:rPr>
              <w:t>Action plan incorporated into future programme documents</w:t>
            </w:r>
          </w:p>
          <w:p w:rsidR="00C81B4C" w:rsidRPr="0076778F" w:rsidRDefault="00C81B4C" w:rsidP="00C5275C">
            <w:pPr>
              <w:rPr>
                <w:sz w:val="20"/>
                <w:szCs w:val="20"/>
              </w:rPr>
            </w:pPr>
            <w:r w:rsidRPr="0076778F">
              <w:rPr>
                <w:sz w:val="20"/>
                <w:szCs w:val="20"/>
              </w:rPr>
              <w:t>Annual reports</w:t>
            </w:r>
          </w:p>
          <w:p w:rsidR="00C81B4C" w:rsidRPr="0076778F" w:rsidRDefault="00C81B4C" w:rsidP="00C5275C">
            <w:pPr>
              <w:rPr>
                <w:sz w:val="20"/>
                <w:szCs w:val="20"/>
              </w:rPr>
            </w:pPr>
            <w:r w:rsidRPr="0076778F">
              <w:rPr>
                <w:sz w:val="20"/>
                <w:szCs w:val="20"/>
              </w:rPr>
              <w:t>Transition plan includes plans to transition UXO injury surveillance to national injury surveillance system</w:t>
            </w:r>
          </w:p>
          <w:p w:rsidR="00C81B4C" w:rsidRPr="0076778F" w:rsidRDefault="00C81B4C" w:rsidP="00C5275C">
            <w:pPr>
              <w:rPr>
                <w:sz w:val="20"/>
                <w:szCs w:val="20"/>
              </w:rPr>
            </w:pPr>
            <w:r w:rsidRPr="0076778F">
              <w:rPr>
                <w:sz w:val="20"/>
                <w:szCs w:val="20"/>
              </w:rPr>
              <w:t>Interviews with NRA, WHO, MOH staff</w:t>
            </w:r>
          </w:p>
        </w:tc>
        <w:tc>
          <w:tcPr>
            <w:tcW w:w="1250" w:type="pct"/>
          </w:tcPr>
          <w:p w:rsidR="00C81B4C" w:rsidRPr="0076778F" w:rsidRDefault="00C81B4C" w:rsidP="00C5275C">
            <w:pPr>
              <w:rPr>
                <w:sz w:val="20"/>
                <w:szCs w:val="20"/>
              </w:rPr>
            </w:pPr>
            <w:r w:rsidRPr="0076778F">
              <w:rPr>
                <w:sz w:val="20"/>
                <w:szCs w:val="20"/>
              </w:rPr>
              <w:t xml:space="preserve">Commence by end of second of 2016 </w:t>
            </w:r>
          </w:p>
        </w:tc>
      </w:tr>
    </w:tbl>
    <w:p w:rsidR="008E4D1E" w:rsidRDefault="008E4D1E" w:rsidP="00C124D4">
      <w:pPr>
        <w:sectPr w:rsidR="008E4D1E">
          <w:pgSz w:w="15840" w:h="12240" w:orient="landscape"/>
          <w:pgMar w:top="1440" w:right="1440" w:bottom="1440" w:left="1440" w:header="720" w:footer="720" w:gutter="0"/>
          <w:cols w:space="720"/>
          <w:docGrid w:linePitch="360"/>
        </w:sectPr>
      </w:pPr>
    </w:p>
    <w:p w:rsidR="008E4D1E" w:rsidRPr="00AD07DE" w:rsidRDefault="008E4D1E" w:rsidP="000E5852">
      <w:pPr>
        <w:pStyle w:val="Heading1"/>
      </w:pPr>
      <w:bookmarkStart w:id="59" w:name="_Toc425706716"/>
      <w:bookmarkStart w:id="60" w:name="_Toc425766763"/>
      <w:bookmarkStart w:id="61" w:name="_Toc425767223"/>
      <w:bookmarkStart w:id="62" w:name="_Toc425774267"/>
      <w:bookmarkStart w:id="63" w:name="_Toc428823618"/>
      <w:bookmarkStart w:id="64" w:name="_Toc430242304"/>
      <w:bookmarkStart w:id="65" w:name="_Toc441609359"/>
      <w:r w:rsidRPr="00AD07DE">
        <w:t>Appen</w:t>
      </w:r>
      <w:r w:rsidR="005F2BA6">
        <w:t>dix 6</w:t>
      </w:r>
      <w:r w:rsidRPr="00AD07DE">
        <w:t xml:space="preserve">: </w:t>
      </w:r>
      <w:bookmarkEnd w:id="59"/>
      <w:bookmarkEnd w:id="60"/>
      <w:bookmarkEnd w:id="61"/>
      <w:bookmarkEnd w:id="62"/>
      <w:r w:rsidR="00E638FB">
        <w:t>Acronyms u</w:t>
      </w:r>
      <w:r w:rsidRPr="00AD07DE">
        <w:t>sed</w:t>
      </w:r>
      <w:bookmarkEnd w:id="63"/>
      <w:bookmarkEnd w:id="64"/>
      <w:bookmarkEnd w:id="65"/>
    </w:p>
    <w:p w:rsidR="008E4D1E" w:rsidRPr="007F3C79" w:rsidRDefault="008E4D1E" w:rsidP="008E4D1E">
      <w:pPr>
        <w:tabs>
          <w:tab w:val="left" w:pos="2268"/>
        </w:tabs>
        <w:spacing w:after="0"/>
        <w:rPr>
          <w:rFonts w:cs="Times New Roman"/>
        </w:rPr>
      </w:pPr>
      <w:r w:rsidRPr="007F3C79">
        <w:rPr>
          <w:rFonts w:cs="Times New Roman"/>
        </w:rPr>
        <w:t>1MSP</w:t>
      </w:r>
      <w:r w:rsidRPr="007F3C79">
        <w:rPr>
          <w:rFonts w:cs="Times New Roman"/>
        </w:rPr>
        <w:tab/>
        <w:t>First Meeting of States Parties</w:t>
      </w:r>
    </w:p>
    <w:p w:rsidR="008E4D1E" w:rsidRPr="007F3C79" w:rsidRDefault="008E4D1E" w:rsidP="008E4D1E">
      <w:pPr>
        <w:tabs>
          <w:tab w:val="left" w:pos="2268"/>
        </w:tabs>
        <w:spacing w:after="0"/>
        <w:rPr>
          <w:rFonts w:cs="Times New Roman"/>
        </w:rPr>
      </w:pPr>
      <w:r w:rsidRPr="007F3C79">
        <w:rPr>
          <w:rFonts w:cs="Times New Roman"/>
        </w:rPr>
        <w:t>BAC</w:t>
      </w:r>
      <w:r w:rsidRPr="007F3C79">
        <w:rPr>
          <w:rFonts w:cs="Times New Roman"/>
        </w:rPr>
        <w:tab/>
      </w:r>
      <w:r w:rsidRPr="007F3C79">
        <w:t xml:space="preserve">Battle area clearance </w:t>
      </w:r>
    </w:p>
    <w:p w:rsidR="008E4D1E" w:rsidRPr="007F3C79" w:rsidRDefault="008E4D1E" w:rsidP="008E4D1E">
      <w:pPr>
        <w:tabs>
          <w:tab w:val="left" w:pos="2268"/>
        </w:tabs>
        <w:spacing w:after="0"/>
        <w:rPr>
          <w:rFonts w:cs="Times New Roman"/>
        </w:rPr>
      </w:pPr>
      <w:r w:rsidRPr="007F3C79">
        <w:rPr>
          <w:rFonts w:cs="Times New Roman"/>
        </w:rPr>
        <w:t>CCM</w:t>
      </w:r>
      <w:r w:rsidRPr="007F3C79">
        <w:rPr>
          <w:rFonts w:cs="Times New Roman"/>
        </w:rPr>
        <w:tab/>
        <w:t>Convention on Cluster Munitions</w:t>
      </w:r>
    </w:p>
    <w:p w:rsidR="008E4D1E" w:rsidRPr="007F3C79" w:rsidRDefault="008E4D1E" w:rsidP="008E4D1E">
      <w:pPr>
        <w:tabs>
          <w:tab w:val="left" w:pos="2268"/>
        </w:tabs>
        <w:spacing w:after="0"/>
        <w:rPr>
          <w:rFonts w:cs="Times New Roman"/>
        </w:rPr>
      </w:pPr>
      <w:r w:rsidRPr="007F3C79">
        <w:rPr>
          <w:rFonts w:cs="Times New Roman"/>
        </w:rPr>
        <w:t>CHA</w:t>
      </w:r>
      <w:r w:rsidRPr="007F3C79">
        <w:rPr>
          <w:rFonts w:cs="Times New Roman"/>
        </w:rPr>
        <w:tab/>
        <w:t>Confirmed hazardous area</w:t>
      </w:r>
    </w:p>
    <w:p w:rsidR="008E4D1E" w:rsidRPr="007F3C79" w:rsidRDefault="008E4D1E" w:rsidP="008E4D1E">
      <w:pPr>
        <w:tabs>
          <w:tab w:val="left" w:pos="2268"/>
        </w:tabs>
        <w:spacing w:after="0"/>
        <w:rPr>
          <w:rFonts w:cs="Times New Roman"/>
        </w:rPr>
      </w:pPr>
      <w:r w:rsidRPr="007F3C79">
        <w:rPr>
          <w:rFonts w:cs="Times New Roman"/>
        </w:rPr>
        <w:t>CMTS</w:t>
      </w:r>
      <w:r w:rsidRPr="007F3C79">
        <w:rPr>
          <w:rFonts w:cs="Times New Roman"/>
        </w:rPr>
        <w:tab/>
        <w:t>Cluster Munition Technical Survey</w:t>
      </w:r>
    </w:p>
    <w:p w:rsidR="008E4D1E" w:rsidRPr="007F3C79" w:rsidRDefault="008E4D1E" w:rsidP="008E4D1E">
      <w:pPr>
        <w:tabs>
          <w:tab w:val="left" w:pos="2268"/>
        </w:tabs>
        <w:spacing w:after="0"/>
      </w:pPr>
      <w:r w:rsidRPr="007F3C79">
        <w:t>COPE</w:t>
      </w:r>
      <w:r w:rsidRPr="007F3C79">
        <w:tab/>
        <w:t>Cooperative Orthotic and Prosthetic Enterprise</w:t>
      </w:r>
    </w:p>
    <w:p w:rsidR="008E4D1E" w:rsidRPr="007F3C79" w:rsidRDefault="008E4D1E" w:rsidP="008E4D1E">
      <w:pPr>
        <w:tabs>
          <w:tab w:val="left" w:pos="2268"/>
        </w:tabs>
        <w:spacing w:after="0"/>
      </w:pPr>
      <w:r w:rsidRPr="007F3C79">
        <w:t>CRPD</w:t>
      </w:r>
      <w:r w:rsidRPr="007F3C79">
        <w:tab/>
        <w:t>Convention on the Rights of Persons with Disabilities</w:t>
      </w:r>
    </w:p>
    <w:p w:rsidR="008E4D1E" w:rsidRPr="007F3C79" w:rsidRDefault="008E4D1E" w:rsidP="008E4D1E">
      <w:pPr>
        <w:tabs>
          <w:tab w:val="left" w:pos="2268"/>
        </w:tabs>
        <w:spacing w:after="0"/>
      </w:pPr>
      <w:r w:rsidRPr="007F3C79">
        <w:t>DALY</w:t>
      </w:r>
      <w:r w:rsidRPr="007F3C79">
        <w:tab/>
        <w:t>Disability-adjusted life years</w:t>
      </w:r>
    </w:p>
    <w:p w:rsidR="008E4D1E" w:rsidRPr="007F3C79" w:rsidRDefault="008E4D1E" w:rsidP="008E4D1E">
      <w:pPr>
        <w:tabs>
          <w:tab w:val="left" w:pos="2268"/>
        </w:tabs>
        <w:spacing w:after="0"/>
      </w:pPr>
      <w:r w:rsidRPr="007F3C79">
        <w:t>FSD</w:t>
      </w:r>
      <w:r w:rsidRPr="007F3C79">
        <w:tab/>
      </w:r>
      <w:r w:rsidRPr="007F3C79">
        <w:rPr>
          <w:rFonts w:cs="Times New Roman"/>
        </w:rPr>
        <w:t>Swiss Foundation for Mine Action</w:t>
      </w:r>
    </w:p>
    <w:p w:rsidR="008E4D1E" w:rsidRPr="007F3C79" w:rsidRDefault="008E4D1E" w:rsidP="008E4D1E">
      <w:pPr>
        <w:tabs>
          <w:tab w:val="left" w:pos="2268"/>
        </w:tabs>
        <w:spacing w:after="0"/>
      </w:pPr>
      <w:r w:rsidRPr="007F3C79">
        <w:t>GoL</w:t>
      </w:r>
      <w:r w:rsidRPr="007F3C79">
        <w:tab/>
        <w:t>Government of Lao People’s Democratic Republic.</w:t>
      </w:r>
    </w:p>
    <w:p w:rsidR="008E4D1E" w:rsidRPr="007F3C79" w:rsidRDefault="008E4D1E" w:rsidP="008E4D1E">
      <w:pPr>
        <w:tabs>
          <w:tab w:val="left" w:pos="2268"/>
        </w:tabs>
        <w:spacing w:after="0"/>
      </w:pPr>
      <w:r w:rsidRPr="007F3C79">
        <w:t>GDP</w:t>
      </w:r>
      <w:r w:rsidRPr="007F3C79">
        <w:tab/>
        <w:t>Gross domestic product</w:t>
      </w:r>
    </w:p>
    <w:p w:rsidR="008E4D1E" w:rsidRPr="007F3C79" w:rsidRDefault="008E4D1E" w:rsidP="008E4D1E">
      <w:pPr>
        <w:tabs>
          <w:tab w:val="left" w:pos="2268"/>
        </w:tabs>
        <w:spacing w:after="0"/>
      </w:pPr>
      <w:r w:rsidRPr="007F3C79">
        <w:t>GICHD</w:t>
      </w:r>
      <w:r w:rsidRPr="007F3C79">
        <w:tab/>
        <w:t>Geneva International Centre for Humanitarian Demining</w:t>
      </w:r>
    </w:p>
    <w:p w:rsidR="008E4D1E" w:rsidRPr="007F3C79" w:rsidRDefault="008E4D1E" w:rsidP="008E4D1E">
      <w:pPr>
        <w:tabs>
          <w:tab w:val="left" w:pos="2268"/>
        </w:tabs>
        <w:spacing w:after="0"/>
      </w:pPr>
      <w:r w:rsidRPr="007F3C79">
        <w:t>HDI</w:t>
      </w:r>
      <w:r w:rsidRPr="007F3C79">
        <w:tab/>
        <w:t>Human development index</w:t>
      </w:r>
    </w:p>
    <w:p w:rsidR="008E4D1E" w:rsidRPr="007F3C79" w:rsidRDefault="008E4D1E" w:rsidP="008E4D1E">
      <w:pPr>
        <w:tabs>
          <w:tab w:val="left" w:pos="2268"/>
        </w:tabs>
        <w:spacing w:after="0"/>
      </w:pPr>
      <w:r w:rsidRPr="007F3C79">
        <w:t>IEO</w:t>
      </w:r>
      <w:r w:rsidRPr="007F3C79">
        <w:tab/>
        <w:t>Independent Evaluation Office</w:t>
      </w:r>
    </w:p>
    <w:p w:rsidR="008E4D1E" w:rsidRPr="007F3C79" w:rsidRDefault="008E4D1E" w:rsidP="008E4D1E">
      <w:pPr>
        <w:tabs>
          <w:tab w:val="left" w:pos="2268"/>
        </w:tabs>
        <w:spacing w:after="0"/>
      </w:pPr>
      <w:r w:rsidRPr="007F3C79">
        <w:t>IFAD</w:t>
      </w:r>
      <w:r w:rsidRPr="007F3C79">
        <w:tab/>
        <w:t>International Fund for Agricultural Development</w:t>
      </w:r>
    </w:p>
    <w:p w:rsidR="008E4D1E" w:rsidRPr="007F3C79" w:rsidRDefault="008E4D1E" w:rsidP="008E4D1E">
      <w:pPr>
        <w:tabs>
          <w:tab w:val="left" w:pos="2268"/>
        </w:tabs>
        <w:spacing w:after="0"/>
      </w:pPr>
      <w:r w:rsidRPr="007F3C79">
        <w:t>IMAS</w:t>
      </w:r>
      <w:r w:rsidRPr="007F3C79">
        <w:tab/>
        <w:t xml:space="preserve">International mine action standard </w:t>
      </w:r>
    </w:p>
    <w:p w:rsidR="008E4D1E" w:rsidRPr="007F3C79" w:rsidRDefault="008E4D1E" w:rsidP="008E4D1E">
      <w:pPr>
        <w:tabs>
          <w:tab w:val="left" w:pos="2268"/>
        </w:tabs>
        <w:spacing w:after="0"/>
      </w:pPr>
      <w:r w:rsidRPr="007F3C79">
        <w:t>IMSMA</w:t>
      </w:r>
      <w:r w:rsidRPr="007F3C79">
        <w:tab/>
        <w:t>Information Management System for Mine Action</w:t>
      </w:r>
    </w:p>
    <w:p w:rsidR="008E4D1E" w:rsidRPr="007F3C79" w:rsidRDefault="008E4D1E" w:rsidP="008E4D1E">
      <w:pPr>
        <w:tabs>
          <w:tab w:val="left" w:pos="2268"/>
        </w:tabs>
        <w:spacing w:after="0"/>
      </w:pPr>
      <w:r w:rsidRPr="007F3C79">
        <w:t>INGO</w:t>
      </w:r>
      <w:r w:rsidRPr="007F3C79">
        <w:tab/>
        <w:t>International non-governmental organisation</w:t>
      </w:r>
    </w:p>
    <w:p w:rsidR="008E4D1E" w:rsidRPr="007F3C79" w:rsidRDefault="008E4D1E" w:rsidP="008E4D1E">
      <w:pPr>
        <w:tabs>
          <w:tab w:val="left" w:pos="2268"/>
        </w:tabs>
        <w:spacing w:after="0"/>
      </w:pPr>
      <w:r w:rsidRPr="007F3C79">
        <w:t>MAG</w:t>
      </w:r>
      <w:r w:rsidRPr="007F3C79">
        <w:tab/>
        <w:t>Mines Advisory Group</w:t>
      </w:r>
    </w:p>
    <w:p w:rsidR="008E4D1E" w:rsidRPr="007F3C79" w:rsidRDefault="008E4D1E" w:rsidP="008E4D1E">
      <w:pPr>
        <w:tabs>
          <w:tab w:val="left" w:pos="2268"/>
        </w:tabs>
        <w:spacing w:after="0"/>
      </w:pPr>
      <w:r w:rsidRPr="007F3C79">
        <w:t>MDG</w:t>
      </w:r>
      <w:r w:rsidRPr="007F3C79">
        <w:tab/>
        <w:t>Millennium</w:t>
      </w:r>
      <w:r w:rsidRPr="007F3C79">
        <w:rPr>
          <w:bCs/>
        </w:rPr>
        <w:t xml:space="preserve"> Development Goals</w:t>
      </w:r>
    </w:p>
    <w:p w:rsidR="008E4D1E" w:rsidRPr="007F3C79" w:rsidRDefault="008E4D1E" w:rsidP="008E4D1E">
      <w:pPr>
        <w:tabs>
          <w:tab w:val="left" w:pos="2268"/>
        </w:tabs>
        <w:spacing w:after="0"/>
      </w:pPr>
      <w:r w:rsidRPr="007F3C79">
        <w:t>MLSW</w:t>
      </w:r>
      <w:r w:rsidRPr="007F3C79">
        <w:tab/>
        <w:t>Ministry of Labour and Social Welfare</w:t>
      </w:r>
    </w:p>
    <w:p w:rsidR="008E4D1E" w:rsidRPr="007F3C79" w:rsidRDefault="008E4D1E" w:rsidP="008E4D1E">
      <w:pPr>
        <w:tabs>
          <w:tab w:val="left" w:pos="2268"/>
        </w:tabs>
        <w:spacing w:after="0"/>
        <w:rPr>
          <w:rFonts w:cs="Times New Roman"/>
        </w:rPr>
      </w:pPr>
      <w:r w:rsidRPr="007F3C79">
        <w:rPr>
          <w:rFonts w:cs="Times New Roman"/>
        </w:rPr>
        <w:t>MoFA</w:t>
      </w:r>
      <w:r w:rsidRPr="007F3C79">
        <w:rPr>
          <w:rFonts w:cs="Times New Roman"/>
        </w:rPr>
        <w:tab/>
        <w:t>Ministry of Foreign Affairs</w:t>
      </w:r>
    </w:p>
    <w:p w:rsidR="008E4D1E" w:rsidRPr="007F3C79" w:rsidRDefault="008E4D1E" w:rsidP="008E4D1E">
      <w:pPr>
        <w:tabs>
          <w:tab w:val="left" w:pos="2268"/>
        </w:tabs>
        <w:spacing w:after="0"/>
      </w:pPr>
      <w:r w:rsidRPr="007F3C79">
        <w:t>MOU</w:t>
      </w:r>
      <w:r w:rsidRPr="007F3C79">
        <w:tab/>
        <w:t>Memorandum of Understanding</w:t>
      </w:r>
    </w:p>
    <w:p w:rsidR="008E4D1E" w:rsidRPr="007F3C79" w:rsidRDefault="008E4D1E" w:rsidP="008E4D1E">
      <w:pPr>
        <w:tabs>
          <w:tab w:val="left" w:pos="2268"/>
        </w:tabs>
        <w:spacing w:after="0"/>
      </w:pPr>
      <w:r w:rsidRPr="007F3C79">
        <w:t>MRE</w:t>
      </w:r>
      <w:r w:rsidRPr="007F3C79">
        <w:tab/>
        <w:t>Mine Risk Education</w:t>
      </w:r>
    </w:p>
    <w:p w:rsidR="008E4D1E" w:rsidRPr="007F3C79" w:rsidRDefault="008E4D1E" w:rsidP="008E4D1E">
      <w:pPr>
        <w:tabs>
          <w:tab w:val="left" w:pos="2268"/>
        </w:tabs>
        <w:spacing w:after="0"/>
      </w:pPr>
      <w:r w:rsidRPr="007F3C79">
        <w:t xml:space="preserve">NCRDPE                               </w:t>
      </w:r>
      <w:r w:rsidRPr="007F3C79">
        <w:rPr>
          <w:rFonts w:cs="Times New Roman"/>
        </w:rPr>
        <w:t xml:space="preserve">National Committee for Rural Development and Poverty Eradication </w:t>
      </w:r>
    </w:p>
    <w:p w:rsidR="008E4D1E" w:rsidRPr="007F3C79" w:rsidRDefault="008E4D1E" w:rsidP="008E4D1E">
      <w:pPr>
        <w:tabs>
          <w:tab w:val="left" w:pos="2268"/>
        </w:tabs>
        <w:spacing w:after="0"/>
      </w:pPr>
      <w:r w:rsidRPr="007F3C79">
        <w:t>NGO</w:t>
      </w:r>
      <w:r w:rsidRPr="007F3C79">
        <w:tab/>
        <w:t>Non-governmental organisation</w:t>
      </w:r>
    </w:p>
    <w:p w:rsidR="008E4D1E" w:rsidRPr="007F3C79" w:rsidRDefault="008E4D1E" w:rsidP="008E4D1E">
      <w:pPr>
        <w:tabs>
          <w:tab w:val="left" w:pos="2268"/>
        </w:tabs>
        <w:spacing w:after="0"/>
      </w:pPr>
      <w:r w:rsidRPr="007F3C79">
        <w:t>NRA</w:t>
      </w:r>
      <w:r w:rsidRPr="007F3C79">
        <w:tab/>
        <w:t>National Regulatory Authority for the Lao PDR</w:t>
      </w:r>
    </w:p>
    <w:p w:rsidR="008E4D1E" w:rsidRPr="007F3C79" w:rsidRDefault="008E4D1E" w:rsidP="008E4D1E">
      <w:pPr>
        <w:tabs>
          <w:tab w:val="left" w:pos="2268"/>
        </w:tabs>
        <w:spacing w:after="0"/>
        <w:rPr>
          <w:rFonts w:cs="Times New Roman"/>
        </w:rPr>
      </w:pPr>
      <w:r w:rsidRPr="007F3C79">
        <w:rPr>
          <w:rFonts w:cs="Times New Roman"/>
        </w:rPr>
        <w:t>NSEDP</w:t>
      </w:r>
      <w:r w:rsidRPr="007F3C79">
        <w:rPr>
          <w:rFonts w:cs="Times New Roman"/>
        </w:rPr>
        <w:tab/>
        <w:t xml:space="preserve">National Socio-Economic Development Plan </w:t>
      </w:r>
    </w:p>
    <w:p w:rsidR="008E4D1E" w:rsidRPr="007F3C79" w:rsidRDefault="008E4D1E" w:rsidP="008E4D1E">
      <w:pPr>
        <w:tabs>
          <w:tab w:val="left" w:pos="2268"/>
        </w:tabs>
        <w:spacing w:after="0"/>
      </w:pPr>
      <w:r w:rsidRPr="007F3C79">
        <w:t>ODA</w:t>
      </w:r>
      <w:r w:rsidRPr="007F3C79">
        <w:tab/>
        <w:t>Official development assistance</w:t>
      </w:r>
    </w:p>
    <w:p w:rsidR="008E4D1E" w:rsidRPr="007F3C79" w:rsidRDefault="008E4D1E" w:rsidP="008E4D1E">
      <w:pPr>
        <w:tabs>
          <w:tab w:val="left" w:pos="2268"/>
        </w:tabs>
        <w:spacing w:after="0"/>
      </w:pPr>
      <w:r w:rsidRPr="007F3C79">
        <w:t>PDR</w:t>
      </w:r>
      <w:r w:rsidRPr="007F3C79">
        <w:tab/>
        <w:t>People’s Democratic Republic</w:t>
      </w:r>
    </w:p>
    <w:p w:rsidR="008E4D1E" w:rsidRPr="007F3C79" w:rsidRDefault="008E4D1E" w:rsidP="008E4D1E">
      <w:pPr>
        <w:tabs>
          <w:tab w:val="left" w:pos="2268"/>
        </w:tabs>
        <w:spacing w:after="0"/>
        <w:rPr>
          <w:rFonts w:cs="Times New Roman"/>
        </w:rPr>
      </w:pPr>
      <w:r w:rsidRPr="007F3C79">
        <w:rPr>
          <w:rFonts w:cs="Times New Roman"/>
        </w:rPr>
        <w:t>PM</w:t>
      </w:r>
      <w:r w:rsidRPr="007F3C79">
        <w:rPr>
          <w:rFonts w:cs="Times New Roman"/>
        </w:rPr>
        <w:tab/>
        <w:t>Prime Minister</w:t>
      </w:r>
    </w:p>
    <w:p w:rsidR="008E4D1E" w:rsidRPr="007F3C79" w:rsidRDefault="008E4D1E" w:rsidP="008E4D1E">
      <w:pPr>
        <w:tabs>
          <w:tab w:val="left" w:pos="2268"/>
        </w:tabs>
        <w:spacing w:after="0"/>
        <w:rPr>
          <w:rFonts w:cs="Times New Roman"/>
        </w:rPr>
      </w:pPr>
      <w:r w:rsidRPr="007F3C79">
        <w:rPr>
          <w:rFonts w:cs="Times New Roman"/>
        </w:rPr>
        <w:t>SEOD</w:t>
      </w:r>
      <w:r w:rsidRPr="007F3C79">
        <w:rPr>
          <w:rFonts w:cs="Times New Roman"/>
        </w:rPr>
        <w:tab/>
        <w:t xml:space="preserve">Senior Explosive Ordnance Disposal </w:t>
      </w:r>
    </w:p>
    <w:p w:rsidR="008E4D1E" w:rsidRPr="007F3C79" w:rsidRDefault="008E4D1E" w:rsidP="008E4D1E">
      <w:pPr>
        <w:tabs>
          <w:tab w:val="left" w:pos="2268"/>
        </w:tabs>
        <w:spacing w:after="0"/>
        <w:rPr>
          <w:rFonts w:cs="Times New Roman"/>
        </w:rPr>
      </w:pPr>
      <w:r w:rsidRPr="007F3C79">
        <w:rPr>
          <w:rFonts w:cs="Times New Roman"/>
        </w:rPr>
        <w:t>SPM</w:t>
      </w:r>
      <w:r w:rsidRPr="007F3C79">
        <w:rPr>
          <w:rFonts w:cs="Times New Roman"/>
        </w:rPr>
        <w:tab/>
        <w:t>State Parties Meeting</w:t>
      </w:r>
    </w:p>
    <w:p w:rsidR="008E4D1E" w:rsidRPr="007F3C79" w:rsidRDefault="008E4D1E" w:rsidP="008E4D1E">
      <w:pPr>
        <w:tabs>
          <w:tab w:val="left" w:pos="2268"/>
        </w:tabs>
        <w:spacing w:after="0"/>
      </w:pPr>
      <w:r w:rsidRPr="007F3C79">
        <w:t>SWG</w:t>
      </w:r>
      <w:r w:rsidRPr="007F3C79">
        <w:tab/>
        <w:t>Sector Working Group</w:t>
      </w:r>
    </w:p>
    <w:p w:rsidR="008E4D1E" w:rsidRPr="007F3C79" w:rsidRDefault="008E4D1E" w:rsidP="008E4D1E">
      <w:pPr>
        <w:tabs>
          <w:tab w:val="left" w:pos="2268"/>
        </w:tabs>
        <w:spacing w:after="0"/>
      </w:pPr>
      <w:r w:rsidRPr="007F3C79">
        <w:t>TWG</w:t>
      </w:r>
      <w:r w:rsidRPr="007F3C79">
        <w:tab/>
        <w:t>Technical Working Group</w:t>
      </w:r>
    </w:p>
    <w:p w:rsidR="008E4D1E" w:rsidRPr="007F3C79" w:rsidRDefault="008E4D1E" w:rsidP="008E4D1E">
      <w:pPr>
        <w:tabs>
          <w:tab w:val="left" w:pos="2268"/>
        </w:tabs>
        <w:spacing w:after="0"/>
      </w:pPr>
      <w:r w:rsidRPr="007F3C79">
        <w:t>UN</w:t>
      </w:r>
      <w:r w:rsidRPr="007F3C79">
        <w:tab/>
        <w:t>United Nations</w:t>
      </w:r>
    </w:p>
    <w:p w:rsidR="008E4D1E" w:rsidRPr="007F3C79" w:rsidRDefault="008E4D1E" w:rsidP="008E4D1E">
      <w:pPr>
        <w:tabs>
          <w:tab w:val="left" w:pos="2268"/>
        </w:tabs>
        <w:spacing w:after="0"/>
      </w:pPr>
      <w:r w:rsidRPr="007F3C79">
        <w:t>UNDAF</w:t>
      </w:r>
      <w:r w:rsidRPr="007F3C79">
        <w:tab/>
        <w:t>United Nations Development Action Framework</w:t>
      </w:r>
    </w:p>
    <w:p w:rsidR="008E4D1E" w:rsidRPr="007F3C79" w:rsidRDefault="008E4D1E" w:rsidP="008E4D1E">
      <w:pPr>
        <w:tabs>
          <w:tab w:val="left" w:pos="2268"/>
        </w:tabs>
        <w:spacing w:after="0"/>
      </w:pPr>
      <w:r w:rsidRPr="007F3C79">
        <w:t>UNDP</w:t>
      </w:r>
      <w:r w:rsidRPr="007F3C79">
        <w:tab/>
        <w:t>United Nations Development Programme</w:t>
      </w:r>
    </w:p>
    <w:p w:rsidR="008E4D1E" w:rsidRPr="007F3C79" w:rsidRDefault="008E4D1E" w:rsidP="008E4D1E">
      <w:pPr>
        <w:tabs>
          <w:tab w:val="left" w:pos="2268"/>
        </w:tabs>
        <w:spacing w:after="0"/>
      </w:pPr>
      <w:r w:rsidRPr="007F3C79">
        <w:t>UNICEF</w:t>
      </w:r>
      <w:r w:rsidRPr="007F3C79">
        <w:tab/>
        <w:t>United Nations Children’s Fund</w:t>
      </w:r>
    </w:p>
    <w:p w:rsidR="008E4D1E" w:rsidRPr="007F3C79" w:rsidRDefault="008E4D1E" w:rsidP="008E4D1E">
      <w:pPr>
        <w:tabs>
          <w:tab w:val="left" w:pos="2268"/>
        </w:tabs>
        <w:spacing w:after="0"/>
      </w:pPr>
      <w:r w:rsidRPr="007F3C79">
        <w:t>UXO</w:t>
      </w:r>
      <w:r w:rsidRPr="007F3C79">
        <w:tab/>
        <w:t>Unexploded ordnance</w:t>
      </w:r>
    </w:p>
    <w:p w:rsidR="008E4D1E" w:rsidRPr="007F3C79" w:rsidRDefault="008E4D1E" w:rsidP="008E4D1E">
      <w:pPr>
        <w:tabs>
          <w:tab w:val="left" w:pos="2268"/>
        </w:tabs>
        <w:spacing w:after="0"/>
      </w:pPr>
      <w:r w:rsidRPr="007F3C79">
        <w:t>UXO LAO</w:t>
      </w:r>
      <w:r w:rsidRPr="007F3C79">
        <w:tab/>
        <w:t>Lao National Unexploded Ordnance Programme</w:t>
      </w:r>
    </w:p>
    <w:p w:rsidR="008E4D1E" w:rsidRPr="008E4D1E" w:rsidRDefault="008E4D1E" w:rsidP="008E4D1E"/>
    <w:sectPr w:rsidR="008E4D1E" w:rsidRPr="008E4D1E" w:rsidSect="008B27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988" w:rsidRDefault="00242988" w:rsidP="00231620">
      <w:pPr>
        <w:spacing w:after="0"/>
      </w:pPr>
      <w:r>
        <w:separator/>
      </w:r>
    </w:p>
  </w:endnote>
  <w:endnote w:type="continuationSeparator" w:id="0">
    <w:p w:rsidR="00242988" w:rsidRDefault="00242988" w:rsidP="002316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BoldItalic">
    <w:altName w:val="Cambria"/>
    <w:panose1 w:val="00000000000000000000"/>
    <w:charset w:val="00"/>
    <w:family w:val="swiss"/>
    <w:notTrueType/>
    <w:pitch w:val="default"/>
    <w:sig w:usb0="00000003" w:usb1="00000000" w:usb2="00000000" w:usb3="00000000" w:csb0="00000001" w:csb1="00000000"/>
  </w:font>
  <w:font w:name="TT15Et00">
    <w:altName w:val="Cambria"/>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SpeakOT-Regular">
    <w:altName w:val="SpeakO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086331"/>
      <w:docPartObj>
        <w:docPartGallery w:val="Page Numbers (Bottom of Page)"/>
        <w:docPartUnique/>
      </w:docPartObj>
    </w:sdtPr>
    <w:sdtEndPr>
      <w:rPr>
        <w:noProof/>
      </w:rPr>
    </w:sdtEndPr>
    <w:sdtContent>
      <w:p w:rsidR="00B777DF" w:rsidRDefault="00B777DF">
        <w:pPr>
          <w:pStyle w:val="Footer"/>
          <w:jc w:val="center"/>
        </w:pPr>
        <w:r>
          <w:fldChar w:fldCharType="begin"/>
        </w:r>
        <w:r>
          <w:instrText xml:space="preserve"> PAGE   \* MERGEFORMAT </w:instrText>
        </w:r>
        <w:r>
          <w:fldChar w:fldCharType="separate"/>
        </w:r>
        <w:r w:rsidR="00CC3E48">
          <w:rPr>
            <w:noProof/>
          </w:rPr>
          <w:t>1</w:t>
        </w:r>
        <w:r>
          <w:rPr>
            <w:noProof/>
          </w:rPr>
          <w:fldChar w:fldCharType="end"/>
        </w:r>
      </w:p>
    </w:sdtContent>
  </w:sdt>
  <w:p w:rsidR="00B777DF" w:rsidRDefault="00B77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988" w:rsidRDefault="00242988" w:rsidP="00231620">
      <w:pPr>
        <w:spacing w:after="0"/>
      </w:pPr>
      <w:r>
        <w:separator/>
      </w:r>
    </w:p>
  </w:footnote>
  <w:footnote w:type="continuationSeparator" w:id="0">
    <w:p w:rsidR="00242988" w:rsidRDefault="00242988" w:rsidP="00231620">
      <w:pPr>
        <w:spacing w:after="0"/>
      </w:pPr>
      <w:r>
        <w:continuationSeparator/>
      </w:r>
    </w:p>
  </w:footnote>
  <w:footnote w:id="1">
    <w:p w:rsidR="00B777DF" w:rsidRPr="005D3E31" w:rsidRDefault="00B777DF">
      <w:pPr>
        <w:pStyle w:val="FootnoteText"/>
        <w:rPr>
          <w:rFonts w:ascii="Calibri" w:hAnsi="Calibri"/>
          <w:lang w:val="en-AU"/>
        </w:rPr>
      </w:pPr>
      <w:r>
        <w:rPr>
          <w:rStyle w:val="FootnoteReference"/>
        </w:rPr>
        <w:footnoteRef/>
      </w:r>
      <w:r>
        <w:t xml:space="preserve"> </w:t>
      </w:r>
      <w:r w:rsidRPr="005D3E31">
        <w:rPr>
          <w:rFonts w:ascii="Calibri" w:hAnsi="Calibri"/>
          <w:lang w:val="en-AU"/>
        </w:rPr>
        <w:t>Originally planned to finish in 2015, the programme was been extended to the end of 2016 in August 2015</w:t>
      </w:r>
    </w:p>
  </w:footnote>
  <w:footnote w:id="2">
    <w:p w:rsidR="00B777DF" w:rsidRDefault="00B777DF" w:rsidP="00584CDF">
      <w:pPr>
        <w:pStyle w:val="FootnoteText"/>
      </w:pPr>
      <w:r w:rsidRPr="005D3E31">
        <w:rPr>
          <w:rStyle w:val="FootnoteReference"/>
          <w:rFonts w:ascii="Calibri" w:hAnsi="Calibri"/>
        </w:rPr>
        <w:footnoteRef/>
      </w:r>
      <w:r w:rsidRPr="005D3E31">
        <w:rPr>
          <w:rFonts w:ascii="Calibri" w:hAnsi="Calibri"/>
        </w:rPr>
        <w:t xml:space="preserve"> Full title - </w:t>
      </w:r>
      <w:r w:rsidRPr="005D3E31">
        <w:rPr>
          <w:rFonts w:ascii="Calibri" w:hAnsi="Calibri"/>
          <w:i/>
        </w:rPr>
        <w:t>Trust Fund for Support to the Full Implementation of the Convention on Cluster Munitions in the Lao PDR within the Framework of the Vientiane Declaration on Aid Effectiveness</w:t>
      </w:r>
    </w:p>
  </w:footnote>
  <w:footnote w:id="3">
    <w:p w:rsidR="00B777DF" w:rsidRPr="005D3E31" w:rsidRDefault="00B777DF" w:rsidP="00584CDF">
      <w:pPr>
        <w:pStyle w:val="FootnoteText"/>
        <w:rPr>
          <w:rFonts w:ascii="Calibri" w:hAnsi="Calibri"/>
          <w:sz w:val="18"/>
          <w:szCs w:val="18"/>
          <w:lang w:val="en-AU"/>
        </w:rPr>
      </w:pPr>
      <w:r w:rsidRPr="00A07960">
        <w:rPr>
          <w:rStyle w:val="FootnoteReference"/>
          <w:sz w:val="18"/>
          <w:szCs w:val="18"/>
        </w:rPr>
        <w:footnoteRef/>
      </w:r>
      <w:r w:rsidRPr="00A07960">
        <w:rPr>
          <w:sz w:val="18"/>
          <w:szCs w:val="18"/>
        </w:rPr>
        <w:t xml:space="preserve"> </w:t>
      </w:r>
      <w:hyperlink r:id="rId1" w:history="1">
        <w:r w:rsidRPr="005D3E31">
          <w:rPr>
            <w:rStyle w:val="Hyperlink"/>
            <w:rFonts w:ascii="Calibri" w:hAnsi="Calibri"/>
            <w:sz w:val="18"/>
            <w:szCs w:val="18"/>
          </w:rPr>
          <w:t>http://hdr.undp.org/en/content/table-1-human-development-index-and-its-components</w:t>
        </w:r>
      </w:hyperlink>
      <w:r w:rsidRPr="005D3E31">
        <w:rPr>
          <w:rFonts w:ascii="Calibri" w:hAnsi="Calibri"/>
          <w:sz w:val="18"/>
          <w:szCs w:val="18"/>
        </w:rPr>
        <w:t xml:space="preserve"> accessed 12th August 2015</w:t>
      </w:r>
    </w:p>
  </w:footnote>
  <w:footnote w:id="4">
    <w:p w:rsidR="00B777DF" w:rsidRPr="005D3E31" w:rsidRDefault="00B777DF" w:rsidP="00C22E94">
      <w:pPr>
        <w:pStyle w:val="FootnoteText"/>
        <w:rPr>
          <w:rFonts w:ascii="Calibri" w:hAnsi="Calibri"/>
          <w:sz w:val="18"/>
          <w:szCs w:val="18"/>
          <w:lang w:val="en-AU"/>
        </w:rPr>
      </w:pPr>
      <w:r w:rsidRPr="005D3E31">
        <w:rPr>
          <w:rStyle w:val="FootnoteReference"/>
          <w:rFonts w:ascii="Calibri" w:hAnsi="Calibri"/>
          <w:sz w:val="18"/>
          <w:szCs w:val="18"/>
        </w:rPr>
        <w:footnoteRef/>
      </w:r>
      <w:r w:rsidRPr="005D3E31">
        <w:rPr>
          <w:rFonts w:ascii="Calibri" w:hAnsi="Calibri"/>
          <w:sz w:val="18"/>
          <w:szCs w:val="18"/>
        </w:rPr>
        <w:t xml:space="preserve"> Lao MoPI /World Bank, 2010</w:t>
      </w:r>
    </w:p>
  </w:footnote>
  <w:footnote w:id="5">
    <w:p w:rsidR="00B777DF" w:rsidRPr="008B46E4" w:rsidRDefault="00B777DF" w:rsidP="00C22E94">
      <w:pPr>
        <w:pStyle w:val="FootnoteText"/>
        <w:rPr>
          <w:sz w:val="18"/>
          <w:szCs w:val="18"/>
          <w:lang w:val="en-AU"/>
        </w:rPr>
      </w:pPr>
      <w:r w:rsidRPr="005D3E31">
        <w:rPr>
          <w:rStyle w:val="FootnoteReference"/>
          <w:rFonts w:ascii="Calibri" w:hAnsi="Calibri"/>
          <w:sz w:val="18"/>
          <w:szCs w:val="18"/>
        </w:rPr>
        <w:footnoteRef/>
      </w:r>
      <w:r w:rsidRPr="005D3E31">
        <w:rPr>
          <w:rFonts w:ascii="Calibri" w:hAnsi="Calibri"/>
          <w:sz w:val="18"/>
          <w:szCs w:val="18"/>
        </w:rPr>
        <w:t xml:space="preserve"> </w:t>
      </w:r>
      <w:r w:rsidRPr="005D3E31">
        <w:rPr>
          <w:rFonts w:ascii="Calibri" w:hAnsi="Calibri" w:cs="Segoe UI"/>
          <w:color w:val="000000"/>
          <w:sz w:val="18"/>
          <w:szCs w:val="18"/>
          <w:lang w:val="en-AU"/>
        </w:rPr>
        <w:t>World</w:t>
      </w:r>
      <w:r w:rsidRPr="005D3E31">
        <w:rPr>
          <w:rFonts w:ascii="Calibri" w:hAnsi="Calibri" w:cs="Segoe UI"/>
          <w:sz w:val="18"/>
          <w:szCs w:val="18"/>
          <w:lang w:val="en-AU"/>
        </w:rPr>
        <w:t xml:space="preserve"> </w:t>
      </w:r>
      <w:r w:rsidRPr="005D3E31">
        <w:rPr>
          <w:rFonts w:ascii="Calibri" w:hAnsi="Calibri" w:cs="Segoe UI"/>
          <w:color w:val="000000"/>
          <w:sz w:val="18"/>
          <w:szCs w:val="18"/>
          <w:lang w:val="en-AU"/>
        </w:rPr>
        <w:t>Bank</w:t>
      </w:r>
      <w:r w:rsidRPr="005D3E31">
        <w:rPr>
          <w:rFonts w:ascii="Calibri" w:hAnsi="Calibri" w:cs="Segoe UI"/>
          <w:sz w:val="18"/>
          <w:szCs w:val="18"/>
          <w:lang w:val="en-AU"/>
        </w:rPr>
        <w:t xml:space="preserve">. </w:t>
      </w:r>
      <w:r w:rsidRPr="005D3E31">
        <w:rPr>
          <w:rFonts w:ascii="Calibri" w:hAnsi="Calibri" w:cs="Segoe UI"/>
          <w:color w:val="000000"/>
          <w:sz w:val="18"/>
          <w:szCs w:val="18"/>
          <w:lang w:val="en-AU"/>
        </w:rPr>
        <w:t>World</w:t>
      </w:r>
      <w:r w:rsidRPr="005D3E31">
        <w:rPr>
          <w:rFonts w:ascii="Calibri" w:hAnsi="Calibri" w:cs="Segoe UI"/>
          <w:sz w:val="18"/>
          <w:szCs w:val="18"/>
          <w:lang w:val="en-AU"/>
        </w:rPr>
        <w:t xml:space="preserve"> Development Indicators: </w:t>
      </w:r>
      <w:r w:rsidRPr="005D3E31">
        <w:rPr>
          <w:rFonts w:ascii="Calibri" w:hAnsi="Calibri" w:cs="Segoe UI"/>
          <w:color w:val="000000"/>
          <w:sz w:val="18"/>
          <w:szCs w:val="18"/>
          <w:lang w:val="en-AU"/>
        </w:rPr>
        <w:t>World</w:t>
      </w:r>
      <w:r w:rsidRPr="005D3E31">
        <w:rPr>
          <w:rFonts w:ascii="Calibri" w:hAnsi="Calibri" w:cs="Segoe UI"/>
          <w:sz w:val="18"/>
          <w:szCs w:val="18"/>
          <w:lang w:val="en-AU"/>
        </w:rPr>
        <w:t xml:space="preserve"> </w:t>
      </w:r>
      <w:r w:rsidRPr="005D3E31">
        <w:rPr>
          <w:rFonts w:ascii="Calibri" w:hAnsi="Calibri" w:cs="Segoe UI"/>
          <w:color w:val="000000"/>
          <w:sz w:val="18"/>
          <w:szCs w:val="18"/>
          <w:lang w:val="en-AU"/>
        </w:rPr>
        <w:t>Bank</w:t>
      </w:r>
      <w:r w:rsidRPr="005D3E31">
        <w:rPr>
          <w:rFonts w:ascii="Calibri" w:hAnsi="Calibri" w:cs="Segoe UI"/>
          <w:sz w:val="18"/>
          <w:szCs w:val="18"/>
          <w:lang w:val="en-AU"/>
        </w:rPr>
        <w:t>; 2012</w:t>
      </w:r>
    </w:p>
  </w:footnote>
  <w:footnote w:id="6">
    <w:p w:rsidR="00B777DF" w:rsidRPr="008B46E4" w:rsidRDefault="00B777DF" w:rsidP="007E6ECC">
      <w:pPr>
        <w:autoSpaceDE w:val="0"/>
        <w:autoSpaceDN w:val="0"/>
        <w:adjustRightInd w:val="0"/>
        <w:spacing w:after="0"/>
        <w:rPr>
          <w:rFonts w:cs="Segoe UI"/>
          <w:sz w:val="18"/>
          <w:szCs w:val="18"/>
          <w:lang w:val="en-AU"/>
        </w:rPr>
      </w:pPr>
      <w:r w:rsidRPr="008B46E4">
        <w:rPr>
          <w:rStyle w:val="FootnoteReference"/>
          <w:sz w:val="18"/>
          <w:szCs w:val="18"/>
        </w:rPr>
        <w:footnoteRef/>
      </w:r>
      <w:r w:rsidRPr="008B46E4">
        <w:rPr>
          <w:sz w:val="18"/>
          <w:szCs w:val="18"/>
        </w:rPr>
        <w:t xml:space="preserve"> </w:t>
      </w:r>
      <w:r w:rsidRPr="008B46E4">
        <w:rPr>
          <w:rFonts w:cs="Segoe UI"/>
          <w:color w:val="000000"/>
          <w:sz w:val="18"/>
          <w:szCs w:val="18"/>
          <w:lang w:val="en-AU"/>
        </w:rPr>
        <w:t>UNDP</w:t>
      </w:r>
      <w:r w:rsidRPr="008B46E4">
        <w:rPr>
          <w:rFonts w:cs="Segoe UI"/>
          <w:sz w:val="18"/>
          <w:szCs w:val="18"/>
          <w:lang w:val="en-AU"/>
        </w:rPr>
        <w:t xml:space="preserve">. Country analysis report: Lao People’s Democratic Republic. Vientiane, Lao PDR: </w:t>
      </w:r>
      <w:r w:rsidRPr="008B46E4">
        <w:rPr>
          <w:rFonts w:cs="Segoe UI"/>
          <w:color w:val="000000"/>
          <w:sz w:val="18"/>
          <w:szCs w:val="18"/>
          <w:lang w:val="en-AU"/>
        </w:rPr>
        <w:t>UNDP</w:t>
      </w:r>
      <w:r w:rsidRPr="008B46E4">
        <w:rPr>
          <w:rFonts w:cs="Segoe UI"/>
          <w:sz w:val="18"/>
          <w:szCs w:val="18"/>
          <w:lang w:val="en-AU"/>
        </w:rPr>
        <w:t>, 2012.</w:t>
      </w:r>
    </w:p>
  </w:footnote>
  <w:footnote w:id="7">
    <w:p w:rsidR="00B777DF" w:rsidRPr="008B46E4" w:rsidRDefault="00B777DF" w:rsidP="007E6ECC">
      <w:pPr>
        <w:autoSpaceDE w:val="0"/>
        <w:autoSpaceDN w:val="0"/>
        <w:adjustRightInd w:val="0"/>
        <w:spacing w:after="0"/>
        <w:rPr>
          <w:rFonts w:cs="Segoe UI"/>
          <w:sz w:val="18"/>
          <w:szCs w:val="18"/>
          <w:lang w:val="en-AU"/>
        </w:rPr>
      </w:pPr>
      <w:r w:rsidRPr="008B46E4">
        <w:rPr>
          <w:rStyle w:val="FootnoteReference"/>
          <w:sz w:val="18"/>
          <w:szCs w:val="18"/>
        </w:rPr>
        <w:footnoteRef/>
      </w:r>
      <w:r w:rsidRPr="008B46E4">
        <w:rPr>
          <w:sz w:val="18"/>
          <w:szCs w:val="18"/>
        </w:rPr>
        <w:t xml:space="preserve"> E</w:t>
      </w:r>
      <w:r w:rsidRPr="008B46E4">
        <w:rPr>
          <w:rFonts w:cs="Segoe UI"/>
          <w:color w:val="000000"/>
          <w:sz w:val="18"/>
          <w:szCs w:val="18"/>
          <w:lang w:val="en-AU"/>
        </w:rPr>
        <w:t>pprecht</w:t>
      </w:r>
      <w:r w:rsidRPr="008B46E4">
        <w:rPr>
          <w:rFonts w:cs="Segoe UI"/>
          <w:sz w:val="18"/>
          <w:szCs w:val="18"/>
          <w:lang w:val="en-AU"/>
        </w:rPr>
        <w:t xml:space="preserve"> M, Minot N, Dewina R, Messerli P, Heinimann A. The geography of poverty and inequality in the Lao PDR. Berne, Switzerland, Washington DC, USA: Swiss National Centre of Competence in Research (NCCR) North-South, Geographica Bernensia, International Food Policy Res</w:t>
      </w:r>
      <w:r>
        <w:rPr>
          <w:rFonts w:cs="Segoe UI"/>
          <w:sz w:val="18"/>
          <w:szCs w:val="18"/>
          <w:lang w:val="en-AU"/>
        </w:rPr>
        <w:t>earch Institute (IFPRI), 2008.</w:t>
      </w:r>
    </w:p>
  </w:footnote>
  <w:footnote w:id="8">
    <w:p w:rsidR="00B777DF" w:rsidRPr="005D3E31" w:rsidRDefault="00B777DF" w:rsidP="00C22E94">
      <w:pPr>
        <w:pStyle w:val="FootnoteText"/>
        <w:rPr>
          <w:rFonts w:ascii="Calibri" w:hAnsi="Calibri"/>
          <w:sz w:val="18"/>
          <w:szCs w:val="18"/>
          <w:lang w:val="en-AU"/>
        </w:rPr>
      </w:pPr>
      <w:r w:rsidRPr="005D3E31">
        <w:rPr>
          <w:rStyle w:val="FootnoteReference"/>
          <w:rFonts w:ascii="Calibri" w:hAnsi="Calibri"/>
          <w:sz w:val="18"/>
          <w:szCs w:val="18"/>
        </w:rPr>
        <w:footnoteRef/>
      </w:r>
      <w:r w:rsidRPr="005D3E31">
        <w:rPr>
          <w:rFonts w:ascii="Calibri" w:hAnsi="Calibri"/>
          <w:sz w:val="18"/>
          <w:szCs w:val="18"/>
        </w:rPr>
        <w:t xml:space="preserve"> National Regulatory Authority, Post-clearance impact assessment, NRA, Vientiane 2010</w:t>
      </w:r>
    </w:p>
  </w:footnote>
  <w:footnote w:id="9">
    <w:p w:rsidR="00B777DF" w:rsidRPr="005D3E31" w:rsidRDefault="00B777DF" w:rsidP="00C22E94">
      <w:pPr>
        <w:pStyle w:val="FootnoteText"/>
        <w:rPr>
          <w:rFonts w:ascii="Calibri" w:hAnsi="Calibri"/>
          <w:sz w:val="18"/>
          <w:szCs w:val="18"/>
          <w:lang w:val="en-AU"/>
        </w:rPr>
      </w:pPr>
      <w:r w:rsidRPr="005D3E31">
        <w:rPr>
          <w:rStyle w:val="FootnoteReference"/>
          <w:rFonts w:ascii="Calibri" w:hAnsi="Calibri"/>
          <w:sz w:val="18"/>
          <w:szCs w:val="18"/>
        </w:rPr>
        <w:footnoteRef/>
      </w:r>
      <w:r w:rsidRPr="005D3E31">
        <w:rPr>
          <w:rFonts w:ascii="Calibri" w:hAnsi="Calibri"/>
          <w:sz w:val="18"/>
          <w:szCs w:val="18"/>
        </w:rPr>
        <w:t xml:space="preserve"> </w:t>
      </w:r>
      <w:r w:rsidRPr="005D3E31">
        <w:rPr>
          <w:rFonts w:ascii="Calibri" w:hAnsi="Calibri"/>
          <w:sz w:val="18"/>
          <w:szCs w:val="18"/>
          <w:lang w:val="en-AU"/>
        </w:rPr>
        <w:t>An estimated 2-3 million tonnes were dropped on the country</w:t>
      </w:r>
    </w:p>
  </w:footnote>
  <w:footnote w:id="10">
    <w:p w:rsidR="00B777DF" w:rsidRPr="005D3E31" w:rsidRDefault="00B777DF" w:rsidP="00C22E94">
      <w:pPr>
        <w:pStyle w:val="FootnoteText"/>
        <w:rPr>
          <w:rFonts w:ascii="Calibri" w:hAnsi="Calibri"/>
          <w:sz w:val="18"/>
          <w:szCs w:val="18"/>
          <w:lang w:val="en-AU"/>
        </w:rPr>
      </w:pPr>
      <w:r w:rsidRPr="005D3E31">
        <w:rPr>
          <w:rStyle w:val="FootnoteReference"/>
          <w:rFonts w:ascii="Calibri" w:hAnsi="Calibri"/>
          <w:sz w:val="18"/>
          <w:szCs w:val="18"/>
        </w:rPr>
        <w:footnoteRef/>
      </w:r>
      <w:r w:rsidRPr="005D3E31">
        <w:rPr>
          <w:rFonts w:ascii="Calibri" w:hAnsi="Calibri"/>
          <w:sz w:val="18"/>
          <w:szCs w:val="18"/>
        </w:rPr>
        <w:t xml:space="preserve"> </w:t>
      </w:r>
      <w:r w:rsidRPr="005D3E31">
        <w:rPr>
          <w:rFonts w:ascii="Calibri" w:hAnsi="Calibri" w:cs="Segoe UI"/>
          <w:color w:val="000000"/>
          <w:sz w:val="18"/>
          <w:szCs w:val="18"/>
          <w:lang w:val="en-AU"/>
        </w:rPr>
        <w:t>Handicap</w:t>
      </w:r>
      <w:r w:rsidRPr="005D3E31">
        <w:rPr>
          <w:rFonts w:ascii="Calibri" w:hAnsi="Calibri" w:cs="Segoe UI"/>
          <w:sz w:val="18"/>
          <w:szCs w:val="18"/>
          <w:lang w:val="en-AU"/>
        </w:rPr>
        <w:t xml:space="preserve"> </w:t>
      </w:r>
      <w:r w:rsidRPr="005D3E31">
        <w:rPr>
          <w:rFonts w:ascii="Calibri" w:hAnsi="Calibri" w:cs="Segoe UI"/>
          <w:color w:val="000000"/>
          <w:sz w:val="18"/>
          <w:szCs w:val="18"/>
          <w:lang w:val="en-AU"/>
        </w:rPr>
        <w:t>International</w:t>
      </w:r>
      <w:r w:rsidRPr="005D3E31">
        <w:rPr>
          <w:rFonts w:ascii="Calibri" w:hAnsi="Calibri" w:cs="Segoe UI"/>
          <w:sz w:val="18"/>
          <w:szCs w:val="18"/>
          <w:lang w:val="en-AU"/>
        </w:rPr>
        <w:t>. Living with UXO, final report, national survey on the socio-economic impact of UXO in the Lao PDR. Vientiane: 1997</w:t>
      </w:r>
    </w:p>
  </w:footnote>
  <w:footnote w:id="11">
    <w:p w:rsidR="00B777DF" w:rsidRPr="00A86DE2" w:rsidRDefault="00B777DF" w:rsidP="00C22E94">
      <w:pPr>
        <w:pStyle w:val="FootnoteText"/>
        <w:rPr>
          <w:sz w:val="18"/>
          <w:szCs w:val="18"/>
          <w:lang w:val="en-AU"/>
        </w:rPr>
      </w:pPr>
      <w:r w:rsidRPr="005D3E31">
        <w:rPr>
          <w:rStyle w:val="FootnoteReference"/>
          <w:rFonts w:ascii="Calibri" w:hAnsi="Calibri"/>
          <w:sz w:val="18"/>
          <w:szCs w:val="18"/>
        </w:rPr>
        <w:footnoteRef/>
      </w:r>
      <w:r w:rsidRPr="005D3E31">
        <w:rPr>
          <w:rFonts w:ascii="Calibri" w:hAnsi="Calibri"/>
          <w:sz w:val="18"/>
          <w:szCs w:val="18"/>
        </w:rPr>
        <w:t xml:space="preserve"> </w:t>
      </w:r>
      <w:r w:rsidRPr="005D3E31">
        <w:rPr>
          <w:rFonts w:ascii="Calibri" w:hAnsi="Calibri" w:cs="Segoe UI"/>
          <w:color w:val="000000"/>
          <w:sz w:val="18"/>
          <w:szCs w:val="18"/>
          <w:lang w:val="en-AU"/>
        </w:rPr>
        <w:t>Handicap</w:t>
      </w:r>
      <w:r w:rsidRPr="005D3E31">
        <w:rPr>
          <w:rFonts w:ascii="Calibri" w:hAnsi="Calibri" w:cs="Segoe UI"/>
          <w:sz w:val="18"/>
          <w:szCs w:val="18"/>
          <w:lang w:val="en-AU"/>
        </w:rPr>
        <w:t xml:space="preserve"> </w:t>
      </w:r>
      <w:r w:rsidRPr="005D3E31">
        <w:rPr>
          <w:rFonts w:ascii="Calibri" w:hAnsi="Calibri" w:cs="Segoe UI"/>
          <w:color w:val="000000"/>
          <w:sz w:val="18"/>
          <w:szCs w:val="18"/>
          <w:lang w:val="en-AU"/>
        </w:rPr>
        <w:t>International</w:t>
      </w:r>
      <w:r w:rsidRPr="005D3E31">
        <w:rPr>
          <w:rFonts w:ascii="Calibri" w:hAnsi="Calibri" w:cs="Segoe UI"/>
          <w:sz w:val="18"/>
          <w:szCs w:val="18"/>
          <w:lang w:val="en-AU"/>
        </w:rPr>
        <w:t>. Living with UXO, final report, national survey on the socio-economic impact of UXO in the Lao PDR. Vientiane: 1997</w:t>
      </w:r>
      <w:r w:rsidRPr="005D3E31">
        <w:rPr>
          <w:rFonts w:ascii="Calibri" w:hAnsi="Calibri"/>
          <w:sz w:val="18"/>
          <w:szCs w:val="18"/>
        </w:rPr>
        <w:t xml:space="preserve">, </w:t>
      </w:r>
      <w:r w:rsidRPr="005D3E31">
        <w:rPr>
          <w:rFonts w:ascii="Calibri" w:hAnsi="Calibri" w:cs="Segoe UI"/>
          <w:color w:val="000000"/>
          <w:sz w:val="18"/>
          <w:szCs w:val="18"/>
          <w:lang w:val="en-AU"/>
        </w:rPr>
        <w:t>Bolton</w:t>
      </w:r>
      <w:r w:rsidRPr="005D3E31">
        <w:rPr>
          <w:rFonts w:ascii="Calibri" w:hAnsi="Calibri" w:cs="Segoe UI"/>
          <w:sz w:val="18"/>
          <w:szCs w:val="18"/>
          <w:lang w:val="en-AU"/>
        </w:rPr>
        <w:t xml:space="preserve"> M. Foreign aid and landmine clearance. London: I.B. Touris &amp; Co Ltd; 2010</w:t>
      </w:r>
    </w:p>
  </w:footnote>
  <w:footnote w:id="12">
    <w:p w:rsidR="00B777DF" w:rsidRPr="005D3E31" w:rsidRDefault="00B777DF" w:rsidP="00C22E94">
      <w:pPr>
        <w:pStyle w:val="FootnoteText"/>
        <w:rPr>
          <w:rFonts w:ascii="Calibri" w:hAnsi="Calibri"/>
          <w:sz w:val="18"/>
          <w:szCs w:val="18"/>
          <w:lang w:val="en-AU"/>
        </w:rPr>
      </w:pPr>
      <w:r w:rsidRPr="005D3E31">
        <w:rPr>
          <w:rStyle w:val="FootnoteReference"/>
          <w:rFonts w:ascii="Calibri" w:hAnsi="Calibri"/>
          <w:sz w:val="18"/>
          <w:szCs w:val="18"/>
        </w:rPr>
        <w:footnoteRef/>
      </w:r>
      <w:r w:rsidRPr="005D3E31">
        <w:rPr>
          <w:rFonts w:ascii="Calibri" w:hAnsi="Calibri"/>
          <w:sz w:val="18"/>
          <w:szCs w:val="18"/>
        </w:rPr>
        <w:t xml:space="preserve"> Keeley, R, Allcock A, Singthilath, T and Kongsaysy, M, </w:t>
      </w:r>
      <w:r w:rsidRPr="005D3E31">
        <w:rPr>
          <w:rFonts w:ascii="Calibri" w:hAnsi="Calibri"/>
          <w:iCs/>
          <w:sz w:val="18"/>
          <w:szCs w:val="18"/>
        </w:rPr>
        <w:t xml:space="preserve">Mission to Assess Future Sustainable Options of the Lao UXO Trust Fund and the UXO Lao Mine Action Programme, </w:t>
      </w:r>
      <w:r w:rsidRPr="005D3E31">
        <w:rPr>
          <w:rFonts w:ascii="Calibri" w:hAnsi="Calibri"/>
          <w:sz w:val="18"/>
          <w:szCs w:val="18"/>
        </w:rPr>
        <w:t xml:space="preserve">September 2002  </w:t>
      </w:r>
    </w:p>
  </w:footnote>
  <w:footnote w:id="13">
    <w:p w:rsidR="00B777DF" w:rsidRPr="005D3E31" w:rsidRDefault="00B777DF" w:rsidP="00C22E94">
      <w:pPr>
        <w:pStyle w:val="FootnoteText"/>
        <w:rPr>
          <w:rFonts w:ascii="Calibri" w:hAnsi="Calibri"/>
          <w:sz w:val="18"/>
          <w:szCs w:val="18"/>
          <w:lang w:val="en-AU"/>
        </w:rPr>
      </w:pPr>
      <w:r w:rsidRPr="005D3E31">
        <w:rPr>
          <w:rStyle w:val="FootnoteReference"/>
          <w:rFonts w:ascii="Calibri" w:hAnsi="Calibri"/>
          <w:sz w:val="18"/>
          <w:szCs w:val="18"/>
        </w:rPr>
        <w:footnoteRef/>
      </w:r>
      <w:r w:rsidRPr="005D3E31">
        <w:rPr>
          <w:rFonts w:ascii="Calibri" w:hAnsi="Calibri"/>
          <w:sz w:val="18"/>
          <w:szCs w:val="18"/>
        </w:rPr>
        <w:t xml:space="preserve"> Delivery of public goods designed to reap the assumed efficiency gains of free markets without losing the equity benefits of traditional systems of public administration and financing.</w:t>
      </w:r>
    </w:p>
  </w:footnote>
  <w:footnote w:id="14">
    <w:p w:rsidR="00B777DF" w:rsidRPr="00A86DE2" w:rsidRDefault="00B777DF" w:rsidP="00C22E94">
      <w:pPr>
        <w:pStyle w:val="FootnoteText"/>
        <w:rPr>
          <w:sz w:val="18"/>
          <w:szCs w:val="18"/>
          <w:lang w:val="en-AU"/>
        </w:rPr>
      </w:pPr>
      <w:r w:rsidRPr="005D3E31">
        <w:rPr>
          <w:rStyle w:val="FootnoteReference"/>
          <w:rFonts w:ascii="Calibri" w:hAnsi="Calibri"/>
          <w:sz w:val="18"/>
          <w:szCs w:val="18"/>
        </w:rPr>
        <w:footnoteRef/>
      </w:r>
      <w:r w:rsidRPr="005D3E31">
        <w:rPr>
          <w:rFonts w:ascii="Calibri" w:hAnsi="Calibri"/>
          <w:sz w:val="18"/>
          <w:szCs w:val="18"/>
        </w:rPr>
        <w:t xml:space="preserve"> Griffin, R, Keeley, R and Sayyasouk, P, </w:t>
      </w:r>
      <w:r w:rsidRPr="005D3E31">
        <w:rPr>
          <w:rFonts w:ascii="Calibri" w:hAnsi="Calibri"/>
          <w:i/>
          <w:iCs/>
          <w:sz w:val="18"/>
          <w:szCs w:val="18"/>
        </w:rPr>
        <w:t xml:space="preserve">UXO Sector Evaluation Lao PDR, </w:t>
      </w:r>
      <w:r w:rsidRPr="005D3E31">
        <w:rPr>
          <w:rFonts w:ascii="Calibri" w:hAnsi="Calibri"/>
          <w:sz w:val="18"/>
          <w:szCs w:val="18"/>
        </w:rPr>
        <w:t>2008</w:t>
      </w:r>
      <w:r w:rsidRPr="00A86DE2">
        <w:rPr>
          <w:sz w:val="18"/>
          <w:szCs w:val="18"/>
        </w:rPr>
        <w:t xml:space="preserve">  </w:t>
      </w:r>
    </w:p>
  </w:footnote>
  <w:footnote w:id="15">
    <w:p w:rsidR="00B777DF" w:rsidRPr="001C6EE0" w:rsidRDefault="00B777DF">
      <w:pPr>
        <w:pStyle w:val="FootnoteText"/>
        <w:rPr>
          <w:rFonts w:asciiTheme="minorHAnsi" w:hAnsiTheme="minorHAnsi"/>
          <w:lang w:val="en-AU"/>
        </w:rPr>
      </w:pPr>
      <w:r>
        <w:rPr>
          <w:rStyle w:val="FootnoteReference"/>
        </w:rPr>
        <w:footnoteRef/>
      </w:r>
      <w:r>
        <w:t xml:space="preserve"> </w:t>
      </w:r>
      <w:r w:rsidRPr="001C6EE0">
        <w:rPr>
          <w:rFonts w:asciiTheme="minorHAnsi" w:hAnsiTheme="minorHAnsi"/>
          <w:sz w:val="18"/>
          <w:szCs w:val="18"/>
          <w:lang w:val="en-AU"/>
        </w:rPr>
        <w:t>From the outset of the programme for example it was documented that farmers continued to use contaminated land</w:t>
      </w:r>
    </w:p>
  </w:footnote>
  <w:footnote w:id="16">
    <w:p w:rsidR="00B777DF" w:rsidRPr="003E469D" w:rsidRDefault="00B777DF">
      <w:pPr>
        <w:pStyle w:val="FootnoteText"/>
        <w:rPr>
          <w:lang w:val="en-AU"/>
        </w:rPr>
      </w:pPr>
      <w:r>
        <w:rPr>
          <w:rStyle w:val="FootnoteReference"/>
        </w:rPr>
        <w:footnoteRef/>
      </w:r>
      <w:r>
        <w:t xml:space="preserve"> </w:t>
      </w:r>
      <w:r w:rsidRPr="003E469D">
        <w:t>Annual Report of the National Regulatory Authority for UXO/Mine Action in Lao PDR</w:t>
      </w:r>
      <w:r>
        <w:t>, 2014</w:t>
      </w:r>
    </w:p>
  </w:footnote>
  <w:footnote w:id="17">
    <w:p w:rsidR="00B777DF" w:rsidRPr="004301EB" w:rsidRDefault="00B777DF" w:rsidP="004301EB">
      <w:pPr>
        <w:rPr>
          <w:sz w:val="20"/>
          <w:szCs w:val="20"/>
          <w:lang w:val="en-AU"/>
        </w:rPr>
      </w:pPr>
      <w:r>
        <w:rPr>
          <w:rStyle w:val="FootnoteReference"/>
        </w:rPr>
        <w:footnoteRef/>
      </w:r>
      <w:r>
        <w:t xml:space="preserve"> </w:t>
      </w:r>
      <w:r w:rsidRPr="005D3E31">
        <w:rPr>
          <w:sz w:val="18"/>
          <w:szCs w:val="18"/>
          <w:lang w:val="en-AU"/>
        </w:rPr>
        <w:t>Prime Minister’s Decree 406, of 8th November 2011</w:t>
      </w:r>
    </w:p>
  </w:footnote>
  <w:footnote w:id="18">
    <w:p w:rsidR="00B777DF" w:rsidRPr="005D3E31" w:rsidRDefault="00B777DF">
      <w:pPr>
        <w:pStyle w:val="FootnoteText"/>
        <w:rPr>
          <w:rFonts w:asciiTheme="minorHAnsi" w:hAnsiTheme="minorHAnsi"/>
          <w:sz w:val="18"/>
          <w:szCs w:val="18"/>
          <w:lang w:val="en-AU"/>
        </w:rPr>
      </w:pPr>
      <w:r w:rsidRPr="005D3E31">
        <w:rPr>
          <w:rStyle w:val="FootnoteReference"/>
          <w:rFonts w:asciiTheme="minorHAnsi" w:hAnsiTheme="minorHAnsi"/>
          <w:sz w:val="18"/>
          <w:szCs w:val="18"/>
        </w:rPr>
        <w:footnoteRef/>
      </w:r>
      <w:r w:rsidRPr="005D3E31">
        <w:rPr>
          <w:rFonts w:asciiTheme="minorHAnsi" w:hAnsiTheme="minorHAnsi"/>
          <w:sz w:val="18"/>
          <w:szCs w:val="18"/>
        </w:rPr>
        <w:t xml:space="preserve"> See for example, NRA, 2010, Post-clearance impact assessment, NRA: Vientiane; Durham, J, 2012. Examining who benefits, in what ways, and in what contexts from Mine Action in the Lao People's Democ</w:t>
      </w:r>
      <w:r>
        <w:rPr>
          <w:rFonts w:asciiTheme="minorHAnsi" w:hAnsiTheme="minorHAnsi"/>
          <w:sz w:val="18"/>
          <w:szCs w:val="18"/>
        </w:rPr>
        <w:t>ratic Republic and Kurdish Iraq</w:t>
      </w:r>
      <w:r w:rsidRPr="005D3E31">
        <w:rPr>
          <w:rFonts w:asciiTheme="minorHAnsi" w:hAnsiTheme="minorHAnsi"/>
          <w:sz w:val="18"/>
          <w:szCs w:val="18"/>
        </w:rPr>
        <w:t>. Ph.D. Curtin University, Centre for International Health; Durham, Jo, Nanhthavong, Vong and Sychareun, Vanphanom (2016) Explaining how unexploded ordnance clearance enhances livelihoods in the Lao PDR.</w:t>
      </w:r>
      <w:r w:rsidRPr="005D3E31">
        <w:rPr>
          <w:rFonts w:asciiTheme="minorHAnsi" w:eastAsiaTheme="majorEastAsia" w:hAnsiTheme="minorHAnsi"/>
          <w:sz w:val="18"/>
          <w:szCs w:val="18"/>
        </w:rPr>
        <w:t> </w:t>
      </w:r>
      <w:r w:rsidRPr="005D3E31">
        <w:rPr>
          <w:rFonts w:asciiTheme="minorHAnsi" w:hAnsiTheme="minorHAnsi"/>
          <w:sz w:val="18"/>
          <w:szCs w:val="18"/>
        </w:rPr>
        <w:t>Evaluation and Program Planning,</w:t>
      </w:r>
      <w:r w:rsidRPr="005D3E31">
        <w:rPr>
          <w:rFonts w:asciiTheme="minorHAnsi" w:eastAsiaTheme="majorEastAsia" w:hAnsiTheme="minorHAnsi"/>
          <w:sz w:val="18"/>
          <w:szCs w:val="18"/>
        </w:rPr>
        <w:t> </w:t>
      </w:r>
      <w:r w:rsidRPr="005D3E31">
        <w:rPr>
          <w:rFonts w:asciiTheme="minorHAnsi" w:hAnsiTheme="minorHAnsi"/>
          <w:sz w:val="18"/>
          <w:szCs w:val="18"/>
        </w:rPr>
        <w:t>54</w:t>
      </w:r>
      <w:r w:rsidRPr="005D3E31">
        <w:rPr>
          <w:rFonts w:asciiTheme="minorHAnsi" w:eastAsiaTheme="majorEastAsia" w:hAnsiTheme="minorHAnsi"/>
          <w:sz w:val="18"/>
          <w:szCs w:val="18"/>
        </w:rPr>
        <w:t> </w:t>
      </w:r>
      <w:r w:rsidRPr="005D3E31">
        <w:rPr>
          <w:rFonts w:asciiTheme="minorHAnsi" w:hAnsiTheme="minorHAnsi"/>
          <w:sz w:val="18"/>
          <w:szCs w:val="18"/>
        </w:rPr>
        <w:t xml:space="preserve">82-93. Also refer standard development texts on the capacity of low-income farmers to expand productivity such as </w:t>
      </w:r>
      <w:r w:rsidRPr="005D3E31">
        <w:rPr>
          <w:rFonts w:asciiTheme="minorHAnsi" w:hAnsiTheme="minorHAnsi"/>
          <w:noProof/>
          <w:sz w:val="18"/>
          <w:szCs w:val="18"/>
        </w:rPr>
        <w:t xml:space="preserve">Sen A, K. Development as Freedom New York: Anchor Books; 1999; </w:t>
      </w:r>
      <w:r w:rsidRPr="005D3E31">
        <w:rPr>
          <w:rFonts w:asciiTheme="minorHAnsi" w:hAnsiTheme="minorHAnsi"/>
          <w:color w:val="333333"/>
          <w:sz w:val="18"/>
          <w:szCs w:val="18"/>
          <w:shd w:val="clear" w:color="auto" w:fill="FFFFFF"/>
        </w:rPr>
        <w:t>Todaro, M. P., &amp; Smith, S. C. (2015).</w:t>
      </w:r>
      <w:r w:rsidRPr="005D3E31">
        <w:rPr>
          <w:rStyle w:val="apple-converted-space"/>
          <w:rFonts w:asciiTheme="minorHAnsi" w:eastAsiaTheme="majorEastAsia" w:hAnsiTheme="minorHAnsi"/>
          <w:color w:val="333333"/>
          <w:sz w:val="18"/>
          <w:szCs w:val="18"/>
          <w:shd w:val="clear" w:color="auto" w:fill="FFFFFF"/>
        </w:rPr>
        <w:t> </w:t>
      </w:r>
      <w:r w:rsidRPr="005D3E31">
        <w:rPr>
          <w:rFonts w:asciiTheme="minorHAnsi" w:hAnsiTheme="minorHAnsi"/>
          <w:iCs/>
          <w:color w:val="333333"/>
          <w:sz w:val="18"/>
          <w:szCs w:val="18"/>
          <w:shd w:val="clear" w:color="auto" w:fill="FFFFFF"/>
        </w:rPr>
        <w:t>Economic development</w:t>
      </w:r>
      <w:r w:rsidRPr="005D3E31">
        <w:rPr>
          <w:rFonts w:asciiTheme="minorHAnsi" w:hAnsiTheme="minorHAnsi"/>
          <w:sz w:val="18"/>
          <w:szCs w:val="18"/>
        </w:rPr>
        <w:t> </w:t>
      </w:r>
      <w:r w:rsidRPr="005D3E31">
        <w:rPr>
          <w:rFonts w:asciiTheme="minorHAnsi" w:hAnsiTheme="minorHAnsi"/>
          <w:color w:val="333333"/>
          <w:sz w:val="18"/>
          <w:szCs w:val="18"/>
          <w:shd w:val="clear" w:color="auto" w:fill="FFFFFF"/>
        </w:rPr>
        <w:t xml:space="preserve">(12th ed.). Harlow, U.K: Pearson  </w:t>
      </w:r>
      <w:r w:rsidRPr="005D3E31">
        <w:rPr>
          <w:rFonts w:asciiTheme="minorHAnsi" w:hAnsiTheme="minorHAnsi"/>
          <w:sz w:val="18"/>
          <w:szCs w:val="18"/>
          <w:lang w:val="en-AU"/>
        </w:rPr>
        <w:t xml:space="preserve"> </w:t>
      </w:r>
    </w:p>
  </w:footnote>
  <w:footnote w:id="19">
    <w:p w:rsidR="00B777DF" w:rsidRPr="005D3E31" w:rsidRDefault="00B777DF" w:rsidP="00CC17B1">
      <w:pPr>
        <w:rPr>
          <w:sz w:val="18"/>
          <w:szCs w:val="18"/>
        </w:rPr>
      </w:pPr>
      <w:r w:rsidRPr="005D3E31">
        <w:rPr>
          <w:rStyle w:val="FootnoteReference"/>
          <w:sz w:val="18"/>
          <w:szCs w:val="18"/>
        </w:rPr>
        <w:footnoteRef/>
      </w:r>
      <w:r w:rsidRPr="005D3E31">
        <w:rPr>
          <w:sz w:val="18"/>
          <w:szCs w:val="18"/>
        </w:rPr>
        <w:t xml:space="preserve"> Sekkenes, S &amp; Palmer, A, Programme Review 2003-2011 UNDP support to NRA and UXO Lao, UXO sector, LAO PDR, 2012</w:t>
      </w:r>
    </w:p>
    <w:p w:rsidR="00B777DF" w:rsidRPr="00CC17B1" w:rsidRDefault="00B777DF">
      <w:pPr>
        <w:pStyle w:val="FootnoteText"/>
        <w:rPr>
          <w:lang w:val="en-AU"/>
        </w:rPr>
      </w:pPr>
    </w:p>
  </w:footnote>
  <w:footnote w:id="20">
    <w:p w:rsidR="00B777DF" w:rsidRPr="005D3E31" w:rsidRDefault="00B777DF" w:rsidP="00387AAF">
      <w:pPr>
        <w:rPr>
          <w:rFonts w:ascii="Calibri" w:eastAsiaTheme="minorEastAsia" w:hAnsi="Calibri" w:cs="Arial"/>
          <w:sz w:val="18"/>
          <w:szCs w:val="18"/>
        </w:rPr>
      </w:pPr>
      <w:r w:rsidRPr="005D3E31">
        <w:rPr>
          <w:rStyle w:val="FootnoteReference"/>
          <w:sz w:val="18"/>
          <w:szCs w:val="18"/>
        </w:rPr>
        <w:footnoteRef/>
      </w:r>
      <w:r w:rsidRPr="005D3E31">
        <w:rPr>
          <w:sz w:val="18"/>
          <w:szCs w:val="18"/>
        </w:rPr>
        <w:t xml:space="preserve"> </w:t>
      </w:r>
      <w:r w:rsidRPr="005D3E31">
        <w:rPr>
          <w:rFonts w:ascii="Calibri" w:eastAsiaTheme="minorEastAsia" w:hAnsi="Calibri" w:cs="Arial"/>
          <w:sz w:val="18"/>
          <w:szCs w:val="18"/>
        </w:rPr>
        <w:t>The fee of 8%  has been in place from 2014, previously it was 7%</w:t>
      </w:r>
    </w:p>
    <w:p w:rsidR="00B777DF" w:rsidRPr="00387AAF" w:rsidRDefault="00B777DF">
      <w:pPr>
        <w:pStyle w:val="FootnoteText"/>
        <w:rPr>
          <w:lang w:val="en-AU"/>
        </w:rPr>
      </w:pPr>
    </w:p>
  </w:footnote>
  <w:footnote w:id="21">
    <w:p w:rsidR="00B777DF" w:rsidRPr="008D2906" w:rsidRDefault="00B777DF">
      <w:pPr>
        <w:pStyle w:val="FootnoteText"/>
        <w:rPr>
          <w:lang w:val="en-AU"/>
        </w:rPr>
      </w:pPr>
      <w:r>
        <w:rPr>
          <w:rStyle w:val="FootnoteReference"/>
        </w:rPr>
        <w:footnoteRef/>
      </w:r>
      <w:r>
        <w:t xml:space="preserve"> </w:t>
      </w:r>
      <w:r w:rsidRPr="008D2906">
        <w:t>Annual Report of the National Regulatory Authority for UXO/Mine Action in Lao PDR</w:t>
      </w:r>
      <w:r>
        <w:t>, 2013</w:t>
      </w:r>
    </w:p>
  </w:footnote>
  <w:footnote w:id="22">
    <w:p w:rsidR="00B777DF" w:rsidRPr="00C4045A" w:rsidRDefault="00B777DF" w:rsidP="00C4045A">
      <w:pPr>
        <w:pStyle w:val="FootnoteText"/>
      </w:pPr>
      <w:r>
        <w:rPr>
          <w:rStyle w:val="FootnoteReference"/>
        </w:rPr>
        <w:footnoteRef/>
      </w:r>
      <w:r>
        <w:t xml:space="preserve"> Presented at </w:t>
      </w:r>
      <w:r w:rsidRPr="00C4045A">
        <w:t xml:space="preserve">UXO Trust </w:t>
      </w:r>
      <w:r>
        <w:t xml:space="preserve">Fund Steering Committee Meeting </w:t>
      </w:r>
      <w:r w:rsidRPr="00C4045A">
        <w:t>27 February 2015</w:t>
      </w:r>
    </w:p>
  </w:footnote>
  <w:footnote w:id="23">
    <w:p w:rsidR="00B777DF" w:rsidRPr="00C4045A" w:rsidRDefault="00B777DF">
      <w:pPr>
        <w:pStyle w:val="FootnoteText"/>
        <w:rPr>
          <w:lang w:val="en-AU"/>
        </w:rPr>
      </w:pPr>
      <w:r>
        <w:rPr>
          <w:rStyle w:val="FootnoteReference"/>
        </w:rPr>
        <w:footnoteRef/>
      </w:r>
      <w:r>
        <w:t xml:space="preserve"> Presented at </w:t>
      </w:r>
      <w:r w:rsidRPr="00C4045A">
        <w:t xml:space="preserve">UXO Trust </w:t>
      </w:r>
      <w:r>
        <w:t xml:space="preserve">Fund Steering Committee Meeting </w:t>
      </w:r>
      <w:r w:rsidRPr="00C4045A">
        <w:t>27 February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pt;height:4.5pt" o:bullet="t">
        <v:imagedata r:id="rId1" o:title="bullet"/>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C1A0C"/>
    <w:multiLevelType w:val="hybridMultilevel"/>
    <w:tmpl w:val="D4F2D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5151E"/>
    <w:multiLevelType w:val="hybridMultilevel"/>
    <w:tmpl w:val="F230BE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A3341"/>
    <w:multiLevelType w:val="hybridMultilevel"/>
    <w:tmpl w:val="F216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A7C9C"/>
    <w:multiLevelType w:val="hybridMultilevel"/>
    <w:tmpl w:val="8F4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7504C"/>
    <w:multiLevelType w:val="multilevel"/>
    <w:tmpl w:val="8A160E7C"/>
    <w:lvl w:ilvl="0">
      <w:start w:val="1"/>
      <w:numFmt w:val="decimal"/>
      <w:lvlText w:val="%1"/>
      <w:lvlJc w:val="left"/>
      <w:pPr>
        <w:ind w:left="360" w:hanging="360"/>
      </w:pPr>
      <w:rPr>
        <w:rFonts w:cs="Wingdings" w:hint="default"/>
      </w:rPr>
    </w:lvl>
    <w:lvl w:ilvl="1">
      <w:start w:val="1"/>
      <w:numFmt w:val="decimal"/>
      <w:lvlText w:val="%1.%2"/>
      <w:lvlJc w:val="left"/>
      <w:pPr>
        <w:ind w:left="360" w:hanging="360"/>
      </w:pPr>
      <w:rPr>
        <w:rFonts w:cs="Wingdings" w:hint="default"/>
      </w:rPr>
    </w:lvl>
    <w:lvl w:ilvl="2">
      <w:start w:val="1"/>
      <w:numFmt w:val="decimal"/>
      <w:lvlText w:val="%1.%2.%3"/>
      <w:lvlJc w:val="left"/>
      <w:pPr>
        <w:ind w:left="720" w:hanging="720"/>
      </w:pPr>
      <w:rPr>
        <w:rFonts w:cs="Wingdings" w:hint="default"/>
      </w:rPr>
    </w:lvl>
    <w:lvl w:ilvl="3">
      <w:start w:val="1"/>
      <w:numFmt w:val="decimal"/>
      <w:lvlText w:val="%1.%2.%3.%4"/>
      <w:lvlJc w:val="left"/>
      <w:pPr>
        <w:ind w:left="720" w:hanging="720"/>
      </w:pPr>
      <w:rPr>
        <w:rFonts w:cs="Wingdings" w:hint="default"/>
      </w:rPr>
    </w:lvl>
    <w:lvl w:ilvl="4">
      <w:start w:val="1"/>
      <w:numFmt w:val="decimal"/>
      <w:lvlText w:val="%1.%2.%3.%4.%5"/>
      <w:lvlJc w:val="left"/>
      <w:pPr>
        <w:ind w:left="1080" w:hanging="1080"/>
      </w:pPr>
      <w:rPr>
        <w:rFonts w:cs="Wingdings" w:hint="default"/>
      </w:rPr>
    </w:lvl>
    <w:lvl w:ilvl="5">
      <w:start w:val="1"/>
      <w:numFmt w:val="decimal"/>
      <w:lvlText w:val="%1.%2.%3.%4.%5.%6"/>
      <w:lvlJc w:val="left"/>
      <w:pPr>
        <w:ind w:left="1080" w:hanging="1080"/>
      </w:pPr>
      <w:rPr>
        <w:rFonts w:cs="Wingdings" w:hint="default"/>
      </w:rPr>
    </w:lvl>
    <w:lvl w:ilvl="6">
      <w:start w:val="1"/>
      <w:numFmt w:val="decimal"/>
      <w:lvlText w:val="%1.%2.%3.%4.%5.%6.%7"/>
      <w:lvlJc w:val="left"/>
      <w:pPr>
        <w:ind w:left="1440" w:hanging="1440"/>
      </w:pPr>
      <w:rPr>
        <w:rFonts w:cs="Wingdings" w:hint="default"/>
      </w:rPr>
    </w:lvl>
    <w:lvl w:ilvl="7">
      <w:start w:val="1"/>
      <w:numFmt w:val="decimal"/>
      <w:lvlText w:val="%1.%2.%3.%4.%5.%6.%7.%8"/>
      <w:lvlJc w:val="left"/>
      <w:pPr>
        <w:ind w:left="1440" w:hanging="1440"/>
      </w:pPr>
      <w:rPr>
        <w:rFonts w:cs="Wingdings" w:hint="default"/>
      </w:rPr>
    </w:lvl>
    <w:lvl w:ilvl="8">
      <w:start w:val="1"/>
      <w:numFmt w:val="decimal"/>
      <w:lvlText w:val="%1.%2.%3.%4.%5.%6.%7.%8.%9"/>
      <w:lvlJc w:val="left"/>
      <w:pPr>
        <w:ind w:left="1440" w:hanging="1440"/>
      </w:pPr>
      <w:rPr>
        <w:rFonts w:cs="Wingdings" w:hint="default"/>
      </w:rPr>
    </w:lvl>
  </w:abstractNum>
  <w:abstractNum w:abstractNumId="6" w15:restartNumberingAfterBreak="0">
    <w:nsid w:val="15B33427"/>
    <w:multiLevelType w:val="hybridMultilevel"/>
    <w:tmpl w:val="1EA875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77B6C"/>
    <w:multiLevelType w:val="hybridMultilevel"/>
    <w:tmpl w:val="53A65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21A49"/>
    <w:multiLevelType w:val="hybridMultilevel"/>
    <w:tmpl w:val="7120713A"/>
    <w:lvl w:ilvl="0" w:tplc="39ACEC3C">
      <w:start w:val="1"/>
      <w:numFmt w:val="decimal"/>
      <w:lvlText w:val="%1"/>
      <w:lvlJc w:val="left"/>
      <w:pPr>
        <w:ind w:left="720" w:hanging="360"/>
      </w:pPr>
      <w:rPr>
        <w:rFonts w:cs="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F17B01"/>
    <w:multiLevelType w:val="multilevel"/>
    <w:tmpl w:val="6598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C249B"/>
    <w:multiLevelType w:val="hybridMultilevel"/>
    <w:tmpl w:val="31EA2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557416"/>
    <w:multiLevelType w:val="multilevel"/>
    <w:tmpl w:val="6A8858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1A3AE6"/>
    <w:multiLevelType w:val="hybridMultilevel"/>
    <w:tmpl w:val="F230BE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7334A7"/>
    <w:multiLevelType w:val="hybridMultilevel"/>
    <w:tmpl w:val="9F782C46"/>
    <w:lvl w:ilvl="0" w:tplc="0EB8F23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917D30"/>
    <w:multiLevelType w:val="hybridMultilevel"/>
    <w:tmpl w:val="CC3A5B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8C7FC1"/>
    <w:multiLevelType w:val="hybridMultilevel"/>
    <w:tmpl w:val="C8AAD6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294B4F"/>
    <w:multiLevelType w:val="hybridMultilevel"/>
    <w:tmpl w:val="99FCD2EE"/>
    <w:lvl w:ilvl="0" w:tplc="6EC023E6">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48683F"/>
    <w:multiLevelType w:val="multilevel"/>
    <w:tmpl w:val="1AC0A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BD6DD8"/>
    <w:multiLevelType w:val="hybridMultilevel"/>
    <w:tmpl w:val="74AC444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61CE9"/>
    <w:multiLevelType w:val="multilevel"/>
    <w:tmpl w:val="B1FCAB7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7B64F8"/>
    <w:multiLevelType w:val="multilevel"/>
    <w:tmpl w:val="79B0F0A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1" w15:restartNumberingAfterBreak="0">
    <w:nsid w:val="475D0C0D"/>
    <w:multiLevelType w:val="hybridMultilevel"/>
    <w:tmpl w:val="1064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E23E1"/>
    <w:multiLevelType w:val="multilevel"/>
    <w:tmpl w:val="530661F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E71B9"/>
    <w:multiLevelType w:val="hybridMultilevel"/>
    <w:tmpl w:val="0EE0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718C4"/>
    <w:multiLevelType w:val="hybridMultilevel"/>
    <w:tmpl w:val="5108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93E8F"/>
    <w:multiLevelType w:val="hybridMultilevel"/>
    <w:tmpl w:val="B6AC777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C26531"/>
    <w:multiLevelType w:val="multilevel"/>
    <w:tmpl w:val="A978D2B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401777"/>
    <w:multiLevelType w:val="multilevel"/>
    <w:tmpl w:val="F03C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6E4E30"/>
    <w:multiLevelType w:val="hybridMultilevel"/>
    <w:tmpl w:val="7C22955A"/>
    <w:lvl w:ilvl="0" w:tplc="3E1E701E">
      <w:start w:val="1"/>
      <w:numFmt w:val="bullet"/>
      <w:lvlText w:val="•"/>
      <w:lvlJc w:val="left"/>
      <w:pPr>
        <w:tabs>
          <w:tab w:val="num" w:pos="720"/>
        </w:tabs>
        <w:ind w:left="720" w:hanging="360"/>
      </w:pPr>
      <w:rPr>
        <w:rFonts w:ascii="Arial" w:hAnsi="Arial" w:hint="default"/>
      </w:rPr>
    </w:lvl>
    <w:lvl w:ilvl="1" w:tplc="9C70E9F6" w:tentative="1">
      <w:start w:val="1"/>
      <w:numFmt w:val="bullet"/>
      <w:lvlText w:val="•"/>
      <w:lvlJc w:val="left"/>
      <w:pPr>
        <w:tabs>
          <w:tab w:val="num" w:pos="1440"/>
        </w:tabs>
        <w:ind w:left="1440" w:hanging="360"/>
      </w:pPr>
      <w:rPr>
        <w:rFonts w:ascii="Arial" w:hAnsi="Arial" w:hint="default"/>
      </w:rPr>
    </w:lvl>
    <w:lvl w:ilvl="2" w:tplc="375ADC9E" w:tentative="1">
      <w:start w:val="1"/>
      <w:numFmt w:val="bullet"/>
      <w:lvlText w:val="•"/>
      <w:lvlJc w:val="left"/>
      <w:pPr>
        <w:tabs>
          <w:tab w:val="num" w:pos="2160"/>
        </w:tabs>
        <w:ind w:left="2160" w:hanging="360"/>
      </w:pPr>
      <w:rPr>
        <w:rFonts w:ascii="Arial" w:hAnsi="Arial" w:hint="default"/>
      </w:rPr>
    </w:lvl>
    <w:lvl w:ilvl="3" w:tplc="45FEA87C" w:tentative="1">
      <w:start w:val="1"/>
      <w:numFmt w:val="bullet"/>
      <w:lvlText w:val="•"/>
      <w:lvlJc w:val="left"/>
      <w:pPr>
        <w:tabs>
          <w:tab w:val="num" w:pos="2880"/>
        </w:tabs>
        <w:ind w:left="2880" w:hanging="360"/>
      </w:pPr>
      <w:rPr>
        <w:rFonts w:ascii="Arial" w:hAnsi="Arial" w:hint="default"/>
      </w:rPr>
    </w:lvl>
    <w:lvl w:ilvl="4" w:tplc="3272BD4A" w:tentative="1">
      <w:start w:val="1"/>
      <w:numFmt w:val="bullet"/>
      <w:lvlText w:val="•"/>
      <w:lvlJc w:val="left"/>
      <w:pPr>
        <w:tabs>
          <w:tab w:val="num" w:pos="3600"/>
        </w:tabs>
        <w:ind w:left="3600" w:hanging="360"/>
      </w:pPr>
      <w:rPr>
        <w:rFonts w:ascii="Arial" w:hAnsi="Arial" w:hint="default"/>
      </w:rPr>
    </w:lvl>
    <w:lvl w:ilvl="5" w:tplc="770C6318" w:tentative="1">
      <w:start w:val="1"/>
      <w:numFmt w:val="bullet"/>
      <w:lvlText w:val="•"/>
      <w:lvlJc w:val="left"/>
      <w:pPr>
        <w:tabs>
          <w:tab w:val="num" w:pos="4320"/>
        </w:tabs>
        <w:ind w:left="4320" w:hanging="360"/>
      </w:pPr>
      <w:rPr>
        <w:rFonts w:ascii="Arial" w:hAnsi="Arial" w:hint="default"/>
      </w:rPr>
    </w:lvl>
    <w:lvl w:ilvl="6" w:tplc="E83CC640" w:tentative="1">
      <w:start w:val="1"/>
      <w:numFmt w:val="bullet"/>
      <w:lvlText w:val="•"/>
      <w:lvlJc w:val="left"/>
      <w:pPr>
        <w:tabs>
          <w:tab w:val="num" w:pos="5040"/>
        </w:tabs>
        <w:ind w:left="5040" w:hanging="360"/>
      </w:pPr>
      <w:rPr>
        <w:rFonts w:ascii="Arial" w:hAnsi="Arial" w:hint="default"/>
      </w:rPr>
    </w:lvl>
    <w:lvl w:ilvl="7" w:tplc="F92A8A0C" w:tentative="1">
      <w:start w:val="1"/>
      <w:numFmt w:val="bullet"/>
      <w:lvlText w:val="•"/>
      <w:lvlJc w:val="left"/>
      <w:pPr>
        <w:tabs>
          <w:tab w:val="num" w:pos="5760"/>
        </w:tabs>
        <w:ind w:left="5760" w:hanging="360"/>
      </w:pPr>
      <w:rPr>
        <w:rFonts w:ascii="Arial" w:hAnsi="Arial" w:hint="default"/>
      </w:rPr>
    </w:lvl>
    <w:lvl w:ilvl="8" w:tplc="5B5A249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030859"/>
    <w:multiLevelType w:val="multilevel"/>
    <w:tmpl w:val="A7DA002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93059A6"/>
    <w:multiLevelType w:val="hybridMultilevel"/>
    <w:tmpl w:val="1B04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7D1267"/>
    <w:multiLevelType w:val="hybridMultilevel"/>
    <w:tmpl w:val="F230BE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7E7DF5"/>
    <w:multiLevelType w:val="hybridMultilevel"/>
    <w:tmpl w:val="ECDECA0C"/>
    <w:lvl w:ilvl="0" w:tplc="DA8E1A86">
      <w:start w:val="1"/>
      <w:numFmt w:val="decimal"/>
      <w:lvlText w:val="%1."/>
      <w:lvlJc w:val="left"/>
      <w:pPr>
        <w:ind w:left="720" w:hanging="360"/>
      </w:pPr>
      <w:rPr>
        <w:rFonts w:cs="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7C70AD"/>
    <w:multiLevelType w:val="multilevel"/>
    <w:tmpl w:val="4AC6118E"/>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3FE5C81"/>
    <w:multiLevelType w:val="hybridMultilevel"/>
    <w:tmpl w:val="0284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1538A2"/>
    <w:multiLevelType w:val="hybridMultilevel"/>
    <w:tmpl w:val="D50E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794514"/>
    <w:multiLevelType w:val="hybridMultilevel"/>
    <w:tmpl w:val="FF4242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5A077F3"/>
    <w:multiLevelType w:val="multilevel"/>
    <w:tmpl w:val="F43C2EA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0B7B29"/>
    <w:multiLevelType w:val="hybridMultilevel"/>
    <w:tmpl w:val="4D064ACE"/>
    <w:lvl w:ilvl="0" w:tplc="BA9812D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526413"/>
    <w:multiLevelType w:val="hybridMultilevel"/>
    <w:tmpl w:val="2FE6EDA8"/>
    <w:lvl w:ilvl="0" w:tplc="8C8E99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02E40"/>
    <w:multiLevelType w:val="hybridMultilevel"/>
    <w:tmpl w:val="634E00C2"/>
    <w:lvl w:ilvl="0" w:tplc="724AF012">
      <w:numFmt w:val="bullet"/>
      <w:lvlText w:val=""/>
      <w:lvlJc w:val="left"/>
      <w:pPr>
        <w:ind w:left="927" w:hanging="360"/>
      </w:pPr>
      <w:rPr>
        <w:rFonts w:ascii="Symbol" w:eastAsiaTheme="minorHAnsi" w:hAnsi="Symbol" w:cstheme="minorBidi" w:hint="default"/>
      </w:rPr>
    </w:lvl>
    <w:lvl w:ilvl="1" w:tplc="04090003">
      <w:start w:val="1"/>
      <w:numFmt w:val="bullet"/>
      <w:lvlText w:val="o"/>
      <w:lvlJc w:val="left"/>
      <w:pPr>
        <w:ind w:left="1865" w:hanging="360"/>
      </w:pPr>
      <w:rPr>
        <w:rFonts w:ascii="Courier New" w:hAnsi="Courier New" w:cs="Symbol"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Symbol"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Symbol" w:hint="default"/>
      </w:rPr>
    </w:lvl>
    <w:lvl w:ilvl="8" w:tplc="04090005" w:tentative="1">
      <w:start w:val="1"/>
      <w:numFmt w:val="bullet"/>
      <w:lvlText w:val=""/>
      <w:lvlJc w:val="left"/>
      <w:pPr>
        <w:ind w:left="6905" w:hanging="360"/>
      </w:pPr>
      <w:rPr>
        <w:rFonts w:ascii="Wingdings" w:hAnsi="Wingdings" w:hint="default"/>
      </w:rPr>
    </w:lvl>
  </w:abstractNum>
  <w:abstractNum w:abstractNumId="41" w15:restartNumberingAfterBreak="0">
    <w:nsid w:val="76D356D7"/>
    <w:multiLevelType w:val="hybridMultilevel"/>
    <w:tmpl w:val="67F6AD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B00BCD"/>
    <w:multiLevelType w:val="hybridMultilevel"/>
    <w:tmpl w:val="CC8A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E61BE6"/>
    <w:multiLevelType w:val="hybridMultilevel"/>
    <w:tmpl w:val="0F72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FB1991"/>
    <w:multiLevelType w:val="hybridMultilevel"/>
    <w:tmpl w:val="F230BE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5F0A0F"/>
    <w:multiLevelType w:val="multilevel"/>
    <w:tmpl w:val="088052C8"/>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D865E0E"/>
    <w:multiLevelType w:val="multilevel"/>
    <w:tmpl w:val="EAFE98A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7E166C04"/>
    <w:multiLevelType w:val="hybridMultilevel"/>
    <w:tmpl w:val="4DD69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46"/>
  </w:num>
  <w:num w:numId="4">
    <w:abstractNumId w:val="47"/>
  </w:num>
  <w:num w:numId="5">
    <w:abstractNumId w:val="20"/>
  </w:num>
  <w:num w:numId="6">
    <w:abstractNumId w:val="27"/>
  </w:num>
  <w:num w:numId="7">
    <w:abstractNumId w:val="9"/>
  </w:num>
  <w:num w:numId="8">
    <w:abstractNumId w:val="24"/>
  </w:num>
  <w:num w:numId="9">
    <w:abstractNumId w:val="4"/>
  </w:num>
  <w:num w:numId="10">
    <w:abstractNumId w:val="10"/>
  </w:num>
  <w:num w:numId="11">
    <w:abstractNumId w:val="1"/>
  </w:num>
  <w:num w:numId="12">
    <w:abstractNumId w:val="0"/>
  </w:num>
  <w:num w:numId="13">
    <w:abstractNumId w:val="18"/>
  </w:num>
  <w:num w:numId="14">
    <w:abstractNumId w:val="30"/>
  </w:num>
  <w:num w:numId="15">
    <w:abstractNumId w:val="3"/>
  </w:num>
  <w:num w:numId="16">
    <w:abstractNumId w:val="21"/>
  </w:num>
  <w:num w:numId="17">
    <w:abstractNumId w:val="34"/>
  </w:num>
  <w:num w:numId="18">
    <w:abstractNumId w:val="42"/>
  </w:num>
  <w:num w:numId="19">
    <w:abstractNumId w:val="35"/>
  </w:num>
  <w:num w:numId="20">
    <w:abstractNumId w:val="23"/>
  </w:num>
  <w:num w:numId="21">
    <w:abstractNumId w:val="43"/>
  </w:num>
  <w:num w:numId="22">
    <w:abstractNumId w:val="16"/>
  </w:num>
  <w:num w:numId="23">
    <w:abstractNumId w:val="22"/>
  </w:num>
  <w:num w:numId="24">
    <w:abstractNumId w:val="11"/>
  </w:num>
  <w:num w:numId="25">
    <w:abstractNumId w:val="19"/>
  </w:num>
  <w:num w:numId="26">
    <w:abstractNumId w:val="17"/>
  </w:num>
  <w:num w:numId="27">
    <w:abstractNumId w:val="26"/>
  </w:num>
  <w:num w:numId="28">
    <w:abstractNumId w:val="13"/>
  </w:num>
  <w:num w:numId="29">
    <w:abstractNumId w:val="33"/>
  </w:num>
  <w:num w:numId="30">
    <w:abstractNumId w:val="29"/>
  </w:num>
  <w:num w:numId="31">
    <w:abstractNumId w:val="38"/>
  </w:num>
  <w:num w:numId="32">
    <w:abstractNumId w:val="16"/>
    <w:lvlOverride w:ilvl="0">
      <w:startOverride w:val="1"/>
    </w:lvlOverride>
  </w:num>
  <w:num w:numId="33">
    <w:abstractNumId w:val="41"/>
  </w:num>
  <w:num w:numId="34">
    <w:abstractNumId w:val="32"/>
  </w:num>
  <w:num w:numId="35">
    <w:abstractNumId w:val="5"/>
  </w:num>
  <w:num w:numId="36">
    <w:abstractNumId w:val="8"/>
  </w:num>
  <w:num w:numId="37">
    <w:abstractNumId w:val="45"/>
  </w:num>
  <w:num w:numId="38">
    <w:abstractNumId w:val="28"/>
  </w:num>
  <w:num w:numId="39">
    <w:abstractNumId w:val="37"/>
  </w:num>
  <w:num w:numId="40">
    <w:abstractNumId w:val="36"/>
  </w:num>
  <w:num w:numId="41">
    <w:abstractNumId w:val="31"/>
  </w:num>
  <w:num w:numId="42">
    <w:abstractNumId w:val="14"/>
  </w:num>
  <w:num w:numId="43">
    <w:abstractNumId w:val="15"/>
  </w:num>
  <w:num w:numId="44">
    <w:abstractNumId w:val="6"/>
  </w:num>
  <w:num w:numId="45">
    <w:abstractNumId w:val="2"/>
  </w:num>
  <w:num w:numId="46">
    <w:abstractNumId w:val="44"/>
  </w:num>
  <w:num w:numId="47">
    <w:abstractNumId w:val="7"/>
  </w:num>
  <w:num w:numId="48">
    <w:abstractNumId w:val="12"/>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F0"/>
    <w:rsid w:val="000015DE"/>
    <w:rsid w:val="000016AF"/>
    <w:rsid w:val="000024AA"/>
    <w:rsid w:val="00007050"/>
    <w:rsid w:val="00007654"/>
    <w:rsid w:val="00007FB1"/>
    <w:rsid w:val="000128A8"/>
    <w:rsid w:val="00021F66"/>
    <w:rsid w:val="0003080E"/>
    <w:rsid w:val="00032651"/>
    <w:rsid w:val="00033546"/>
    <w:rsid w:val="00036C2C"/>
    <w:rsid w:val="00036DE8"/>
    <w:rsid w:val="00044E9A"/>
    <w:rsid w:val="0004525C"/>
    <w:rsid w:val="00046894"/>
    <w:rsid w:val="00051FF3"/>
    <w:rsid w:val="00054A0C"/>
    <w:rsid w:val="00056273"/>
    <w:rsid w:val="00064F9C"/>
    <w:rsid w:val="0006699E"/>
    <w:rsid w:val="0007395B"/>
    <w:rsid w:val="00073A75"/>
    <w:rsid w:val="00076744"/>
    <w:rsid w:val="00076FC5"/>
    <w:rsid w:val="00081B7E"/>
    <w:rsid w:val="000900A9"/>
    <w:rsid w:val="000948FB"/>
    <w:rsid w:val="00097DD5"/>
    <w:rsid w:val="000A21DC"/>
    <w:rsid w:val="000A5B43"/>
    <w:rsid w:val="000A742B"/>
    <w:rsid w:val="000B0A11"/>
    <w:rsid w:val="000B4616"/>
    <w:rsid w:val="000B48D0"/>
    <w:rsid w:val="000B56E5"/>
    <w:rsid w:val="000B61D1"/>
    <w:rsid w:val="000C0B7C"/>
    <w:rsid w:val="000C2E23"/>
    <w:rsid w:val="000C3B05"/>
    <w:rsid w:val="000C73A7"/>
    <w:rsid w:val="000C7958"/>
    <w:rsid w:val="000C7B75"/>
    <w:rsid w:val="000E1E4A"/>
    <w:rsid w:val="000E5852"/>
    <w:rsid w:val="000E6390"/>
    <w:rsid w:val="000F1426"/>
    <w:rsid w:val="000F2489"/>
    <w:rsid w:val="000F2D3C"/>
    <w:rsid w:val="00105DA6"/>
    <w:rsid w:val="0011006C"/>
    <w:rsid w:val="0011110E"/>
    <w:rsid w:val="001112C1"/>
    <w:rsid w:val="0011200B"/>
    <w:rsid w:val="00113F34"/>
    <w:rsid w:val="00114F53"/>
    <w:rsid w:val="001220E5"/>
    <w:rsid w:val="00131037"/>
    <w:rsid w:val="00131502"/>
    <w:rsid w:val="001337E5"/>
    <w:rsid w:val="00133F84"/>
    <w:rsid w:val="00134FCE"/>
    <w:rsid w:val="001357C0"/>
    <w:rsid w:val="0013633C"/>
    <w:rsid w:val="00137297"/>
    <w:rsid w:val="0014082E"/>
    <w:rsid w:val="00141DF7"/>
    <w:rsid w:val="001463C5"/>
    <w:rsid w:val="001503B9"/>
    <w:rsid w:val="00152CA1"/>
    <w:rsid w:val="0015766C"/>
    <w:rsid w:val="00160601"/>
    <w:rsid w:val="00163917"/>
    <w:rsid w:val="001641E0"/>
    <w:rsid w:val="001641F4"/>
    <w:rsid w:val="00170E3B"/>
    <w:rsid w:val="00171FB3"/>
    <w:rsid w:val="00173323"/>
    <w:rsid w:val="001741F9"/>
    <w:rsid w:val="00175F3B"/>
    <w:rsid w:val="00176051"/>
    <w:rsid w:val="00176247"/>
    <w:rsid w:val="0017660F"/>
    <w:rsid w:val="0017780B"/>
    <w:rsid w:val="001778DB"/>
    <w:rsid w:val="001830B6"/>
    <w:rsid w:val="00183711"/>
    <w:rsid w:val="00185141"/>
    <w:rsid w:val="001874C2"/>
    <w:rsid w:val="00191F53"/>
    <w:rsid w:val="00197E29"/>
    <w:rsid w:val="001A0318"/>
    <w:rsid w:val="001A1ABF"/>
    <w:rsid w:val="001A4EC8"/>
    <w:rsid w:val="001B46A0"/>
    <w:rsid w:val="001B5712"/>
    <w:rsid w:val="001C0970"/>
    <w:rsid w:val="001C6EE0"/>
    <w:rsid w:val="001D070C"/>
    <w:rsid w:val="001D0F90"/>
    <w:rsid w:val="001D55AE"/>
    <w:rsid w:val="001E28F4"/>
    <w:rsid w:val="001E49A3"/>
    <w:rsid w:val="001E52D5"/>
    <w:rsid w:val="001E5657"/>
    <w:rsid w:val="001E60DA"/>
    <w:rsid w:val="001E65B9"/>
    <w:rsid w:val="001E6ADA"/>
    <w:rsid w:val="001F02E3"/>
    <w:rsid w:val="001F2335"/>
    <w:rsid w:val="001F2E62"/>
    <w:rsid w:val="001F7280"/>
    <w:rsid w:val="00200B1F"/>
    <w:rsid w:val="002058C1"/>
    <w:rsid w:val="00210A66"/>
    <w:rsid w:val="002118A7"/>
    <w:rsid w:val="00212B99"/>
    <w:rsid w:val="00213245"/>
    <w:rsid w:val="00213DD0"/>
    <w:rsid w:val="002165E4"/>
    <w:rsid w:val="00216DA8"/>
    <w:rsid w:val="002204AF"/>
    <w:rsid w:val="00222137"/>
    <w:rsid w:val="00224905"/>
    <w:rsid w:val="002258CF"/>
    <w:rsid w:val="00225EFB"/>
    <w:rsid w:val="00225FDB"/>
    <w:rsid w:val="00227DCF"/>
    <w:rsid w:val="00227F6F"/>
    <w:rsid w:val="00231620"/>
    <w:rsid w:val="0023647E"/>
    <w:rsid w:val="00237DEB"/>
    <w:rsid w:val="002410F7"/>
    <w:rsid w:val="002415EC"/>
    <w:rsid w:val="00242988"/>
    <w:rsid w:val="0024553B"/>
    <w:rsid w:val="00245FC8"/>
    <w:rsid w:val="00246AA6"/>
    <w:rsid w:val="00246D0E"/>
    <w:rsid w:val="002479A7"/>
    <w:rsid w:val="00250563"/>
    <w:rsid w:val="00251DED"/>
    <w:rsid w:val="00254258"/>
    <w:rsid w:val="00256A2E"/>
    <w:rsid w:val="00257507"/>
    <w:rsid w:val="00266951"/>
    <w:rsid w:val="0027367B"/>
    <w:rsid w:val="002765C0"/>
    <w:rsid w:val="002774F5"/>
    <w:rsid w:val="0027785E"/>
    <w:rsid w:val="002816F6"/>
    <w:rsid w:val="00284416"/>
    <w:rsid w:val="00284BBE"/>
    <w:rsid w:val="00286B44"/>
    <w:rsid w:val="0029062A"/>
    <w:rsid w:val="00291E76"/>
    <w:rsid w:val="00292E04"/>
    <w:rsid w:val="00295625"/>
    <w:rsid w:val="00297012"/>
    <w:rsid w:val="002A186E"/>
    <w:rsid w:val="002A2519"/>
    <w:rsid w:val="002A37C9"/>
    <w:rsid w:val="002A54D0"/>
    <w:rsid w:val="002A694F"/>
    <w:rsid w:val="002B0C6A"/>
    <w:rsid w:val="002B699A"/>
    <w:rsid w:val="002B7998"/>
    <w:rsid w:val="002B7E03"/>
    <w:rsid w:val="002B7E0D"/>
    <w:rsid w:val="002C0B7D"/>
    <w:rsid w:val="002C0FCC"/>
    <w:rsid w:val="002C1C46"/>
    <w:rsid w:val="002C750E"/>
    <w:rsid w:val="002D0334"/>
    <w:rsid w:val="002D0507"/>
    <w:rsid w:val="002D1E1D"/>
    <w:rsid w:val="002D477C"/>
    <w:rsid w:val="002D47A7"/>
    <w:rsid w:val="002E3DDE"/>
    <w:rsid w:val="002E6770"/>
    <w:rsid w:val="002F3B52"/>
    <w:rsid w:val="002F4AD8"/>
    <w:rsid w:val="002F576A"/>
    <w:rsid w:val="002F7295"/>
    <w:rsid w:val="00301D46"/>
    <w:rsid w:val="003074B3"/>
    <w:rsid w:val="003119C7"/>
    <w:rsid w:val="00313EE1"/>
    <w:rsid w:val="0031644E"/>
    <w:rsid w:val="00320712"/>
    <w:rsid w:val="00323A39"/>
    <w:rsid w:val="0032560D"/>
    <w:rsid w:val="00326A0C"/>
    <w:rsid w:val="0033005E"/>
    <w:rsid w:val="00331403"/>
    <w:rsid w:val="00332979"/>
    <w:rsid w:val="003338C2"/>
    <w:rsid w:val="00336632"/>
    <w:rsid w:val="00340E5F"/>
    <w:rsid w:val="003433DB"/>
    <w:rsid w:val="003444F7"/>
    <w:rsid w:val="0034712C"/>
    <w:rsid w:val="00347234"/>
    <w:rsid w:val="00354A11"/>
    <w:rsid w:val="00354F95"/>
    <w:rsid w:val="0035507F"/>
    <w:rsid w:val="003572D5"/>
    <w:rsid w:val="00357ABD"/>
    <w:rsid w:val="003617FA"/>
    <w:rsid w:val="0036389F"/>
    <w:rsid w:val="00366FAF"/>
    <w:rsid w:val="00366FD2"/>
    <w:rsid w:val="00367A39"/>
    <w:rsid w:val="00375E09"/>
    <w:rsid w:val="003814F9"/>
    <w:rsid w:val="00382783"/>
    <w:rsid w:val="00383965"/>
    <w:rsid w:val="00384E83"/>
    <w:rsid w:val="003858FE"/>
    <w:rsid w:val="00387271"/>
    <w:rsid w:val="00387AAF"/>
    <w:rsid w:val="00394A4F"/>
    <w:rsid w:val="00395949"/>
    <w:rsid w:val="00396ECA"/>
    <w:rsid w:val="003A2BDC"/>
    <w:rsid w:val="003A7C85"/>
    <w:rsid w:val="003B25FD"/>
    <w:rsid w:val="003B3B22"/>
    <w:rsid w:val="003B5568"/>
    <w:rsid w:val="003C0B42"/>
    <w:rsid w:val="003C1736"/>
    <w:rsid w:val="003C7168"/>
    <w:rsid w:val="003D68CB"/>
    <w:rsid w:val="003E08B1"/>
    <w:rsid w:val="003E35C8"/>
    <w:rsid w:val="003E469D"/>
    <w:rsid w:val="003E71A6"/>
    <w:rsid w:val="003F587E"/>
    <w:rsid w:val="003F61C3"/>
    <w:rsid w:val="003F6DE2"/>
    <w:rsid w:val="004004CE"/>
    <w:rsid w:val="00403814"/>
    <w:rsid w:val="0041274A"/>
    <w:rsid w:val="004150AB"/>
    <w:rsid w:val="0041527F"/>
    <w:rsid w:val="0041726F"/>
    <w:rsid w:val="00420127"/>
    <w:rsid w:val="00425704"/>
    <w:rsid w:val="00425A38"/>
    <w:rsid w:val="004265C4"/>
    <w:rsid w:val="004269A0"/>
    <w:rsid w:val="004301EB"/>
    <w:rsid w:val="0043071F"/>
    <w:rsid w:val="004307E1"/>
    <w:rsid w:val="004323EF"/>
    <w:rsid w:val="004336B3"/>
    <w:rsid w:val="0043544A"/>
    <w:rsid w:val="0043631C"/>
    <w:rsid w:val="004414F9"/>
    <w:rsid w:val="004445B0"/>
    <w:rsid w:val="004470DA"/>
    <w:rsid w:val="004510A1"/>
    <w:rsid w:val="0045357A"/>
    <w:rsid w:val="00453D9D"/>
    <w:rsid w:val="004563FB"/>
    <w:rsid w:val="00462007"/>
    <w:rsid w:val="0046485A"/>
    <w:rsid w:val="00466CFF"/>
    <w:rsid w:val="004670C6"/>
    <w:rsid w:val="00467198"/>
    <w:rsid w:val="00472A21"/>
    <w:rsid w:val="00473BFE"/>
    <w:rsid w:val="00487127"/>
    <w:rsid w:val="004A1843"/>
    <w:rsid w:val="004B3814"/>
    <w:rsid w:val="004B44FC"/>
    <w:rsid w:val="004B4DE0"/>
    <w:rsid w:val="004B66F3"/>
    <w:rsid w:val="004B707A"/>
    <w:rsid w:val="004C100D"/>
    <w:rsid w:val="004C186F"/>
    <w:rsid w:val="004C5D4D"/>
    <w:rsid w:val="004C651B"/>
    <w:rsid w:val="004D1F1E"/>
    <w:rsid w:val="004D2E24"/>
    <w:rsid w:val="004D3FC5"/>
    <w:rsid w:val="004E0A18"/>
    <w:rsid w:val="004E20C7"/>
    <w:rsid w:val="004E4EC9"/>
    <w:rsid w:val="004E6307"/>
    <w:rsid w:val="004E6B55"/>
    <w:rsid w:val="004E7BC5"/>
    <w:rsid w:val="004F1190"/>
    <w:rsid w:val="004F1A16"/>
    <w:rsid w:val="004F4D17"/>
    <w:rsid w:val="004F71CB"/>
    <w:rsid w:val="004F72CF"/>
    <w:rsid w:val="004F7C59"/>
    <w:rsid w:val="00500A07"/>
    <w:rsid w:val="00504E34"/>
    <w:rsid w:val="00505E8D"/>
    <w:rsid w:val="00505FA2"/>
    <w:rsid w:val="00507B4A"/>
    <w:rsid w:val="005107C8"/>
    <w:rsid w:val="00510E76"/>
    <w:rsid w:val="00514730"/>
    <w:rsid w:val="00517130"/>
    <w:rsid w:val="00517DA1"/>
    <w:rsid w:val="00520053"/>
    <w:rsid w:val="00523A7B"/>
    <w:rsid w:val="00523D18"/>
    <w:rsid w:val="005275F8"/>
    <w:rsid w:val="005345FA"/>
    <w:rsid w:val="00541BEC"/>
    <w:rsid w:val="0054213D"/>
    <w:rsid w:val="00543AAE"/>
    <w:rsid w:val="00545AD5"/>
    <w:rsid w:val="00547BAD"/>
    <w:rsid w:val="00547E17"/>
    <w:rsid w:val="00550B67"/>
    <w:rsid w:val="00560A9B"/>
    <w:rsid w:val="00561E18"/>
    <w:rsid w:val="0056473D"/>
    <w:rsid w:val="00564BCE"/>
    <w:rsid w:val="00567619"/>
    <w:rsid w:val="00567D03"/>
    <w:rsid w:val="005713AA"/>
    <w:rsid w:val="00573F7F"/>
    <w:rsid w:val="005762F5"/>
    <w:rsid w:val="0058090E"/>
    <w:rsid w:val="00582FD5"/>
    <w:rsid w:val="00583207"/>
    <w:rsid w:val="005847F1"/>
    <w:rsid w:val="00584CDF"/>
    <w:rsid w:val="00584EB5"/>
    <w:rsid w:val="00587445"/>
    <w:rsid w:val="005940A4"/>
    <w:rsid w:val="005943EC"/>
    <w:rsid w:val="00596A2A"/>
    <w:rsid w:val="005A2415"/>
    <w:rsid w:val="005A3BD6"/>
    <w:rsid w:val="005B02BF"/>
    <w:rsid w:val="005B0B5A"/>
    <w:rsid w:val="005B2D5F"/>
    <w:rsid w:val="005B553C"/>
    <w:rsid w:val="005B6346"/>
    <w:rsid w:val="005C4422"/>
    <w:rsid w:val="005C59EA"/>
    <w:rsid w:val="005C68BB"/>
    <w:rsid w:val="005C6B90"/>
    <w:rsid w:val="005D3E31"/>
    <w:rsid w:val="005D4085"/>
    <w:rsid w:val="005D610C"/>
    <w:rsid w:val="005D7B13"/>
    <w:rsid w:val="005E1078"/>
    <w:rsid w:val="005E1826"/>
    <w:rsid w:val="005E245F"/>
    <w:rsid w:val="005E2D89"/>
    <w:rsid w:val="005E6360"/>
    <w:rsid w:val="005E6D4D"/>
    <w:rsid w:val="005F26B8"/>
    <w:rsid w:val="005F2BA6"/>
    <w:rsid w:val="005F3B75"/>
    <w:rsid w:val="005F4CBA"/>
    <w:rsid w:val="005F5718"/>
    <w:rsid w:val="0060567B"/>
    <w:rsid w:val="00606782"/>
    <w:rsid w:val="00606F9C"/>
    <w:rsid w:val="0061128C"/>
    <w:rsid w:val="00611588"/>
    <w:rsid w:val="00613083"/>
    <w:rsid w:val="00622EF3"/>
    <w:rsid w:val="00625BA3"/>
    <w:rsid w:val="00625BBC"/>
    <w:rsid w:val="00636001"/>
    <w:rsid w:val="00640812"/>
    <w:rsid w:val="006459E7"/>
    <w:rsid w:val="00655CC6"/>
    <w:rsid w:val="006565FE"/>
    <w:rsid w:val="00670125"/>
    <w:rsid w:val="00674BE4"/>
    <w:rsid w:val="006813F6"/>
    <w:rsid w:val="00685B47"/>
    <w:rsid w:val="00686774"/>
    <w:rsid w:val="00690D54"/>
    <w:rsid w:val="0069212F"/>
    <w:rsid w:val="006A1551"/>
    <w:rsid w:val="006A51D9"/>
    <w:rsid w:val="006A5646"/>
    <w:rsid w:val="006B0A1E"/>
    <w:rsid w:val="006B314C"/>
    <w:rsid w:val="006B3A20"/>
    <w:rsid w:val="006B459B"/>
    <w:rsid w:val="006B7458"/>
    <w:rsid w:val="006C170E"/>
    <w:rsid w:val="006C3288"/>
    <w:rsid w:val="006C3658"/>
    <w:rsid w:val="006C3FC9"/>
    <w:rsid w:val="006C721F"/>
    <w:rsid w:val="006D2B26"/>
    <w:rsid w:val="006D2F7C"/>
    <w:rsid w:val="006D3310"/>
    <w:rsid w:val="006D3336"/>
    <w:rsid w:val="006D33EF"/>
    <w:rsid w:val="006D406E"/>
    <w:rsid w:val="006D6A70"/>
    <w:rsid w:val="006E1248"/>
    <w:rsid w:val="006E396F"/>
    <w:rsid w:val="006E4D1D"/>
    <w:rsid w:val="006F2887"/>
    <w:rsid w:val="006F49DE"/>
    <w:rsid w:val="006F6565"/>
    <w:rsid w:val="00700377"/>
    <w:rsid w:val="007008C6"/>
    <w:rsid w:val="00701B5D"/>
    <w:rsid w:val="0070232B"/>
    <w:rsid w:val="0070260E"/>
    <w:rsid w:val="00702EB4"/>
    <w:rsid w:val="007060DD"/>
    <w:rsid w:val="007075C7"/>
    <w:rsid w:val="00710041"/>
    <w:rsid w:val="0071186D"/>
    <w:rsid w:val="00714560"/>
    <w:rsid w:val="00722173"/>
    <w:rsid w:val="00722DF7"/>
    <w:rsid w:val="007241B7"/>
    <w:rsid w:val="0072540F"/>
    <w:rsid w:val="007351DE"/>
    <w:rsid w:val="00737C0A"/>
    <w:rsid w:val="00742A3F"/>
    <w:rsid w:val="00745FCD"/>
    <w:rsid w:val="00750224"/>
    <w:rsid w:val="007504F9"/>
    <w:rsid w:val="00750E74"/>
    <w:rsid w:val="00767257"/>
    <w:rsid w:val="0076778F"/>
    <w:rsid w:val="00771165"/>
    <w:rsid w:val="007712A4"/>
    <w:rsid w:val="00773AEB"/>
    <w:rsid w:val="007747D6"/>
    <w:rsid w:val="00775E4D"/>
    <w:rsid w:val="007859E5"/>
    <w:rsid w:val="00790009"/>
    <w:rsid w:val="0079227A"/>
    <w:rsid w:val="00793B33"/>
    <w:rsid w:val="0079458C"/>
    <w:rsid w:val="007957FA"/>
    <w:rsid w:val="00797386"/>
    <w:rsid w:val="00797D50"/>
    <w:rsid w:val="007A154F"/>
    <w:rsid w:val="007B0567"/>
    <w:rsid w:val="007B4ABC"/>
    <w:rsid w:val="007B5D84"/>
    <w:rsid w:val="007C0029"/>
    <w:rsid w:val="007C543E"/>
    <w:rsid w:val="007C5C01"/>
    <w:rsid w:val="007D17C1"/>
    <w:rsid w:val="007D267D"/>
    <w:rsid w:val="007D748F"/>
    <w:rsid w:val="007D7DBC"/>
    <w:rsid w:val="007E09CC"/>
    <w:rsid w:val="007E6ECC"/>
    <w:rsid w:val="007E7A25"/>
    <w:rsid w:val="007F1B84"/>
    <w:rsid w:val="007F5DE4"/>
    <w:rsid w:val="007F6D74"/>
    <w:rsid w:val="00801C03"/>
    <w:rsid w:val="008076CC"/>
    <w:rsid w:val="00813EC4"/>
    <w:rsid w:val="0081533E"/>
    <w:rsid w:val="0082133D"/>
    <w:rsid w:val="00821BB0"/>
    <w:rsid w:val="008257B4"/>
    <w:rsid w:val="00830C43"/>
    <w:rsid w:val="00830D4E"/>
    <w:rsid w:val="008325AF"/>
    <w:rsid w:val="008358A3"/>
    <w:rsid w:val="00837886"/>
    <w:rsid w:val="008379B7"/>
    <w:rsid w:val="008410DF"/>
    <w:rsid w:val="00842947"/>
    <w:rsid w:val="00844212"/>
    <w:rsid w:val="00845CDC"/>
    <w:rsid w:val="0084787B"/>
    <w:rsid w:val="00855D48"/>
    <w:rsid w:val="00862373"/>
    <w:rsid w:val="00864878"/>
    <w:rsid w:val="00865A7B"/>
    <w:rsid w:val="00867D5E"/>
    <w:rsid w:val="0088745E"/>
    <w:rsid w:val="00891A34"/>
    <w:rsid w:val="00892A6A"/>
    <w:rsid w:val="00894239"/>
    <w:rsid w:val="00894309"/>
    <w:rsid w:val="008979C6"/>
    <w:rsid w:val="008A0165"/>
    <w:rsid w:val="008A49A3"/>
    <w:rsid w:val="008A6617"/>
    <w:rsid w:val="008A69E2"/>
    <w:rsid w:val="008A6EE6"/>
    <w:rsid w:val="008A7A37"/>
    <w:rsid w:val="008B187F"/>
    <w:rsid w:val="008B1E77"/>
    <w:rsid w:val="008B2733"/>
    <w:rsid w:val="008B3A0E"/>
    <w:rsid w:val="008B450F"/>
    <w:rsid w:val="008C04C6"/>
    <w:rsid w:val="008C4FF4"/>
    <w:rsid w:val="008C5629"/>
    <w:rsid w:val="008C60E3"/>
    <w:rsid w:val="008C6177"/>
    <w:rsid w:val="008D18EC"/>
    <w:rsid w:val="008D2906"/>
    <w:rsid w:val="008D5480"/>
    <w:rsid w:val="008D5941"/>
    <w:rsid w:val="008D5DC3"/>
    <w:rsid w:val="008E1019"/>
    <w:rsid w:val="008E206E"/>
    <w:rsid w:val="008E4D1E"/>
    <w:rsid w:val="008F04AA"/>
    <w:rsid w:val="008F299C"/>
    <w:rsid w:val="008F6E4E"/>
    <w:rsid w:val="008F73BB"/>
    <w:rsid w:val="009008EA"/>
    <w:rsid w:val="00902494"/>
    <w:rsid w:val="00902E67"/>
    <w:rsid w:val="00905E9E"/>
    <w:rsid w:val="009075A0"/>
    <w:rsid w:val="00911E32"/>
    <w:rsid w:val="009137D9"/>
    <w:rsid w:val="0091637B"/>
    <w:rsid w:val="00920DF9"/>
    <w:rsid w:val="00921BFF"/>
    <w:rsid w:val="00925DA5"/>
    <w:rsid w:val="00925F8A"/>
    <w:rsid w:val="00926620"/>
    <w:rsid w:val="00927AEC"/>
    <w:rsid w:val="0093099C"/>
    <w:rsid w:val="00933342"/>
    <w:rsid w:val="00935DA1"/>
    <w:rsid w:val="00940183"/>
    <w:rsid w:val="00941CCF"/>
    <w:rsid w:val="00950D44"/>
    <w:rsid w:val="00952AC6"/>
    <w:rsid w:val="00955AD1"/>
    <w:rsid w:val="009629A6"/>
    <w:rsid w:val="00962E04"/>
    <w:rsid w:val="00966534"/>
    <w:rsid w:val="0096679F"/>
    <w:rsid w:val="0097024E"/>
    <w:rsid w:val="009732AE"/>
    <w:rsid w:val="009733DF"/>
    <w:rsid w:val="0097499D"/>
    <w:rsid w:val="009759DB"/>
    <w:rsid w:val="00977F47"/>
    <w:rsid w:val="00991DD7"/>
    <w:rsid w:val="00993D76"/>
    <w:rsid w:val="009974FE"/>
    <w:rsid w:val="00997B3D"/>
    <w:rsid w:val="009A0D81"/>
    <w:rsid w:val="009A1858"/>
    <w:rsid w:val="009A1EB1"/>
    <w:rsid w:val="009A2AD3"/>
    <w:rsid w:val="009A2D1E"/>
    <w:rsid w:val="009A3586"/>
    <w:rsid w:val="009A6ED4"/>
    <w:rsid w:val="009A7607"/>
    <w:rsid w:val="009B0654"/>
    <w:rsid w:val="009B3466"/>
    <w:rsid w:val="009B6A73"/>
    <w:rsid w:val="009B7B91"/>
    <w:rsid w:val="009C12DB"/>
    <w:rsid w:val="009C78D5"/>
    <w:rsid w:val="009C7945"/>
    <w:rsid w:val="009C796A"/>
    <w:rsid w:val="009D012A"/>
    <w:rsid w:val="009D0886"/>
    <w:rsid w:val="009D32CF"/>
    <w:rsid w:val="009E0C41"/>
    <w:rsid w:val="009E1859"/>
    <w:rsid w:val="009E6488"/>
    <w:rsid w:val="009E79F9"/>
    <w:rsid w:val="009F31CD"/>
    <w:rsid w:val="009F4D52"/>
    <w:rsid w:val="00A013AF"/>
    <w:rsid w:val="00A030D1"/>
    <w:rsid w:val="00A063E0"/>
    <w:rsid w:val="00A06ACE"/>
    <w:rsid w:val="00A11919"/>
    <w:rsid w:val="00A20097"/>
    <w:rsid w:val="00A229E8"/>
    <w:rsid w:val="00A22AA9"/>
    <w:rsid w:val="00A25570"/>
    <w:rsid w:val="00A30680"/>
    <w:rsid w:val="00A32318"/>
    <w:rsid w:val="00A3244D"/>
    <w:rsid w:val="00A374B3"/>
    <w:rsid w:val="00A40B00"/>
    <w:rsid w:val="00A42680"/>
    <w:rsid w:val="00A434D8"/>
    <w:rsid w:val="00A43A5C"/>
    <w:rsid w:val="00A44BDD"/>
    <w:rsid w:val="00A450D8"/>
    <w:rsid w:val="00A56DA7"/>
    <w:rsid w:val="00A5713E"/>
    <w:rsid w:val="00A60FDC"/>
    <w:rsid w:val="00A62F85"/>
    <w:rsid w:val="00A633AD"/>
    <w:rsid w:val="00A70449"/>
    <w:rsid w:val="00A81A33"/>
    <w:rsid w:val="00A8622A"/>
    <w:rsid w:val="00A862E4"/>
    <w:rsid w:val="00A879C1"/>
    <w:rsid w:val="00A87AE7"/>
    <w:rsid w:val="00A913ED"/>
    <w:rsid w:val="00A91E98"/>
    <w:rsid w:val="00A9593E"/>
    <w:rsid w:val="00AA265D"/>
    <w:rsid w:val="00AA584C"/>
    <w:rsid w:val="00AB0DB0"/>
    <w:rsid w:val="00AB1C5A"/>
    <w:rsid w:val="00AB2C74"/>
    <w:rsid w:val="00AB70FF"/>
    <w:rsid w:val="00AB7C61"/>
    <w:rsid w:val="00AC1171"/>
    <w:rsid w:val="00AC1A27"/>
    <w:rsid w:val="00AC1BB4"/>
    <w:rsid w:val="00AC498B"/>
    <w:rsid w:val="00AC5128"/>
    <w:rsid w:val="00AD07DE"/>
    <w:rsid w:val="00AD6368"/>
    <w:rsid w:val="00AD6EF9"/>
    <w:rsid w:val="00AD7E5A"/>
    <w:rsid w:val="00AE01A7"/>
    <w:rsid w:val="00AE1710"/>
    <w:rsid w:val="00AE1EE2"/>
    <w:rsid w:val="00AE27D3"/>
    <w:rsid w:val="00AE484E"/>
    <w:rsid w:val="00AF198E"/>
    <w:rsid w:val="00AF39B7"/>
    <w:rsid w:val="00AF3D95"/>
    <w:rsid w:val="00AF404E"/>
    <w:rsid w:val="00AF6F8E"/>
    <w:rsid w:val="00AF71BC"/>
    <w:rsid w:val="00B00B85"/>
    <w:rsid w:val="00B04E28"/>
    <w:rsid w:val="00B0742D"/>
    <w:rsid w:val="00B120E4"/>
    <w:rsid w:val="00B13395"/>
    <w:rsid w:val="00B147C9"/>
    <w:rsid w:val="00B15B28"/>
    <w:rsid w:val="00B20357"/>
    <w:rsid w:val="00B20F9B"/>
    <w:rsid w:val="00B25EB1"/>
    <w:rsid w:val="00B40A3E"/>
    <w:rsid w:val="00B44CC5"/>
    <w:rsid w:val="00B45410"/>
    <w:rsid w:val="00B45BBA"/>
    <w:rsid w:val="00B502B6"/>
    <w:rsid w:val="00B504AD"/>
    <w:rsid w:val="00B52244"/>
    <w:rsid w:val="00B5298E"/>
    <w:rsid w:val="00B60E47"/>
    <w:rsid w:val="00B634CA"/>
    <w:rsid w:val="00B67415"/>
    <w:rsid w:val="00B7364C"/>
    <w:rsid w:val="00B777DF"/>
    <w:rsid w:val="00B778D0"/>
    <w:rsid w:val="00B807FD"/>
    <w:rsid w:val="00B84C2A"/>
    <w:rsid w:val="00B85F10"/>
    <w:rsid w:val="00B868D5"/>
    <w:rsid w:val="00B92C1D"/>
    <w:rsid w:val="00B968ED"/>
    <w:rsid w:val="00BA0A28"/>
    <w:rsid w:val="00BB531A"/>
    <w:rsid w:val="00BB6397"/>
    <w:rsid w:val="00BC6C50"/>
    <w:rsid w:val="00BC7A25"/>
    <w:rsid w:val="00BD5D08"/>
    <w:rsid w:val="00BD69BA"/>
    <w:rsid w:val="00BD6F3C"/>
    <w:rsid w:val="00BD7C15"/>
    <w:rsid w:val="00BE1717"/>
    <w:rsid w:val="00BE36A2"/>
    <w:rsid w:val="00BE3DBF"/>
    <w:rsid w:val="00BE4E21"/>
    <w:rsid w:val="00BE7B79"/>
    <w:rsid w:val="00BE7C5C"/>
    <w:rsid w:val="00BF08E9"/>
    <w:rsid w:val="00BF0A44"/>
    <w:rsid w:val="00BF33DA"/>
    <w:rsid w:val="00BF4428"/>
    <w:rsid w:val="00BF550C"/>
    <w:rsid w:val="00C015F5"/>
    <w:rsid w:val="00C022EA"/>
    <w:rsid w:val="00C0531D"/>
    <w:rsid w:val="00C07168"/>
    <w:rsid w:val="00C07CAF"/>
    <w:rsid w:val="00C102B9"/>
    <w:rsid w:val="00C116C5"/>
    <w:rsid w:val="00C124D4"/>
    <w:rsid w:val="00C132B9"/>
    <w:rsid w:val="00C13D09"/>
    <w:rsid w:val="00C14410"/>
    <w:rsid w:val="00C15583"/>
    <w:rsid w:val="00C15E69"/>
    <w:rsid w:val="00C166C7"/>
    <w:rsid w:val="00C2066A"/>
    <w:rsid w:val="00C20A9E"/>
    <w:rsid w:val="00C22E94"/>
    <w:rsid w:val="00C23259"/>
    <w:rsid w:val="00C24794"/>
    <w:rsid w:val="00C31E6B"/>
    <w:rsid w:val="00C33885"/>
    <w:rsid w:val="00C34E17"/>
    <w:rsid w:val="00C36263"/>
    <w:rsid w:val="00C4045A"/>
    <w:rsid w:val="00C4115B"/>
    <w:rsid w:val="00C42820"/>
    <w:rsid w:val="00C43B01"/>
    <w:rsid w:val="00C4531C"/>
    <w:rsid w:val="00C46B28"/>
    <w:rsid w:val="00C47F17"/>
    <w:rsid w:val="00C514DC"/>
    <w:rsid w:val="00C5275C"/>
    <w:rsid w:val="00C5376F"/>
    <w:rsid w:val="00C55AD7"/>
    <w:rsid w:val="00C5670B"/>
    <w:rsid w:val="00C57341"/>
    <w:rsid w:val="00C6036C"/>
    <w:rsid w:val="00C61562"/>
    <w:rsid w:val="00C620CE"/>
    <w:rsid w:val="00C63AD8"/>
    <w:rsid w:val="00C705E1"/>
    <w:rsid w:val="00C74A77"/>
    <w:rsid w:val="00C76A5C"/>
    <w:rsid w:val="00C80C8F"/>
    <w:rsid w:val="00C80C93"/>
    <w:rsid w:val="00C8170B"/>
    <w:rsid w:val="00C81AC7"/>
    <w:rsid w:val="00C81B4C"/>
    <w:rsid w:val="00C849FC"/>
    <w:rsid w:val="00C8615B"/>
    <w:rsid w:val="00C9023C"/>
    <w:rsid w:val="00C907E6"/>
    <w:rsid w:val="00C9248D"/>
    <w:rsid w:val="00C94F09"/>
    <w:rsid w:val="00C95BEF"/>
    <w:rsid w:val="00C96299"/>
    <w:rsid w:val="00C97C4B"/>
    <w:rsid w:val="00CA0331"/>
    <w:rsid w:val="00CA0A91"/>
    <w:rsid w:val="00CA1C61"/>
    <w:rsid w:val="00CA623B"/>
    <w:rsid w:val="00CB520C"/>
    <w:rsid w:val="00CB69DA"/>
    <w:rsid w:val="00CC17B1"/>
    <w:rsid w:val="00CC1B74"/>
    <w:rsid w:val="00CC3E48"/>
    <w:rsid w:val="00CD0216"/>
    <w:rsid w:val="00CD785F"/>
    <w:rsid w:val="00CE13EB"/>
    <w:rsid w:val="00CE5D3B"/>
    <w:rsid w:val="00CE739C"/>
    <w:rsid w:val="00CF1E75"/>
    <w:rsid w:val="00CF206C"/>
    <w:rsid w:val="00CF2183"/>
    <w:rsid w:val="00CF2539"/>
    <w:rsid w:val="00CF2B2D"/>
    <w:rsid w:val="00CF4755"/>
    <w:rsid w:val="00CF6D4F"/>
    <w:rsid w:val="00CF79BF"/>
    <w:rsid w:val="00D032D0"/>
    <w:rsid w:val="00D16F23"/>
    <w:rsid w:val="00D24CE4"/>
    <w:rsid w:val="00D2525E"/>
    <w:rsid w:val="00D25CD4"/>
    <w:rsid w:val="00D277E8"/>
    <w:rsid w:val="00D32F8F"/>
    <w:rsid w:val="00D359A3"/>
    <w:rsid w:val="00D3764F"/>
    <w:rsid w:val="00D4113F"/>
    <w:rsid w:val="00D46281"/>
    <w:rsid w:val="00D46CBA"/>
    <w:rsid w:val="00D47B5D"/>
    <w:rsid w:val="00D50F20"/>
    <w:rsid w:val="00D51701"/>
    <w:rsid w:val="00D52975"/>
    <w:rsid w:val="00D5387B"/>
    <w:rsid w:val="00D56E7E"/>
    <w:rsid w:val="00D61644"/>
    <w:rsid w:val="00D618B7"/>
    <w:rsid w:val="00D6324B"/>
    <w:rsid w:val="00D65B84"/>
    <w:rsid w:val="00D66835"/>
    <w:rsid w:val="00D67F85"/>
    <w:rsid w:val="00D7080B"/>
    <w:rsid w:val="00D72121"/>
    <w:rsid w:val="00D74D8A"/>
    <w:rsid w:val="00D80BE1"/>
    <w:rsid w:val="00D81761"/>
    <w:rsid w:val="00D900C9"/>
    <w:rsid w:val="00D922AD"/>
    <w:rsid w:val="00D94F4E"/>
    <w:rsid w:val="00D96ACF"/>
    <w:rsid w:val="00DA06F9"/>
    <w:rsid w:val="00DA246D"/>
    <w:rsid w:val="00DA7663"/>
    <w:rsid w:val="00DB08C1"/>
    <w:rsid w:val="00DB2486"/>
    <w:rsid w:val="00DB4204"/>
    <w:rsid w:val="00DB5C4A"/>
    <w:rsid w:val="00DB63A6"/>
    <w:rsid w:val="00DB649E"/>
    <w:rsid w:val="00DB772E"/>
    <w:rsid w:val="00DB78AD"/>
    <w:rsid w:val="00DC0810"/>
    <w:rsid w:val="00DC183C"/>
    <w:rsid w:val="00DC40C2"/>
    <w:rsid w:val="00DC5E52"/>
    <w:rsid w:val="00DC7BFC"/>
    <w:rsid w:val="00DD1249"/>
    <w:rsid w:val="00DD23F4"/>
    <w:rsid w:val="00DD36B0"/>
    <w:rsid w:val="00DD3CDB"/>
    <w:rsid w:val="00DD6323"/>
    <w:rsid w:val="00DE1086"/>
    <w:rsid w:val="00DE3110"/>
    <w:rsid w:val="00DE7D77"/>
    <w:rsid w:val="00DF307F"/>
    <w:rsid w:val="00DF4E42"/>
    <w:rsid w:val="00DF5860"/>
    <w:rsid w:val="00E00A09"/>
    <w:rsid w:val="00E059D4"/>
    <w:rsid w:val="00E0719C"/>
    <w:rsid w:val="00E07409"/>
    <w:rsid w:val="00E13734"/>
    <w:rsid w:val="00E13F29"/>
    <w:rsid w:val="00E158CC"/>
    <w:rsid w:val="00E17E97"/>
    <w:rsid w:val="00E230E9"/>
    <w:rsid w:val="00E25198"/>
    <w:rsid w:val="00E30727"/>
    <w:rsid w:val="00E30B8F"/>
    <w:rsid w:val="00E32E76"/>
    <w:rsid w:val="00E34286"/>
    <w:rsid w:val="00E3443E"/>
    <w:rsid w:val="00E35A82"/>
    <w:rsid w:val="00E35D4A"/>
    <w:rsid w:val="00E36053"/>
    <w:rsid w:val="00E4152E"/>
    <w:rsid w:val="00E42858"/>
    <w:rsid w:val="00E47AD7"/>
    <w:rsid w:val="00E535F3"/>
    <w:rsid w:val="00E54CF7"/>
    <w:rsid w:val="00E55D89"/>
    <w:rsid w:val="00E56677"/>
    <w:rsid w:val="00E638FB"/>
    <w:rsid w:val="00E650CB"/>
    <w:rsid w:val="00E66A52"/>
    <w:rsid w:val="00E66FAE"/>
    <w:rsid w:val="00E70963"/>
    <w:rsid w:val="00E746E6"/>
    <w:rsid w:val="00E74FC6"/>
    <w:rsid w:val="00E75DC1"/>
    <w:rsid w:val="00E800D3"/>
    <w:rsid w:val="00E818F3"/>
    <w:rsid w:val="00E818F8"/>
    <w:rsid w:val="00E81D5F"/>
    <w:rsid w:val="00E83A28"/>
    <w:rsid w:val="00E863BE"/>
    <w:rsid w:val="00E871B1"/>
    <w:rsid w:val="00E92731"/>
    <w:rsid w:val="00E94BE4"/>
    <w:rsid w:val="00E94E89"/>
    <w:rsid w:val="00EA13E2"/>
    <w:rsid w:val="00EA24EB"/>
    <w:rsid w:val="00EA419A"/>
    <w:rsid w:val="00EA50CE"/>
    <w:rsid w:val="00EB0AAA"/>
    <w:rsid w:val="00EB1EC8"/>
    <w:rsid w:val="00EB2E26"/>
    <w:rsid w:val="00EB5059"/>
    <w:rsid w:val="00EC3636"/>
    <w:rsid w:val="00EC3C55"/>
    <w:rsid w:val="00EC4C82"/>
    <w:rsid w:val="00EC7A59"/>
    <w:rsid w:val="00EC7AED"/>
    <w:rsid w:val="00ED0484"/>
    <w:rsid w:val="00ED152D"/>
    <w:rsid w:val="00ED2AE2"/>
    <w:rsid w:val="00ED2FE2"/>
    <w:rsid w:val="00ED390E"/>
    <w:rsid w:val="00ED48CC"/>
    <w:rsid w:val="00EE0DCB"/>
    <w:rsid w:val="00EE213A"/>
    <w:rsid w:val="00EE3C63"/>
    <w:rsid w:val="00EE41A8"/>
    <w:rsid w:val="00EE4F5B"/>
    <w:rsid w:val="00EE5C6A"/>
    <w:rsid w:val="00EE5F8C"/>
    <w:rsid w:val="00EF76BC"/>
    <w:rsid w:val="00F04B5C"/>
    <w:rsid w:val="00F04FDC"/>
    <w:rsid w:val="00F06788"/>
    <w:rsid w:val="00F07920"/>
    <w:rsid w:val="00F10783"/>
    <w:rsid w:val="00F12790"/>
    <w:rsid w:val="00F129D4"/>
    <w:rsid w:val="00F147FA"/>
    <w:rsid w:val="00F14AA6"/>
    <w:rsid w:val="00F16B32"/>
    <w:rsid w:val="00F2261A"/>
    <w:rsid w:val="00F259B5"/>
    <w:rsid w:val="00F26034"/>
    <w:rsid w:val="00F265B5"/>
    <w:rsid w:val="00F31CAB"/>
    <w:rsid w:val="00F32BC5"/>
    <w:rsid w:val="00F33C34"/>
    <w:rsid w:val="00F37646"/>
    <w:rsid w:val="00F50369"/>
    <w:rsid w:val="00F506E6"/>
    <w:rsid w:val="00F508CC"/>
    <w:rsid w:val="00F55C91"/>
    <w:rsid w:val="00F56A71"/>
    <w:rsid w:val="00F60253"/>
    <w:rsid w:val="00F663B1"/>
    <w:rsid w:val="00F72966"/>
    <w:rsid w:val="00F748D9"/>
    <w:rsid w:val="00F84158"/>
    <w:rsid w:val="00F861BD"/>
    <w:rsid w:val="00F87C7E"/>
    <w:rsid w:val="00F9048E"/>
    <w:rsid w:val="00F9077F"/>
    <w:rsid w:val="00F913F0"/>
    <w:rsid w:val="00F950A3"/>
    <w:rsid w:val="00FA26BE"/>
    <w:rsid w:val="00FA3AF0"/>
    <w:rsid w:val="00FA5C6E"/>
    <w:rsid w:val="00FA7414"/>
    <w:rsid w:val="00FB07DC"/>
    <w:rsid w:val="00FB09AA"/>
    <w:rsid w:val="00FB0AA4"/>
    <w:rsid w:val="00FB2E14"/>
    <w:rsid w:val="00FB3DE6"/>
    <w:rsid w:val="00FB3EFC"/>
    <w:rsid w:val="00FC002A"/>
    <w:rsid w:val="00FC19C8"/>
    <w:rsid w:val="00FC74F4"/>
    <w:rsid w:val="00FC768F"/>
    <w:rsid w:val="00FC7925"/>
    <w:rsid w:val="00FD0F87"/>
    <w:rsid w:val="00FD2220"/>
    <w:rsid w:val="00FE45DD"/>
    <w:rsid w:val="00FE631E"/>
    <w:rsid w:val="00FF0A0F"/>
    <w:rsid w:val="00FF4C83"/>
    <w:rsid w:val="00FF6721"/>
    <w:rsid w:val="00FF77BA"/>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C5DAB1-B73C-46FA-B58B-C9FC6C4E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171"/>
    <w:pPr>
      <w:spacing w:line="240" w:lineRule="auto"/>
    </w:pPr>
    <w:rPr>
      <w:lang w:val="en-GB"/>
    </w:rPr>
  </w:style>
  <w:style w:type="paragraph" w:styleId="Heading1">
    <w:name w:val="heading 1"/>
    <w:basedOn w:val="Normal"/>
    <w:next w:val="Normal"/>
    <w:link w:val="Heading1Char"/>
    <w:uiPriority w:val="9"/>
    <w:qFormat/>
    <w:rsid w:val="00FA3A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3B05"/>
    <w:pPr>
      <w:keepNext/>
      <w:keepLines/>
      <w:numPr>
        <w:numId w:val="2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21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A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3B05"/>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54213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FA3AF0"/>
    <w:pPr>
      <w:ind w:left="720"/>
      <w:contextualSpacing/>
    </w:pPr>
  </w:style>
  <w:style w:type="character" w:customStyle="1" w:styleId="ListParagraphChar">
    <w:name w:val="List Paragraph Char"/>
    <w:link w:val="ListParagraph"/>
    <w:uiPriority w:val="34"/>
    <w:rsid w:val="00BF4428"/>
  </w:style>
  <w:style w:type="paragraph" w:styleId="BalloonText">
    <w:name w:val="Balloon Text"/>
    <w:basedOn w:val="Normal"/>
    <w:link w:val="BalloonTextChar"/>
    <w:uiPriority w:val="99"/>
    <w:semiHidden/>
    <w:unhideWhenUsed/>
    <w:rsid w:val="002316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20"/>
    <w:rPr>
      <w:rFonts w:ascii="Segoe UI" w:hAnsi="Segoe UI" w:cs="Segoe UI"/>
      <w:sz w:val="18"/>
      <w:szCs w:val="18"/>
    </w:rPr>
  </w:style>
  <w:style w:type="paragraph" w:styleId="Header">
    <w:name w:val="header"/>
    <w:basedOn w:val="Normal"/>
    <w:link w:val="HeaderChar"/>
    <w:uiPriority w:val="99"/>
    <w:unhideWhenUsed/>
    <w:rsid w:val="00231620"/>
    <w:pPr>
      <w:tabs>
        <w:tab w:val="center" w:pos="4680"/>
        <w:tab w:val="right" w:pos="9360"/>
      </w:tabs>
      <w:spacing w:after="0"/>
    </w:pPr>
  </w:style>
  <w:style w:type="character" w:customStyle="1" w:styleId="HeaderChar">
    <w:name w:val="Header Char"/>
    <w:basedOn w:val="DefaultParagraphFont"/>
    <w:link w:val="Header"/>
    <w:uiPriority w:val="99"/>
    <w:rsid w:val="00231620"/>
  </w:style>
  <w:style w:type="paragraph" w:styleId="Footer">
    <w:name w:val="footer"/>
    <w:basedOn w:val="Normal"/>
    <w:link w:val="FooterChar"/>
    <w:uiPriority w:val="99"/>
    <w:unhideWhenUsed/>
    <w:rsid w:val="00231620"/>
    <w:pPr>
      <w:tabs>
        <w:tab w:val="center" w:pos="4680"/>
        <w:tab w:val="right" w:pos="9360"/>
      </w:tabs>
      <w:spacing w:after="0"/>
    </w:pPr>
  </w:style>
  <w:style w:type="character" w:customStyle="1" w:styleId="FooterChar">
    <w:name w:val="Footer Char"/>
    <w:basedOn w:val="DefaultParagraphFont"/>
    <w:link w:val="Footer"/>
    <w:uiPriority w:val="99"/>
    <w:rsid w:val="00231620"/>
  </w:style>
  <w:style w:type="paragraph" w:styleId="BodyText">
    <w:name w:val="Body Text"/>
    <w:basedOn w:val="Normal"/>
    <w:link w:val="BodyTextChar"/>
    <w:rsid w:val="00797386"/>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97386"/>
    <w:rPr>
      <w:rFonts w:ascii="Times New Roman" w:eastAsia="Times New Roman" w:hAnsi="Times New Roman" w:cs="Times New Roman"/>
      <w:sz w:val="24"/>
      <w:szCs w:val="24"/>
    </w:rPr>
  </w:style>
  <w:style w:type="paragraph" w:styleId="FootnoteText">
    <w:name w:val="footnote text"/>
    <w:aliases w:val="GICHD Report Footnote, Car"/>
    <w:basedOn w:val="Normal"/>
    <w:link w:val="FootnoteTextChar"/>
    <w:uiPriority w:val="99"/>
    <w:rsid w:val="00797386"/>
    <w:pPr>
      <w:spacing w:after="0"/>
    </w:pPr>
    <w:rPr>
      <w:rFonts w:ascii="Myriad Pro" w:eastAsia="Times New Roman" w:hAnsi="Myriad Pro" w:cs="Times New Roman"/>
      <w:sz w:val="20"/>
      <w:szCs w:val="20"/>
    </w:rPr>
  </w:style>
  <w:style w:type="character" w:customStyle="1" w:styleId="FootnoteTextChar">
    <w:name w:val="Footnote Text Char"/>
    <w:aliases w:val="GICHD Report Footnote Char, Car Char"/>
    <w:basedOn w:val="DefaultParagraphFont"/>
    <w:link w:val="FootnoteText"/>
    <w:uiPriority w:val="99"/>
    <w:rsid w:val="00797386"/>
    <w:rPr>
      <w:rFonts w:ascii="Myriad Pro" w:eastAsia="Times New Roman" w:hAnsi="Myriad Pro" w:cs="Times New Roman"/>
      <w:sz w:val="20"/>
      <w:szCs w:val="20"/>
    </w:rPr>
  </w:style>
  <w:style w:type="character" w:styleId="FootnoteReference">
    <w:name w:val="footnote reference"/>
    <w:aliases w:val="16 Point,Superscript 6 Point,ftref, Carattere Char1, Carattere Char Char Carattere Carattere Char Char,Footnote Reference Char Char Char,Carattere Char Carattere Carattere Char Carattere Char Carattere Char Char Char1 Char,16 Poin"/>
    <w:link w:val="BVIfnrCharCharChar"/>
    <w:uiPriority w:val="99"/>
    <w:qFormat/>
    <w:rsid w:val="00797386"/>
    <w:rPr>
      <w:vertAlign w:val="superscript"/>
    </w:rPr>
  </w:style>
  <w:style w:type="paragraph" w:customStyle="1" w:styleId="BVIfnrCharCharChar">
    <w:name w:val="BVI fnr Char Char Char"/>
    <w:aliases w:val="ftref Char Char Char,16 Point Char Char Char,Superscript 6 Point Char Char Char"/>
    <w:basedOn w:val="Normal"/>
    <w:link w:val="FootnoteReference"/>
    <w:uiPriority w:val="99"/>
    <w:rsid w:val="00C22E94"/>
    <w:pPr>
      <w:tabs>
        <w:tab w:val="left" w:pos="284"/>
      </w:tabs>
      <w:spacing w:before="120" w:line="240" w:lineRule="exact"/>
      <w:jc w:val="both"/>
    </w:pPr>
    <w:rPr>
      <w:vertAlign w:val="superscript"/>
    </w:rPr>
  </w:style>
  <w:style w:type="character" w:styleId="Hyperlink">
    <w:name w:val="Hyperlink"/>
    <w:basedOn w:val="DefaultParagraphFont"/>
    <w:uiPriority w:val="99"/>
    <w:unhideWhenUsed/>
    <w:rsid w:val="00C22E94"/>
    <w:rPr>
      <w:color w:val="0563C1" w:themeColor="hyperlink"/>
      <w:u w:val="single"/>
    </w:rPr>
  </w:style>
  <w:style w:type="paragraph" w:customStyle="1" w:styleId="BodyAA">
    <w:name w:val="Body A A"/>
    <w:rsid w:val="00C22E94"/>
    <w:pPr>
      <w:pBdr>
        <w:top w:val="nil"/>
        <w:left w:val="nil"/>
        <w:bottom w:val="nil"/>
        <w:right w:val="nil"/>
        <w:between w:val="nil"/>
        <w:bar w:val="nil"/>
      </w:pBdr>
      <w:tabs>
        <w:tab w:val="left" w:pos="284"/>
      </w:tabs>
      <w:spacing w:after="0" w:line="360" w:lineRule="auto"/>
    </w:pPr>
    <w:rPr>
      <w:rFonts w:ascii="Times New Roman" w:eastAsia="Arial Unicode MS" w:hAnsi="Arial Unicode MS" w:cs="Arial Unicode MS"/>
      <w:color w:val="000000"/>
      <w:sz w:val="24"/>
      <w:szCs w:val="24"/>
      <w:u w:color="000000"/>
      <w:bdr w:val="nil"/>
      <w:lang w:val="pt-PT" w:eastAsia="en-AU"/>
    </w:rPr>
  </w:style>
  <w:style w:type="table" w:styleId="TableGrid">
    <w:name w:val="Table Grid"/>
    <w:basedOn w:val="TableNormal"/>
    <w:uiPriority w:val="59"/>
    <w:rsid w:val="00C22E94"/>
    <w:pPr>
      <w:spacing w:after="0" w:line="240" w:lineRule="auto"/>
    </w:pPr>
    <w:rPr>
      <w:lang w:val="af-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2E94"/>
    <w:rPr>
      <w:sz w:val="16"/>
      <w:szCs w:val="16"/>
    </w:rPr>
  </w:style>
  <w:style w:type="paragraph" w:customStyle="1" w:styleId="NormalModified">
    <w:name w:val="Normal Modified"/>
    <w:autoRedefine/>
    <w:qFormat/>
    <w:rsid w:val="000F1426"/>
    <w:pPr>
      <w:spacing w:before="120" w:after="120" w:line="240" w:lineRule="auto"/>
    </w:pPr>
    <w:rPr>
      <w:rFonts w:eastAsiaTheme="minorEastAsia" w:cstheme="majorBidi"/>
      <w:szCs w:val="20"/>
      <w:lang w:val="en-GB"/>
    </w:rPr>
  </w:style>
  <w:style w:type="character" w:styleId="Strong">
    <w:name w:val="Strong"/>
    <w:basedOn w:val="DefaultParagraphFont"/>
    <w:uiPriority w:val="22"/>
    <w:qFormat/>
    <w:rsid w:val="001641E0"/>
    <w:rPr>
      <w:b/>
      <w:bCs/>
    </w:rPr>
  </w:style>
  <w:style w:type="paragraph" w:customStyle="1" w:styleId="Pa20">
    <w:name w:val="Pa20"/>
    <w:basedOn w:val="Normal"/>
    <w:next w:val="Normal"/>
    <w:uiPriority w:val="99"/>
    <w:rsid w:val="00CF206C"/>
    <w:pPr>
      <w:autoSpaceDE w:val="0"/>
      <w:autoSpaceDN w:val="0"/>
      <w:adjustRightInd w:val="0"/>
      <w:spacing w:after="0" w:line="191" w:lineRule="atLeast"/>
    </w:pPr>
    <w:rPr>
      <w:rFonts w:ascii="Calibri" w:hAnsi="Calibri"/>
      <w:sz w:val="24"/>
      <w:szCs w:val="24"/>
    </w:rPr>
  </w:style>
  <w:style w:type="paragraph" w:customStyle="1" w:styleId="Pa21">
    <w:name w:val="Pa21"/>
    <w:basedOn w:val="Normal"/>
    <w:next w:val="Normal"/>
    <w:uiPriority w:val="99"/>
    <w:rsid w:val="00CF206C"/>
    <w:pPr>
      <w:autoSpaceDE w:val="0"/>
      <w:autoSpaceDN w:val="0"/>
      <w:adjustRightInd w:val="0"/>
      <w:spacing w:after="0" w:line="191" w:lineRule="atLeast"/>
    </w:pPr>
    <w:rPr>
      <w:rFonts w:ascii="Calibri" w:hAnsi="Calibri"/>
      <w:sz w:val="24"/>
      <w:szCs w:val="24"/>
    </w:rPr>
  </w:style>
  <w:style w:type="paragraph" w:customStyle="1" w:styleId="RKCText">
    <w:name w:val="RKC Text"/>
    <w:basedOn w:val="Normal"/>
    <w:qFormat/>
    <w:rsid w:val="003C0B42"/>
    <w:pPr>
      <w:spacing w:after="0"/>
    </w:pPr>
    <w:rPr>
      <w:rFonts w:ascii="Times New Roman" w:eastAsia="Times New Roman" w:hAnsi="Times New Roman" w:cs="Arial"/>
      <w:sz w:val="24"/>
      <w:szCs w:val="24"/>
    </w:rPr>
  </w:style>
  <w:style w:type="paragraph" w:styleId="TOCHeading">
    <w:name w:val="TOC Heading"/>
    <w:basedOn w:val="Heading1"/>
    <w:next w:val="Normal"/>
    <w:uiPriority w:val="39"/>
    <w:semiHidden/>
    <w:unhideWhenUsed/>
    <w:qFormat/>
    <w:rsid w:val="00AE01A7"/>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4563FB"/>
    <w:pPr>
      <w:tabs>
        <w:tab w:val="left" w:pos="426"/>
        <w:tab w:val="right" w:leader="dot" w:pos="9350"/>
      </w:tabs>
      <w:spacing w:after="100"/>
    </w:pPr>
  </w:style>
  <w:style w:type="paragraph" w:styleId="TOC2">
    <w:name w:val="toc 2"/>
    <w:basedOn w:val="Normal"/>
    <w:next w:val="Normal"/>
    <w:autoRedefine/>
    <w:uiPriority w:val="39"/>
    <w:unhideWhenUsed/>
    <w:rsid w:val="004563FB"/>
    <w:pPr>
      <w:tabs>
        <w:tab w:val="left" w:pos="993"/>
        <w:tab w:val="right" w:leader="dot" w:pos="9350"/>
      </w:tabs>
      <w:spacing w:after="100"/>
      <w:ind w:left="220"/>
    </w:pPr>
  </w:style>
  <w:style w:type="paragraph" w:styleId="TOC3">
    <w:name w:val="toc 3"/>
    <w:basedOn w:val="Normal"/>
    <w:next w:val="Normal"/>
    <w:autoRedefine/>
    <w:uiPriority w:val="39"/>
    <w:unhideWhenUsed/>
    <w:rsid w:val="00AE01A7"/>
    <w:pPr>
      <w:spacing w:after="100"/>
      <w:ind w:left="440"/>
    </w:pPr>
  </w:style>
  <w:style w:type="paragraph" w:styleId="CommentText">
    <w:name w:val="annotation text"/>
    <w:basedOn w:val="Normal"/>
    <w:link w:val="CommentTextChar"/>
    <w:uiPriority w:val="99"/>
    <w:semiHidden/>
    <w:unhideWhenUsed/>
    <w:rsid w:val="0041274A"/>
    <w:rPr>
      <w:sz w:val="20"/>
      <w:szCs w:val="20"/>
    </w:rPr>
  </w:style>
  <w:style w:type="character" w:customStyle="1" w:styleId="CommentTextChar">
    <w:name w:val="Comment Text Char"/>
    <w:basedOn w:val="DefaultParagraphFont"/>
    <w:link w:val="CommentText"/>
    <w:uiPriority w:val="99"/>
    <w:semiHidden/>
    <w:rsid w:val="0041274A"/>
    <w:rPr>
      <w:sz w:val="20"/>
      <w:szCs w:val="20"/>
      <w:lang w:val="en-GB"/>
    </w:rPr>
  </w:style>
  <w:style w:type="paragraph" w:styleId="CommentSubject">
    <w:name w:val="annotation subject"/>
    <w:basedOn w:val="CommentText"/>
    <w:next w:val="CommentText"/>
    <w:link w:val="CommentSubjectChar"/>
    <w:uiPriority w:val="99"/>
    <w:semiHidden/>
    <w:unhideWhenUsed/>
    <w:rsid w:val="0041274A"/>
    <w:rPr>
      <w:b/>
      <w:bCs/>
    </w:rPr>
  </w:style>
  <w:style w:type="character" w:customStyle="1" w:styleId="CommentSubjectChar">
    <w:name w:val="Comment Subject Char"/>
    <w:basedOn w:val="CommentTextChar"/>
    <w:link w:val="CommentSubject"/>
    <w:uiPriority w:val="99"/>
    <w:semiHidden/>
    <w:rsid w:val="0041274A"/>
    <w:rPr>
      <w:b/>
      <w:bCs/>
      <w:sz w:val="20"/>
      <w:szCs w:val="20"/>
      <w:lang w:val="en-GB"/>
    </w:rPr>
  </w:style>
  <w:style w:type="character" w:styleId="Emphasis">
    <w:name w:val="Emphasis"/>
    <w:basedOn w:val="DefaultParagraphFont"/>
    <w:uiPriority w:val="20"/>
    <w:qFormat/>
    <w:rsid w:val="00054A0C"/>
    <w:rPr>
      <w:i/>
      <w:iCs/>
    </w:rPr>
  </w:style>
  <w:style w:type="character" w:customStyle="1" w:styleId="apple-converted-space">
    <w:name w:val="apple-converted-space"/>
    <w:basedOn w:val="DefaultParagraphFont"/>
    <w:rsid w:val="00054A0C"/>
  </w:style>
  <w:style w:type="paragraph" w:styleId="NoSpacing">
    <w:name w:val="No Spacing"/>
    <w:link w:val="NoSpacingChar"/>
    <w:uiPriority w:val="1"/>
    <w:qFormat/>
    <w:rsid w:val="00AD07D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D07DE"/>
    <w:rPr>
      <w:rFonts w:eastAsiaTheme="minorEastAsia"/>
      <w:lang w:eastAsia="ja-JP"/>
    </w:rPr>
  </w:style>
  <w:style w:type="paragraph" w:customStyle="1" w:styleId="yiv5633163406msolistparagraph">
    <w:name w:val="yiv5633163406msolistparagraph"/>
    <w:basedOn w:val="Normal"/>
    <w:rsid w:val="00C4115B"/>
    <w:pPr>
      <w:spacing w:before="100" w:beforeAutospacing="1" w:after="100" w:afterAutospacing="1"/>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B20F9B"/>
    <w:pPr>
      <w:spacing w:after="200"/>
    </w:pPr>
    <w:rPr>
      <w:b/>
      <w:bCs/>
      <w:color w:val="5B9BD5" w:themeColor="accent1"/>
      <w:sz w:val="18"/>
      <w:szCs w:val="18"/>
    </w:rPr>
  </w:style>
  <w:style w:type="paragraph" w:styleId="TOC4">
    <w:name w:val="toc 4"/>
    <w:basedOn w:val="Normal"/>
    <w:next w:val="Normal"/>
    <w:autoRedefine/>
    <w:uiPriority w:val="39"/>
    <w:semiHidden/>
    <w:unhideWhenUsed/>
    <w:rsid w:val="00CE739C"/>
    <w:pPr>
      <w:spacing w:after="100"/>
      <w:ind w:left="720"/>
    </w:pPr>
    <w:rPr>
      <w:rFonts w:eastAsiaTheme="minorEastAsia"/>
      <w:sz w:val="24"/>
      <w:szCs w:val="24"/>
      <w:lang w:val="en-US"/>
    </w:rPr>
  </w:style>
  <w:style w:type="paragraph" w:styleId="TOC5">
    <w:name w:val="toc 5"/>
    <w:basedOn w:val="Normal"/>
    <w:next w:val="Normal"/>
    <w:autoRedefine/>
    <w:uiPriority w:val="39"/>
    <w:semiHidden/>
    <w:unhideWhenUsed/>
    <w:rsid w:val="00CE739C"/>
    <w:pPr>
      <w:spacing w:after="100"/>
      <w:ind w:left="960"/>
    </w:pPr>
    <w:rPr>
      <w:rFonts w:eastAsiaTheme="minorEastAsia"/>
      <w:sz w:val="24"/>
      <w:szCs w:val="24"/>
      <w:lang w:val="en-US"/>
    </w:rPr>
  </w:style>
  <w:style w:type="paragraph" w:styleId="TOC6">
    <w:name w:val="toc 6"/>
    <w:basedOn w:val="Normal"/>
    <w:next w:val="Normal"/>
    <w:autoRedefine/>
    <w:uiPriority w:val="39"/>
    <w:semiHidden/>
    <w:unhideWhenUsed/>
    <w:rsid w:val="00CE739C"/>
    <w:pPr>
      <w:spacing w:after="100"/>
      <w:ind w:left="1200"/>
    </w:pPr>
    <w:rPr>
      <w:rFonts w:eastAsiaTheme="minorEastAsia"/>
      <w:sz w:val="24"/>
      <w:szCs w:val="24"/>
      <w:lang w:val="en-US"/>
    </w:rPr>
  </w:style>
  <w:style w:type="paragraph" w:styleId="TOC7">
    <w:name w:val="toc 7"/>
    <w:basedOn w:val="Normal"/>
    <w:next w:val="Normal"/>
    <w:autoRedefine/>
    <w:uiPriority w:val="39"/>
    <w:semiHidden/>
    <w:unhideWhenUsed/>
    <w:rsid w:val="00CE739C"/>
    <w:pPr>
      <w:spacing w:after="100"/>
      <w:ind w:left="1440"/>
    </w:pPr>
    <w:rPr>
      <w:rFonts w:eastAsiaTheme="minorEastAsia"/>
      <w:sz w:val="24"/>
      <w:szCs w:val="24"/>
      <w:lang w:val="en-US"/>
    </w:rPr>
  </w:style>
  <w:style w:type="paragraph" w:styleId="TOC8">
    <w:name w:val="toc 8"/>
    <w:basedOn w:val="Normal"/>
    <w:next w:val="Normal"/>
    <w:autoRedefine/>
    <w:uiPriority w:val="39"/>
    <w:semiHidden/>
    <w:unhideWhenUsed/>
    <w:rsid w:val="00CE739C"/>
    <w:pPr>
      <w:spacing w:after="100"/>
      <w:ind w:left="1680"/>
    </w:pPr>
    <w:rPr>
      <w:rFonts w:eastAsiaTheme="minorEastAsia"/>
      <w:sz w:val="24"/>
      <w:szCs w:val="24"/>
      <w:lang w:val="en-US"/>
    </w:rPr>
  </w:style>
  <w:style w:type="paragraph" w:styleId="TOC9">
    <w:name w:val="toc 9"/>
    <w:basedOn w:val="Normal"/>
    <w:next w:val="Normal"/>
    <w:autoRedefine/>
    <w:uiPriority w:val="39"/>
    <w:semiHidden/>
    <w:unhideWhenUsed/>
    <w:rsid w:val="00CE739C"/>
    <w:pPr>
      <w:spacing w:after="100"/>
      <w:ind w:left="1920"/>
    </w:pPr>
    <w:rPr>
      <w:rFonts w:eastAsiaTheme="minorEastAsia"/>
      <w:sz w:val="24"/>
      <w:szCs w:val="24"/>
      <w:lang w:val="en-US"/>
    </w:rPr>
  </w:style>
  <w:style w:type="paragraph" w:styleId="EndnoteText">
    <w:name w:val="endnote text"/>
    <w:basedOn w:val="Normal"/>
    <w:link w:val="EndnoteTextChar"/>
    <w:rsid w:val="00C4045A"/>
    <w:pPr>
      <w:spacing w:after="0"/>
    </w:pPr>
    <w:rPr>
      <w:sz w:val="20"/>
      <w:szCs w:val="20"/>
    </w:rPr>
  </w:style>
  <w:style w:type="character" w:customStyle="1" w:styleId="EndnoteTextChar">
    <w:name w:val="Endnote Text Char"/>
    <w:basedOn w:val="DefaultParagraphFont"/>
    <w:link w:val="EndnoteText"/>
    <w:rsid w:val="00C4045A"/>
    <w:rPr>
      <w:sz w:val="20"/>
      <w:szCs w:val="20"/>
      <w:lang w:val="en-GB"/>
    </w:rPr>
  </w:style>
  <w:style w:type="character" w:styleId="EndnoteReference">
    <w:name w:val="endnote reference"/>
    <w:basedOn w:val="DefaultParagraphFont"/>
    <w:rsid w:val="00C4045A"/>
    <w:rPr>
      <w:vertAlign w:val="superscript"/>
    </w:rPr>
  </w:style>
  <w:style w:type="paragraph" w:styleId="TableofFigures">
    <w:name w:val="table of figures"/>
    <w:basedOn w:val="Normal"/>
    <w:next w:val="Normal"/>
    <w:uiPriority w:val="99"/>
    <w:rsid w:val="00C4045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1879">
      <w:bodyDiv w:val="1"/>
      <w:marLeft w:val="0"/>
      <w:marRight w:val="0"/>
      <w:marTop w:val="0"/>
      <w:marBottom w:val="0"/>
      <w:divBdr>
        <w:top w:val="none" w:sz="0" w:space="0" w:color="auto"/>
        <w:left w:val="none" w:sz="0" w:space="0" w:color="auto"/>
        <w:bottom w:val="none" w:sz="0" w:space="0" w:color="auto"/>
        <w:right w:val="none" w:sz="0" w:space="0" w:color="auto"/>
      </w:divBdr>
      <w:divsChild>
        <w:div w:id="893395203">
          <w:marLeft w:val="274"/>
          <w:marRight w:val="0"/>
          <w:marTop w:val="86"/>
          <w:marBottom w:val="0"/>
          <w:divBdr>
            <w:top w:val="none" w:sz="0" w:space="0" w:color="auto"/>
            <w:left w:val="none" w:sz="0" w:space="0" w:color="auto"/>
            <w:bottom w:val="none" w:sz="0" w:space="0" w:color="auto"/>
            <w:right w:val="none" w:sz="0" w:space="0" w:color="auto"/>
          </w:divBdr>
        </w:div>
      </w:divsChild>
    </w:div>
    <w:div w:id="77792322">
      <w:bodyDiv w:val="1"/>
      <w:marLeft w:val="0"/>
      <w:marRight w:val="0"/>
      <w:marTop w:val="0"/>
      <w:marBottom w:val="0"/>
      <w:divBdr>
        <w:top w:val="none" w:sz="0" w:space="0" w:color="auto"/>
        <w:left w:val="none" w:sz="0" w:space="0" w:color="auto"/>
        <w:bottom w:val="none" w:sz="0" w:space="0" w:color="auto"/>
        <w:right w:val="none" w:sz="0" w:space="0" w:color="auto"/>
      </w:divBdr>
      <w:divsChild>
        <w:div w:id="171726387">
          <w:marLeft w:val="274"/>
          <w:marRight w:val="0"/>
          <w:marTop w:val="0"/>
          <w:marBottom w:val="0"/>
          <w:divBdr>
            <w:top w:val="none" w:sz="0" w:space="0" w:color="auto"/>
            <w:left w:val="none" w:sz="0" w:space="0" w:color="auto"/>
            <w:bottom w:val="none" w:sz="0" w:space="0" w:color="auto"/>
            <w:right w:val="none" w:sz="0" w:space="0" w:color="auto"/>
          </w:divBdr>
        </w:div>
        <w:div w:id="895509981">
          <w:marLeft w:val="274"/>
          <w:marRight w:val="0"/>
          <w:marTop w:val="0"/>
          <w:marBottom w:val="0"/>
          <w:divBdr>
            <w:top w:val="none" w:sz="0" w:space="0" w:color="auto"/>
            <w:left w:val="none" w:sz="0" w:space="0" w:color="auto"/>
            <w:bottom w:val="none" w:sz="0" w:space="0" w:color="auto"/>
            <w:right w:val="none" w:sz="0" w:space="0" w:color="auto"/>
          </w:divBdr>
        </w:div>
      </w:divsChild>
    </w:div>
    <w:div w:id="193201355">
      <w:bodyDiv w:val="1"/>
      <w:marLeft w:val="0"/>
      <w:marRight w:val="0"/>
      <w:marTop w:val="0"/>
      <w:marBottom w:val="0"/>
      <w:divBdr>
        <w:top w:val="none" w:sz="0" w:space="0" w:color="auto"/>
        <w:left w:val="none" w:sz="0" w:space="0" w:color="auto"/>
        <w:bottom w:val="none" w:sz="0" w:space="0" w:color="auto"/>
        <w:right w:val="none" w:sz="0" w:space="0" w:color="auto"/>
      </w:divBdr>
    </w:div>
    <w:div w:id="226191186">
      <w:bodyDiv w:val="1"/>
      <w:marLeft w:val="0"/>
      <w:marRight w:val="0"/>
      <w:marTop w:val="0"/>
      <w:marBottom w:val="0"/>
      <w:divBdr>
        <w:top w:val="none" w:sz="0" w:space="0" w:color="auto"/>
        <w:left w:val="none" w:sz="0" w:space="0" w:color="auto"/>
        <w:bottom w:val="none" w:sz="0" w:space="0" w:color="auto"/>
        <w:right w:val="none" w:sz="0" w:space="0" w:color="auto"/>
      </w:divBdr>
    </w:div>
    <w:div w:id="1345355342">
      <w:bodyDiv w:val="1"/>
      <w:marLeft w:val="0"/>
      <w:marRight w:val="0"/>
      <w:marTop w:val="0"/>
      <w:marBottom w:val="0"/>
      <w:divBdr>
        <w:top w:val="none" w:sz="0" w:space="0" w:color="auto"/>
        <w:left w:val="none" w:sz="0" w:space="0" w:color="auto"/>
        <w:bottom w:val="none" w:sz="0" w:space="0" w:color="auto"/>
        <w:right w:val="none" w:sz="0" w:space="0" w:color="auto"/>
      </w:divBdr>
    </w:div>
    <w:div w:id="1495148037">
      <w:bodyDiv w:val="1"/>
      <w:marLeft w:val="0"/>
      <w:marRight w:val="0"/>
      <w:marTop w:val="0"/>
      <w:marBottom w:val="0"/>
      <w:divBdr>
        <w:top w:val="none" w:sz="0" w:space="0" w:color="auto"/>
        <w:left w:val="none" w:sz="0" w:space="0" w:color="auto"/>
        <w:bottom w:val="none" w:sz="0" w:space="0" w:color="auto"/>
        <w:right w:val="none" w:sz="0" w:space="0" w:color="auto"/>
      </w:divBdr>
    </w:div>
    <w:div w:id="16901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monitor.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ia.gov/library/publications/the-world-factboo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dr.undp.org/en/content/table-1-human-development-index-and-its-compon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08666277826383"/>
          <c:y val="2.5801586491446458E-2"/>
          <c:w val="0.84691333722173612"/>
          <c:h val="0.62387598481825524"/>
        </c:manualLayout>
      </c:layout>
      <c:lineChart>
        <c:grouping val="standard"/>
        <c:varyColors val="0"/>
        <c:ser>
          <c:idx val="0"/>
          <c:order val="0"/>
          <c:tx>
            <c:strRef>
              <c:f>Sheet1!$A$4</c:f>
              <c:strCache>
                <c:ptCount val="1"/>
                <c:pt idx="0">
                  <c:v>MOBILISED RESOURCES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Sheet1!$B$1:$H$1</c:f>
              <c:strCache>
                <c:ptCount val="6"/>
                <c:pt idx="0">
                  <c:v>2010</c:v>
                </c:pt>
                <c:pt idx="1">
                  <c:v>2011</c:v>
                </c:pt>
                <c:pt idx="2">
                  <c:v>2012</c:v>
                </c:pt>
                <c:pt idx="3">
                  <c:v>2013</c:v>
                </c:pt>
                <c:pt idx="4">
                  <c:v>2014</c:v>
                </c:pt>
                <c:pt idx="5">
                  <c:v>2015 planned</c:v>
                </c:pt>
              </c:strCache>
            </c:strRef>
          </c:cat>
          <c:val>
            <c:numRef>
              <c:f>Sheet1!$B$4:$H$4</c:f>
              <c:numCache>
                <c:formatCode>_(* #,##0_);_(* \(#,##0\);_(* "-"??_);_(@_)</c:formatCode>
                <c:ptCount val="6"/>
                <c:pt idx="0">
                  <c:v>7726499</c:v>
                </c:pt>
                <c:pt idx="1">
                  <c:v>5544246.8099999996</c:v>
                </c:pt>
                <c:pt idx="2">
                  <c:v>7554015.1299999999</c:v>
                </c:pt>
                <c:pt idx="3">
                  <c:v>8063921</c:v>
                </c:pt>
                <c:pt idx="4">
                  <c:v>7137185</c:v>
                </c:pt>
                <c:pt idx="5">
                  <c:v>7041827</c:v>
                </c:pt>
              </c:numCache>
            </c:numRef>
          </c:val>
          <c:smooth val="0"/>
        </c:ser>
        <c:ser>
          <c:idx val="1"/>
          <c:order val="1"/>
          <c:tx>
            <c:strRef>
              <c:f>Sheet1!$A$5</c:f>
              <c:strCache>
                <c:ptCount val="1"/>
                <c:pt idx="0">
                  <c:v>EXPENDITURES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Sheet1!$B$1:$H$1</c:f>
              <c:strCache>
                <c:ptCount val="6"/>
                <c:pt idx="0">
                  <c:v>2010</c:v>
                </c:pt>
                <c:pt idx="1">
                  <c:v>2011</c:v>
                </c:pt>
                <c:pt idx="2">
                  <c:v>2012</c:v>
                </c:pt>
                <c:pt idx="3">
                  <c:v>2013</c:v>
                </c:pt>
                <c:pt idx="4">
                  <c:v>2014</c:v>
                </c:pt>
                <c:pt idx="5">
                  <c:v>2015 planned</c:v>
                </c:pt>
              </c:strCache>
            </c:strRef>
          </c:cat>
          <c:val>
            <c:numRef>
              <c:f>Sheet1!$B$5:$H$5</c:f>
              <c:numCache>
                <c:formatCode>_(* #,##0_);_(* \(#,##0\);_(* "-"??_);_(@_)</c:formatCode>
                <c:ptCount val="6"/>
                <c:pt idx="0">
                  <c:v>6243000.2999999998</c:v>
                </c:pt>
                <c:pt idx="1">
                  <c:v>5117561.33</c:v>
                </c:pt>
                <c:pt idx="2">
                  <c:v>6485332.5800000001</c:v>
                </c:pt>
                <c:pt idx="3">
                  <c:v>8329939</c:v>
                </c:pt>
                <c:pt idx="4">
                  <c:v>6075385</c:v>
                </c:pt>
                <c:pt idx="5">
                  <c:v>8432000</c:v>
                </c:pt>
              </c:numCache>
            </c:numRef>
          </c:val>
          <c:smooth val="0"/>
        </c:ser>
        <c:dLbls>
          <c:showLegendKey val="0"/>
          <c:showVal val="0"/>
          <c:showCatName val="0"/>
          <c:showSerName val="0"/>
          <c:showPercent val="0"/>
          <c:showBubbleSize val="0"/>
        </c:dLbls>
        <c:marker val="1"/>
        <c:smooth val="0"/>
        <c:axId val="372972008"/>
        <c:axId val="477536928"/>
      </c:lineChart>
      <c:catAx>
        <c:axId val="372972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477536928"/>
        <c:crosses val="autoZero"/>
        <c:auto val="1"/>
        <c:lblAlgn val="ctr"/>
        <c:lblOffset val="100"/>
        <c:noMultiLvlLbl val="0"/>
      </c:catAx>
      <c:valAx>
        <c:axId val="47753692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72972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840439-0734-4AC0-9757-9422E912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26722</Words>
  <Characters>152316</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Evaluation of UNDP Support to Mine Action in Lao PDR, 2013-2016</vt:lpstr>
    </vt:vector>
  </TitlesOfParts>
  <Company>Toshiba</Company>
  <LinksUpToDate>false</LinksUpToDate>
  <CharactersWithSpaces>178681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UNDP Support to Mine Action in Lao PDR, 2013-2016</dc:title>
  <dc:creator>Prepared by Jo Durham</dc:creator>
  <cp:lastModifiedBy>Nils Rune. Christensen</cp:lastModifiedBy>
  <cp:revision>3</cp:revision>
  <cp:lastPrinted>2016-01-29T02:24:00Z</cp:lastPrinted>
  <dcterms:created xsi:type="dcterms:W3CDTF">2016-03-03T08:38:00Z</dcterms:created>
  <dcterms:modified xsi:type="dcterms:W3CDTF">2016-03-03T08:39:00Z</dcterms:modified>
</cp:coreProperties>
</file>