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F4" w:rsidRDefault="00F90EF4" w:rsidP="00F90EF4">
      <w:pPr>
        <w:jc w:val="center"/>
        <w:rPr>
          <w:rFonts w:ascii="Times New Roman" w:hAnsi="Times New Roman" w:cs="Times New Roman"/>
          <w:b/>
          <w:sz w:val="40"/>
          <w:szCs w:val="40"/>
        </w:rPr>
      </w:pPr>
      <w:bookmarkStart w:id="0" w:name="_GoBack"/>
      <w:bookmarkEnd w:id="0"/>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Default="00F90EF4" w:rsidP="00F90EF4">
      <w:pPr>
        <w:jc w:val="center"/>
        <w:rPr>
          <w:rFonts w:ascii="Times New Roman" w:hAnsi="Times New Roman" w:cs="Times New Roman"/>
          <w:b/>
          <w:sz w:val="40"/>
          <w:szCs w:val="40"/>
        </w:rPr>
      </w:pPr>
    </w:p>
    <w:p w:rsidR="00F90EF4" w:rsidRPr="006A2F60" w:rsidRDefault="00F90EF4" w:rsidP="00F90EF4">
      <w:pPr>
        <w:jc w:val="center"/>
        <w:rPr>
          <w:rFonts w:ascii="Times New Roman" w:hAnsi="Times New Roman" w:cs="Times New Roman"/>
          <w:b/>
          <w:sz w:val="28"/>
          <w:szCs w:val="28"/>
        </w:rPr>
      </w:pPr>
      <w:r w:rsidRPr="006A2F60">
        <w:rPr>
          <w:rFonts w:ascii="Times New Roman" w:hAnsi="Times New Roman" w:cs="Times New Roman"/>
          <w:b/>
          <w:sz w:val="28"/>
          <w:szCs w:val="28"/>
        </w:rPr>
        <w:t>TERMES DE REFERENCE</w:t>
      </w:r>
    </w:p>
    <w:p w:rsidR="00F90EF4" w:rsidRPr="006A2F60" w:rsidRDefault="00F90EF4" w:rsidP="00F90EF4">
      <w:pPr>
        <w:spacing w:after="240"/>
        <w:jc w:val="center"/>
        <w:rPr>
          <w:rFonts w:ascii="Times New Roman" w:hAnsi="Times New Roman" w:cs="Times New Roman"/>
          <w:b/>
          <w:sz w:val="28"/>
          <w:szCs w:val="28"/>
          <w:lang w:val="en-US"/>
        </w:rPr>
      </w:pPr>
      <w:r w:rsidRPr="006A2F60">
        <w:rPr>
          <w:rFonts w:ascii="Times New Roman" w:hAnsi="Times New Roman" w:cs="Times New Roman"/>
          <w:b/>
          <w:sz w:val="28"/>
          <w:szCs w:val="28"/>
          <w:lang w:val="en-US"/>
        </w:rPr>
        <w:t xml:space="preserve">Evaluation finale du Projet Transfer Of Knowledge Through Expatriate Nationals (TOKTEN-Mali) </w:t>
      </w:r>
    </w:p>
    <w:p w:rsidR="00F90EF4" w:rsidRPr="00C04E17" w:rsidRDefault="00F90EF4" w:rsidP="00F90EF4">
      <w:pPr>
        <w:rPr>
          <w:rFonts w:ascii="Times New Roman" w:hAnsi="Times New Roman" w:cs="Times New Roman"/>
          <w:b/>
          <w:sz w:val="32"/>
          <w:szCs w:val="32"/>
          <w:lang w:val="en-US"/>
        </w:rPr>
      </w:pPr>
      <w:r w:rsidRPr="00C04E17">
        <w:rPr>
          <w:rFonts w:ascii="Times New Roman" w:hAnsi="Times New Roman" w:cs="Times New Roman"/>
          <w:b/>
          <w:sz w:val="32"/>
          <w:szCs w:val="32"/>
          <w:lang w:val="en-US"/>
        </w:rPr>
        <w:br w:type="page"/>
      </w:r>
    </w:p>
    <w:p w:rsidR="00F90EF4" w:rsidRPr="006A2F60" w:rsidRDefault="00F90EF4" w:rsidP="00F90EF4">
      <w:pPr>
        <w:pStyle w:val="Paragraphedeliste"/>
        <w:numPr>
          <w:ilvl w:val="0"/>
          <w:numId w:val="1"/>
        </w:numPr>
        <w:spacing w:after="240"/>
        <w:ind w:left="1077"/>
        <w:contextualSpacing w:val="0"/>
        <w:jc w:val="both"/>
        <w:rPr>
          <w:rFonts w:ascii="Times New Roman" w:hAnsi="Times New Roman" w:cs="Times New Roman"/>
          <w:b/>
          <w:sz w:val="28"/>
          <w:szCs w:val="28"/>
        </w:rPr>
      </w:pPr>
      <w:r w:rsidRPr="006A2F60">
        <w:rPr>
          <w:rFonts w:ascii="Times New Roman" w:hAnsi="Times New Roman" w:cs="Times New Roman"/>
          <w:b/>
          <w:sz w:val="28"/>
          <w:szCs w:val="28"/>
        </w:rPr>
        <w:lastRenderedPageBreak/>
        <w:t xml:space="preserve">Bref rappel du contexte </w:t>
      </w:r>
    </w:p>
    <w:p w:rsidR="00F90EF4" w:rsidRDefault="00F90EF4" w:rsidP="00F90EF4">
      <w:pPr>
        <w:spacing w:after="0" w:line="240" w:lineRule="auto"/>
        <w:contextualSpacing/>
        <w:jc w:val="both"/>
        <w:rPr>
          <w:rFonts w:ascii="Times New Roman" w:hAnsi="Times New Roman"/>
          <w:sz w:val="24"/>
          <w:szCs w:val="24"/>
        </w:rPr>
      </w:pPr>
      <w:r w:rsidRPr="006A2F60">
        <w:rPr>
          <w:rFonts w:ascii="Times New Roman" w:hAnsi="Times New Roman"/>
          <w:sz w:val="24"/>
          <w:szCs w:val="24"/>
        </w:rPr>
        <w:t xml:space="preserve">Le Mali est un pays enclavé d’Afrique de l’Ouest d’environ 1.241.238 km² dont les 2/3 sont désertiques. </w:t>
      </w:r>
      <w:r w:rsidRPr="006A38CA">
        <w:rPr>
          <w:rFonts w:ascii="Times New Roman" w:hAnsi="Times New Roman"/>
          <w:sz w:val="24"/>
          <w:szCs w:val="24"/>
        </w:rPr>
        <w:t>Le pays comptait 17,3 millions d’habitants en 2014 avec un taux de croissan</w:t>
      </w:r>
      <w:r>
        <w:rPr>
          <w:rFonts w:ascii="Times New Roman" w:hAnsi="Times New Roman"/>
          <w:sz w:val="24"/>
          <w:szCs w:val="24"/>
        </w:rPr>
        <w:t>ce démographique de 3,6% par an.</w:t>
      </w:r>
    </w:p>
    <w:p w:rsidR="00F90EF4" w:rsidRDefault="00F90EF4" w:rsidP="00F90EF4">
      <w:pPr>
        <w:spacing w:after="0" w:line="240" w:lineRule="auto"/>
        <w:contextualSpacing/>
        <w:jc w:val="both"/>
        <w:rPr>
          <w:rFonts w:ascii="Times New Roman" w:hAnsi="Times New Roman"/>
          <w:sz w:val="24"/>
          <w:szCs w:val="24"/>
        </w:rPr>
      </w:pPr>
    </w:p>
    <w:p w:rsidR="00F90EF4" w:rsidRPr="006A2F60" w:rsidRDefault="00F90EF4" w:rsidP="00F90EF4">
      <w:pPr>
        <w:spacing w:after="0" w:line="240" w:lineRule="auto"/>
        <w:contextualSpacing/>
        <w:jc w:val="both"/>
        <w:rPr>
          <w:rFonts w:ascii="Times New Roman" w:hAnsi="Times New Roman"/>
          <w:sz w:val="24"/>
          <w:szCs w:val="24"/>
        </w:rPr>
      </w:pPr>
      <w:r w:rsidRPr="006A2F60">
        <w:rPr>
          <w:rFonts w:ascii="Times New Roman" w:hAnsi="Times New Roman"/>
          <w:sz w:val="24"/>
          <w:szCs w:val="24"/>
        </w:rPr>
        <w:t>La population est passée de 9 810 911 habitants au Recensement Général de la Population et de  l’Habitat (RGPH) de 1998 à 14  517 176 habitants selon les résultats du RGPH de 2009, soit  un accroissement annuel moyen de 3,6%. Avec un tel taux de croissance, la population du Mali est estimée à 18,3 millions d’habitants en 2016. Si cette tendance se maintient, la population malienne atteindra 23,5 habitants en 2025 et 30,3 millions d’habitants en 2035 (source : Direction Nationale de la Population « Projetions démographique, 2010-2035 »).</w:t>
      </w:r>
      <w:r>
        <w:rPr>
          <w:rFonts w:ascii="Times New Roman" w:hAnsi="Times New Roman"/>
          <w:sz w:val="24"/>
          <w:szCs w:val="24"/>
        </w:rPr>
        <w:t xml:space="preserve"> </w:t>
      </w:r>
      <w:r w:rsidRPr="006A2F60">
        <w:rPr>
          <w:rFonts w:ascii="Times New Roman" w:hAnsi="Times New Roman"/>
          <w:sz w:val="24"/>
          <w:szCs w:val="24"/>
        </w:rPr>
        <w:t>L’importance du taux de croissance démographique grève fortement la croissance économique en raison des nombreux investissements nécessaires.</w:t>
      </w:r>
    </w:p>
    <w:p w:rsidR="00F90EF4" w:rsidRDefault="00F90EF4" w:rsidP="00F90EF4">
      <w:pPr>
        <w:spacing w:after="0" w:line="240" w:lineRule="auto"/>
        <w:contextualSpacing/>
        <w:jc w:val="both"/>
        <w:rPr>
          <w:rFonts w:ascii="Times New Roman" w:hAnsi="Times New Roman"/>
          <w:sz w:val="24"/>
          <w:szCs w:val="24"/>
        </w:rPr>
      </w:pPr>
    </w:p>
    <w:p w:rsidR="00F90EF4" w:rsidRPr="006A38CA" w:rsidRDefault="00F90EF4" w:rsidP="00F90EF4">
      <w:pPr>
        <w:spacing w:after="0" w:line="240" w:lineRule="auto"/>
        <w:contextualSpacing/>
        <w:jc w:val="both"/>
        <w:rPr>
          <w:rFonts w:ascii="Times New Roman" w:hAnsi="Times New Roman"/>
          <w:sz w:val="24"/>
          <w:szCs w:val="24"/>
        </w:rPr>
      </w:pPr>
      <w:r w:rsidRPr="006A38CA">
        <w:rPr>
          <w:rFonts w:ascii="Times New Roman" w:hAnsi="Times New Roman"/>
          <w:sz w:val="24"/>
          <w:szCs w:val="24"/>
        </w:rPr>
        <w:t xml:space="preserve">Cette forte croissance démographique agit négativement sur l’évolution des indicateurs sociaux et sur les progrès vers l’atteinte des </w:t>
      </w:r>
      <w:r>
        <w:rPr>
          <w:rFonts w:ascii="Times New Roman" w:hAnsi="Times New Roman"/>
          <w:sz w:val="24"/>
          <w:szCs w:val="24"/>
        </w:rPr>
        <w:t xml:space="preserve">Objectifs du </w:t>
      </w:r>
      <w:r w:rsidRPr="006A38CA">
        <w:rPr>
          <w:rFonts w:ascii="Times New Roman" w:hAnsi="Times New Roman"/>
          <w:sz w:val="24"/>
          <w:szCs w:val="24"/>
        </w:rPr>
        <w:t xml:space="preserve">Développement </w:t>
      </w:r>
      <w:r>
        <w:rPr>
          <w:rFonts w:ascii="Times New Roman" w:hAnsi="Times New Roman"/>
          <w:sz w:val="24"/>
          <w:szCs w:val="24"/>
        </w:rPr>
        <w:t>Durable (OD</w:t>
      </w:r>
      <w:r w:rsidRPr="00497092">
        <w:rPr>
          <w:rFonts w:ascii="Times New Roman" w:hAnsi="Times New Roman"/>
          <w:sz w:val="24"/>
          <w:szCs w:val="24"/>
        </w:rPr>
        <w:t>D)</w:t>
      </w:r>
      <w:r w:rsidRPr="006A38CA">
        <w:rPr>
          <w:rFonts w:ascii="Times New Roman" w:hAnsi="Times New Roman"/>
          <w:sz w:val="24"/>
          <w:szCs w:val="24"/>
        </w:rPr>
        <w:t>.</w:t>
      </w:r>
      <w:r w:rsidRPr="006A2F60">
        <w:rPr>
          <w:rFonts w:ascii="Times New Roman" w:hAnsi="Times New Roman"/>
          <w:sz w:val="24"/>
          <w:szCs w:val="24"/>
        </w:rPr>
        <w:t xml:space="preserve"> </w:t>
      </w:r>
      <w:r w:rsidRPr="006A38CA">
        <w:rPr>
          <w:rFonts w:ascii="Times New Roman" w:hAnsi="Times New Roman"/>
          <w:sz w:val="24"/>
          <w:szCs w:val="24"/>
        </w:rPr>
        <w:t>24,6% de la population malienne vit dans les centres urbains contre 75,4% en milieu rural. Les femmes représentent 50,8% de la population tandis que les  jeunes de moins de 15 ans constituent 48,7% de la population.</w:t>
      </w:r>
    </w:p>
    <w:p w:rsidR="00F90EF4" w:rsidRPr="006A2F60" w:rsidRDefault="00F90EF4" w:rsidP="00F90EF4">
      <w:pPr>
        <w:spacing w:after="0" w:line="240" w:lineRule="auto"/>
        <w:contextualSpacing/>
        <w:jc w:val="both"/>
        <w:rPr>
          <w:rFonts w:ascii="Times New Roman" w:hAnsi="Times New Roman"/>
          <w:sz w:val="24"/>
          <w:szCs w:val="24"/>
        </w:rPr>
      </w:pPr>
    </w:p>
    <w:p w:rsidR="00F90EF4" w:rsidRDefault="00F90EF4" w:rsidP="00F90EF4">
      <w:pPr>
        <w:spacing w:after="0" w:line="240" w:lineRule="auto"/>
        <w:contextualSpacing/>
        <w:jc w:val="both"/>
        <w:rPr>
          <w:rFonts w:ascii="Times New Roman" w:hAnsi="Times New Roman"/>
          <w:sz w:val="24"/>
          <w:szCs w:val="24"/>
        </w:rPr>
      </w:pPr>
      <w:r w:rsidRPr="006A38CA">
        <w:rPr>
          <w:rFonts w:ascii="Times New Roman" w:hAnsi="Times New Roman"/>
          <w:sz w:val="24"/>
          <w:szCs w:val="24"/>
        </w:rPr>
        <w:t xml:space="preserve">Avec un Indice de Développement Humain (IDH) </w:t>
      </w:r>
      <w:r>
        <w:rPr>
          <w:rFonts w:ascii="Times New Roman" w:hAnsi="Times New Roman"/>
          <w:sz w:val="24"/>
          <w:szCs w:val="24"/>
        </w:rPr>
        <w:t>de 0,419 en 2015, le Mali était classé 179</w:t>
      </w:r>
      <w:r w:rsidRPr="006A2F60">
        <w:rPr>
          <w:rFonts w:ascii="Times New Roman" w:hAnsi="Times New Roman"/>
          <w:sz w:val="24"/>
          <w:szCs w:val="24"/>
        </w:rPr>
        <w:t>e</w:t>
      </w:r>
      <w:r>
        <w:rPr>
          <w:rFonts w:ascii="Times New Roman" w:hAnsi="Times New Roman"/>
          <w:sz w:val="24"/>
          <w:szCs w:val="24"/>
        </w:rPr>
        <w:t xml:space="preserve"> sur188</w:t>
      </w:r>
      <w:r w:rsidRPr="006A38CA">
        <w:rPr>
          <w:rFonts w:ascii="Times New Roman" w:hAnsi="Times New Roman"/>
          <w:sz w:val="24"/>
          <w:szCs w:val="24"/>
        </w:rPr>
        <w:t xml:space="preserve"> pays dans le monde. La structure de l’économie malienne reste dominée par le secteur primaire qui contribue pour 38% en moyenne à la formation du PIB. Ce secteur emploie 63,1% de la population active occupée. Le secteur secondaire contribue pour 18% au PIB, et utilise 9,8% de la population active occupée. Quant au secteur tertiaire, il représente 37% du PIB et emploie 15,9% des actifs occupés dans le commerce, et 11,2% dans les autres services. Sur base du milieu géographique d’habitation, la population rurale est occupée à 76% dans le secteur primaire, tandis que celle des centres urbains est occupée  à 41% dans le commerce et à 32% dans les services.</w:t>
      </w:r>
    </w:p>
    <w:p w:rsidR="00F90EF4" w:rsidRDefault="00F90EF4" w:rsidP="00F90EF4">
      <w:pPr>
        <w:spacing w:after="0" w:line="240" w:lineRule="auto"/>
        <w:contextualSpacing/>
        <w:jc w:val="both"/>
        <w:rPr>
          <w:rFonts w:ascii="Times New Roman" w:hAnsi="Times New Roman"/>
          <w:sz w:val="24"/>
          <w:szCs w:val="24"/>
        </w:rPr>
      </w:pPr>
    </w:p>
    <w:p w:rsidR="00F90EF4" w:rsidRPr="006A2F60" w:rsidRDefault="00F90EF4" w:rsidP="00F90EF4">
      <w:pPr>
        <w:spacing w:after="0" w:line="240" w:lineRule="auto"/>
        <w:contextualSpacing/>
        <w:jc w:val="both"/>
        <w:rPr>
          <w:rFonts w:ascii="Times New Roman" w:hAnsi="Times New Roman"/>
          <w:sz w:val="24"/>
          <w:szCs w:val="24"/>
        </w:rPr>
      </w:pPr>
      <w:r w:rsidRPr="006A2F60">
        <w:rPr>
          <w:rFonts w:ascii="Times New Roman" w:hAnsi="Times New Roman"/>
          <w:sz w:val="24"/>
          <w:szCs w:val="24"/>
        </w:rPr>
        <w:t>L’économie malienne</w:t>
      </w:r>
      <w:r w:rsidRPr="00CE0A18">
        <w:rPr>
          <w:rFonts w:ascii="Times New Roman" w:hAnsi="Times New Roman" w:cs="Times New Roman"/>
          <w:sz w:val="24"/>
          <w:szCs w:val="24"/>
        </w:rPr>
        <w:t xml:space="preserve"> repose essentiellement sur le secteur primaire, (agriculture, élevage, </w:t>
      </w:r>
      <w:r w:rsidRPr="006A2F60">
        <w:rPr>
          <w:rFonts w:ascii="Times New Roman" w:hAnsi="Times New Roman"/>
          <w:sz w:val="24"/>
          <w:szCs w:val="24"/>
        </w:rPr>
        <w:t>pêche, artisanat et commerce) qui fournit 44% du produit intérieur brut. Le pays est largement tributaire des aléas climatiques. Le secteur secondaire représente 21% du PIB et le secteur tertiaire 31% (Source CSLP</w:t>
      </w:r>
      <w:r w:rsidRPr="00CE0A18">
        <w:rPr>
          <w:rFonts w:ascii="Times New Roman" w:hAnsi="Times New Roman"/>
          <w:sz w:val="24"/>
          <w:szCs w:val="24"/>
        </w:rPr>
        <w:footnoteReference w:id="1"/>
      </w:r>
      <w:r w:rsidRPr="006A2F60">
        <w:rPr>
          <w:rFonts w:ascii="Times New Roman" w:hAnsi="Times New Roman"/>
          <w:sz w:val="24"/>
          <w:szCs w:val="24"/>
        </w:rPr>
        <w:t>, 2002).</w:t>
      </w:r>
    </w:p>
    <w:p w:rsidR="00F90EF4" w:rsidRPr="006A2F60" w:rsidRDefault="00F90EF4" w:rsidP="00F90EF4">
      <w:pPr>
        <w:spacing w:after="0" w:line="240" w:lineRule="auto"/>
        <w:contextualSpacing/>
        <w:jc w:val="both"/>
        <w:rPr>
          <w:rFonts w:ascii="Times New Roman" w:hAnsi="Times New Roman"/>
          <w:sz w:val="24"/>
          <w:szCs w:val="24"/>
        </w:rPr>
      </w:pPr>
    </w:p>
    <w:p w:rsidR="00F90EF4" w:rsidRPr="006A2F60" w:rsidRDefault="00F90EF4" w:rsidP="00F90EF4">
      <w:pPr>
        <w:spacing w:after="0" w:line="240" w:lineRule="auto"/>
        <w:contextualSpacing/>
        <w:jc w:val="both"/>
        <w:rPr>
          <w:rFonts w:ascii="Times New Roman" w:hAnsi="Times New Roman"/>
          <w:sz w:val="24"/>
          <w:szCs w:val="24"/>
        </w:rPr>
      </w:pPr>
      <w:r w:rsidRPr="006A2F60">
        <w:rPr>
          <w:rFonts w:ascii="Times New Roman" w:hAnsi="Times New Roman"/>
          <w:sz w:val="24"/>
          <w:szCs w:val="24"/>
        </w:rPr>
        <w:t>La question migratoire constitue donc une probl</w:t>
      </w:r>
      <w:r>
        <w:rPr>
          <w:rFonts w:ascii="Times New Roman" w:hAnsi="Times New Roman"/>
          <w:sz w:val="24"/>
          <w:szCs w:val="24"/>
        </w:rPr>
        <w:t>ématique importante au Mali, qui</w:t>
      </w:r>
      <w:r w:rsidRPr="006A2F60">
        <w:rPr>
          <w:rFonts w:ascii="Times New Roman" w:hAnsi="Times New Roman"/>
          <w:sz w:val="24"/>
          <w:szCs w:val="24"/>
        </w:rPr>
        <w:t xml:space="preserve"> a adopté en 2006, sa 2ème  stratégie de lutte contre la pauvreté (cadre stratégique pour la croissance et la réduction de la pauvreté, CSCRP, 2007-2011). Le troisième CSCRP adopté le 28 décembre 2011, pour la période 2012-2017, accorde une importance particulière à la migration qui y est traitée comme le 15ème  domaine d’intervention de l’axe stratégique intitulé « le renforcement des bases à long terme du développement et à l’accès équitable aux services sociaux de qualité ». </w:t>
      </w:r>
    </w:p>
    <w:p w:rsidR="00F90EF4" w:rsidRPr="006A2F60" w:rsidRDefault="00F90EF4" w:rsidP="00F90EF4">
      <w:pPr>
        <w:spacing w:after="0" w:line="240" w:lineRule="auto"/>
        <w:contextualSpacing/>
        <w:jc w:val="both"/>
        <w:rPr>
          <w:rFonts w:ascii="Times New Roman" w:hAnsi="Times New Roman"/>
          <w:sz w:val="24"/>
          <w:szCs w:val="24"/>
        </w:rPr>
      </w:pPr>
    </w:p>
    <w:p w:rsidR="00F90EF4" w:rsidRPr="00CE0A18" w:rsidRDefault="00F90EF4" w:rsidP="00F90EF4">
      <w:pPr>
        <w:spacing w:after="0" w:line="240" w:lineRule="auto"/>
        <w:contextualSpacing/>
        <w:jc w:val="both"/>
        <w:rPr>
          <w:rFonts w:ascii="Times New Roman" w:hAnsi="Times New Roman" w:cs="Times New Roman"/>
          <w:sz w:val="24"/>
          <w:szCs w:val="24"/>
        </w:rPr>
      </w:pPr>
      <w:r w:rsidRPr="006A2F60">
        <w:rPr>
          <w:rFonts w:ascii="Times New Roman" w:hAnsi="Times New Roman"/>
          <w:sz w:val="24"/>
          <w:szCs w:val="24"/>
        </w:rPr>
        <w:t>Le Rapport mondial sur le développement humain 2009 dont le thème porte sur mobilité et développement humain propose certaines réformes afin d’amplifier l’apport de la mobilité au développement humain. Parmi celles-ci, on peut citer la garantie des droits élémentaires des</w:t>
      </w:r>
      <w:r w:rsidRPr="00CE0A18">
        <w:rPr>
          <w:rFonts w:ascii="Times New Roman" w:hAnsi="Times New Roman" w:cs="Times New Roman"/>
          <w:sz w:val="24"/>
          <w:szCs w:val="24"/>
        </w:rPr>
        <w:t xml:space="preserve"> </w:t>
      </w:r>
      <w:r w:rsidRPr="00CE0A18">
        <w:rPr>
          <w:rFonts w:ascii="Times New Roman" w:hAnsi="Times New Roman" w:cs="Times New Roman"/>
          <w:sz w:val="24"/>
          <w:szCs w:val="24"/>
        </w:rPr>
        <w:lastRenderedPageBreak/>
        <w:t>migrants, la réduction des couts de transaction des migrants et l’intégration de la migration dans les stratégies nationales de développement.</w:t>
      </w:r>
    </w:p>
    <w:p w:rsidR="00F90EF4" w:rsidRDefault="00F90EF4" w:rsidP="00F90EF4">
      <w:pPr>
        <w:spacing w:after="0" w:line="240" w:lineRule="auto"/>
        <w:jc w:val="both"/>
        <w:rPr>
          <w:rFonts w:ascii="Times New Roman" w:hAnsi="Times New Roman" w:cs="Times New Roman"/>
          <w:sz w:val="24"/>
          <w:szCs w:val="24"/>
        </w:rPr>
      </w:pPr>
      <w:r w:rsidRPr="00CE0A18">
        <w:rPr>
          <w:rFonts w:ascii="Times New Roman" w:hAnsi="Times New Roman" w:cs="Times New Roman"/>
          <w:sz w:val="24"/>
          <w:szCs w:val="24"/>
        </w:rPr>
        <w:t xml:space="preserve">Le Programme TOKTEN (transfert de connaissance à travers les expatriés nationaux) entre dans le contexte spécifique de faire le lien entre migration et développement. En ayant recours à l’expertise des nationaux expatriés, ce programme permet de réduire les effets négatifs de la fuite des cerveaux et de </w:t>
      </w:r>
      <w:r>
        <w:rPr>
          <w:rFonts w:ascii="Times New Roman" w:hAnsi="Times New Roman" w:cs="Times New Roman"/>
          <w:sz w:val="24"/>
          <w:szCs w:val="24"/>
        </w:rPr>
        <w:t>contribuer au renforcement des capacités nationales</w:t>
      </w:r>
      <w:r w:rsidRPr="00912D7F">
        <w:rPr>
          <w:rFonts w:ascii="Times New Roman" w:hAnsi="Times New Roman" w:cs="Times New Roman"/>
          <w:sz w:val="24"/>
          <w:szCs w:val="24"/>
        </w:rPr>
        <w:t>.</w:t>
      </w:r>
    </w:p>
    <w:p w:rsidR="00F90EF4" w:rsidRDefault="00F90EF4" w:rsidP="00F90EF4">
      <w:pPr>
        <w:pStyle w:val="Default"/>
        <w:jc w:val="both"/>
        <w:rPr>
          <w:rFonts w:ascii="Times New Roman" w:hAnsi="Times New Roman" w:cs="Times New Roman"/>
          <w:color w:val="auto"/>
        </w:rPr>
      </w:pPr>
    </w:p>
    <w:p w:rsidR="00F90EF4" w:rsidRPr="006A2F60" w:rsidRDefault="00F90EF4" w:rsidP="00F90EF4">
      <w:pPr>
        <w:pStyle w:val="Default"/>
        <w:jc w:val="both"/>
        <w:rPr>
          <w:rFonts w:ascii="Times New Roman" w:hAnsi="Times New Roman" w:cs="Times New Roman"/>
          <w:color w:val="auto"/>
        </w:rPr>
      </w:pPr>
      <w:r w:rsidRPr="006A2F60">
        <w:rPr>
          <w:rFonts w:ascii="Times New Roman" w:hAnsi="Times New Roman" w:cs="Times New Roman"/>
          <w:color w:val="auto"/>
        </w:rPr>
        <w:t xml:space="preserve">Le développement économique  étant basé sur la connaissance, le savoir et le savoir-faire, la Diaspora intellectuelle scientifique </w:t>
      </w:r>
      <w:r>
        <w:rPr>
          <w:rFonts w:ascii="Times New Roman" w:hAnsi="Times New Roman" w:cs="Times New Roman"/>
          <w:color w:val="auto"/>
        </w:rPr>
        <w:t>et technique peut jouer un rôle</w:t>
      </w:r>
      <w:r w:rsidRPr="006A2F60">
        <w:rPr>
          <w:rFonts w:ascii="Times New Roman" w:hAnsi="Times New Roman" w:cs="Times New Roman"/>
          <w:color w:val="auto"/>
        </w:rPr>
        <w:t xml:space="preserve"> inestimable </w:t>
      </w:r>
      <w:r>
        <w:rPr>
          <w:rFonts w:ascii="Times New Roman" w:hAnsi="Times New Roman" w:cs="Times New Roman"/>
          <w:color w:val="auto"/>
        </w:rPr>
        <w:t xml:space="preserve">pour le développement du </w:t>
      </w:r>
      <w:r w:rsidRPr="006A2F60">
        <w:rPr>
          <w:rFonts w:ascii="Times New Roman" w:hAnsi="Times New Roman" w:cs="Times New Roman"/>
          <w:color w:val="auto"/>
        </w:rPr>
        <w:t>tissu industriel du Mali. Certains secteurs sont particulièrement prometteurs. Selon l’Agence pour la Promotion des Investissements au  Mali ,  (</w:t>
      </w:r>
      <w:hyperlink r:id="rId7" w:history="1">
        <w:r w:rsidRPr="006A2F60">
          <w:rPr>
            <w:rFonts w:ascii="Times New Roman" w:hAnsi="Times New Roman" w:cs="Times New Roman"/>
            <w:color w:val="auto"/>
          </w:rPr>
          <w:t>http://www.apimali.gov.ml/investir-au-mali/ou.html</w:t>
        </w:r>
      </w:hyperlink>
      <w:r w:rsidRPr="006A2F60">
        <w:rPr>
          <w:rFonts w:ascii="Times New Roman" w:hAnsi="Times New Roman" w:cs="Times New Roman"/>
          <w:color w:val="auto"/>
        </w:rPr>
        <w:t>), les secteurs suivants sont déterminés comme les plus grandes opportunités pour l’investissement au Mali:  l’agriculture (les terres disponibles occupent près de 46 millions d'hectares), l’agro-industrie  (transformation du coton, du sucre, des fruits et des légumes), l’élevage (industrie de transformation de la viande, développement des infrastructures nécessaires à la distribution locale et international), l’énergie (des ressources importantes en eau de surface, un potentiel d'énergies renouvelables), les mines (matériaux de construction, sel gemme, or, pierres semi-précieuses telles que le grenat, le diamant, le fer, la bauxite, le manganèse, les phosphates, etc.) et le tourisme.</w:t>
      </w:r>
    </w:p>
    <w:p w:rsidR="00F90EF4" w:rsidRPr="00912D7F" w:rsidRDefault="00F90EF4" w:rsidP="00F90EF4">
      <w:pPr>
        <w:jc w:val="both"/>
        <w:rPr>
          <w:rFonts w:ascii="Times New Roman" w:hAnsi="Times New Roman" w:cs="Times New Roman"/>
          <w:sz w:val="24"/>
          <w:szCs w:val="24"/>
        </w:rPr>
      </w:pPr>
    </w:p>
    <w:p w:rsidR="00F90EF4" w:rsidRDefault="00F90EF4" w:rsidP="00F90EF4">
      <w:pPr>
        <w:pStyle w:val="Paragraphedeliste"/>
        <w:numPr>
          <w:ilvl w:val="0"/>
          <w:numId w:val="1"/>
        </w:numPr>
        <w:jc w:val="both"/>
        <w:rPr>
          <w:rFonts w:ascii="Times New Roman" w:hAnsi="Times New Roman" w:cs="Times New Roman"/>
          <w:b/>
          <w:sz w:val="28"/>
          <w:szCs w:val="28"/>
        </w:rPr>
      </w:pPr>
      <w:r w:rsidRPr="00DD2C44">
        <w:rPr>
          <w:rFonts w:ascii="Times New Roman" w:hAnsi="Times New Roman" w:cs="Times New Roman"/>
          <w:b/>
          <w:sz w:val="28"/>
          <w:szCs w:val="28"/>
        </w:rPr>
        <w:t>Description sommaire du Pro</w:t>
      </w:r>
      <w:r>
        <w:rPr>
          <w:rFonts w:ascii="Times New Roman" w:hAnsi="Times New Roman" w:cs="Times New Roman"/>
          <w:b/>
          <w:sz w:val="28"/>
          <w:szCs w:val="28"/>
        </w:rPr>
        <w:t>jet </w:t>
      </w:r>
    </w:p>
    <w:p w:rsidR="00F90EF4" w:rsidRPr="00113F84" w:rsidRDefault="00F90EF4" w:rsidP="00F90EF4">
      <w:pPr>
        <w:spacing w:line="240" w:lineRule="auto"/>
        <w:jc w:val="both"/>
        <w:rPr>
          <w:rFonts w:ascii="Times New Roman" w:hAnsi="Times New Roman" w:cs="Times New Roman"/>
          <w:b/>
          <w:sz w:val="24"/>
          <w:szCs w:val="24"/>
        </w:rPr>
      </w:pPr>
      <w:r w:rsidRPr="00113F84">
        <w:rPr>
          <w:rFonts w:ascii="Times New Roman" w:hAnsi="Times New Roman" w:cs="Times New Roman"/>
          <w:b/>
          <w:sz w:val="24"/>
          <w:szCs w:val="24"/>
        </w:rPr>
        <w:t xml:space="preserve">2.1 </w:t>
      </w:r>
      <w:r w:rsidRPr="00113F84">
        <w:rPr>
          <w:rFonts w:ascii="Times New Roman" w:hAnsi="Times New Roman" w:cs="Times New Roman"/>
          <w:b/>
          <w:sz w:val="24"/>
          <w:szCs w:val="24"/>
          <w:u w:val="single"/>
        </w:rPr>
        <w:t>L'objectif principal</w:t>
      </w:r>
      <w:r w:rsidRPr="00113F84">
        <w:rPr>
          <w:rFonts w:ascii="Times New Roman" w:hAnsi="Times New Roman" w:cs="Times New Roman"/>
          <w:b/>
          <w:sz w:val="24"/>
          <w:szCs w:val="24"/>
        </w:rPr>
        <w:t> </w:t>
      </w:r>
    </w:p>
    <w:p w:rsidR="00F90EF4" w:rsidRPr="00113F84" w:rsidRDefault="00F90EF4" w:rsidP="00F90EF4">
      <w:pPr>
        <w:spacing w:after="0" w:line="240" w:lineRule="auto"/>
        <w:jc w:val="both"/>
        <w:rPr>
          <w:rFonts w:ascii="Times New Roman" w:hAnsi="Times New Roman" w:cs="Times New Roman"/>
          <w:sz w:val="24"/>
          <w:szCs w:val="24"/>
        </w:rPr>
      </w:pPr>
      <w:r w:rsidRPr="00FE5FCA">
        <w:rPr>
          <w:rFonts w:ascii="Times New Roman" w:hAnsi="Times New Roman" w:cs="Times New Roman"/>
          <w:sz w:val="24"/>
          <w:szCs w:val="24"/>
        </w:rPr>
        <w:t>Le Programme TOKTEN (Transfer of Knowledge Through Expatriate Nationals), ou en Français, « Transfert des connaissances à travers les nationaux expatriés »</w:t>
      </w:r>
      <w:r>
        <w:rPr>
          <w:rFonts w:ascii="Times New Roman" w:hAnsi="Times New Roman" w:cs="Times New Roman"/>
          <w:sz w:val="24"/>
          <w:szCs w:val="24"/>
        </w:rPr>
        <w:t xml:space="preserve"> a pour objectif principal </w:t>
      </w:r>
      <w:r w:rsidRPr="00113F84">
        <w:rPr>
          <w:rFonts w:ascii="Times New Roman" w:hAnsi="Times New Roman" w:cs="Times New Roman"/>
          <w:sz w:val="24"/>
          <w:szCs w:val="24"/>
        </w:rPr>
        <w:t>de permettre au Mali de disposer des compétences nationales expatriées en mesure de contribuer au développement économique et social du pays dans les secteurs stratégiques nationaux, notamment : l’Enseignement supérieur, l’Agriculture, la Santé et les PME/PMI. Dans sa phase 2012-2016, il s’agit  de consolider les résultats déjà atteints par le Projet TOKTEN.</w:t>
      </w:r>
    </w:p>
    <w:p w:rsidR="00F90EF4" w:rsidRDefault="00F90EF4" w:rsidP="00F90EF4">
      <w:pPr>
        <w:spacing w:after="0" w:line="240" w:lineRule="auto"/>
        <w:jc w:val="both"/>
        <w:rPr>
          <w:rFonts w:ascii="Times New Roman" w:hAnsi="Times New Roman" w:cs="Times New Roman"/>
          <w:sz w:val="24"/>
          <w:szCs w:val="24"/>
        </w:rPr>
      </w:pPr>
    </w:p>
    <w:p w:rsidR="00F90EF4" w:rsidRPr="0059322F" w:rsidRDefault="00F90EF4" w:rsidP="00F90EF4">
      <w:pPr>
        <w:spacing w:after="0" w:line="240" w:lineRule="auto"/>
        <w:jc w:val="both"/>
        <w:rPr>
          <w:rFonts w:ascii="Times New Roman" w:hAnsi="Times New Roman" w:cs="Times New Roman"/>
          <w:sz w:val="24"/>
          <w:szCs w:val="24"/>
        </w:rPr>
      </w:pPr>
      <w:r w:rsidRPr="006A2F60">
        <w:rPr>
          <w:rFonts w:ascii="Times New Roman" w:hAnsi="Times New Roman" w:cs="Times New Roman"/>
          <w:sz w:val="24"/>
          <w:szCs w:val="24"/>
        </w:rPr>
        <w:t>C’est un projet à Exécution Nationale placé sous la tutelle du Ministère des Maliens de l’Extérieur.</w:t>
      </w:r>
    </w:p>
    <w:p w:rsidR="00F90EF4" w:rsidRDefault="00F90EF4" w:rsidP="00F90EF4">
      <w:pPr>
        <w:spacing w:after="0" w:line="240" w:lineRule="auto"/>
        <w:jc w:val="both"/>
        <w:rPr>
          <w:rFonts w:ascii="Times New Roman" w:hAnsi="Times New Roman" w:cs="Times New Roman"/>
          <w:sz w:val="24"/>
          <w:szCs w:val="24"/>
        </w:rPr>
      </w:pPr>
    </w:p>
    <w:p w:rsidR="00F90EF4" w:rsidRDefault="00F90EF4" w:rsidP="00F90EF4">
      <w:pPr>
        <w:spacing w:after="0" w:line="240" w:lineRule="auto"/>
        <w:jc w:val="both"/>
        <w:rPr>
          <w:rFonts w:ascii="Times New Roman" w:hAnsi="Times New Roman" w:cs="Times New Roman"/>
          <w:sz w:val="24"/>
          <w:szCs w:val="24"/>
        </w:rPr>
      </w:pPr>
      <w:r w:rsidRPr="001566C8">
        <w:rPr>
          <w:rFonts w:ascii="Times New Roman" w:hAnsi="Times New Roman" w:cs="Times New Roman"/>
          <w:sz w:val="24"/>
          <w:szCs w:val="24"/>
        </w:rPr>
        <w:t>Le Pro</w:t>
      </w:r>
      <w:r>
        <w:rPr>
          <w:rFonts w:ascii="Times New Roman" w:hAnsi="Times New Roman" w:cs="Times New Roman"/>
          <w:sz w:val="24"/>
          <w:szCs w:val="24"/>
        </w:rPr>
        <w:t>jet</w:t>
      </w:r>
      <w:r w:rsidRPr="001566C8">
        <w:rPr>
          <w:rFonts w:ascii="Times New Roman" w:hAnsi="Times New Roman" w:cs="Times New Roman"/>
          <w:sz w:val="24"/>
          <w:szCs w:val="24"/>
        </w:rPr>
        <w:t xml:space="preserve"> </w:t>
      </w:r>
      <w:r>
        <w:rPr>
          <w:rFonts w:ascii="Times New Roman" w:hAnsi="Times New Roman" w:cs="Times New Roman"/>
          <w:sz w:val="24"/>
          <w:szCs w:val="24"/>
        </w:rPr>
        <w:t xml:space="preserve">TOKTEN </w:t>
      </w:r>
      <w:r w:rsidRPr="001566C8">
        <w:rPr>
          <w:rFonts w:ascii="Times New Roman" w:hAnsi="Times New Roman" w:cs="Times New Roman"/>
          <w:sz w:val="24"/>
          <w:szCs w:val="24"/>
        </w:rPr>
        <w:t xml:space="preserve">s’aligne </w:t>
      </w:r>
      <w:r>
        <w:rPr>
          <w:rFonts w:ascii="Times New Roman" w:hAnsi="Times New Roman" w:cs="Times New Roman"/>
          <w:sz w:val="24"/>
          <w:szCs w:val="24"/>
        </w:rPr>
        <w:t>sur l’a</w:t>
      </w:r>
      <w:r w:rsidRPr="001566C8">
        <w:rPr>
          <w:rFonts w:ascii="Times New Roman" w:hAnsi="Times New Roman" w:cs="Times New Roman"/>
          <w:sz w:val="24"/>
          <w:szCs w:val="24"/>
        </w:rPr>
        <w:t>xe 2</w:t>
      </w:r>
      <w:r>
        <w:rPr>
          <w:rFonts w:ascii="Times New Roman" w:hAnsi="Times New Roman" w:cs="Times New Roman"/>
          <w:sz w:val="24"/>
          <w:szCs w:val="24"/>
        </w:rPr>
        <w:t xml:space="preserve"> du</w:t>
      </w:r>
      <w:r w:rsidRPr="001566C8">
        <w:rPr>
          <w:rFonts w:ascii="Times New Roman" w:hAnsi="Times New Roman" w:cs="Times New Roman"/>
          <w:sz w:val="24"/>
          <w:szCs w:val="24"/>
        </w:rPr>
        <w:t xml:space="preserve"> Cadre Stratégique de Croissance et de Réduc</w:t>
      </w:r>
      <w:r>
        <w:rPr>
          <w:rFonts w:ascii="Times New Roman" w:hAnsi="Times New Roman" w:cs="Times New Roman"/>
          <w:sz w:val="24"/>
          <w:szCs w:val="24"/>
        </w:rPr>
        <w:t xml:space="preserve">tion de la Pauvreté (CSCRP 2012-2017), à savoir </w:t>
      </w:r>
      <w:r w:rsidRPr="001566C8">
        <w:rPr>
          <w:rFonts w:ascii="Times New Roman" w:hAnsi="Times New Roman" w:cs="Times New Roman"/>
          <w:sz w:val="24"/>
          <w:szCs w:val="24"/>
        </w:rPr>
        <w:t>« </w:t>
      </w:r>
      <w:r w:rsidRPr="006A2F60">
        <w:rPr>
          <w:rFonts w:ascii="Times New Roman" w:hAnsi="Times New Roman" w:cs="Times New Roman"/>
          <w:sz w:val="24"/>
          <w:szCs w:val="24"/>
        </w:rPr>
        <w:t>Renforcement des bases à long terme du développement et l’accès équitable aux services sociaux de qualité</w:t>
      </w:r>
      <w:r w:rsidRPr="001566C8">
        <w:rPr>
          <w:rFonts w:ascii="Times New Roman" w:hAnsi="Times New Roman" w:cs="Times New Roman"/>
          <w:sz w:val="24"/>
          <w:szCs w:val="24"/>
        </w:rPr>
        <w:t> »</w:t>
      </w:r>
      <w:r>
        <w:rPr>
          <w:rFonts w:ascii="Times New Roman" w:hAnsi="Times New Roman" w:cs="Times New Roman"/>
          <w:sz w:val="24"/>
          <w:szCs w:val="24"/>
        </w:rPr>
        <w:t xml:space="preserve"> qui</w:t>
      </w:r>
      <w:r w:rsidRPr="001566C8">
        <w:rPr>
          <w:rFonts w:ascii="Times New Roman" w:hAnsi="Times New Roman" w:cs="Times New Roman"/>
          <w:sz w:val="24"/>
          <w:szCs w:val="24"/>
        </w:rPr>
        <w:t xml:space="preserve"> vise à améliorer le bien-être social des populations. Il est également  fondé sur les Effets 2 et 6 de l’UNDAF</w:t>
      </w:r>
      <w:r>
        <w:rPr>
          <w:rFonts w:ascii="Times New Roman" w:hAnsi="Times New Roman" w:cs="Times New Roman"/>
          <w:sz w:val="24"/>
          <w:szCs w:val="24"/>
        </w:rPr>
        <w:t>.</w:t>
      </w:r>
    </w:p>
    <w:p w:rsidR="00F90EF4" w:rsidRDefault="00F90EF4" w:rsidP="00F90EF4">
      <w:pPr>
        <w:spacing w:after="0" w:line="240" w:lineRule="auto"/>
        <w:jc w:val="both"/>
        <w:rPr>
          <w:rFonts w:ascii="Times New Roman" w:hAnsi="Times New Roman" w:cs="Times New Roman"/>
          <w:sz w:val="24"/>
          <w:szCs w:val="24"/>
        </w:rPr>
      </w:pPr>
    </w:p>
    <w:p w:rsidR="00F90EF4" w:rsidRDefault="00F90EF4" w:rsidP="00F90EF4">
      <w:pPr>
        <w:spacing w:after="0" w:line="240" w:lineRule="auto"/>
        <w:jc w:val="both"/>
        <w:rPr>
          <w:rFonts w:ascii="Times New Roman" w:hAnsi="Times New Roman" w:cs="Times New Roman"/>
          <w:sz w:val="24"/>
          <w:szCs w:val="24"/>
        </w:rPr>
      </w:pPr>
      <w:r w:rsidRPr="00912D7F">
        <w:rPr>
          <w:rFonts w:ascii="Times New Roman" w:hAnsi="Times New Roman" w:cs="Times New Roman"/>
          <w:sz w:val="24"/>
          <w:szCs w:val="24"/>
        </w:rPr>
        <w:t>Le Pro</w:t>
      </w:r>
      <w:r>
        <w:rPr>
          <w:rFonts w:ascii="Times New Roman" w:hAnsi="Times New Roman" w:cs="Times New Roman"/>
          <w:sz w:val="24"/>
          <w:szCs w:val="24"/>
        </w:rPr>
        <w:t>jet</w:t>
      </w:r>
      <w:r w:rsidRPr="00912D7F">
        <w:rPr>
          <w:rFonts w:ascii="Times New Roman" w:hAnsi="Times New Roman" w:cs="Times New Roman"/>
          <w:sz w:val="24"/>
          <w:szCs w:val="24"/>
        </w:rPr>
        <w:t xml:space="preserve"> s’intègre pleinement dans</w:t>
      </w:r>
      <w:r>
        <w:rPr>
          <w:rFonts w:ascii="Times New Roman" w:hAnsi="Times New Roman" w:cs="Times New Roman"/>
          <w:sz w:val="24"/>
          <w:szCs w:val="24"/>
        </w:rPr>
        <w:t xml:space="preserve"> les objectifs définis par la </w:t>
      </w:r>
      <w:r w:rsidRPr="00912D7F">
        <w:rPr>
          <w:rFonts w:ascii="Times New Roman" w:hAnsi="Times New Roman" w:cs="Times New Roman"/>
          <w:sz w:val="24"/>
          <w:szCs w:val="24"/>
        </w:rPr>
        <w:t>P</w:t>
      </w:r>
      <w:r>
        <w:rPr>
          <w:rFonts w:ascii="Times New Roman" w:hAnsi="Times New Roman" w:cs="Times New Roman"/>
          <w:sz w:val="24"/>
          <w:szCs w:val="24"/>
        </w:rPr>
        <w:t xml:space="preserve">olitique Nationale de Migration du Mali (PONAM) adopté par le Gouvernement malien le 03 septembre 2014. L’axe </w:t>
      </w:r>
      <w:r w:rsidRPr="00B7592F">
        <w:rPr>
          <w:rFonts w:ascii="Times New Roman" w:hAnsi="Times New Roman" w:cs="Times New Roman"/>
          <w:sz w:val="24"/>
          <w:szCs w:val="24"/>
        </w:rPr>
        <w:t>4.4 de cette politique intitulé « </w:t>
      </w:r>
      <w:r w:rsidRPr="006A2F60">
        <w:rPr>
          <w:rFonts w:ascii="Times New Roman" w:hAnsi="Times New Roman" w:cs="Times New Roman"/>
          <w:sz w:val="24"/>
          <w:szCs w:val="24"/>
        </w:rPr>
        <w:t>valoriser les capacités des diasporas au développement national</w:t>
      </w:r>
      <w:r w:rsidRPr="00B7592F">
        <w:rPr>
          <w:rFonts w:ascii="Times New Roman" w:hAnsi="Times New Roman" w:cs="Times New Roman"/>
          <w:sz w:val="24"/>
          <w:szCs w:val="24"/>
        </w:rPr>
        <w:t> » est consacré au Programme TOKTEN.</w:t>
      </w:r>
    </w:p>
    <w:p w:rsidR="00F90EF4" w:rsidRDefault="00F90EF4" w:rsidP="00F90EF4">
      <w:pPr>
        <w:spacing w:after="0" w:line="240" w:lineRule="auto"/>
        <w:jc w:val="both"/>
        <w:rPr>
          <w:rFonts w:ascii="Times New Roman" w:hAnsi="Times New Roman" w:cs="Times New Roman"/>
          <w:sz w:val="24"/>
          <w:szCs w:val="24"/>
        </w:rPr>
      </w:pPr>
    </w:p>
    <w:p w:rsidR="00F90EF4" w:rsidRDefault="00F90EF4" w:rsidP="00F90EF4">
      <w:pPr>
        <w:spacing w:after="0" w:line="240" w:lineRule="auto"/>
        <w:jc w:val="both"/>
        <w:rPr>
          <w:rFonts w:ascii="Times New Roman" w:hAnsi="Times New Roman" w:cs="Times New Roman"/>
          <w:b/>
          <w:sz w:val="24"/>
          <w:szCs w:val="24"/>
        </w:rPr>
      </w:pPr>
    </w:p>
    <w:p w:rsidR="00F90EF4" w:rsidRDefault="00F90EF4" w:rsidP="00F90EF4">
      <w:pPr>
        <w:rPr>
          <w:rFonts w:ascii="Times New Roman" w:hAnsi="Times New Roman" w:cs="Times New Roman"/>
          <w:b/>
          <w:sz w:val="24"/>
          <w:szCs w:val="24"/>
        </w:rPr>
      </w:pPr>
      <w:r>
        <w:rPr>
          <w:rFonts w:ascii="Times New Roman" w:hAnsi="Times New Roman" w:cs="Times New Roman"/>
          <w:b/>
          <w:sz w:val="24"/>
          <w:szCs w:val="24"/>
        </w:rPr>
        <w:br w:type="page"/>
      </w:r>
    </w:p>
    <w:p w:rsidR="00F90EF4" w:rsidRPr="0066664A" w:rsidRDefault="00F90EF4" w:rsidP="00F90EF4">
      <w:pPr>
        <w:spacing w:after="0" w:line="240" w:lineRule="auto"/>
        <w:jc w:val="both"/>
        <w:rPr>
          <w:rFonts w:ascii="Times New Roman" w:hAnsi="Times New Roman" w:cs="Times New Roman"/>
          <w:b/>
          <w:sz w:val="24"/>
          <w:szCs w:val="24"/>
        </w:rPr>
      </w:pPr>
      <w:r w:rsidRPr="00113F84">
        <w:rPr>
          <w:rFonts w:ascii="Times New Roman" w:hAnsi="Times New Roman" w:cs="Times New Roman"/>
          <w:b/>
          <w:sz w:val="24"/>
          <w:szCs w:val="24"/>
        </w:rPr>
        <w:lastRenderedPageBreak/>
        <w:t>2.2</w:t>
      </w:r>
      <w:r>
        <w:rPr>
          <w:rFonts w:ascii="Times New Roman" w:hAnsi="Times New Roman" w:cs="Times New Roman"/>
          <w:b/>
          <w:sz w:val="24"/>
          <w:szCs w:val="24"/>
          <w:u w:val="single"/>
        </w:rPr>
        <w:t xml:space="preserve"> </w:t>
      </w:r>
      <w:r w:rsidRPr="0066664A">
        <w:rPr>
          <w:rFonts w:ascii="Times New Roman" w:hAnsi="Times New Roman" w:cs="Times New Roman"/>
          <w:b/>
          <w:sz w:val="24"/>
          <w:szCs w:val="24"/>
          <w:u w:val="single"/>
        </w:rPr>
        <w:t>Objectifs spécifiques</w:t>
      </w:r>
      <w:r w:rsidRPr="0066664A">
        <w:rPr>
          <w:rFonts w:ascii="Times New Roman" w:hAnsi="Times New Roman" w:cs="Times New Roman"/>
          <w:b/>
          <w:sz w:val="24"/>
          <w:szCs w:val="24"/>
        </w:rPr>
        <w:t> </w:t>
      </w:r>
    </w:p>
    <w:p w:rsidR="00F90EF4" w:rsidRDefault="00F90EF4" w:rsidP="00F90EF4">
      <w:pPr>
        <w:spacing w:after="0" w:line="240" w:lineRule="auto"/>
        <w:jc w:val="both"/>
        <w:rPr>
          <w:rFonts w:ascii="Times New Roman" w:hAnsi="Times New Roman" w:cs="Times New Roman"/>
          <w:sz w:val="24"/>
          <w:szCs w:val="24"/>
        </w:rPr>
      </w:pPr>
    </w:p>
    <w:p w:rsidR="00F90EF4" w:rsidRDefault="00F90EF4" w:rsidP="00F90EF4">
      <w:pPr>
        <w:spacing w:after="0" w:line="240" w:lineRule="auto"/>
        <w:jc w:val="both"/>
        <w:rPr>
          <w:rFonts w:ascii="Times New Roman" w:hAnsi="Times New Roman" w:cs="Times New Roman"/>
          <w:sz w:val="24"/>
          <w:szCs w:val="24"/>
        </w:rPr>
      </w:pPr>
      <w:r w:rsidRPr="0065709E">
        <w:rPr>
          <w:rFonts w:ascii="Times New Roman" w:hAnsi="Times New Roman" w:cs="Times New Roman"/>
          <w:sz w:val="24"/>
          <w:szCs w:val="24"/>
        </w:rPr>
        <w:t xml:space="preserve">De façon plus spécifique, le projet TOKTEN  </w:t>
      </w:r>
      <w:r>
        <w:rPr>
          <w:rFonts w:ascii="Times New Roman" w:hAnsi="Times New Roman" w:cs="Times New Roman"/>
          <w:sz w:val="24"/>
          <w:szCs w:val="24"/>
        </w:rPr>
        <w:t>vise à contribuer</w:t>
      </w:r>
      <w:r w:rsidRPr="0065709E">
        <w:rPr>
          <w:rFonts w:ascii="Times New Roman" w:hAnsi="Times New Roman" w:cs="Times New Roman"/>
          <w:sz w:val="24"/>
          <w:szCs w:val="24"/>
        </w:rPr>
        <w:t xml:space="preserve"> : </w:t>
      </w:r>
    </w:p>
    <w:p w:rsidR="00F90EF4" w:rsidRPr="0065709E" w:rsidRDefault="00F90EF4" w:rsidP="00F90EF4">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5709E">
        <w:rPr>
          <w:rFonts w:ascii="Times New Roman" w:hAnsi="Times New Roman" w:cs="Times New Roman"/>
          <w:sz w:val="24"/>
          <w:szCs w:val="24"/>
        </w:rPr>
        <w:t xml:space="preserve">allier le manque de personnel enseignant qualifié, </w:t>
      </w:r>
    </w:p>
    <w:p w:rsidR="00F90EF4" w:rsidRPr="0065709E" w:rsidRDefault="00F90EF4" w:rsidP="00F90EF4">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5709E">
        <w:rPr>
          <w:rFonts w:ascii="Times New Roman" w:hAnsi="Times New Roman" w:cs="Times New Roman"/>
          <w:sz w:val="24"/>
          <w:szCs w:val="24"/>
        </w:rPr>
        <w:t xml:space="preserve">méliorer la qualité de l’enseignement supérieur (Université, Grandes Écoles, Centres et instituts, de Recherche), </w:t>
      </w:r>
    </w:p>
    <w:p w:rsidR="00F90EF4" w:rsidRDefault="00F90EF4" w:rsidP="00F90EF4">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5709E">
        <w:rPr>
          <w:rFonts w:ascii="Times New Roman" w:hAnsi="Times New Roman" w:cs="Times New Roman"/>
          <w:sz w:val="24"/>
          <w:szCs w:val="24"/>
        </w:rPr>
        <w:t xml:space="preserve">romouvoir la recherche scientifique et technique, </w:t>
      </w:r>
    </w:p>
    <w:p w:rsidR="00F90EF4" w:rsidRDefault="00F90EF4" w:rsidP="00F90EF4">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65709E">
        <w:rPr>
          <w:rFonts w:ascii="Times New Roman" w:hAnsi="Times New Roman" w:cs="Times New Roman"/>
          <w:sz w:val="24"/>
          <w:szCs w:val="24"/>
        </w:rPr>
        <w:t>ournir des appuis aux administrations publiques (Santé et Agriculture), aux entreprises (PME/PMI) au niveau d’une formation professionnelle adaptée aux besoins de l’économie nationale.</w:t>
      </w:r>
    </w:p>
    <w:p w:rsidR="00F90EF4" w:rsidRDefault="00F90EF4" w:rsidP="00F90EF4">
      <w:pPr>
        <w:spacing w:after="0" w:line="240" w:lineRule="auto"/>
        <w:jc w:val="both"/>
        <w:rPr>
          <w:rFonts w:ascii="Times New Roman" w:hAnsi="Times New Roman" w:cs="Times New Roman"/>
          <w:sz w:val="24"/>
          <w:szCs w:val="24"/>
        </w:rPr>
      </w:pPr>
    </w:p>
    <w:p w:rsidR="00F90EF4" w:rsidRPr="0066664A" w:rsidRDefault="00F90EF4" w:rsidP="00F90EF4">
      <w:pPr>
        <w:rPr>
          <w:rFonts w:ascii="Times New Roman" w:hAnsi="Times New Roman" w:cs="Times New Roman"/>
          <w:b/>
          <w:sz w:val="24"/>
          <w:szCs w:val="24"/>
        </w:rPr>
      </w:pPr>
      <w:r w:rsidRPr="0066664A">
        <w:rPr>
          <w:rFonts w:ascii="Times New Roman" w:hAnsi="Times New Roman" w:cs="Times New Roman"/>
          <w:b/>
          <w:sz w:val="24"/>
          <w:szCs w:val="24"/>
        </w:rPr>
        <w:t xml:space="preserve">2.3 </w:t>
      </w:r>
      <w:r w:rsidRPr="00494935">
        <w:rPr>
          <w:rFonts w:ascii="Times New Roman" w:hAnsi="Times New Roman" w:cs="Times New Roman"/>
          <w:b/>
          <w:sz w:val="24"/>
          <w:szCs w:val="24"/>
          <w:u w:val="single"/>
        </w:rPr>
        <w:t>Localisation du projet et principaux domaines d’intervention</w:t>
      </w:r>
      <w:r w:rsidRPr="0066664A">
        <w:rPr>
          <w:rFonts w:ascii="Times New Roman" w:hAnsi="Times New Roman" w:cs="Times New Roman"/>
          <w:b/>
          <w:sz w:val="24"/>
          <w:szCs w:val="24"/>
        </w:rPr>
        <w:t xml:space="preserve"> (cibles du projet)</w:t>
      </w:r>
      <w:r>
        <w:rPr>
          <w:rFonts w:ascii="Times New Roman" w:hAnsi="Times New Roman" w:cs="Times New Roman"/>
          <w:b/>
          <w:sz w:val="24"/>
          <w:szCs w:val="24"/>
        </w:rPr>
        <w:t xml:space="preserve"> </w:t>
      </w:r>
    </w:p>
    <w:p w:rsidR="00F90EF4" w:rsidRPr="006A2F60" w:rsidRDefault="00F90EF4" w:rsidP="00F90EF4">
      <w:pPr>
        <w:spacing w:after="0" w:line="240" w:lineRule="auto"/>
        <w:jc w:val="both"/>
        <w:rPr>
          <w:rFonts w:ascii="Times New Roman" w:hAnsi="Times New Roman" w:cs="Times New Roman"/>
          <w:sz w:val="24"/>
          <w:szCs w:val="24"/>
        </w:rPr>
      </w:pPr>
      <w:r w:rsidRPr="006A2F60">
        <w:rPr>
          <w:rFonts w:ascii="Times New Roman" w:hAnsi="Times New Roman" w:cs="Times New Roman"/>
          <w:sz w:val="24"/>
          <w:szCs w:val="24"/>
        </w:rPr>
        <w:t>Les missions TOKTEN sont surtout localisées dans l</w:t>
      </w:r>
      <w:r>
        <w:rPr>
          <w:rFonts w:ascii="Times New Roman" w:hAnsi="Times New Roman" w:cs="Times New Roman"/>
          <w:sz w:val="24"/>
          <w:szCs w:val="24"/>
        </w:rPr>
        <w:t xml:space="preserve">e district de Bamako, </w:t>
      </w:r>
      <w:r w:rsidRPr="006A2F60">
        <w:rPr>
          <w:rFonts w:ascii="Times New Roman" w:hAnsi="Times New Roman" w:cs="Times New Roman"/>
          <w:sz w:val="24"/>
          <w:szCs w:val="24"/>
        </w:rPr>
        <w:t>du fait que le projet a une orientation prioritairement universitaire depuis sa mise en œuvre. Toutefois, plusieurs interventions ont lieu dans les régions de Koulikoro (Institut Polytechnique Rural de Katibougou), Ségou (Université de Ségou, Centre</w:t>
      </w:r>
      <w:r w:rsidRPr="006A2F60">
        <w:rPr>
          <w:rFonts w:ascii="Times New Roman" w:hAnsi="Times New Roman" w:cs="Times New Roman"/>
        </w:rPr>
        <w:t xml:space="preserve"> de Recherche et de Formation pour l'Industrie Textile (</w:t>
      </w:r>
      <w:r w:rsidRPr="006A2F60">
        <w:rPr>
          <w:rFonts w:ascii="Times New Roman" w:hAnsi="Times New Roman" w:cs="Times New Roman"/>
          <w:i/>
          <w:iCs/>
        </w:rPr>
        <w:t>CERFITEX</w:t>
      </w:r>
      <w:r w:rsidRPr="006A2F60">
        <w:rPr>
          <w:rFonts w:ascii="Times New Roman" w:hAnsi="Times New Roman" w:cs="Times New Roman"/>
        </w:rPr>
        <w:t>)</w:t>
      </w:r>
      <w:r w:rsidRPr="006A2F60">
        <w:rPr>
          <w:rFonts w:ascii="Times New Roman" w:hAnsi="Times New Roman" w:cs="Times New Roman"/>
          <w:sz w:val="24"/>
          <w:szCs w:val="24"/>
        </w:rPr>
        <w:t>, hôpital de Ségou, Station de recherche de l’Institut d’Economie Rurale) et dans la région de Sikasso (Station de recherche de Ntar</w:t>
      </w:r>
      <w:r>
        <w:rPr>
          <w:rFonts w:ascii="Times New Roman" w:hAnsi="Times New Roman" w:cs="Times New Roman"/>
          <w:sz w:val="24"/>
          <w:szCs w:val="24"/>
        </w:rPr>
        <w:t>e</w:t>
      </w:r>
      <w:r w:rsidRPr="006A2F60">
        <w:rPr>
          <w:rFonts w:ascii="Times New Roman" w:hAnsi="Times New Roman" w:cs="Times New Roman"/>
          <w:sz w:val="24"/>
          <w:szCs w:val="24"/>
        </w:rPr>
        <w:t>la, Caritas Sikasso etc.).</w:t>
      </w:r>
    </w:p>
    <w:p w:rsidR="00F90EF4"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tabs>
          <w:tab w:val="left" w:pos="72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Projet intervient dans</w:t>
      </w:r>
      <w:r w:rsidRPr="00C66EBA">
        <w:rPr>
          <w:rFonts w:ascii="Times New Roman" w:hAnsi="Times New Roman" w:cs="Times New Roman"/>
          <w:sz w:val="24"/>
          <w:szCs w:val="24"/>
        </w:rPr>
        <w:t xml:space="preserve"> deux (2) prin</w:t>
      </w:r>
      <w:r>
        <w:rPr>
          <w:rFonts w:ascii="Times New Roman" w:hAnsi="Times New Roman" w:cs="Times New Roman"/>
          <w:sz w:val="24"/>
          <w:szCs w:val="24"/>
        </w:rPr>
        <w:t>cipaux domaines d’intervention, à savoir :</w:t>
      </w:r>
    </w:p>
    <w:p w:rsidR="00F90EF4" w:rsidRDefault="00F90EF4" w:rsidP="00F90EF4">
      <w:pPr>
        <w:pStyle w:val="Titre2"/>
        <w:spacing w:before="0" w:line="240" w:lineRule="auto"/>
        <w:jc w:val="both"/>
        <w:rPr>
          <w:rFonts w:ascii="Times New Roman" w:eastAsiaTheme="minorHAnsi" w:hAnsi="Times New Roman" w:cs="Times New Roman"/>
          <w:color w:val="auto"/>
          <w:sz w:val="24"/>
          <w:szCs w:val="24"/>
        </w:rPr>
      </w:pPr>
      <w:bookmarkStart w:id="1" w:name="_Toc451240494"/>
      <w:bookmarkStart w:id="2" w:name="_Toc451277845"/>
      <w:bookmarkStart w:id="3" w:name="_Toc451535812"/>
      <w:bookmarkStart w:id="4" w:name="_Toc451535966"/>
      <w:bookmarkStart w:id="5" w:name="_Toc451240495"/>
      <w:bookmarkStart w:id="6" w:name="_Toc451277846"/>
      <w:bookmarkStart w:id="7" w:name="_Toc451535967"/>
      <w:bookmarkEnd w:id="1"/>
      <w:bookmarkEnd w:id="2"/>
      <w:bookmarkEnd w:id="3"/>
      <w:bookmarkEnd w:id="4"/>
    </w:p>
    <w:p w:rsidR="00F90EF4" w:rsidRPr="00C66EBA" w:rsidRDefault="00F90EF4" w:rsidP="00F90EF4">
      <w:pPr>
        <w:pStyle w:val="Titre2"/>
        <w:spacing w:before="0" w:line="240" w:lineRule="auto"/>
        <w:jc w:val="both"/>
        <w:rPr>
          <w:rFonts w:ascii="Times New Roman" w:eastAsiaTheme="minorHAnsi" w:hAnsi="Times New Roman" w:cs="Times New Roman"/>
          <w:color w:val="auto"/>
          <w:sz w:val="24"/>
          <w:szCs w:val="24"/>
        </w:rPr>
      </w:pPr>
      <w:r w:rsidRPr="00C66EBA">
        <w:rPr>
          <w:rFonts w:ascii="Times New Roman" w:eastAsiaTheme="minorHAnsi" w:hAnsi="Times New Roman" w:cs="Times New Roman"/>
          <w:b/>
          <w:color w:val="auto"/>
          <w:sz w:val="24"/>
          <w:szCs w:val="24"/>
          <w:u w:val="single"/>
        </w:rPr>
        <w:t>Domaine 1</w:t>
      </w:r>
      <w:r w:rsidRPr="00C66EBA">
        <w:rPr>
          <w:rFonts w:ascii="Times New Roman" w:eastAsiaTheme="minorHAnsi" w:hAnsi="Times New Roman" w:cs="Times New Roman"/>
          <w:color w:val="auto"/>
          <w:sz w:val="24"/>
          <w:szCs w:val="24"/>
        </w:rPr>
        <w:t xml:space="preserve"> : </w:t>
      </w:r>
      <w:r>
        <w:rPr>
          <w:rFonts w:ascii="Times New Roman" w:eastAsiaTheme="minorHAnsi" w:hAnsi="Times New Roman" w:cs="Times New Roman"/>
          <w:color w:val="auto"/>
          <w:sz w:val="24"/>
          <w:szCs w:val="24"/>
        </w:rPr>
        <w:t>Le volet </w:t>
      </w:r>
      <w:r w:rsidRPr="00C66EBA">
        <w:rPr>
          <w:rFonts w:ascii="Times New Roman" w:eastAsiaTheme="minorHAnsi" w:hAnsi="Times New Roman" w:cs="Times New Roman"/>
          <w:color w:val="auto"/>
          <w:sz w:val="24"/>
          <w:szCs w:val="24"/>
        </w:rPr>
        <w:t>« Secteur public »</w:t>
      </w:r>
      <w:bookmarkEnd w:id="5"/>
      <w:bookmarkEnd w:id="6"/>
      <w:bookmarkEnd w:id="7"/>
      <w:r>
        <w:rPr>
          <w:rFonts w:ascii="Times New Roman" w:eastAsiaTheme="minorHAnsi" w:hAnsi="Times New Roman" w:cs="Times New Roman"/>
          <w:color w:val="auto"/>
          <w:sz w:val="24"/>
          <w:szCs w:val="24"/>
        </w:rPr>
        <w:t xml:space="preserve"> qui </w:t>
      </w:r>
      <w:r w:rsidRPr="00C66EBA">
        <w:rPr>
          <w:rFonts w:ascii="Times New Roman" w:hAnsi="Times New Roman" w:cs="Times New Roman"/>
          <w:color w:val="auto"/>
          <w:sz w:val="24"/>
          <w:szCs w:val="24"/>
        </w:rPr>
        <w:t xml:space="preserve">comprend </w:t>
      </w:r>
      <w:r>
        <w:rPr>
          <w:rFonts w:ascii="Times New Roman" w:hAnsi="Times New Roman" w:cs="Times New Roman"/>
          <w:color w:val="auto"/>
          <w:sz w:val="24"/>
          <w:szCs w:val="24"/>
        </w:rPr>
        <w:t>trois</w:t>
      </w:r>
      <w:r w:rsidRPr="00C66EBA">
        <w:rPr>
          <w:rFonts w:ascii="Times New Roman" w:hAnsi="Times New Roman" w:cs="Times New Roman"/>
          <w:color w:val="auto"/>
          <w:sz w:val="24"/>
          <w:szCs w:val="24"/>
        </w:rPr>
        <w:t xml:space="preserve"> (</w:t>
      </w:r>
      <w:r>
        <w:rPr>
          <w:rFonts w:ascii="Times New Roman" w:hAnsi="Times New Roman" w:cs="Times New Roman"/>
          <w:color w:val="auto"/>
          <w:sz w:val="24"/>
          <w:szCs w:val="24"/>
        </w:rPr>
        <w:t>3</w:t>
      </w:r>
      <w:r w:rsidRPr="00C66EBA">
        <w:rPr>
          <w:rFonts w:ascii="Times New Roman" w:hAnsi="Times New Roman" w:cs="Times New Roman"/>
          <w:color w:val="auto"/>
          <w:sz w:val="24"/>
          <w:szCs w:val="24"/>
        </w:rPr>
        <w:t xml:space="preserve">) composantes: </w:t>
      </w:r>
    </w:p>
    <w:p w:rsidR="00F90EF4" w:rsidRDefault="00F90EF4" w:rsidP="00F90EF4">
      <w:pPr>
        <w:pStyle w:val="Paragraphedeliste"/>
        <w:numPr>
          <w:ilvl w:val="0"/>
          <w:numId w:val="9"/>
        </w:numPr>
        <w:tabs>
          <w:tab w:val="left" w:pos="7290"/>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Composante 1 : Enseignement supérieur ;  </w:t>
      </w:r>
    </w:p>
    <w:p w:rsidR="00F90EF4" w:rsidRDefault="00F90EF4" w:rsidP="00F90EF4">
      <w:pPr>
        <w:pStyle w:val="Paragraphedeliste"/>
        <w:numPr>
          <w:ilvl w:val="0"/>
          <w:numId w:val="9"/>
        </w:numPr>
        <w:tabs>
          <w:tab w:val="left" w:pos="7290"/>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Composante 2 : Agriculture ;</w:t>
      </w:r>
    </w:p>
    <w:p w:rsidR="00F90EF4" w:rsidRPr="00F64292" w:rsidRDefault="00F90EF4" w:rsidP="00F90EF4">
      <w:pPr>
        <w:pStyle w:val="Paragraphedeliste"/>
        <w:numPr>
          <w:ilvl w:val="0"/>
          <w:numId w:val="9"/>
        </w:numPr>
        <w:tabs>
          <w:tab w:val="left" w:pos="72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Composante 3 : Santé</w:t>
      </w:r>
      <w:r w:rsidRPr="00F64292">
        <w:rPr>
          <w:rFonts w:ascii="Times New Roman" w:hAnsi="Times New Roman" w:cs="Times New Roman"/>
          <w:sz w:val="24"/>
          <w:szCs w:val="24"/>
        </w:rPr>
        <w:t xml:space="preserve">. </w:t>
      </w:r>
    </w:p>
    <w:p w:rsidR="00F90EF4" w:rsidRDefault="00F90EF4" w:rsidP="00F90EF4">
      <w:pPr>
        <w:pStyle w:val="Titre2"/>
        <w:spacing w:before="0" w:line="240" w:lineRule="auto"/>
        <w:jc w:val="both"/>
        <w:rPr>
          <w:rFonts w:ascii="Times New Roman" w:eastAsiaTheme="minorHAnsi" w:hAnsi="Times New Roman" w:cs="Times New Roman"/>
          <w:color w:val="auto"/>
          <w:sz w:val="24"/>
          <w:szCs w:val="24"/>
        </w:rPr>
      </w:pPr>
      <w:bookmarkStart w:id="8" w:name="_Toc451240496"/>
      <w:bookmarkStart w:id="9" w:name="_Toc451277847"/>
      <w:bookmarkStart w:id="10" w:name="_Toc451535968"/>
    </w:p>
    <w:p w:rsidR="00F90EF4" w:rsidRPr="00C66EBA" w:rsidRDefault="00F90EF4" w:rsidP="00F90EF4">
      <w:pPr>
        <w:tabs>
          <w:tab w:val="left" w:pos="7290"/>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u w:val="single"/>
        </w:rPr>
        <w:t>Composante 1</w:t>
      </w:r>
      <w:r>
        <w:rPr>
          <w:rFonts w:ascii="Times New Roman" w:hAnsi="Times New Roman" w:cs="Times New Roman"/>
          <w:sz w:val="24"/>
          <w:szCs w:val="24"/>
        </w:rPr>
        <w:t> : Enseignement supérieur :</w:t>
      </w:r>
    </w:p>
    <w:p w:rsidR="00F90EF4" w:rsidRPr="00C66EBA" w:rsidRDefault="00F90EF4" w:rsidP="00F90EF4">
      <w:pPr>
        <w:tabs>
          <w:tab w:val="center" w:pos="4536"/>
        </w:tabs>
        <w:spacing w:after="0" w:line="240" w:lineRule="auto"/>
        <w:jc w:val="both"/>
        <w:rPr>
          <w:rFonts w:ascii="Times New Roman" w:hAnsi="Times New Roman" w:cs="Times New Roman"/>
          <w:sz w:val="24"/>
          <w:szCs w:val="24"/>
        </w:rPr>
      </w:pP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Les Etablissements d’Enseignement Supérieur (les Universités de Bamako, Ségou, Grandes Ecoles et Instituts et autres structures de formation) au Mali sont confrontés à un déficit de personnels enseignants tant pour les cours magistraux que pour l’encadrement des formations de 3ème cycle (Master, Certificat d’Etudes Spécialisées  et Thèse de doctorat). Selon le rapport final d’évaluation à mi-parcours du programme de formation des for</w:t>
      </w:r>
      <w:r>
        <w:rPr>
          <w:rFonts w:ascii="Times New Roman" w:hAnsi="Times New Roman" w:cs="Times New Roman"/>
          <w:sz w:val="24"/>
          <w:szCs w:val="24"/>
        </w:rPr>
        <w:t xml:space="preserve">mateurs des universités du Mali, en 2014, les établissements d’enseignement supérieur, </w:t>
      </w:r>
      <w:r w:rsidRPr="00C66EBA">
        <w:rPr>
          <w:rFonts w:ascii="Times New Roman" w:hAnsi="Times New Roman" w:cs="Times New Roman"/>
          <w:sz w:val="24"/>
          <w:szCs w:val="24"/>
        </w:rPr>
        <w:t>comptaient 862 enseignants permanents</w:t>
      </w:r>
      <w:r>
        <w:rPr>
          <w:rFonts w:ascii="Times New Roman" w:hAnsi="Times New Roman" w:cs="Times New Roman"/>
          <w:sz w:val="24"/>
          <w:szCs w:val="24"/>
        </w:rPr>
        <w:t xml:space="preserve"> pour plus de 86 744 étudiants. L</w:t>
      </w:r>
      <w:r w:rsidRPr="00C66EBA">
        <w:rPr>
          <w:rFonts w:ascii="Times New Roman" w:hAnsi="Times New Roman" w:cs="Times New Roman"/>
          <w:sz w:val="24"/>
          <w:szCs w:val="24"/>
        </w:rPr>
        <w:t>e ratio étudiants/ professeurs (soit environ 100,63</w:t>
      </w:r>
      <w:r>
        <w:rPr>
          <w:rFonts w:ascii="Times New Roman" w:hAnsi="Times New Roman" w:cs="Times New Roman"/>
          <w:sz w:val="24"/>
          <w:szCs w:val="24"/>
        </w:rPr>
        <w:t xml:space="preserve"> étudiants/enseignant)</w:t>
      </w:r>
      <w:r w:rsidRPr="00C66EBA">
        <w:rPr>
          <w:rFonts w:ascii="Times New Roman" w:hAnsi="Times New Roman" w:cs="Times New Roman"/>
          <w:sz w:val="24"/>
          <w:szCs w:val="24"/>
        </w:rPr>
        <w:t xml:space="preserve"> est excessivement élevé et ne respecte pas les normes internationales en vigueur qui est</w:t>
      </w:r>
      <w:r>
        <w:rPr>
          <w:rFonts w:ascii="Times New Roman" w:hAnsi="Times New Roman" w:cs="Times New Roman"/>
          <w:sz w:val="24"/>
          <w:szCs w:val="24"/>
        </w:rPr>
        <w:t xml:space="preserve"> en Afrique de 25 au minimum et</w:t>
      </w:r>
      <w:r w:rsidRPr="00C66EBA">
        <w:rPr>
          <w:rFonts w:ascii="Times New Roman" w:hAnsi="Times New Roman" w:cs="Times New Roman"/>
          <w:sz w:val="24"/>
          <w:szCs w:val="24"/>
        </w:rPr>
        <w:t xml:space="preserve"> de 35 maximum par enseignant.</w:t>
      </w: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A travers la composante</w:t>
      </w:r>
      <w:r>
        <w:rPr>
          <w:rFonts w:ascii="Times New Roman" w:hAnsi="Times New Roman" w:cs="Times New Roman"/>
          <w:sz w:val="24"/>
          <w:szCs w:val="24"/>
        </w:rPr>
        <w:t xml:space="preserve"> </w:t>
      </w:r>
      <w:r w:rsidRPr="00C66EBA">
        <w:rPr>
          <w:rFonts w:ascii="Times New Roman" w:hAnsi="Times New Roman" w:cs="Times New Roman"/>
          <w:sz w:val="24"/>
          <w:szCs w:val="24"/>
        </w:rPr>
        <w:t>« Enseignement Supérieur » le programme vise, d’une part, l'amélioration de la qualité de l’enseignement dispensé au sein des Universités, Grandes Ecoles et Instituts, et d’autre part, la formation des formateurs (formation continue des formateurs, formations doctorales et postdoctorales).</w:t>
      </w:r>
    </w:p>
    <w:p w:rsidR="00F90EF4"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Concernant la Coopération interuniversitaire, si les textes règlementaires en la matière le permettent, le programme recherchera des partenaires pour la constitution d'équipes de recherche associées entre les Universités Maliennes et celles de pays étrangers. Il contribuera ainsi au renforcement des liens existants entre les Universités Maliennes et les universités étrangères.</w:t>
      </w:r>
    </w:p>
    <w:p w:rsidR="00F90EF4" w:rsidRPr="00C66EBA"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pStyle w:val="Titre2"/>
        <w:spacing w:before="0" w:line="240" w:lineRule="auto"/>
        <w:jc w:val="both"/>
        <w:rPr>
          <w:rFonts w:ascii="Times New Roman" w:eastAsiaTheme="minorHAnsi" w:hAnsi="Times New Roman" w:cs="Times New Roman"/>
          <w:color w:val="auto"/>
          <w:sz w:val="24"/>
          <w:szCs w:val="24"/>
        </w:rPr>
      </w:pPr>
      <w:bookmarkStart w:id="11" w:name="_Toc451536005"/>
      <w:r w:rsidRPr="00C66EBA">
        <w:rPr>
          <w:rFonts w:ascii="Times New Roman" w:eastAsiaTheme="minorHAnsi" w:hAnsi="Times New Roman" w:cs="Times New Roman"/>
          <w:color w:val="auto"/>
          <w:sz w:val="24"/>
          <w:szCs w:val="24"/>
          <w:u w:val="single"/>
        </w:rPr>
        <w:lastRenderedPageBreak/>
        <w:t xml:space="preserve">Composante 2 </w:t>
      </w:r>
      <w:r w:rsidRPr="00C66EBA">
        <w:rPr>
          <w:rFonts w:ascii="Times New Roman" w:eastAsiaTheme="minorHAnsi" w:hAnsi="Times New Roman" w:cs="Times New Roman"/>
          <w:color w:val="auto"/>
          <w:sz w:val="24"/>
          <w:szCs w:val="24"/>
        </w:rPr>
        <w:t>‘‘Agriculture ’’ :</w:t>
      </w:r>
      <w:bookmarkEnd w:id="11"/>
    </w:p>
    <w:p w:rsidR="00F90EF4" w:rsidRPr="00C66EBA" w:rsidRDefault="00F90EF4" w:rsidP="00F90EF4">
      <w:pPr>
        <w:pStyle w:val="Corpsdetexte2"/>
        <w:tabs>
          <w:tab w:val="left" w:pos="993"/>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Par cette composante, le Programme entend  participer à l'amélioration de la formation professionnelle initiale et continue des cadres du secteur de l’Agriculture qui occupe plus de 80% de la population Malienne. Il va également contribuer au renforcement des capacités des acteurs de ce secteur. La mise en œuvre de la phase élargie du TOKTEN a permis de collaborer avec  27 structures  de l’Agriculture.</w:t>
      </w: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L’économie du Mali est essentiellement agricole. Quatre-vingt pour cent (80%) de la population active travaille dans ce secteur, mais la production agricole est faible, souffrant à la fois d’un manque d’infrastructure en milieu rural, et de rendements faibles trop liés aux variations climatiques. L’autosuffisance alimentaire n’est pas assurée</w:t>
      </w:r>
    </w:p>
    <w:p w:rsidR="00F90EF4" w:rsidRPr="00C66EBA"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pStyle w:val="Titre2"/>
        <w:spacing w:before="0" w:line="240" w:lineRule="auto"/>
        <w:jc w:val="both"/>
        <w:rPr>
          <w:rFonts w:ascii="Times New Roman" w:eastAsiaTheme="minorHAnsi" w:hAnsi="Times New Roman" w:cs="Times New Roman"/>
          <w:color w:val="auto"/>
          <w:sz w:val="24"/>
          <w:szCs w:val="24"/>
        </w:rPr>
      </w:pPr>
      <w:bookmarkStart w:id="12" w:name="_Toc451536006"/>
      <w:r w:rsidRPr="00C66EBA">
        <w:rPr>
          <w:rFonts w:ascii="Times New Roman" w:eastAsiaTheme="minorHAnsi" w:hAnsi="Times New Roman" w:cs="Times New Roman"/>
          <w:color w:val="auto"/>
          <w:sz w:val="24"/>
          <w:szCs w:val="24"/>
          <w:u w:val="single"/>
        </w:rPr>
        <w:t>Composante 3</w:t>
      </w:r>
      <w:r w:rsidRPr="00C66EBA">
        <w:rPr>
          <w:rFonts w:ascii="Times New Roman" w:eastAsiaTheme="minorHAnsi" w:hAnsi="Times New Roman" w:cs="Times New Roman"/>
          <w:color w:val="auto"/>
          <w:sz w:val="24"/>
          <w:szCs w:val="24"/>
        </w:rPr>
        <w:t xml:space="preserve"> ‘‘Santé ’’ :</w:t>
      </w:r>
      <w:bookmarkEnd w:id="12"/>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Au Mali, le secteur de la santé constitue l’un des secteurs prioritaires du Gouvernement. Le personnel technique (médical et paramédical) est insuffisant en quantité et en qualité dans la plupart des niveaux du système de santé, ce qui affecte la disponibilité et la qualité des prestations offertes.</w:t>
      </w: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Le Programme contribuera à l’amélioration et à la disponibilité des soins de qualité. Il facilitera l’accès des hôpitaux et centres de santé aux populations, pour l’atteinte des objectifs du Mali dont le but final est de renforcer le système de santé dans sa globalité. </w:t>
      </w:r>
    </w:p>
    <w:p w:rsidR="00F90EF4" w:rsidRPr="00C66EBA" w:rsidRDefault="00F90EF4" w:rsidP="00F90EF4">
      <w:pPr>
        <w:pStyle w:val="Corpsdetexte2"/>
        <w:tabs>
          <w:tab w:val="left" w:pos="993"/>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L'expertise des nationaux expatriés contribuera notamment au renforcement des capacités, des infrastructures et des plateaux techniques, et à combler les lacunes en ressources humaines spécialisées. </w:t>
      </w:r>
    </w:p>
    <w:p w:rsidR="00F90EF4" w:rsidRDefault="00F90EF4" w:rsidP="00F90EF4">
      <w:pPr>
        <w:spacing w:line="240" w:lineRule="auto"/>
      </w:pPr>
    </w:p>
    <w:p w:rsidR="00F90EF4" w:rsidRDefault="00F90EF4" w:rsidP="00F90EF4">
      <w:pPr>
        <w:pStyle w:val="Titre2"/>
        <w:spacing w:before="0" w:line="240" w:lineRule="auto"/>
        <w:jc w:val="both"/>
        <w:rPr>
          <w:rFonts w:ascii="Times New Roman" w:hAnsi="Times New Roman" w:cs="Times New Roman"/>
          <w:color w:val="auto"/>
          <w:sz w:val="24"/>
          <w:szCs w:val="24"/>
        </w:rPr>
      </w:pPr>
      <w:r w:rsidRPr="00C66EBA">
        <w:rPr>
          <w:rFonts w:ascii="Times New Roman" w:eastAsiaTheme="minorHAnsi" w:hAnsi="Times New Roman" w:cs="Times New Roman"/>
          <w:b/>
          <w:color w:val="auto"/>
          <w:sz w:val="24"/>
          <w:szCs w:val="24"/>
          <w:u w:val="single"/>
        </w:rPr>
        <w:t>Domaine 2</w:t>
      </w:r>
      <w:r w:rsidRPr="00C66EBA">
        <w:rPr>
          <w:rFonts w:ascii="Times New Roman" w:eastAsiaTheme="minorHAnsi" w:hAnsi="Times New Roman" w:cs="Times New Roman"/>
          <w:color w:val="auto"/>
          <w:sz w:val="24"/>
          <w:szCs w:val="24"/>
        </w:rPr>
        <w:t> : </w:t>
      </w:r>
      <w:r>
        <w:rPr>
          <w:rFonts w:ascii="Times New Roman" w:eastAsiaTheme="minorHAnsi" w:hAnsi="Times New Roman" w:cs="Times New Roman"/>
          <w:color w:val="auto"/>
          <w:sz w:val="24"/>
          <w:szCs w:val="24"/>
        </w:rPr>
        <w:t>Le v</w:t>
      </w:r>
      <w:r w:rsidRPr="00C66EBA">
        <w:rPr>
          <w:rFonts w:ascii="Times New Roman" w:eastAsiaTheme="minorHAnsi" w:hAnsi="Times New Roman" w:cs="Times New Roman"/>
          <w:color w:val="auto"/>
          <w:sz w:val="24"/>
          <w:szCs w:val="24"/>
        </w:rPr>
        <w:t>olet « Secteur privé »</w:t>
      </w:r>
      <w:bookmarkEnd w:id="8"/>
      <w:bookmarkEnd w:id="9"/>
      <w:bookmarkEnd w:id="10"/>
      <w:r>
        <w:rPr>
          <w:rFonts w:ascii="Times New Roman" w:eastAsiaTheme="minorHAnsi" w:hAnsi="Times New Roman" w:cs="Times New Roman"/>
          <w:color w:val="auto"/>
          <w:sz w:val="24"/>
          <w:szCs w:val="24"/>
        </w:rPr>
        <w:t xml:space="preserve"> qui concerne </w:t>
      </w:r>
      <w:r w:rsidRPr="00C66EBA">
        <w:rPr>
          <w:rFonts w:ascii="Times New Roman" w:hAnsi="Times New Roman" w:cs="Times New Roman"/>
          <w:color w:val="auto"/>
          <w:sz w:val="24"/>
          <w:szCs w:val="24"/>
        </w:rPr>
        <w:t>les PME/PMI avec deux sous composantes :</w:t>
      </w:r>
    </w:p>
    <w:p w:rsidR="00F90EF4" w:rsidRDefault="00F90EF4" w:rsidP="00F90EF4">
      <w:pPr>
        <w:pStyle w:val="Paragraphedeliste"/>
        <w:numPr>
          <w:ilvl w:val="0"/>
          <w:numId w:val="10"/>
        </w:numPr>
        <w:tabs>
          <w:tab w:val="left" w:pos="7290"/>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Composante 1 : PME/PMI ; </w:t>
      </w:r>
    </w:p>
    <w:p w:rsidR="00F90EF4" w:rsidRPr="00C66EBA" w:rsidRDefault="00F90EF4" w:rsidP="00F90EF4">
      <w:pPr>
        <w:pStyle w:val="Paragraphedeliste"/>
        <w:numPr>
          <w:ilvl w:val="0"/>
          <w:numId w:val="10"/>
        </w:numPr>
        <w:tabs>
          <w:tab w:val="left" w:pos="7290"/>
        </w:tabs>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Composante 2 : Formation Technique et Professionnelle. </w:t>
      </w:r>
    </w:p>
    <w:p w:rsidR="00F90EF4" w:rsidRPr="00C66EBA" w:rsidRDefault="00F90EF4" w:rsidP="00F90EF4">
      <w:pPr>
        <w:pStyle w:val="Paragraphedeliste"/>
        <w:tabs>
          <w:tab w:val="left" w:pos="7290"/>
        </w:tabs>
        <w:spacing w:after="0" w:line="240" w:lineRule="auto"/>
        <w:ind w:left="1276"/>
        <w:contextualSpacing w:val="0"/>
        <w:jc w:val="both"/>
        <w:rPr>
          <w:rFonts w:ascii="Times New Roman" w:hAnsi="Times New Roman" w:cs="Times New Roman"/>
          <w:sz w:val="24"/>
          <w:szCs w:val="24"/>
        </w:rPr>
      </w:pP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u w:val="single"/>
        </w:rPr>
        <w:t>Composante 1</w:t>
      </w:r>
      <w:r w:rsidRPr="00C66EBA">
        <w:rPr>
          <w:rFonts w:ascii="Times New Roman" w:hAnsi="Times New Roman" w:cs="Times New Roman"/>
          <w:sz w:val="24"/>
          <w:szCs w:val="24"/>
        </w:rPr>
        <w:t> : PME/ PMI ‘‘Appuis directs’’ </w:t>
      </w:r>
    </w:p>
    <w:p w:rsidR="00F90EF4" w:rsidRPr="00C66EBA"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Le secteur privé au Mali dans son contenu comme au niveau de son environnement a connu de profondes mutations ces dernières années, portant sur les codes révisés, et sur la création d’outils et de programmes d’accompagnement des PME/PMI. </w:t>
      </w:r>
    </w:p>
    <w:p w:rsidR="00F90EF4" w:rsidRPr="00C66EBA"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t>Les opérateurs nationaux comme les investisseurs étrangers directs investissent dans tous les secteurs de l’économie nationale, ce qui explique l’influence de l’entreprenariat privé sur le changement des structures sociodémographiques.</w:t>
      </w:r>
    </w:p>
    <w:p w:rsidR="00F90EF4" w:rsidRPr="00C66EBA"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t>Le secteur rural regroupe la majorité de la population. On y compte plus de 800.000 exploitations agricoles, qui ne sont autres que des Très Petites Entreprises (TPE) et Petites et moyennes Entreprise (PME). Certes, très peu ont encore la capacité de s'ériger en entreprises formelles, mais la loi coopérative votée en 2005, à laquelle se sont ajoutée la Loi d’ Orientation Agricole et la Loi d’Orientation du Secteur Privé, donnent un cadre juridique et règlementaire propice au développement de ces structures.</w:t>
      </w:r>
    </w:p>
    <w:p w:rsidR="00F90EF4" w:rsidRPr="00C66EBA"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t>Par le biais de structures intermédiaires, comme le Conseil National du Patronat du Mali(CNPM), les entreprises informelles peuvent être structurées. Elles font déjà l'objet de nombreux programmes d'appui plus orientés sur les aspects productifs, techniques ou gestion, que le programme  TOKTEN pourrait renforcer dans le domaine du coaching professionnel.</w:t>
      </w:r>
    </w:p>
    <w:p w:rsidR="00F90EF4" w:rsidRPr="00C66EBA"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lastRenderedPageBreak/>
        <w:t>En termes d'emplois, le secteur privé reste dominé par le secteur agricole et le secteur informel urbain et rural.</w:t>
      </w:r>
    </w:p>
    <w:p w:rsidR="00F90EF4" w:rsidRDefault="00F90EF4" w:rsidP="00F90EF4">
      <w:pPr>
        <w:spacing w:line="240" w:lineRule="auto"/>
        <w:jc w:val="both"/>
        <w:rPr>
          <w:rFonts w:ascii="Times New Roman" w:hAnsi="Times New Roman" w:cs="Times New Roman"/>
          <w:sz w:val="24"/>
          <w:szCs w:val="24"/>
        </w:rPr>
      </w:pPr>
      <w:r w:rsidRPr="00C66EBA">
        <w:rPr>
          <w:rFonts w:ascii="Times New Roman" w:hAnsi="Times New Roman" w:cs="Times New Roman"/>
          <w:sz w:val="24"/>
          <w:szCs w:val="24"/>
        </w:rPr>
        <w:t>Les enjeux de l'économie malienne se situent essentiellement au niveau de l'amélioration de la qualité et de la compétitivité des PME/PMI qui pourraient devenir des acteurs importants du marché local et sous-régional.</w:t>
      </w:r>
    </w:p>
    <w:p w:rsidR="00F90EF4"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u w:val="single"/>
        </w:rPr>
        <w:t>Composante 2</w:t>
      </w:r>
      <w:r w:rsidRPr="00C66EBA">
        <w:rPr>
          <w:rFonts w:ascii="Times New Roman" w:hAnsi="Times New Roman" w:cs="Times New Roman"/>
          <w:sz w:val="24"/>
          <w:szCs w:val="24"/>
        </w:rPr>
        <w:t xml:space="preserve"> : Formation Technique et Professionnelle pour les  PME/PMI:  </w:t>
      </w:r>
    </w:p>
    <w:p w:rsidR="00F90EF4"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Ouvert sur le monde du travail et de l'emploi, la formation professionnelle et technique (FPT) est au cœur de la problématique du développement économique et social des pays en voie de développement.</w:t>
      </w:r>
    </w:p>
    <w:p w:rsidR="00F90EF4" w:rsidRDefault="00F90EF4" w:rsidP="00F90EF4">
      <w:pPr>
        <w:spacing w:after="0" w:line="240" w:lineRule="auto"/>
        <w:jc w:val="both"/>
        <w:rPr>
          <w:rFonts w:ascii="Times New Roman" w:hAnsi="Times New Roman" w:cs="Times New Roman"/>
          <w:sz w:val="24"/>
          <w:szCs w:val="24"/>
        </w:rPr>
      </w:pPr>
    </w:p>
    <w:p w:rsidR="00F90EF4"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Le problème qui se pose au Mali concerne non seulement le niveau de formation des demandeurs d’emploi, mais également l'adéquation des formations aux besoins de l'économie. </w:t>
      </w:r>
    </w:p>
    <w:p w:rsidR="00F90EF4" w:rsidRDefault="00F90EF4" w:rsidP="00F90EF4">
      <w:pPr>
        <w:spacing w:after="0" w:line="240" w:lineRule="auto"/>
        <w:jc w:val="both"/>
        <w:rPr>
          <w:rFonts w:ascii="Times New Roman" w:hAnsi="Times New Roman" w:cs="Times New Roman"/>
          <w:sz w:val="24"/>
          <w:szCs w:val="24"/>
        </w:rPr>
      </w:pP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A ce titre, le développement de l'enseignement technique et professionnel, qui était censé pallier en partie ce problème ne semble pas avoir donné les résultats escomptés. </w:t>
      </w:r>
    </w:p>
    <w:p w:rsidR="00F90EF4" w:rsidRPr="00C66EBA" w:rsidRDefault="00F90EF4" w:rsidP="00F90EF4">
      <w:pPr>
        <w:spacing w:after="0" w:line="240" w:lineRule="auto"/>
        <w:jc w:val="both"/>
        <w:rPr>
          <w:rFonts w:ascii="Times New Roman" w:hAnsi="Times New Roman" w:cs="Times New Roman"/>
          <w:sz w:val="24"/>
          <w:szCs w:val="24"/>
        </w:rPr>
      </w:pPr>
      <w:r w:rsidRPr="00C66EBA">
        <w:rPr>
          <w:rFonts w:ascii="Times New Roman" w:hAnsi="Times New Roman" w:cs="Times New Roman"/>
          <w:sz w:val="24"/>
          <w:szCs w:val="24"/>
        </w:rPr>
        <w:t xml:space="preserve">L’expertise expatriée à travers le Projet TOKTEN contribuera donc à renforcer les capacités d’encadrement des  instituts et centres de formations techniques et professionnelles. Le programme va aider aussi à promouvoir l’artisanat à travers la formation professionnelle des artisans pour permettre un accroissement quantitatif et qualitatif de la production dans ce secteur. </w:t>
      </w:r>
    </w:p>
    <w:p w:rsidR="00F90EF4" w:rsidRDefault="00F90EF4" w:rsidP="00F90EF4">
      <w:pPr>
        <w:spacing w:after="0" w:line="240" w:lineRule="auto"/>
        <w:jc w:val="both"/>
        <w:rPr>
          <w:rFonts w:ascii="Times New Roman" w:hAnsi="Times New Roman" w:cs="Times New Roman"/>
          <w:sz w:val="24"/>
          <w:szCs w:val="24"/>
        </w:rPr>
      </w:pPr>
    </w:p>
    <w:p w:rsidR="00F90EF4" w:rsidRPr="00494935" w:rsidRDefault="00F90EF4" w:rsidP="00F90EF4">
      <w:pPr>
        <w:spacing w:after="0" w:line="240" w:lineRule="auto"/>
        <w:jc w:val="both"/>
        <w:rPr>
          <w:rFonts w:ascii="Times New Roman" w:hAnsi="Times New Roman" w:cs="Times New Roman"/>
          <w:b/>
          <w:sz w:val="24"/>
          <w:szCs w:val="24"/>
          <w:u w:val="single"/>
        </w:rPr>
      </w:pPr>
      <w:r w:rsidRPr="00494935">
        <w:rPr>
          <w:rFonts w:ascii="Times New Roman" w:hAnsi="Times New Roman" w:cs="Times New Roman"/>
          <w:b/>
          <w:sz w:val="24"/>
          <w:szCs w:val="24"/>
        </w:rPr>
        <w:t xml:space="preserve">2.4 </w:t>
      </w:r>
      <w:r w:rsidRPr="00494935">
        <w:rPr>
          <w:rFonts w:ascii="Times New Roman" w:hAnsi="Times New Roman" w:cs="Times New Roman"/>
          <w:b/>
          <w:sz w:val="24"/>
          <w:szCs w:val="24"/>
          <w:u w:val="single"/>
        </w:rPr>
        <w:t>Résultats visés</w:t>
      </w:r>
    </w:p>
    <w:p w:rsidR="00F90EF4" w:rsidRDefault="00F90EF4" w:rsidP="00F90EF4">
      <w:pPr>
        <w:spacing w:after="0" w:line="240" w:lineRule="auto"/>
        <w:jc w:val="both"/>
        <w:rPr>
          <w:rFonts w:ascii="Times New Roman" w:hAnsi="Times New Roman" w:cs="Times New Roman"/>
          <w:sz w:val="24"/>
          <w:szCs w:val="24"/>
        </w:rPr>
      </w:pPr>
    </w:p>
    <w:p w:rsidR="00F90EF4" w:rsidRPr="0061035D" w:rsidRDefault="00F90EF4" w:rsidP="00F90EF4">
      <w:pPr>
        <w:spacing w:after="0" w:line="240" w:lineRule="auto"/>
        <w:jc w:val="both"/>
        <w:rPr>
          <w:rFonts w:ascii="Times New Roman" w:hAnsi="Times New Roman" w:cs="Times New Roman"/>
          <w:sz w:val="24"/>
          <w:szCs w:val="24"/>
        </w:rPr>
      </w:pPr>
      <w:r w:rsidRPr="00BB7C40">
        <w:rPr>
          <w:rFonts w:ascii="Times New Roman" w:hAnsi="Times New Roman" w:cs="Times New Roman"/>
          <w:b/>
          <w:sz w:val="24"/>
          <w:szCs w:val="24"/>
        </w:rPr>
        <w:t xml:space="preserve">Le Programme vise </w:t>
      </w:r>
      <w:r>
        <w:rPr>
          <w:rFonts w:ascii="Times New Roman" w:hAnsi="Times New Roman" w:cs="Times New Roman"/>
          <w:b/>
          <w:sz w:val="24"/>
          <w:szCs w:val="24"/>
        </w:rPr>
        <w:t>quatre</w:t>
      </w:r>
      <w:r w:rsidRPr="00BB7C40">
        <w:rPr>
          <w:rFonts w:ascii="Times New Roman" w:hAnsi="Times New Roman" w:cs="Times New Roman"/>
          <w:b/>
          <w:sz w:val="24"/>
          <w:szCs w:val="24"/>
        </w:rPr>
        <w:t xml:space="preserve"> résultats majeurs :</w:t>
      </w:r>
    </w:p>
    <w:p w:rsidR="00F90EF4" w:rsidRPr="0061035D" w:rsidRDefault="00F90EF4" w:rsidP="00F90EF4">
      <w:pPr>
        <w:pStyle w:val="Titre2"/>
        <w:numPr>
          <w:ilvl w:val="0"/>
          <w:numId w:val="11"/>
        </w:numPr>
        <w:spacing w:before="0" w:line="240" w:lineRule="auto"/>
        <w:jc w:val="both"/>
        <w:rPr>
          <w:rFonts w:ascii="Times New Roman" w:eastAsiaTheme="minorHAnsi" w:hAnsi="Times New Roman" w:cs="Times New Roman"/>
          <w:color w:val="auto"/>
          <w:sz w:val="24"/>
          <w:szCs w:val="24"/>
        </w:rPr>
      </w:pPr>
      <w:bookmarkStart w:id="13" w:name="_Toc408824729"/>
      <w:r w:rsidRPr="0061035D">
        <w:rPr>
          <w:rFonts w:ascii="Times New Roman" w:eastAsiaTheme="minorHAnsi" w:hAnsi="Times New Roman" w:cs="Times New Roman"/>
          <w:color w:val="auto"/>
          <w:sz w:val="24"/>
          <w:szCs w:val="24"/>
          <w:u w:val="single"/>
        </w:rPr>
        <w:t>Résultat 1</w:t>
      </w:r>
      <w:r w:rsidRPr="0061035D">
        <w:rPr>
          <w:rFonts w:ascii="Times New Roman" w:eastAsiaTheme="minorHAnsi" w:hAnsi="Times New Roman" w:cs="Times New Roman"/>
          <w:color w:val="auto"/>
          <w:sz w:val="24"/>
          <w:szCs w:val="24"/>
        </w:rPr>
        <w:t> : La performance de l’enseignement supérieur est améliorée par la mise à disposition de compétences de haut niveau</w:t>
      </w:r>
      <w:bookmarkEnd w:id="13"/>
      <w:r w:rsidRPr="0061035D">
        <w:rPr>
          <w:rFonts w:ascii="Times New Roman" w:eastAsiaTheme="minorHAnsi" w:hAnsi="Times New Roman" w:cs="Times New Roman"/>
          <w:color w:val="auto"/>
          <w:sz w:val="24"/>
          <w:szCs w:val="24"/>
        </w:rPr>
        <w:t> ;</w:t>
      </w:r>
    </w:p>
    <w:p w:rsidR="00F90EF4" w:rsidRPr="0061035D" w:rsidRDefault="00F90EF4" w:rsidP="00F90EF4">
      <w:pPr>
        <w:pStyle w:val="Titre2"/>
        <w:numPr>
          <w:ilvl w:val="0"/>
          <w:numId w:val="11"/>
        </w:numPr>
        <w:spacing w:before="0" w:line="240" w:lineRule="auto"/>
        <w:jc w:val="both"/>
        <w:rPr>
          <w:rFonts w:ascii="Times New Roman" w:eastAsiaTheme="minorHAnsi" w:hAnsi="Times New Roman" w:cs="Times New Roman"/>
          <w:color w:val="auto"/>
          <w:sz w:val="24"/>
          <w:szCs w:val="24"/>
        </w:rPr>
      </w:pPr>
      <w:bookmarkStart w:id="14" w:name="_Toc408824730"/>
      <w:r w:rsidRPr="0061035D">
        <w:rPr>
          <w:rFonts w:ascii="Times New Roman" w:eastAsiaTheme="minorHAnsi" w:hAnsi="Times New Roman" w:cs="Times New Roman"/>
          <w:color w:val="auto"/>
          <w:sz w:val="24"/>
          <w:szCs w:val="24"/>
          <w:u w:val="single"/>
        </w:rPr>
        <w:t>Résultat 2</w:t>
      </w:r>
      <w:r>
        <w:rPr>
          <w:rFonts w:ascii="Times New Roman" w:eastAsiaTheme="minorHAnsi" w:hAnsi="Times New Roman" w:cs="Times New Roman"/>
          <w:color w:val="auto"/>
          <w:sz w:val="24"/>
          <w:szCs w:val="24"/>
        </w:rPr>
        <w:t xml:space="preserve"> </w:t>
      </w:r>
      <w:r w:rsidRPr="0061035D">
        <w:rPr>
          <w:rFonts w:ascii="Times New Roman" w:eastAsiaTheme="minorHAnsi" w:hAnsi="Times New Roman" w:cs="Times New Roman"/>
          <w:color w:val="auto"/>
          <w:sz w:val="24"/>
          <w:szCs w:val="24"/>
        </w:rPr>
        <w:t>: Les capacités des acteurs du secteur Agricole sont renforcées</w:t>
      </w:r>
      <w:bookmarkEnd w:id="14"/>
      <w:r w:rsidRPr="0061035D">
        <w:rPr>
          <w:rFonts w:ascii="Times New Roman" w:eastAsiaTheme="minorHAnsi" w:hAnsi="Times New Roman" w:cs="Times New Roman"/>
          <w:color w:val="auto"/>
          <w:sz w:val="24"/>
          <w:szCs w:val="24"/>
        </w:rPr>
        <w:t> ;</w:t>
      </w:r>
    </w:p>
    <w:p w:rsidR="00F90EF4" w:rsidRPr="0061035D" w:rsidRDefault="00F90EF4" w:rsidP="00F90EF4">
      <w:pPr>
        <w:pStyle w:val="Titre2"/>
        <w:numPr>
          <w:ilvl w:val="0"/>
          <w:numId w:val="11"/>
        </w:numPr>
        <w:spacing w:before="0" w:line="240" w:lineRule="auto"/>
        <w:jc w:val="both"/>
        <w:rPr>
          <w:rFonts w:ascii="Times New Roman" w:eastAsiaTheme="minorHAnsi" w:hAnsi="Times New Roman" w:cs="Times New Roman"/>
          <w:color w:val="auto"/>
          <w:sz w:val="24"/>
          <w:szCs w:val="24"/>
        </w:rPr>
      </w:pPr>
      <w:bookmarkStart w:id="15" w:name="_Toc408824731"/>
      <w:r w:rsidRPr="0061035D">
        <w:rPr>
          <w:rFonts w:ascii="Times New Roman" w:eastAsiaTheme="minorHAnsi" w:hAnsi="Times New Roman" w:cs="Times New Roman"/>
          <w:color w:val="auto"/>
          <w:sz w:val="24"/>
          <w:szCs w:val="24"/>
          <w:u w:val="single"/>
        </w:rPr>
        <w:t>Résultat 3</w:t>
      </w:r>
      <w:r w:rsidRPr="0061035D">
        <w:rPr>
          <w:rFonts w:ascii="Times New Roman" w:eastAsiaTheme="minorHAnsi" w:hAnsi="Times New Roman" w:cs="Times New Roman"/>
          <w:color w:val="auto"/>
          <w:sz w:val="24"/>
          <w:szCs w:val="24"/>
        </w:rPr>
        <w:t> : Les services de Santé sont qualitativement améliorés</w:t>
      </w:r>
      <w:bookmarkEnd w:id="15"/>
      <w:r w:rsidRPr="0061035D">
        <w:rPr>
          <w:rFonts w:ascii="Times New Roman" w:eastAsiaTheme="minorHAnsi" w:hAnsi="Times New Roman" w:cs="Times New Roman"/>
          <w:color w:val="auto"/>
          <w:sz w:val="24"/>
          <w:szCs w:val="24"/>
        </w:rPr>
        <w:t> ;</w:t>
      </w:r>
    </w:p>
    <w:p w:rsidR="00F90EF4" w:rsidRPr="0061035D" w:rsidRDefault="00F90EF4" w:rsidP="00F90EF4">
      <w:pPr>
        <w:pStyle w:val="Titre2"/>
        <w:numPr>
          <w:ilvl w:val="0"/>
          <w:numId w:val="11"/>
        </w:numPr>
        <w:spacing w:before="0" w:line="240" w:lineRule="auto"/>
        <w:jc w:val="both"/>
        <w:rPr>
          <w:rFonts w:ascii="Times New Roman" w:eastAsiaTheme="minorHAnsi" w:hAnsi="Times New Roman" w:cs="Times New Roman"/>
          <w:color w:val="auto"/>
          <w:sz w:val="24"/>
          <w:szCs w:val="24"/>
        </w:rPr>
      </w:pPr>
      <w:bookmarkStart w:id="16" w:name="_Toc408824732"/>
      <w:r w:rsidRPr="0061035D">
        <w:rPr>
          <w:rFonts w:ascii="Times New Roman" w:eastAsiaTheme="minorHAnsi" w:hAnsi="Times New Roman" w:cs="Times New Roman"/>
          <w:color w:val="auto"/>
          <w:sz w:val="24"/>
          <w:szCs w:val="24"/>
          <w:u w:val="single"/>
        </w:rPr>
        <w:t>Résultat 4</w:t>
      </w:r>
      <w:r w:rsidRPr="0061035D">
        <w:rPr>
          <w:rFonts w:ascii="Times New Roman" w:eastAsiaTheme="minorHAnsi" w:hAnsi="Times New Roman" w:cs="Times New Roman"/>
          <w:color w:val="auto"/>
          <w:sz w:val="24"/>
          <w:szCs w:val="24"/>
        </w:rPr>
        <w:t> : Les PME/PMI et autres secteurs offrent des rendements croissants et qualitatifs sur la base d’une formation professionnelle adaptée aux besoins de l’économie nationale</w:t>
      </w:r>
      <w:bookmarkEnd w:id="16"/>
      <w:r w:rsidRPr="0061035D">
        <w:rPr>
          <w:rFonts w:ascii="Times New Roman" w:eastAsiaTheme="minorHAnsi" w:hAnsi="Times New Roman" w:cs="Times New Roman"/>
          <w:color w:val="auto"/>
          <w:sz w:val="24"/>
          <w:szCs w:val="24"/>
        </w:rPr>
        <w:t>.</w:t>
      </w:r>
    </w:p>
    <w:p w:rsidR="00F90EF4" w:rsidRPr="0061035D" w:rsidRDefault="00F90EF4" w:rsidP="00F90EF4">
      <w:pPr>
        <w:spacing w:after="0" w:line="240" w:lineRule="auto"/>
        <w:jc w:val="both"/>
        <w:rPr>
          <w:rFonts w:ascii="Times New Roman" w:hAnsi="Times New Roman" w:cs="Times New Roman"/>
          <w:sz w:val="24"/>
          <w:szCs w:val="24"/>
        </w:rPr>
      </w:pPr>
    </w:p>
    <w:p w:rsidR="00F90EF4" w:rsidRPr="00494935" w:rsidRDefault="00F90EF4" w:rsidP="00F90EF4">
      <w:pPr>
        <w:spacing w:after="0" w:line="240" w:lineRule="auto"/>
        <w:jc w:val="both"/>
        <w:rPr>
          <w:rFonts w:ascii="Times New Roman" w:hAnsi="Times New Roman" w:cs="Times New Roman"/>
          <w:sz w:val="24"/>
          <w:szCs w:val="24"/>
          <w:u w:val="single"/>
        </w:rPr>
      </w:pPr>
      <w:r w:rsidRPr="00494935">
        <w:rPr>
          <w:rFonts w:ascii="Times New Roman" w:hAnsi="Times New Roman" w:cs="Times New Roman"/>
          <w:sz w:val="24"/>
          <w:szCs w:val="24"/>
          <w:u w:val="single"/>
        </w:rPr>
        <w:t>Quelques indicateurs de résultats</w:t>
      </w:r>
    </w:p>
    <w:p w:rsidR="00F90EF4" w:rsidRPr="00494935" w:rsidRDefault="00F90EF4" w:rsidP="00F90EF4">
      <w:pPr>
        <w:spacing w:after="0" w:line="240" w:lineRule="auto"/>
        <w:jc w:val="both"/>
        <w:rPr>
          <w:rFonts w:ascii="Times New Roman" w:hAnsi="Times New Roman" w:cs="Times New Roman"/>
          <w:sz w:val="24"/>
          <w:szCs w:val="24"/>
          <w:u w:val="single"/>
        </w:rPr>
      </w:pPr>
    </w:p>
    <w:p w:rsidR="00F90EF4" w:rsidRPr="0061035D" w:rsidRDefault="00F90EF4" w:rsidP="00F90EF4">
      <w:pPr>
        <w:spacing w:after="0" w:line="240" w:lineRule="auto"/>
        <w:jc w:val="both"/>
        <w:rPr>
          <w:rFonts w:ascii="Times New Roman" w:hAnsi="Times New Roman" w:cs="Times New Roman"/>
          <w:sz w:val="24"/>
          <w:szCs w:val="24"/>
        </w:rPr>
      </w:pPr>
      <w:bookmarkStart w:id="17" w:name="_Toc323288265"/>
      <w:r w:rsidRPr="0061035D">
        <w:rPr>
          <w:rFonts w:ascii="Times New Roman" w:hAnsi="Times New Roman" w:cs="Times New Roman"/>
          <w:sz w:val="24"/>
          <w:szCs w:val="24"/>
          <w:u w:val="single"/>
        </w:rPr>
        <w:t>Résultat 1 </w:t>
      </w:r>
      <w:r w:rsidRPr="0061035D">
        <w:rPr>
          <w:rFonts w:ascii="Times New Roman" w:hAnsi="Times New Roman" w:cs="Times New Roman"/>
          <w:sz w:val="24"/>
          <w:szCs w:val="24"/>
        </w:rPr>
        <w:t>: La performance de l’enseignement supérieur est améliorée par la mise à disposition de compétences de haut niveau</w:t>
      </w:r>
      <w:bookmarkEnd w:id="17"/>
    </w:p>
    <w:p w:rsidR="00F90EF4" w:rsidRPr="0061035D" w:rsidRDefault="00F90EF4" w:rsidP="00F90EF4">
      <w:p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rPr>
        <w:tab/>
      </w:r>
    </w:p>
    <w:p w:rsidR="00F90EF4" w:rsidRPr="0061035D" w:rsidRDefault="00F90EF4" w:rsidP="00F90EF4">
      <w:p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u w:val="single"/>
        </w:rPr>
        <w:t>Indicateurs de résultat</w:t>
      </w:r>
      <w:r w:rsidRPr="0061035D">
        <w:rPr>
          <w:rFonts w:ascii="Times New Roman" w:hAnsi="Times New Roman" w:cs="Times New Roman"/>
          <w:sz w:val="24"/>
          <w:szCs w:val="24"/>
        </w:rPr>
        <w:t>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rPr>
        <w:t>100 missions sont réalisées dans le domaine de l’enseignement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rPr>
        <w:t>30 étudiants de 3ème cycle ou de doctorants sont encadrés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rPr>
        <w:t>60 formateurs ont bénéficié de formations complémentaires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structures de l’enseignement supérieur</w:t>
      </w:r>
      <w:r w:rsidRPr="0061035D">
        <w:rPr>
          <w:rFonts w:ascii="Times New Roman" w:hAnsi="Times New Roman" w:cs="Times New Roman"/>
          <w:sz w:val="24"/>
          <w:szCs w:val="24"/>
        </w:rPr>
        <w:t xml:space="preserve"> ont recouru à la modalité TOKTEN en tant qu’outil de renforcement de capacités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1035D">
        <w:rPr>
          <w:rFonts w:ascii="Times New Roman" w:hAnsi="Times New Roman" w:cs="Times New Roman"/>
          <w:sz w:val="24"/>
          <w:szCs w:val="24"/>
        </w:rPr>
        <w:t>e répertoire des ressources humaines expatriées disposant de compétences et d’expertises dans les domaines clés de développement est actualisé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1035D">
        <w:rPr>
          <w:rFonts w:ascii="Times New Roman" w:hAnsi="Times New Roman" w:cs="Times New Roman"/>
          <w:sz w:val="24"/>
          <w:szCs w:val="24"/>
        </w:rPr>
        <w:t>a base de données des entités bénéficiaires est actualisée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1035D">
        <w:rPr>
          <w:rFonts w:ascii="Times New Roman" w:hAnsi="Times New Roman" w:cs="Times New Roman"/>
          <w:sz w:val="24"/>
          <w:szCs w:val="24"/>
        </w:rPr>
        <w:t>a base de données existante des candidats au programme TOKTEN est élargie et répond aux besoins des nouvelles entités bénéficiaires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1035D">
        <w:rPr>
          <w:rFonts w:ascii="Times New Roman" w:hAnsi="Times New Roman" w:cs="Times New Roman"/>
          <w:sz w:val="24"/>
          <w:szCs w:val="24"/>
        </w:rPr>
        <w:t>e site Web du programme est actualisé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Pr="0061035D">
        <w:rPr>
          <w:rFonts w:ascii="Times New Roman" w:hAnsi="Times New Roman" w:cs="Times New Roman"/>
          <w:sz w:val="24"/>
          <w:szCs w:val="24"/>
        </w:rPr>
        <w:t>n plan de recrutement est disponible ;</w:t>
      </w:r>
    </w:p>
    <w:p w:rsidR="00F90EF4" w:rsidRPr="0061035D" w:rsidRDefault="00F90EF4" w:rsidP="00F90EF4">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1035D">
        <w:rPr>
          <w:rFonts w:ascii="Times New Roman" w:hAnsi="Times New Roman" w:cs="Times New Roman"/>
          <w:sz w:val="24"/>
          <w:szCs w:val="24"/>
        </w:rPr>
        <w:t>e nombre et la di</w:t>
      </w:r>
      <w:r>
        <w:rPr>
          <w:rFonts w:ascii="Times New Roman" w:hAnsi="Times New Roman" w:cs="Times New Roman"/>
          <w:sz w:val="24"/>
          <w:szCs w:val="24"/>
        </w:rPr>
        <w:t>versité des experts identifiés. </w:t>
      </w:r>
    </w:p>
    <w:p w:rsidR="00F90EF4" w:rsidRPr="0061035D" w:rsidRDefault="00F90EF4" w:rsidP="00F90EF4">
      <w:pPr>
        <w:spacing w:after="0" w:line="240" w:lineRule="auto"/>
        <w:jc w:val="both"/>
        <w:rPr>
          <w:rFonts w:ascii="Times New Roman" w:hAnsi="Times New Roman" w:cs="Times New Roman"/>
          <w:sz w:val="24"/>
          <w:szCs w:val="24"/>
        </w:rPr>
      </w:pPr>
    </w:p>
    <w:p w:rsidR="00F90EF4" w:rsidRPr="0061035D" w:rsidRDefault="00F90EF4" w:rsidP="00F90EF4">
      <w:pPr>
        <w:spacing w:after="0" w:line="240" w:lineRule="auto"/>
        <w:jc w:val="both"/>
        <w:rPr>
          <w:rFonts w:ascii="Times New Roman" w:hAnsi="Times New Roman" w:cs="Times New Roman"/>
          <w:sz w:val="24"/>
          <w:szCs w:val="24"/>
        </w:rPr>
      </w:pPr>
      <w:bookmarkStart w:id="18" w:name="_Toc323288266"/>
      <w:r w:rsidRPr="0061035D">
        <w:rPr>
          <w:rFonts w:ascii="Times New Roman" w:hAnsi="Times New Roman" w:cs="Times New Roman"/>
          <w:sz w:val="24"/>
          <w:szCs w:val="24"/>
          <w:u w:val="single"/>
        </w:rPr>
        <w:t>Résultat 2</w:t>
      </w:r>
      <w:r>
        <w:rPr>
          <w:rFonts w:ascii="Times New Roman" w:hAnsi="Times New Roman" w:cs="Times New Roman"/>
          <w:sz w:val="24"/>
          <w:szCs w:val="24"/>
        </w:rPr>
        <w:t xml:space="preserve"> </w:t>
      </w:r>
      <w:r w:rsidRPr="0061035D">
        <w:rPr>
          <w:rFonts w:ascii="Times New Roman" w:hAnsi="Times New Roman" w:cs="Times New Roman"/>
          <w:sz w:val="24"/>
          <w:szCs w:val="24"/>
        </w:rPr>
        <w:t>: la production agricole est augmentée sur la base d’une recherche performante</w:t>
      </w:r>
      <w:bookmarkEnd w:id="18"/>
    </w:p>
    <w:p w:rsidR="00F90EF4" w:rsidRDefault="00F90EF4" w:rsidP="00F90EF4">
      <w:pPr>
        <w:spacing w:after="0" w:line="240" w:lineRule="auto"/>
        <w:jc w:val="both"/>
        <w:rPr>
          <w:rFonts w:ascii="Times New Roman" w:hAnsi="Times New Roman" w:cs="Times New Roman"/>
          <w:sz w:val="24"/>
          <w:szCs w:val="24"/>
        </w:rPr>
      </w:pPr>
    </w:p>
    <w:p w:rsidR="00F90EF4" w:rsidRPr="0061035D" w:rsidRDefault="00F90EF4" w:rsidP="00F90EF4">
      <w:pPr>
        <w:spacing w:after="0"/>
        <w:jc w:val="both"/>
        <w:rPr>
          <w:rFonts w:ascii="Times New Roman" w:hAnsi="Times New Roman" w:cs="Times New Roman"/>
          <w:sz w:val="24"/>
          <w:szCs w:val="24"/>
        </w:rPr>
      </w:pPr>
      <w:r w:rsidRPr="00494935">
        <w:rPr>
          <w:rFonts w:ascii="Times New Roman" w:hAnsi="Times New Roman" w:cs="Times New Roman"/>
          <w:sz w:val="24"/>
          <w:szCs w:val="24"/>
          <w:u w:val="single"/>
        </w:rPr>
        <w:t>Indicateurs de résultat</w:t>
      </w:r>
      <w:r w:rsidRPr="0061035D">
        <w:rPr>
          <w:rFonts w:ascii="Times New Roman" w:hAnsi="Times New Roman" w:cs="Times New Roman"/>
          <w:sz w:val="24"/>
          <w:szCs w:val="24"/>
        </w:rPr>
        <w:t> :</w:t>
      </w:r>
    </w:p>
    <w:p w:rsidR="00F90EF4" w:rsidRPr="0061035D" w:rsidRDefault="00F90EF4" w:rsidP="00F90EF4">
      <w:pPr>
        <w:pStyle w:val="Paragraphedeliste"/>
        <w:numPr>
          <w:ilvl w:val="0"/>
          <w:numId w:val="13"/>
        </w:numPr>
        <w:spacing w:after="0" w:line="240" w:lineRule="auto"/>
        <w:jc w:val="both"/>
        <w:rPr>
          <w:rFonts w:ascii="Times New Roman" w:hAnsi="Times New Roman" w:cs="Times New Roman"/>
          <w:sz w:val="24"/>
          <w:szCs w:val="24"/>
        </w:rPr>
      </w:pPr>
      <w:r w:rsidRPr="0061035D">
        <w:rPr>
          <w:rFonts w:ascii="Times New Roman" w:hAnsi="Times New Roman" w:cs="Times New Roman"/>
          <w:sz w:val="24"/>
          <w:szCs w:val="24"/>
        </w:rPr>
        <w:t>Réalisation de 20 missions d’appui</w:t>
      </w:r>
      <w:r>
        <w:rPr>
          <w:rFonts w:ascii="Times New Roman" w:hAnsi="Times New Roman" w:cs="Times New Roman"/>
          <w:sz w:val="24"/>
          <w:szCs w:val="24"/>
        </w:rPr>
        <w:t> ;</w:t>
      </w:r>
    </w:p>
    <w:p w:rsidR="00F90EF4" w:rsidRPr="0061035D" w:rsidRDefault="00F90EF4" w:rsidP="00F90EF4">
      <w:pPr>
        <w:pStyle w:val="Paragraphedeliste"/>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1035D">
        <w:rPr>
          <w:rFonts w:ascii="Times New Roman" w:hAnsi="Times New Roman" w:cs="Times New Roman"/>
          <w:sz w:val="24"/>
          <w:szCs w:val="24"/>
        </w:rPr>
        <w:t>ugmentation du rendement en cultures vivrières dans les zones d’intervention ;</w:t>
      </w:r>
    </w:p>
    <w:p w:rsidR="00F90EF4" w:rsidRPr="0061035D" w:rsidRDefault="00F90EF4" w:rsidP="00F90EF4">
      <w:pPr>
        <w:pStyle w:val="Paragraphedeliste"/>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61035D">
        <w:rPr>
          <w:rFonts w:ascii="Times New Roman" w:hAnsi="Times New Roman" w:cs="Times New Roman"/>
          <w:sz w:val="24"/>
          <w:szCs w:val="24"/>
        </w:rPr>
        <w:t>ombre de sessions de formation et de renforcement de capacités dans le domaine de l’Agriculture ;</w:t>
      </w:r>
    </w:p>
    <w:p w:rsidR="00F90EF4" w:rsidRPr="0061035D" w:rsidRDefault="00F90EF4" w:rsidP="00F90EF4">
      <w:pPr>
        <w:pStyle w:val="Paragraphedeliste"/>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61035D">
        <w:rPr>
          <w:rFonts w:ascii="Times New Roman" w:hAnsi="Times New Roman" w:cs="Times New Roman"/>
          <w:sz w:val="24"/>
          <w:szCs w:val="24"/>
        </w:rPr>
        <w:t>ombre de chercheurs formés.</w:t>
      </w:r>
    </w:p>
    <w:p w:rsidR="00F90EF4" w:rsidRPr="0061035D" w:rsidRDefault="00F90EF4" w:rsidP="00F90EF4">
      <w:pPr>
        <w:spacing w:after="0"/>
        <w:jc w:val="both"/>
        <w:rPr>
          <w:rFonts w:ascii="Times New Roman" w:hAnsi="Times New Roman" w:cs="Times New Roman"/>
          <w:sz w:val="24"/>
          <w:szCs w:val="24"/>
        </w:rPr>
      </w:pPr>
    </w:p>
    <w:p w:rsidR="00F90EF4" w:rsidRPr="0061035D" w:rsidRDefault="00F90EF4" w:rsidP="00F90EF4">
      <w:pPr>
        <w:spacing w:after="0"/>
        <w:jc w:val="both"/>
        <w:rPr>
          <w:rFonts w:ascii="Times New Roman" w:hAnsi="Times New Roman" w:cs="Times New Roman"/>
          <w:sz w:val="24"/>
          <w:szCs w:val="24"/>
        </w:rPr>
      </w:pPr>
      <w:bookmarkStart w:id="19" w:name="_Toc323288267"/>
      <w:r w:rsidRPr="0061035D">
        <w:rPr>
          <w:rFonts w:ascii="Times New Roman" w:hAnsi="Times New Roman" w:cs="Times New Roman"/>
          <w:sz w:val="24"/>
          <w:szCs w:val="24"/>
          <w:u w:val="single"/>
        </w:rPr>
        <w:t>Résultat 3</w:t>
      </w:r>
      <w:r w:rsidRPr="0061035D">
        <w:rPr>
          <w:rFonts w:ascii="Times New Roman" w:hAnsi="Times New Roman" w:cs="Times New Roman"/>
          <w:sz w:val="24"/>
          <w:szCs w:val="24"/>
        </w:rPr>
        <w:t> : Les services de Santé sont qualitativement améliorés</w:t>
      </w:r>
      <w:bookmarkEnd w:id="19"/>
      <w:r w:rsidRPr="0061035D">
        <w:rPr>
          <w:rFonts w:ascii="Times New Roman" w:hAnsi="Times New Roman" w:cs="Times New Roman"/>
          <w:sz w:val="24"/>
          <w:szCs w:val="24"/>
        </w:rPr>
        <w:t xml:space="preserve"> </w:t>
      </w:r>
    </w:p>
    <w:p w:rsidR="00F90EF4" w:rsidRDefault="00F90EF4" w:rsidP="00F90EF4">
      <w:pPr>
        <w:spacing w:after="0"/>
        <w:jc w:val="both"/>
        <w:rPr>
          <w:rFonts w:ascii="Times New Roman" w:hAnsi="Times New Roman" w:cs="Times New Roman"/>
          <w:sz w:val="24"/>
          <w:szCs w:val="24"/>
        </w:rPr>
      </w:pPr>
    </w:p>
    <w:p w:rsidR="00F90EF4" w:rsidRPr="0061035D" w:rsidRDefault="00F90EF4" w:rsidP="00F90EF4">
      <w:pPr>
        <w:spacing w:after="0"/>
        <w:jc w:val="both"/>
        <w:rPr>
          <w:rFonts w:ascii="Times New Roman" w:hAnsi="Times New Roman" w:cs="Times New Roman"/>
          <w:sz w:val="24"/>
          <w:szCs w:val="24"/>
        </w:rPr>
      </w:pPr>
      <w:r w:rsidRPr="00494935">
        <w:rPr>
          <w:rFonts w:ascii="Times New Roman" w:hAnsi="Times New Roman" w:cs="Times New Roman"/>
          <w:sz w:val="24"/>
          <w:szCs w:val="24"/>
          <w:u w:val="single"/>
        </w:rPr>
        <w:t>Indicateurs de résultat</w:t>
      </w:r>
      <w:r w:rsidRPr="0061035D">
        <w:rPr>
          <w:rFonts w:ascii="Times New Roman" w:hAnsi="Times New Roman" w:cs="Times New Roman"/>
          <w:sz w:val="24"/>
          <w:szCs w:val="24"/>
        </w:rPr>
        <w:t> :</w:t>
      </w:r>
    </w:p>
    <w:p w:rsidR="00F90EF4" w:rsidRPr="0061035D" w:rsidRDefault="00F90EF4" w:rsidP="00F90EF4">
      <w:pPr>
        <w:pStyle w:val="Paragraphedeliste"/>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R</w:t>
      </w:r>
      <w:r w:rsidRPr="0061035D">
        <w:rPr>
          <w:rFonts w:ascii="Times New Roman" w:hAnsi="Times New Roman" w:cs="Times New Roman"/>
          <w:sz w:val="24"/>
          <w:szCs w:val="24"/>
        </w:rPr>
        <w:t>éalisation de 24 missions d’appui</w:t>
      </w:r>
    </w:p>
    <w:p w:rsidR="00F90EF4" w:rsidRPr="0061035D" w:rsidRDefault="00F90EF4" w:rsidP="00F90EF4">
      <w:pPr>
        <w:pStyle w:val="Paragraphedeliste"/>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w:t>
      </w:r>
      <w:r w:rsidRPr="0061035D">
        <w:rPr>
          <w:rFonts w:ascii="Times New Roman" w:hAnsi="Times New Roman" w:cs="Times New Roman"/>
          <w:sz w:val="24"/>
          <w:szCs w:val="24"/>
        </w:rPr>
        <w:t>mélioration des politiques sectorielles  de la santé ;</w:t>
      </w:r>
    </w:p>
    <w:p w:rsidR="00F90EF4" w:rsidRPr="0061035D" w:rsidRDefault="00F90EF4" w:rsidP="00F90EF4">
      <w:pPr>
        <w:pStyle w:val="Paragraphedeliste"/>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N</w:t>
      </w:r>
      <w:r w:rsidRPr="0061035D">
        <w:rPr>
          <w:rFonts w:ascii="Times New Roman" w:hAnsi="Times New Roman" w:cs="Times New Roman"/>
          <w:sz w:val="24"/>
          <w:szCs w:val="24"/>
        </w:rPr>
        <w:t>ombre de sessions de formation et de renforcement de capacités dans le domaine de la santé ;</w:t>
      </w:r>
    </w:p>
    <w:p w:rsidR="00F90EF4" w:rsidRPr="0061035D" w:rsidRDefault="00F90EF4" w:rsidP="00F90EF4">
      <w:pPr>
        <w:pStyle w:val="Paragraphedeliste"/>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Nombre de personnes formées dans le secteur de la santé</w:t>
      </w:r>
      <w:r w:rsidRPr="0061035D">
        <w:rPr>
          <w:rFonts w:ascii="Times New Roman" w:hAnsi="Times New Roman" w:cs="Times New Roman"/>
          <w:sz w:val="24"/>
          <w:szCs w:val="24"/>
        </w:rPr>
        <w:t>.</w:t>
      </w:r>
    </w:p>
    <w:p w:rsidR="00F90EF4" w:rsidRPr="0061035D" w:rsidRDefault="00F90EF4" w:rsidP="00F90EF4">
      <w:pPr>
        <w:spacing w:after="0"/>
        <w:jc w:val="both"/>
        <w:rPr>
          <w:rFonts w:ascii="Times New Roman" w:hAnsi="Times New Roman" w:cs="Times New Roman"/>
          <w:sz w:val="24"/>
          <w:szCs w:val="24"/>
        </w:rPr>
      </w:pPr>
    </w:p>
    <w:p w:rsidR="00F90EF4" w:rsidRPr="0061035D" w:rsidRDefault="00F90EF4" w:rsidP="00F90EF4">
      <w:pPr>
        <w:spacing w:after="0"/>
        <w:jc w:val="both"/>
        <w:rPr>
          <w:rFonts w:ascii="Times New Roman" w:hAnsi="Times New Roman" w:cs="Times New Roman"/>
          <w:sz w:val="24"/>
          <w:szCs w:val="24"/>
        </w:rPr>
      </w:pPr>
      <w:bookmarkStart w:id="20" w:name="_Toc323288268"/>
      <w:r w:rsidRPr="0061035D">
        <w:rPr>
          <w:rFonts w:ascii="Times New Roman" w:hAnsi="Times New Roman" w:cs="Times New Roman"/>
          <w:sz w:val="24"/>
          <w:szCs w:val="24"/>
          <w:u w:val="single"/>
        </w:rPr>
        <w:t>Résultat 4</w:t>
      </w:r>
      <w:r w:rsidRPr="0061035D">
        <w:rPr>
          <w:rFonts w:ascii="Times New Roman" w:hAnsi="Times New Roman" w:cs="Times New Roman"/>
          <w:sz w:val="24"/>
          <w:szCs w:val="24"/>
        </w:rPr>
        <w:t> : Les secteurs PME/PMI offrent un rendement croissant et qualitatif sur la base d’une formation professionnelle adaptée aux besoins de l’économie nationale</w:t>
      </w:r>
      <w:bookmarkEnd w:id="20"/>
    </w:p>
    <w:p w:rsidR="00F90EF4" w:rsidRDefault="00F90EF4" w:rsidP="00F90EF4">
      <w:pPr>
        <w:spacing w:after="0"/>
        <w:jc w:val="both"/>
        <w:rPr>
          <w:rFonts w:ascii="Times New Roman" w:hAnsi="Times New Roman" w:cs="Times New Roman"/>
          <w:sz w:val="24"/>
          <w:szCs w:val="24"/>
        </w:rPr>
      </w:pPr>
    </w:p>
    <w:p w:rsidR="00F90EF4" w:rsidRPr="0061035D" w:rsidRDefault="00F90EF4" w:rsidP="00F90EF4">
      <w:pPr>
        <w:spacing w:after="0"/>
        <w:jc w:val="both"/>
        <w:rPr>
          <w:rFonts w:ascii="Times New Roman" w:hAnsi="Times New Roman" w:cs="Times New Roman"/>
          <w:sz w:val="24"/>
          <w:szCs w:val="24"/>
        </w:rPr>
      </w:pPr>
      <w:r w:rsidRPr="00755D2C">
        <w:rPr>
          <w:rFonts w:ascii="Times New Roman" w:hAnsi="Times New Roman" w:cs="Times New Roman"/>
          <w:sz w:val="24"/>
          <w:szCs w:val="24"/>
          <w:u w:val="single"/>
        </w:rPr>
        <w:t>Indicateurs de résultat</w:t>
      </w:r>
      <w:r w:rsidRPr="0061035D">
        <w:rPr>
          <w:rFonts w:ascii="Times New Roman" w:hAnsi="Times New Roman" w:cs="Times New Roman"/>
          <w:sz w:val="24"/>
          <w:szCs w:val="24"/>
        </w:rPr>
        <w:t> :</w:t>
      </w:r>
      <w:r w:rsidRPr="0061035D">
        <w:rPr>
          <w:rFonts w:ascii="Times New Roman" w:hAnsi="Times New Roman" w:cs="Times New Roman"/>
          <w:sz w:val="24"/>
          <w:szCs w:val="24"/>
        </w:rPr>
        <w:tab/>
      </w:r>
    </w:p>
    <w:p w:rsidR="00F90EF4" w:rsidRPr="0061035D" w:rsidRDefault="00F90EF4" w:rsidP="00F90EF4">
      <w:pPr>
        <w:pStyle w:val="Paragraphedeliste"/>
        <w:numPr>
          <w:ilvl w:val="0"/>
          <w:numId w:val="15"/>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35 missions </w:t>
      </w:r>
      <w:r w:rsidRPr="0061035D">
        <w:rPr>
          <w:rFonts w:ascii="Times New Roman" w:hAnsi="Times New Roman" w:cs="Times New Roman"/>
          <w:sz w:val="24"/>
          <w:szCs w:val="24"/>
        </w:rPr>
        <w:t>de renforcement de capacités réalisées ;</w:t>
      </w:r>
    </w:p>
    <w:p w:rsidR="00F90EF4" w:rsidRPr="0061035D" w:rsidRDefault="00F90EF4" w:rsidP="00F90EF4">
      <w:pPr>
        <w:pStyle w:val="Paragraphedeliste"/>
        <w:numPr>
          <w:ilvl w:val="0"/>
          <w:numId w:val="15"/>
        </w:numPr>
        <w:spacing w:after="0"/>
        <w:ind w:left="360"/>
        <w:jc w:val="both"/>
        <w:rPr>
          <w:rFonts w:ascii="Times New Roman" w:hAnsi="Times New Roman" w:cs="Times New Roman"/>
          <w:sz w:val="24"/>
          <w:szCs w:val="24"/>
        </w:rPr>
      </w:pPr>
      <w:r>
        <w:rPr>
          <w:rFonts w:ascii="Times New Roman" w:hAnsi="Times New Roman" w:cs="Times New Roman"/>
          <w:sz w:val="24"/>
          <w:szCs w:val="24"/>
        </w:rPr>
        <w:t>Nombre de structures</w:t>
      </w:r>
      <w:r w:rsidRPr="0061035D">
        <w:rPr>
          <w:rFonts w:ascii="Times New Roman" w:hAnsi="Times New Roman" w:cs="Times New Roman"/>
          <w:sz w:val="24"/>
          <w:szCs w:val="24"/>
        </w:rPr>
        <w:t xml:space="preserve"> ayant bénéficié de transferts</w:t>
      </w:r>
      <w:r>
        <w:rPr>
          <w:rFonts w:ascii="Times New Roman" w:hAnsi="Times New Roman" w:cs="Times New Roman"/>
          <w:sz w:val="24"/>
          <w:szCs w:val="24"/>
        </w:rPr>
        <w:t xml:space="preserve"> de savoirs et de technologies.</w:t>
      </w:r>
    </w:p>
    <w:p w:rsidR="00F90EF4" w:rsidRDefault="00F90EF4" w:rsidP="00F90EF4">
      <w:pPr>
        <w:jc w:val="both"/>
        <w:rPr>
          <w:rFonts w:ascii="Times New Roman" w:hAnsi="Times New Roman" w:cs="Times New Roman"/>
          <w:sz w:val="24"/>
          <w:szCs w:val="24"/>
        </w:rPr>
      </w:pPr>
    </w:p>
    <w:p w:rsidR="00F90EF4" w:rsidRPr="00494935" w:rsidRDefault="00F90EF4" w:rsidP="00F90EF4">
      <w:pPr>
        <w:pStyle w:val="Paragraphedeliste"/>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Objet </w:t>
      </w:r>
      <w:r w:rsidRPr="00494935">
        <w:rPr>
          <w:rFonts w:ascii="Times New Roman" w:hAnsi="Times New Roman" w:cs="Times New Roman"/>
          <w:b/>
          <w:sz w:val="28"/>
          <w:szCs w:val="28"/>
        </w:rPr>
        <w:t xml:space="preserve">de l’Evaluation </w:t>
      </w:r>
    </w:p>
    <w:p w:rsidR="00F90EF4" w:rsidRPr="0061035D" w:rsidRDefault="00F90EF4" w:rsidP="00F90EF4">
      <w:pPr>
        <w:spacing w:after="0"/>
        <w:jc w:val="both"/>
        <w:rPr>
          <w:rFonts w:ascii="Times New Roman" w:hAnsi="Times New Roman" w:cs="Times New Roman"/>
          <w:sz w:val="24"/>
          <w:szCs w:val="24"/>
        </w:rPr>
      </w:pPr>
    </w:p>
    <w:p w:rsidR="00F90EF4" w:rsidRDefault="00F90EF4" w:rsidP="00F90EF4">
      <w:pPr>
        <w:spacing w:after="0"/>
        <w:jc w:val="both"/>
        <w:rPr>
          <w:rFonts w:ascii="Times New Roman" w:hAnsi="Times New Roman" w:cs="Times New Roman"/>
          <w:sz w:val="24"/>
          <w:szCs w:val="24"/>
        </w:rPr>
      </w:pPr>
      <w:r w:rsidRPr="00CD73D9">
        <w:rPr>
          <w:rFonts w:ascii="Times New Roman" w:hAnsi="Times New Roman" w:cs="Times New Roman"/>
          <w:sz w:val="24"/>
          <w:szCs w:val="24"/>
        </w:rPr>
        <w:t xml:space="preserve">L’évaluation </w:t>
      </w:r>
      <w:r>
        <w:rPr>
          <w:rFonts w:ascii="Times New Roman" w:hAnsi="Times New Roman" w:cs="Times New Roman"/>
          <w:sz w:val="24"/>
          <w:szCs w:val="24"/>
        </w:rPr>
        <w:t xml:space="preserve">finale a pour objectif </w:t>
      </w:r>
      <w:r w:rsidRPr="0061035D">
        <w:rPr>
          <w:rFonts w:ascii="Times New Roman" w:hAnsi="Times New Roman" w:cs="Times New Roman"/>
          <w:sz w:val="24"/>
          <w:szCs w:val="24"/>
        </w:rPr>
        <w:t xml:space="preserve">principal de faire le bilan </w:t>
      </w:r>
      <w:r>
        <w:rPr>
          <w:rFonts w:ascii="Times New Roman" w:hAnsi="Times New Roman" w:cs="Times New Roman"/>
          <w:sz w:val="24"/>
          <w:szCs w:val="24"/>
        </w:rPr>
        <w:t>des résultats obtenus par le projet TOKTEN, pour la période 2012-</w:t>
      </w:r>
      <w:r w:rsidRPr="0061035D">
        <w:rPr>
          <w:rFonts w:ascii="Times New Roman" w:hAnsi="Times New Roman" w:cs="Times New Roman"/>
          <w:sz w:val="24"/>
          <w:szCs w:val="24"/>
        </w:rPr>
        <w:t>2016</w:t>
      </w:r>
      <w:r>
        <w:rPr>
          <w:rFonts w:ascii="Times New Roman" w:hAnsi="Times New Roman" w:cs="Times New Roman"/>
          <w:sz w:val="24"/>
          <w:szCs w:val="24"/>
        </w:rPr>
        <w:t xml:space="preserve">. Cette évaluation dégagera </w:t>
      </w:r>
      <w:r w:rsidRPr="00912D7F">
        <w:rPr>
          <w:rFonts w:ascii="Times New Roman" w:hAnsi="Times New Roman" w:cs="Times New Roman"/>
          <w:sz w:val="24"/>
          <w:szCs w:val="24"/>
        </w:rPr>
        <w:t>les forces, faiblesses</w:t>
      </w:r>
      <w:r>
        <w:rPr>
          <w:rFonts w:ascii="Times New Roman" w:hAnsi="Times New Roman" w:cs="Times New Roman"/>
          <w:sz w:val="24"/>
          <w:szCs w:val="24"/>
        </w:rPr>
        <w:t xml:space="preserve"> et</w:t>
      </w:r>
      <w:r w:rsidRPr="00912D7F">
        <w:rPr>
          <w:rFonts w:ascii="Times New Roman" w:hAnsi="Times New Roman" w:cs="Times New Roman"/>
          <w:sz w:val="24"/>
          <w:szCs w:val="24"/>
        </w:rPr>
        <w:t xml:space="preserve"> contraintes</w:t>
      </w:r>
      <w:r>
        <w:rPr>
          <w:rFonts w:ascii="Times New Roman" w:hAnsi="Times New Roman" w:cs="Times New Roman"/>
          <w:sz w:val="24"/>
          <w:szCs w:val="24"/>
        </w:rPr>
        <w:t xml:space="preserve"> </w:t>
      </w:r>
      <w:r w:rsidRPr="00CD73D9">
        <w:rPr>
          <w:rFonts w:ascii="Times New Roman" w:hAnsi="Times New Roman" w:cs="Times New Roman"/>
          <w:sz w:val="24"/>
          <w:szCs w:val="24"/>
        </w:rPr>
        <w:t>à travers une analyse du programme.</w:t>
      </w:r>
      <w:r>
        <w:rPr>
          <w:rFonts w:ascii="Times New Roman" w:hAnsi="Times New Roman" w:cs="Times New Roman"/>
          <w:sz w:val="24"/>
          <w:szCs w:val="24"/>
        </w:rPr>
        <w:t xml:space="preserve"> </w:t>
      </w:r>
    </w:p>
    <w:p w:rsidR="00F90EF4" w:rsidRDefault="00F90EF4" w:rsidP="00F90EF4">
      <w:pPr>
        <w:spacing w:after="0"/>
        <w:jc w:val="both"/>
        <w:rPr>
          <w:rFonts w:ascii="Times New Roman" w:hAnsi="Times New Roman" w:cs="Times New Roman"/>
          <w:sz w:val="24"/>
          <w:szCs w:val="24"/>
        </w:rPr>
      </w:pPr>
    </w:p>
    <w:p w:rsidR="00F90EF4" w:rsidRDefault="00F90EF4" w:rsidP="00F90EF4">
      <w:pPr>
        <w:spacing w:after="0"/>
        <w:jc w:val="both"/>
        <w:rPr>
          <w:rFonts w:ascii="Times New Roman" w:hAnsi="Times New Roman" w:cs="Times New Roman"/>
          <w:sz w:val="24"/>
          <w:szCs w:val="24"/>
        </w:rPr>
      </w:pPr>
      <w:r>
        <w:rPr>
          <w:rFonts w:ascii="Times New Roman" w:hAnsi="Times New Roman" w:cs="Times New Roman"/>
          <w:sz w:val="24"/>
          <w:szCs w:val="24"/>
        </w:rPr>
        <w:t xml:space="preserve">Conformément aux standards applicables aux évaluations dans le système des Nations Unies, la performance globale du projet devra être appréciée sur la base des critères d’efficacité, d’efficience, de pertinence, de durabilité et d’impact. Cette évaluation se prononcera également sur les </w:t>
      </w:r>
      <w:r w:rsidRPr="00912D7F">
        <w:rPr>
          <w:rFonts w:ascii="Times New Roman" w:hAnsi="Times New Roman" w:cs="Times New Roman"/>
          <w:sz w:val="24"/>
          <w:szCs w:val="24"/>
        </w:rPr>
        <w:t>perspectives de même que les leçons apprises</w:t>
      </w:r>
      <w:r>
        <w:rPr>
          <w:rFonts w:ascii="Times New Roman" w:hAnsi="Times New Roman" w:cs="Times New Roman"/>
          <w:sz w:val="24"/>
          <w:szCs w:val="24"/>
        </w:rPr>
        <w:t>.</w:t>
      </w:r>
    </w:p>
    <w:p w:rsidR="00F90EF4" w:rsidRDefault="00F90EF4" w:rsidP="00F90EF4">
      <w:pPr>
        <w:jc w:val="both"/>
        <w:rPr>
          <w:rFonts w:ascii="Times New Roman" w:hAnsi="Times New Roman" w:cs="Times New Roman"/>
          <w:sz w:val="24"/>
          <w:szCs w:val="24"/>
          <w:highlight w:val="yellow"/>
        </w:rPr>
      </w:pPr>
    </w:p>
    <w:p w:rsidR="00F90EF4" w:rsidRDefault="00F90EF4" w:rsidP="00F90EF4">
      <w:pPr>
        <w:spacing w:after="0"/>
        <w:jc w:val="both"/>
        <w:rPr>
          <w:rFonts w:ascii="Times New Roman" w:hAnsi="Times New Roman" w:cs="Times New Roman"/>
          <w:sz w:val="24"/>
          <w:szCs w:val="24"/>
        </w:rPr>
      </w:pPr>
    </w:p>
    <w:p w:rsidR="00F90EF4" w:rsidRDefault="00F90EF4" w:rsidP="00F90EF4">
      <w:pPr>
        <w:spacing w:after="0"/>
        <w:jc w:val="both"/>
        <w:rPr>
          <w:rFonts w:ascii="Times New Roman" w:hAnsi="Times New Roman" w:cs="Times New Roman"/>
          <w:sz w:val="24"/>
          <w:szCs w:val="24"/>
        </w:rPr>
      </w:pPr>
      <w:r>
        <w:rPr>
          <w:rFonts w:ascii="Times New Roman" w:hAnsi="Times New Roman" w:cs="Times New Roman"/>
          <w:sz w:val="24"/>
          <w:szCs w:val="24"/>
        </w:rPr>
        <w:t xml:space="preserve">La présente </w:t>
      </w:r>
      <w:r w:rsidRPr="0061035D">
        <w:rPr>
          <w:rFonts w:ascii="Times New Roman" w:hAnsi="Times New Roman" w:cs="Times New Roman"/>
          <w:sz w:val="24"/>
          <w:szCs w:val="24"/>
        </w:rPr>
        <w:t xml:space="preserve">évaluation est prévue conformément aux règles régissant l’exécution nationale (procédures PNUD).  Le projet  </w:t>
      </w:r>
      <w:r>
        <w:rPr>
          <w:rFonts w:ascii="Times New Roman" w:hAnsi="Times New Roman" w:cs="Times New Roman"/>
          <w:sz w:val="24"/>
          <w:szCs w:val="24"/>
        </w:rPr>
        <w:t>a atteint  s</w:t>
      </w:r>
      <w:r w:rsidRPr="0061035D">
        <w:rPr>
          <w:rFonts w:ascii="Times New Roman" w:hAnsi="Times New Roman" w:cs="Times New Roman"/>
          <w:sz w:val="24"/>
          <w:szCs w:val="24"/>
        </w:rPr>
        <w:t xml:space="preserve">a phase d’évaluation finale </w:t>
      </w:r>
      <w:r>
        <w:rPr>
          <w:rFonts w:ascii="Times New Roman" w:hAnsi="Times New Roman" w:cs="Times New Roman"/>
          <w:sz w:val="24"/>
          <w:szCs w:val="24"/>
        </w:rPr>
        <w:t>et</w:t>
      </w:r>
      <w:r w:rsidRPr="0061035D">
        <w:rPr>
          <w:rFonts w:ascii="Times New Roman" w:hAnsi="Times New Roman" w:cs="Times New Roman"/>
          <w:sz w:val="24"/>
          <w:szCs w:val="24"/>
        </w:rPr>
        <w:t xml:space="preserve"> doit c</w:t>
      </w:r>
      <w:r>
        <w:rPr>
          <w:rFonts w:ascii="Times New Roman" w:hAnsi="Times New Roman" w:cs="Times New Roman"/>
          <w:sz w:val="24"/>
          <w:szCs w:val="24"/>
        </w:rPr>
        <w:t>lôturer le 31 décembre 2016</w:t>
      </w:r>
      <w:r w:rsidRPr="0061035D">
        <w:rPr>
          <w:rFonts w:ascii="Times New Roman" w:hAnsi="Times New Roman" w:cs="Times New Roman"/>
          <w:sz w:val="24"/>
          <w:szCs w:val="24"/>
        </w:rPr>
        <w:t xml:space="preserve">. </w:t>
      </w:r>
    </w:p>
    <w:p w:rsidR="00F90EF4" w:rsidRDefault="00F90EF4" w:rsidP="00F90EF4">
      <w:pPr>
        <w:spacing w:after="0"/>
        <w:jc w:val="both"/>
        <w:rPr>
          <w:rFonts w:ascii="Times New Roman" w:hAnsi="Times New Roman" w:cs="Times New Roman"/>
          <w:sz w:val="24"/>
          <w:szCs w:val="24"/>
        </w:rPr>
      </w:pPr>
    </w:p>
    <w:p w:rsidR="00F90EF4" w:rsidRDefault="00F90EF4" w:rsidP="00F90EF4">
      <w:pPr>
        <w:spacing w:after="0"/>
        <w:jc w:val="both"/>
        <w:rPr>
          <w:rFonts w:ascii="Times New Roman" w:hAnsi="Times New Roman" w:cs="Times New Roman"/>
          <w:sz w:val="24"/>
          <w:szCs w:val="24"/>
        </w:rPr>
      </w:pPr>
    </w:p>
    <w:p w:rsidR="00F90EF4" w:rsidRPr="00494935" w:rsidRDefault="00F90EF4" w:rsidP="00F90EF4">
      <w:pPr>
        <w:pStyle w:val="Paragraphedeliste"/>
        <w:numPr>
          <w:ilvl w:val="0"/>
          <w:numId w:val="1"/>
        </w:numPr>
        <w:spacing w:after="0"/>
        <w:jc w:val="both"/>
        <w:rPr>
          <w:rFonts w:ascii="Times New Roman" w:hAnsi="Times New Roman" w:cs="Times New Roman"/>
          <w:b/>
          <w:sz w:val="24"/>
          <w:szCs w:val="24"/>
        </w:rPr>
      </w:pPr>
      <w:r w:rsidRPr="00494935">
        <w:rPr>
          <w:rFonts w:ascii="Times New Roman" w:eastAsia="Times New Roman" w:hAnsi="Times New Roman" w:cs="Times New Roman"/>
          <w:b/>
          <w:bCs/>
          <w:sz w:val="28"/>
          <w:szCs w:val="28"/>
          <w:lang w:eastAsia="fr-FR"/>
        </w:rPr>
        <w:t>Portée de l’évaluation</w:t>
      </w:r>
    </w:p>
    <w:p w:rsidR="00F90EF4" w:rsidRPr="002A04C8" w:rsidRDefault="00F90EF4" w:rsidP="00F90EF4">
      <w:pPr>
        <w:spacing w:after="0" w:line="240" w:lineRule="auto"/>
        <w:rPr>
          <w:rFonts w:ascii="Times New Roman" w:eastAsia="Times New Roman" w:hAnsi="Times New Roman" w:cs="Times New Roman"/>
          <w:b/>
          <w:bCs/>
          <w:sz w:val="24"/>
          <w:szCs w:val="24"/>
          <w:lang w:eastAsia="fr-FR"/>
        </w:rPr>
      </w:pPr>
    </w:p>
    <w:p w:rsidR="00F90EF4" w:rsidRDefault="00F90EF4" w:rsidP="00F90EF4">
      <w:pPr>
        <w:keepNext/>
        <w:spacing w:after="0" w:line="240" w:lineRule="auto"/>
        <w:jc w:val="both"/>
        <w:outlineLvl w:val="1"/>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L’évaluation portera sur les résultats obtenus par le projet dans la mise en œuvre de sa phase 2012-2016, à travers l’analyse de l’ensemble des activités prévus dans le document de projet. </w:t>
      </w:r>
    </w:p>
    <w:p w:rsidR="00F90EF4" w:rsidRPr="00C16ED5" w:rsidRDefault="00F90EF4" w:rsidP="00F90EF4">
      <w:pPr>
        <w:keepNext/>
        <w:spacing w:after="0" w:line="240" w:lineRule="auto"/>
        <w:jc w:val="both"/>
        <w:outlineLvl w:val="1"/>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En terme géographique, l’évaluation portera sur</w:t>
      </w:r>
      <w:r>
        <w:rPr>
          <w:rFonts w:ascii="Times New Roman" w:eastAsia="Times New Roman" w:hAnsi="Times New Roman" w:cs="Times New Roman"/>
          <w:bCs/>
          <w:sz w:val="24"/>
          <w:szCs w:val="24"/>
          <w:lang w:eastAsia="fr-FR"/>
        </w:rPr>
        <w:t xml:space="preserve"> l’ensemble </w:t>
      </w:r>
      <w:r w:rsidRPr="00C16ED5">
        <w:rPr>
          <w:rFonts w:ascii="Times New Roman" w:eastAsia="Times New Roman" w:hAnsi="Times New Roman" w:cs="Times New Roman"/>
          <w:bCs/>
          <w:sz w:val="24"/>
          <w:szCs w:val="24"/>
          <w:lang w:eastAsia="fr-FR"/>
        </w:rPr>
        <w:t>de l’intervention, mais plus particulièrement  le district de Bamako. Les bénéficiaires des autres localités seront contacté</w:t>
      </w:r>
      <w:r>
        <w:rPr>
          <w:rFonts w:ascii="Times New Roman" w:eastAsia="Times New Roman" w:hAnsi="Times New Roman" w:cs="Times New Roman"/>
          <w:bCs/>
          <w:sz w:val="24"/>
          <w:szCs w:val="24"/>
          <w:lang w:eastAsia="fr-FR"/>
        </w:rPr>
        <w:t xml:space="preserve">s par téléphone </w:t>
      </w:r>
      <w:r w:rsidRPr="00C16ED5">
        <w:rPr>
          <w:rFonts w:ascii="Times New Roman" w:eastAsia="Times New Roman" w:hAnsi="Times New Roman" w:cs="Times New Roman"/>
          <w:bCs/>
          <w:sz w:val="24"/>
          <w:szCs w:val="24"/>
          <w:lang w:eastAsia="fr-FR"/>
        </w:rPr>
        <w:t xml:space="preserve">et </w:t>
      </w:r>
      <w:r>
        <w:rPr>
          <w:rFonts w:ascii="Times New Roman" w:eastAsia="Times New Roman" w:hAnsi="Times New Roman" w:cs="Times New Roman"/>
          <w:bCs/>
          <w:sz w:val="24"/>
          <w:szCs w:val="24"/>
          <w:lang w:eastAsia="fr-FR"/>
        </w:rPr>
        <w:t>tout autre moyen</w:t>
      </w:r>
      <w:r w:rsidRPr="00C16ED5">
        <w:rPr>
          <w:rFonts w:ascii="Times New Roman" w:eastAsia="Times New Roman" w:hAnsi="Times New Roman" w:cs="Times New Roman"/>
          <w:bCs/>
          <w:sz w:val="24"/>
          <w:szCs w:val="24"/>
          <w:lang w:eastAsia="fr-FR"/>
        </w:rPr>
        <w:t xml:space="preserve"> de communication. S’agissant d’un projet </w:t>
      </w:r>
      <w:r>
        <w:rPr>
          <w:rFonts w:ascii="Times New Roman" w:eastAsia="Times New Roman" w:hAnsi="Times New Roman" w:cs="Times New Roman"/>
          <w:bCs/>
          <w:sz w:val="24"/>
          <w:szCs w:val="24"/>
          <w:lang w:eastAsia="fr-FR"/>
        </w:rPr>
        <w:t>de renforcement des capacités, l</w:t>
      </w:r>
      <w:r w:rsidRPr="00C16ED5">
        <w:rPr>
          <w:rFonts w:ascii="Times New Roman" w:eastAsia="Times New Roman" w:hAnsi="Times New Roman" w:cs="Times New Roman"/>
          <w:bCs/>
          <w:sz w:val="24"/>
          <w:szCs w:val="24"/>
          <w:lang w:eastAsia="fr-FR"/>
        </w:rPr>
        <w:t xml:space="preserve">’évaluation s’intéressera </w:t>
      </w:r>
      <w:r>
        <w:rPr>
          <w:rFonts w:ascii="Times New Roman" w:eastAsia="Times New Roman" w:hAnsi="Times New Roman" w:cs="Times New Roman"/>
          <w:bCs/>
          <w:sz w:val="24"/>
          <w:szCs w:val="24"/>
          <w:lang w:eastAsia="fr-FR"/>
        </w:rPr>
        <w:t xml:space="preserve">à l’aspect genre notamment </w:t>
      </w:r>
      <w:r w:rsidRPr="00C16ED5">
        <w:rPr>
          <w:rFonts w:ascii="Times New Roman" w:eastAsia="Times New Roman" w:hAnsi="Times New Roman" w:cs="Times New Roman"/>
          <w:bCs/>
          <w:sz w:val="24"/>
          <w:szCs w:val="24"/>
          <w:lang w:eastAsia="fr-FR"/>
        </w:rPr>
        <w:t>au nombre de femmes  formées</w:t>
      </w:r>
      <w:r>
        <w:rPr>
          <w:rFonts w:ascii="Times New Roman" w:eastAsia="Times New Roman" w:hAnsi="Times New Roman" w:cs="Times New Roman"/>
          <w:bCs/>
          <w:sz w:val="24"/>
          <w:szCs w:val="24"/>
          <w:lang w:eastAsia="fr-FR"/>
        </w:rPr>
        <w:t>.</w:t>
      </w:r>
    </w:p>
    <w:p w:rsidR="00F90EF4" w:rsidRDefault="00F90EF4" w:rsidP="00F90EF4">
      <w:pPr>
        <w:keepNext/>
        <w:spacing w:after="0" w:line="240" w:lineRule="auto"/>
        <w:jc w:val="both"/>
        <w:outlineLvl w:val="1"/>
        <w:rPr>
          <w:rFonts w:ascii="Times New Roman" w:eastAsia="Times New Roman" w:hAnsi="Times New Roman" w:cs="Times New Roman"/>
          <w:bCs/>
          <w:sz w:val="24"/>
          <w:szCs w:val="24"/>
          <w:lang w:eastAsia="fr-FR"/>
        </w:rPr>
      </w:pPr>
    </w:p>
    <w:p w:rsidR="00F90EF4" w:rsidRPr="00C16ED5" w:rsidRDefault="00F90EF4" w:rsidP="00F90EF4">
      <w:pPr>
        <w:keepNext/>
        <w:spacing w:after="0" w:line="240" w:lineRule="auto"/>
        <w:jc w:val="both"/>
        <w:outlineLvl w:val="1"/>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La mission passera en revue la conception du Programme, particulièrement ses objectifs et ses résultats attendus et évaluera leur pertinence et validité par rapport aux besoins, politiques et priorités nationales. L’évaluation devrait fournir les éléments d’appréciation pertinents permettant de s’assurer de la réalisation satisfaisante des objectifs et des résultats assignés et de procéder aux ajustements nécessaires au besoin.</w:t>
      </w:r>
    </w:p>
    <w:p w:rsidR="00F90EF4" w:rsidRPr="00C16ED5" w:rsidRDefault="00F90EF4" w:rsidP="00F90EF4">
      <w:pPr>
        <w:keepNext/>
        <w:spacing w:after="0" w:line="240" w:lineRule="auto"/>
        <w:jc w:val="both"/>
        <w:outlineLvl w:val="1"/>
        <w:rPr>
          <w:rFonts w:ascii="Times New Roman" w:eastAsia="Times New Roman" w:hAnsi="Times New Roman" w:cs="Times New Roman"/>
          <w:bCs/>
          <w:sz w:val="24"/>
          <w:szCs w:val="24"/>
          <w:lang w:eastAsia="fr-FR"/>
        </w:rPr>
      </w:pPr>
    </w:p>
    <w:p w:rsidR="00F90EF4" w:rsidRPr="00C16ED5" w:rsidRDefault="00F90EF4" w:rsidP="00F90EF4">
      <w:pPr>
        <w:pStyle w:val="Textebrut"/>
        <w:jc w:val="both"/>
        <w:rPr>
          <w:rFonts w:ascii="Times New Roman" w:eastAsia="Times New Roman" w:hAnsi="Times New Roman"/>
          <w:bCs/>
          <w:sz w:val="24"/>
          <w:szCs w:val="24"/>
          <w:lang w:eastAsia="fr-FR"/>
        </w:rPr>
      </w:pPr>
      <w:r w:rsidRPr="00C16ED5">
        <w:rPr>
          <w:rFonts w:ascii="Times New Roman" w:eastAsia="Times New Roman" w:hAnsi="Times New Roman"/>
          <w:bCs/>
          <w:sz w:val="24"/>
          <w:szCs w:val="24"/>
          <w:lang w:eastAsia="fr-FR"/>
        </w:rPr>
        <w:t>La question qui se pose est d’analyser à travers les résultats obtenus par le TOKTEN  durant  la période 2012-2016, la contribution de la Diaspora intellectuelle, Scientifique et Technique (la DIASPO-IST) comme un atout majeur et en tant qu’outil  pour le développement du Mali ; de voir quels sont les axes</w:t>
      </w:r>
      <w:r>
        <w:rPr>
          <w:rFonts w:ascii="Times New Roman" w:eastAsia="Times New Roman" w:hAnsi="Times New Roman"/>
          <w:bCs/>
          <w:sz w:val="24"/>
          <w:szCs w:val="24"/>
          <w:lang w:eastAsia="fr-FR"/>
        </w:rPr>
        <w:t xml:space="preserve"> fondamentaux de partenariat à é</w:t>
      </w:r>
      <w:r w:rsidRPr="00C16ED5">
        <w:rPr>
          <w:rFonts w:ascii="Times New Roman" w:eastAsia="Times New Roman" w:hAnsi="Times New Roman"/>
          <w:bCs/>
          <w:sz w:val="24"/>
          <w:szCs w:val="24"/>
          <w:lang w:eastAsia="fr-FR"/>
        </w:rPr>
        <w:t>tablir entre les acteurs du dévelop</w:t>
      </w:r>
      <w:r>
        <w:rPr>
          <w:rFonts w:ascii="Times New Roman" w:eastAsia="Times New Roman" w:hAnsi="Times New Roman"/>
          <w:bCs/>
          <w:sz w:val="24"/>
          <w:szCs w:val="24"/>
          <w:lang w:eastAsia="fr-FR"/>
        </w:rPr>
        <w:t xml:space="preserve">pement </w:t>
      </w:r>
      <w:r w:rsidRPr="00C16ED5">
        <w:rPr>
          <w:rFonts w:ascii="Times New Roman" w:eastAsia="Times New Roman" w:hAnsi="Times New Roman"/>
          <w:bCs/>
          <w:sz w:val="24"/>
          <w:szCs w:val="24"/>
          <w:lang w:eastAsia="fr-FR"/>
        </w:rPr>
        <w:t>et la Diaspora intellectuelle, Scientifique et Technique malienne ; et pour les accompagner, quelles stratégies peuvent être mises en place pour permettre d’organiser de façon efficiente cette implication et cette participation de la DIASPO-IST au développement économique et social du pays.</w:t>
      </w:r>
    </w:p>
    <w:p w:rsidR="00F90EF4" w:rsidRPr="00C16ED5" w:rsidRDefault="00F90EF4" w:rsidP="00F90EF4">
      <w:pPr>
        <w:pStyle w:val="Textebrut"/>
        <w:jc w:val="both"/>
        <w:rPr>
          <w:rFonts w:ascii="Times New Roman" w:eastAsia="Times New Roman" w:hAnsi="Times New Roman"/>
          <w:bCs/>
          <w:sz w:val="24"/>
          <w:szCs w:val="24"/>
          <w:lang w:eastAsia="fr-FR"/>
        </w:rPr>
      </w:pPr>
    </w:p>
    <w:p w:rsidR="00F90EF4" w:rsidRPr="00C16ED5" w:rsidRDefault="00F90EF4" w:rsidP="00F90EF4">
      <w:pPr>
        <w:pStyle w:val="Textebrut"/>
        <w:jc w:val="both"/>
        <w:rPr>
          <w:rFonts w:ascii="Times New Roman" w:eastAsia="Times New Roman" w:hAnsi="Times New Roman"/>
          <w:bCs/>
          <w:sz w:val="24"/>
          <w:szCs w:val="24"/>
          <w:lang w:eastAsia="fr-FR"/>
        </w:rPr>
      </w:pPr>
      <w:r w:rsidRPr="00C16ED5">
        <w:rPr>
          <w:rFonts w:ascii="Times New Roman" w:eastAsia="Times New Roman" w:hAnsi="Times New Roman"/>
          <w:bCs/>
          <w:sz w:val="24"/>
          <w:szCs w:val="24"/>
          <w:lang w:eastAsia="fr-FR"/>
        </w:rPr>
        <w:t>Le consultant sera donc amener à :</w:t>
      </w:r>
    </w:p>
    <w:p w:rsidR="00F90EF4" w:rsidRPr="00C16ED5" w:rsidRDefault="00F90EF4" w:rsidP="00F90EF4">
      <w:pPr>
        <w:pStyle w:val="Paragraphedeliste"/>
        <w:numPr>
          <w:ilvl w:val="0"/>
          <w:numId w:val="2"/>
        </w:numPr>
        <w:spacing w:after="120" w:line="240" w:lineRule="auto"/>
        <w:ind w:left="714" w:hanging="357"/>
        <w:contextualSpacing w:val="0"/>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apprécier la pertinence actuelle des objectifs du projet en tenant compte du contexte  international et malien en particulier ;</w:t>
      </w:r>
    </w:p>
    <w:p w:rsidR="00F90EF4" w:rsidRPr="00C16ED5" w:rsidRDefault="00F90EF4" w:rsidP="00F90EF4">
      <w:pPr>
        <w:pStyle w:val="Paragraphedeliste"/>
        <w:numPr>
          <w:ilvl w:val="0"/>
          <w:numId w:val="2"/>
        </w:numPr>
        <w:spacing w:after="120" w:line="240" w:lineRule="auto"/>
        <w:ind w:left="714" w:hanging="357"/>
        <w:contextualSpacing w:val="0"/>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évaluer les résultats atteints et les activités mises en œuvre par rapport aux objectifs fixés dans le document de projet ;</w:t>
      </w:r>
    </w:p>
    <w:p w:rsidR="00F90EF4" w:rsidRPr="00C16ED5" w:rsidRDefault="00F90EF4" w:rsidP="00F90EF4">
      <w:pPr>
        <w:pStyle w:val="Paragraphedeliste"/>
        <w:numPr>
          <w:ilvl w:val="0"/>
          <w:numId w:val="2"/>
        </w:numPr>
        <w:spacing w:after="120" w:line="240" w:lineRule="auto"/>
        <w:ind w:left="714" w:hanging="357"/>
        <w:contextualSpacing w:val="0"/>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formuler des recommandations et des propositions opérationnelles concrètes au Gouvernement et au PNUD en vue de corriger d’éventuels problèmes et dysfonctionnements mis en évidence par l’évaluation au niveau de la pertinence, l’efficacité, l’efficience, la viabilité et l’impact du projet.</w:t>
      </w:r>
    </w:p>
    <w:p w:rsidR="00F90EF4" w:rsidRPr="00C16ED5" w:rsidRDefault="00F90EF4" w:rsidP="00F90EF4">
      <w:pPr>
        <w:spacing w:after="0" w:line="240" w:lineRule="auto"/>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Les résultats de l’évaluation seront pris en compte et  utilisés par le Gouvernement lors de la formulation de la prochaine phase du TOKTEN qui s’inscrit dans la politique Nationale de Migration adoptée le 03 octobre 2014.</w:t>
      </w:r>
    </w:p>
    <w:p w:rsidR="00F90EF4" w:rsidRDefault="00F90EF4" w:rsidP="00F90EF4">
      <w:pPr>
        <w:spacing w:after="0" w:line="240" w:lineRule="auto"/>
        <w:jc w:val="both"/>
        <w:rPr>
          <w:rFonts w:ascii="Times New Roman" w:eastAsia="Times New Roman" w:hAnsi="Times New Roman" w:cs="Times New Roman"/>
          <w:bCs/>
          <w:sz w:val="24"/>
          <w:szCs w:val="24"/>
          <w:lang w:eastAsia="fr-FR"/>
        </w:rPr>
      </w:pPr>
    </w:p>
    <w:p w:rsidR="00F90EF4" w:rsidRDefault="00F90EF4" w:rsidP="00F90EF4">
      <w:pPr>
        <w:spacing w:after="0" w:line="240" w:lineRule="auto"/>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t xml:space="preserve">Les résultats de l’évaluation seront surtout  utilisés </w:t>
      </w:r>
      <w:r>
        <w:rPr>
          <w:rFonts w:ascii="Times New Roman" w:eastAsia="Times New Roman" w:hAnsi="Times New Roman" w:cs="Times New Roman"/>
          <w:bCs/>
          <w:sz w:val="24"/>
          <w:szCs w:val="24"/>
          <w:lang w:eastAsia="fr-FR"/>
        </w:rPr>
        <w:t xml:space="preserve">par le Gouvernement pour mieux </w:t>
      </w:r>
      <w:r w:rsidRPr="00C16ED5">
        <w:rPr>
          <w:rFonts w:ascii="Times New Roman" w:eastAsia="Times New Roman" w:hAnsi="Times New Roman" w:cs="Times New Roman"/>
          <w:bCs/>
          <w:sz w:val="24"/>
          <w:szCs w:val="24"/>
          <w:lang w:eastAsia="fr-FR"/>
        </w:rPr>
        <w:t>valoriser  l’apport de la diaspora qualifiée dans les secteurs clés du développement du pay</w:t>
      </w:r>
      <w:r>
        <w:rPr>
          <w:rFonts w:ascii="Times New Roman" w:eastAsia="Times New Roman" w:hAnsi="Times New Roman" w:cs="Times New Roman"/>
          <w:bCs/>
          <w:sz w:val="24"/>
          <w:szCs w:val="24"/>
          <w:lang w:eastAsia="fr-FR"/>
        </w:rPr>
        <w:t xml:space="preserve">s </w:t>
      </w:r>
      <w:r w:rsidRPr="00C16ED5">
        <w:rPr>
          <w:rFonts w:ascii="Times New Roman" w:eastAsia="Times New Roman" w:hAnsi="Times New Roman" w:cs="Times New Roman"/>
          <w:bCs/>
          <w:sz w:val="24"/>
          <w:szCs w:val="24"/>
          <w:lang w:eastAsia="fr-FR"/>
        </w:rPr>
        <w:t>avec la participation effecti</w:t>
      </w:r>
      <w:r>
        <w:rPr>
          <w:rFonts w:ascii="Times New Roman" w:eastAsia="Times New Roman" w:hAnsi="Times New Roman" w:cs="Times New Roman"/>
          <w:bCs/>
          <w:sz w:val="24"/>
          <w:szCs w:val="24"/>
          <w:lang w:eastAsia="fr-FR"/>
        </w:rPr>
        <w:t>ve des structures bénéficiaires</w:t>
      </w:r>
      <w:r w:rsidRPr="00C16ED5">
        <w:rPr>
          <w:rFonts w:ascii="Times New Roman" w:eastAsia="Times New Roman" w:hAnsi="Times New Roman" w:cs="Times New Roman"/>
          <w:bCs/>
          <w:sz w:val="24"/>
          <w:szCs w:val="24"/>
          <w:lang w:eastAsia="fr-FR"/>
        </w:rPr>
        <w:t xml:space="preserve"> à travers tout le Mali. Le Gouvernement va également agir sur les résultats de l’évaluation pour créer une forte dynamique sociale autour de la démarche TOKTEN pour le renforcement des capacités dans les secteurs clés cités ci-dessus  et  donn</w:t>
      </w:r>
      <w:r>
        <w:rPr>
          <w:rFonts w:ascii="Times New Roman" w:eastAsia="Times New Roman" w:hAnsi="Times New Roman" w:cs="Times New Roman"/>
          <w:bCs/>
          <w:sz w:val="24"/>
          <w:szCs w:val="24"/>
          <w:lang w:eastAsia="fr-FR"/>
        </w:rPr>
        <w:t>er</w:t>
      </w:r>
      <w:r w:rsidRPr="00C16ED5">
        <w:rPr>
          <w:rFonts w:ascii="Times New Roman" w:eastAsia="Times New Roman" w:hAnsi="Times New Roman" w:cs="Times New Roman"/>
          <w:bCs/>
          <w:sz w:val="24"/>
          <w:szCs w:val="24"/>
          <w:lang w:eastAsia="fr-FR"/>
        </w:rPr>
        <w:t xml:space="preserve"> l’occasion à des centaines d’expatriés maliens  qualifiés de renouer avec leurs origines et de se ressourcer et d’être utiles à leurs communautés de base.</w:t>
      </w:r>
    </w:p>
    <w:p w:rsidR="00F90EF4" w:rsidRDefault="00F90EF4" w:rsidP="00F90EF4">
      <w:pPr>
        <w:spacing w:after="0" w:line="240" w:lineRule="auto"/>
        <w:jc w:val="both"/>
        <w:rPr>
          <w:rFonts w:ascii="Times New Roman" w:eastAsia="Times New Roman" w:hAnsi="Times New Roman" w:cs="Times New Roman"/>
          <w:bCs/>
          <w:sz w:val="24"/>
          <w:szCs w:val="24"/>
          <w:lang w:eastAsia="fr-FR"/>
        </w:rPr>
      </w:pPr>
    </w:p>
    <w:p w:rsidR="00F90EF4" w:rsidRDefault="00F90EF4" w:rsidP="00F90EF4">
      <w:pPr>
        <w:spacing w:after="0" w:line="240" w:lineRule="auto"/>
        <w:jc w:val="both"/>
        <w:rPr>
          <w:rFonts w:ascii="Times New Roman" w:eastAsia="Times New Roman" w:hAnsi="Times New Roman" w:cs="Times New Roman"/>
          <w:bCs/>
          <w:sz w:val="24"/>
          <w:szCs w:val="24"/>
          <w:lang w:eastAsia="fr-FR"/>
        </w:rPr>
      </w:pPr>
      <w:r w:rsidRPr="00C16ED5">
        <w:rPr>
          <w:rFonts w:ascii="Times New Roman" w:eastAsia="Times New Roman" w:hAnsi="Times New Roman" w:cs="Times New Roman"/>
          <w:bCs/>
          <w:sz w:val="24"/>
          <w:szCs w:val="24"/>
          <w:lang w:eastAsia="fr-FR"/>
        </w:rPr>
        <w:lastRenderedPageBreak/>
        <w:t>Enfin, l’évaluation devra faire des propositions</w:t>
      </w:r>
      <w:r>
        <w:rPr>
          <w:rFonts w:ascii="Times New Roman" w:eastAsia="Times New Roman" w:hAnsi="Times New Roman" w:cs="Times New Roman"/>
          <w:bCs/>
          <w:sz w:val="24"/>
          <w:szCs w:val="24"/>
          <w:lang w:eastAsia="fr-FR"/>
        </w:rPr>
        <w:t xml:space="preserve"> </w:t>
      </w:r>
      <w:r w:rsidRPr="00C16ED5">
        <w:rPr>
          <w:rFonts w:ascii="Times New Roman" w:eastAsia="Times New Roman" w:hAnsi="Times New Roman" w:cs="Times New Roman"/>
          <w:bCs/>
          <w:sz w:val="24"/>
          <w:szCs w:val="24"/>
          <w:lang w:eastAsia="fr-FR"/>
        </w:rPr>
        <w:t>sur la problématique de</w:t>
      </w:r>
      <w:r>
        <w:rPr>
          <w:rFonts w:ascii="Times New Roman" w:eastAsia="Times New Roman" w:hAnsi="Times New Roman" w:cs="Times New Roman"/>
          <w:bCs/>
          <w:sz w:val="24"/>
          <w:szCs w:val="24"/>
          <w:lang w:eastAsia="fr-FR"/>
        </w:rPr>
        <w:t xml:space="preserve"> la mobilisation des ressources</w:t>
      </w:r>
      <w:r w:rsidRPr="00C16ED5">
        <w:rPr>
          <w:rFonts w:ascii="Times New Roman" w:eastAsia="Times New Roman" w:hAnsi="Times New Roman" w:cs="Times New Roman"/>
          <w:bCs/>
          <w:sz w:val="24"/>
          <w:szCs w:val="24"/>
          <w:lang w:eastAsia="fr-FR"/>
        </w:rPr>
        <w:t xml:space="preserve"> financières pour la pérennisation du Projet qui con</w:t>
      </w:r>
      <w:r>
        <w:rPr>
          <w:rFonts w:ascii="Times New Roman" w:eastAsia="Times New Roman" w:hAnsi="Times New Roman" w:cs="Times New Roman"/>
          <w:bCs/>
          <w:sz w:val="24"/>
          <w:szCs w:val="24"/>
          <w:lang w:eastAsia="fr-FR"/>
        </w:rPr>
        <w:t>stitue la principale inquiétude.</w:t>
      </w:r>
    </w:p>
    <w:p w:rsidR="00F90EF4" w:rsidRDefault="00F90EF4" w:rsidP="00F90EF4">
      <w:pPr>
        <w:spacing w:after="0" w:line="240" w:lineRule="auto"/>
        <w:jc w:val="both"/>
        <w:rPr>
          <w:rFonts w:ascii="Times New Roman" w:eastAsia="Times New Roman" w:hAnsi="Times New Roman" w:cs="Times New Roman"/>
          <w:bCs/>
          <w:sz w:val="24"/>
          <w:szCs w:val="24"/>
          <w:lang w:eastAsia="fr-FR"/>
        </w:rPr>
      </w:pPr>
    </w:p>
    <w:p w:rsidR="00F90EF4" w:rsidRPr="00E175FC" w:rsidRDefault="00F90EF4" w:rsidP="00F90EF4">
      <w:pPr>
        <w:spacing w:after="0" w:line="240" w:lineRule="auto"/>
        <w:jc w:val="both"/>
        <w:rPr>
          <w:rFonts w:ascii="Times New Roman" w:eastAsia="Times New Roman" w:hAnsi="Times New Roman" w:cs="Times New Roman"/>
          <w:b/>
          <w:bCs/>
          <w:sz w:val="24"/>
          <w:szCs w:val="24"/>
          <w:lang w:eastAsia="fr-FR"/>
        </w:rPr>
      </w:pPr>
    </w:p>
    <w:p w:rsidR="00F90EF4" w:rsidRPr="00E175FC" w:rsidRDefault="00F90EF4" w:rsidP="00F90EF4">
      <w:pPr>
        <w:pStyle w:val="Paragraphedeliste"/>
        <w:numPr>
          <w:ilvl w:val="0"/>
          <w:numId w:val="1"/>
        </w:numPr>
        <w:spacing w:after="0" w:line="240" w:lineRule="auto"/>
        <w:jc w:val="both"/>
        <w:rPr>
          <w:rFonts w:ascii="Times New Roman" w:eastAsia="Times New Roman" w:hAnsi="Times New Roman" w:cs="Times New Roman"/>
          <w:bCs/>
          <w:sz w:val="24"/>
          <w:szCs w:val="24"/>
          <w:lang w:eastAsia="fr-FR"/>
        </w:rPr>
      </w:pPr>
      <w:r w:rsidRPr="00E175FC">
        <w:rPr>
          <w:rFonts w:ascii="Times New Roman" w:eastAsia="Times New Roman" w:hAnsi="Times New Roman" w:cs="Times New Roman"/>
          <w:b/>
          <w:bCs/>
          <w:sz w:val="28"/>
          <w:szCs w:val="28"/>
          <w:lang w:eastAsia="fr-FR"/>
        </w:rPr>
        <w:t>Questions relatives à l’évaluation</w:t>
      </w:r>
    </w:p>
    <w:p w:rsidR="00F90EF4" w:rsidRDefault="00F90EF4" w:rsidP="00F90EF4">
      <w:pPr>
        <w:keepNext/>
        <w:spacing w:after="0" w:line="240" w:lineRule="auto"/>
        <w:outlineLvl w:val="1"/>
        <w:rPr>
          <w:rFonts w:ascii="Times New Roman" w:eastAsia="Times New Roman" w:hAnsi="Times New Roman" w:cs="Times New Roman"/>
          <w:bCs/>
          <w:sz w:val="24"/>
          <w:szCs w:val="24"/>
          <w:lang w:eastAsia="fr-FR"/>
        </w:rPr>
      </w:pPr>
    </w:p>
    <w:p w:rsidR="00F90EF4" w:rsidRPr="00E175FC" w:rsidRDefault="00F90EF4" w:rsidP="00F90EF4">
      <w:pPr>
        <w:keepNext/>
        <w:spacing w:after="0" w:line="240" w:lineRule="auto"/>
        <w:outlineLvl w:val="1"/>
        <w:rPr>
          <w:rFonts w:ascii="Times New Roman" w:eastAsia="Times New Roman" w:hAnsi="Times New Roman" w:cs="Times New Roman"/>
          <w:bCs/>
          <w:color w:val="000000" w:themeColor="text1"/>
          <w:sz w:val="24"/>
          <w:szCs w:val="24"/>
          <w:lang w:eastAsia="fr-FR"/>
        </w:rPr>
      </w:pPr>
      <w:r w:rsidRPr="00E175FC">
        <w:rPr>
          <w:rFonts w:ascii="Times New Roman" w:eastAsia="Times New Roman" w:hAnsi="Times New Roman" w:cs="Times New Roman"/>
          <w:bCs/>
          <w:color w:val="000000" w:themeColor="text1"/>
          <w:sz w:val="24"/>
          <w:szCs w:val="24"/>
          <w:lang w:eastAsia="fr-FR"/>
        </w:rPr>
        <w:t>L’évaluation portera plus spécifiquement sur les aspects suivants :</w:t>
      </w:r>
    </w:p>
    <w:p w:rsidR="00F90EF4" w:rsidRPr="00E175FC" w:rsidRDefault="00F90EF4" w:rsidP="00F90EF4">
      <w:pPr>
        <w:keepNext/>
        <w:spacing w:after="0" w:line="240" w:lineRule="auto"/>
        <w:outlineLvl w:val="1"/>
        <w:rPr>
          <w:rFonts w:ascii="Times New Roman" w:eastAsia="Times New Roman" w:hAnsi="Times New Roman" w:cs="Times New Roman"/>
          <w:b/>
          <w:bCs/>
          <w:color w:val="000000" w:themeColor="text1"/>
          <w:sz w:val="24"/>
          <w:szCs w:val="24"/>
          <w:lang w:eastAsia="fr-FR"/>
        </w:rPr>
      </w:pPr>
    </w:p>
    <w:p w:rsidR="00F90EF4" w:rsidRPr="00E175FC" w:rsidRDefault="00F90EF4" w:rsidP="00F90EF4">
      <w:pPr>
        <w:pStyle w:val="Paragraphedeliste"/>
        <w:keepNext/>
        <w:numPr>
          <w:ilvl w:val="1"/>
          <w:numId w:val="1"/>
        </w:numPr>
        <w:spacing w:after="120" w:line="240" w:lineRule="auto"/>
        <w:ind w:left="1134" w:hanging="493"/>
        <w:contextualSpacing w:val="0"/>
        <w:outlineLvl w:val="1"/>
        <w:rPr>
          <w:rFonts w:ascii="Times New Roman" w:eastAsia="Times New Roman" w:hAnsi="Times New Roman" w:cs="Times New Roman"/>
          <w:b/>
          <w:bCs/>
          <w:color w:val="000000" w:themeColor="text1"/>
          <w:sz w:val="24"/>
          <w:szCs w:val="24"/>
          <w:lang w:eastAsia="fr-FR"/>
        </w:rPr>
      </w:pPr>
      <w:bookmarkStart w:id="21" w:name="_Toc452642889"/>
      <w:r w:rsidRPr="00E175FC">
        <w:rPr>
          <w:rFonts w:ascii="Times New Roman" w:eastAsia="Times New Roman" w:hAnsi="Times New Roman" w:cs="Times New Roman"/>
          <w:b/>
          <w:bCs/>
          <w:color w:val="000000" w:themeColor="text1"/>
          <w:sz w:val="24"/>
          <w:szCs w:val="24"/>
          <w:lang w:eastAsia="fr-FR"/>
        </w:rPr>
        <w:t>Pertinence:</w:t>
      </w:r>
      <w:bookmarkEnd w:id="21"/>
    </w:p>
    <w:p w:rsidR="00F90EF4" w:rsidRPr="00E175FC" w:rsidRDefault="00F90EF4" w:rsidP="00F90EF4">
      <w:pPr>
        <w:keepNext/>
        <w:spacing w:after="0" w:line="240" w:lineRule="auto"/>
        <w:outlineLvl w:val="1"/>
        <w:rPr>
          <w:rFonts w:ascii="Times New Roman" w:eastAsia="Times New Roman" w:hAnsi="Times New Roman" w:cs="Times New Roman"/>
          <w:b/>
          <w:bCs/>
          <w:color w:val="000000" w:themeColor="text1"/>
          <w:sz w:val="24"/>
          <w:szCs w:val="24"/>
          <w:lang w:eastAsia="fr-FR"/>
        </w:rPr>
      </w:pPr>
      <w:r w:rsidRPr="00E175FC">
        <w:rPr>
          <w:rFonts w:ascii="Times New Roman" w:eastAsia="Times New Roman" w:hAnsi="Times New Roman" w:cs="Times New Roman"/>
          <w:b/>
          <w:bCs/>
          <w:color w:val="000000" w:themeColor="text1"/>
          <w:sz w:val="24"/>
          <w:szCs w:val="24"/>
          <w:lang w:eastAsia="fr-FR"/>
        </w:rPr>
        <w:t>L’évaluation devra répondre aux questions suivantes :</w:t>
      </w:r>
    </w:p>
    <w:p w:rsidR="00F90EF4" w:rsidRPr="00E175FC" w:rsidRDefault="00F90EF4" w:rsidP="00F90EF4">
      <w:pPr>
        <w:pStyle w:val="Style"/>
        <w:numPr>
          <w:ilvl w:val="0"/>
          <w:numId w:val="2"/>
        </w:numPr>
        <w:spacing w:before="0" w:after="0" w:line="240" w:lineRule="auto"/>
        <w:ind w:left="439" w:right="23"/>
        <w:jc w:val="both"/>
        <w:rPr>
          <w:rFonts w:ascii="Times New Roman" w:eastAsiaTheme="minorHAnsi" w:hAnsi="Times New Roman"/>
          <w:color w:val="000000" w:themeColor="text1"/>
          <w:lang w:val="fr-FR"/>
        </w:rPr>
      </w:pPr>
      <w:r w:rsidRPr="00E175FC">
        <w:rPr>
          <w:rFonts w:ascii="Times New Roman" w:hAnsi="Times New Roman"/>
          <w:color w:val="000000" w:themeColor="text1"/>
          <w:lang w:val="fr-FR"/>
        </w:rPr>
        <w:t>Les priorités des parties prenantes et des groupes-</w:t>
      </w:r>
      <w:r w:rsidRPr="00E175FC">
        <w:rPr>
          <w:rFonts w:ascii="Times New Roman" w:eastAsiaTheme="minorHAnsi" w:hAnsi="Times New Roman"/>
          <w:color w:val="000000" w:themeColor="text1"/>
          <w:lang w:val="fr-FR"/>
        </w:rPr>
        <w:t>cibles du programme sont –elles prises en compte?</w:t>
      </w:r>
    </w:p>
    <w:p w:rsidR="00F90EF4" w:rsidRPr="00E175FC" w:rsidRDefault="00F90EF4" w:rsidP="00F90EF4">
      <w:pPr>
        <w:pStyle w:val="Paragraphedeliste"/>
        <w:keepNext/>
        <w:numPr>
          <w:ilvl w:val="0"/>
          <w:numId w:val="2"/>
        </w:numPr>
        <w:spacing w:after="0" w:line="240" w:lineRule="auto"/>
        <w:ind w:left="439"/>
        <w:outlineLvl w:val="1"/>
        <w:rPr>
          <w:rFonts w:ascii="Times New Roman" w:eastAsia="Times New Roman" w:hAnsi="Times New Roman" w:cs="Times New Roman"/>
          <w:bCs/>
          <w:color w:val="000000" w:themeColor="text1"/>
          <w:sz w:val="24"/>
          <w:szCs w:val="24"/>
          <w:lang w:eastAsia="fr-FR"/>
        </w:rPr>
      </w:pPr>
      <w:r w:rsidRPr="00E175FC">
        <w:rPr>
          <w:rFonts w:ascii="Times New Roman" w:eastAsia="Times New Roman" w:hAnsi="Times New Roman" w:cs="Times New Roman"/>
          <w:bCs/>
          <w:color w:val="000000" w:themeColor="text1"/>
          <w:sz w:val="24"/>
          <w:szCs w:val="24"/>
          <w:lang w:eastAsia="fr-FR"/>
        </w:rPr>
        <w:t>L’intervention a-t-elle permis de répondre aux besoins particuliers des femmes et des hommes ?</w:t>
      </w:r>
    </w:p>
    <w:p w:rsidR="00F90EF4" w:rsidRPr="00E175FC" w:rsidRDefault="00F90EF4" w:rsidP="00F90EF4">
      <w:pPr>
        <w:pStyle w:val="Paragraphedeliste"/>
        <w:keepNext/>
        <w:numPr>
          <w:ilvl w:val="0"/>
          <w:numId w:val="2"/>
        </w:numPr>
        <w:spacing w:after="0" w:line="240" w:lineRule="auto"/>
        <w:ind w:left="439"/>
        <w:outlineLvl w:val="1"/>
        <w:rPr>
          <w:rFonts w:ascii="Times New Roman" w:eastAsia="Times New Roman" w:hAnsi="Times New Roman" w:cs="Times New Roman"/>
          <w:bCs/>
          <w:color w:val="000000" w:themeColor="text1"/>
          <w:sz w:val="24"/>
          <w:szCs w:val="24"/>
          <w:lang w:eastAsia="fr-FR"/>
        </w:rPr>
      </w:pPr>
      <w:r w:rsidRPr="00E175FC">
        <w:rPr>
          <w:rFonts w:ascii="Times New Roman" w:eastAsia="Times New Roman" w:hAnsi="Times New Roman" w:cs="Times New Roman"/>
          <w:bCs/>
          <w:color w:val="000000" w:themeColor="text1"/>
          <w:sz w:val="24"/>
          <w:szCs w:val="24"/>
          <w:lang w:eastAsia="fr-FR"/>
        </w:rPr>
        <w:t>Les résultats obtenus sont-ils différents pour les hommes et les femmes ; dans quelles proportions en matière de renforcement des capacités ?</w:t>
      </w:r>
    </w:p>
    <w:p w:rsidR="00F90EF4" w:rsidRPr="00E175FC" w:rsidRDefault="00F90EF4" w:rsidP="00F90EF4">
      <w:pPr>
        <w:pStyle w:val="Style"/>
        <w:numPr>
          <w:ilvl w:val="0"/>
          <w:numId w:val="2"/>
        </w:numPr>
        <w:spacing w:before="0" w:after="0" w:line="240" w:lineRule="auto"/>
        <w:ind w:left="439" w:right="24"/>
        <w:jc w:val="both"/>
        <w:rPr>
          <w:rFonts w:ascii="Times New Roman" w:eastAsiaTheme="minorHAnsi" w:hAnsi="Times New Roman"/>
          <w:color w:val="000000" w:themeColor="text1"/>
          <w:lang w:val="fr-FR"/>
        </w:rPr>
      </w:pPr>
      <w:r w:rsidRPr="00E175FC">
        <w:rPr>
          <w:rFonts w:ascii="Times New Roman" w:eastAsiaTheme="minorHAnsi" w:hAnsi="Times New Roman"/>
          <w:color w:val="000000" w:themeColor="text1"/>
          <w:lang w:val="fr-FR"/>
        </w:rPr>
        <w:t>Les résultats attendus du programme, répondent-ils à des besoins réels ?</w:t>
      </w:r>
    </w:p>
    <w:p w:rsidR="00F90EF4" w:rsidRPr="00E175FC" w:rsidRDefault="00F90EF4" w:rsidP="00F90EF4">
      <w:pPr>
        <w:pStyle w:val="Style"/>
        <w:numPr>
          <w:ilvl w:val="0"/>
          <w:numId w:val="2"/>
        </w:numPr>
        <w:spacing w:before="0" w:after="0" w:line="240" w:lineRule="auto"/>
        <w:ind w:left="439" w:right="23"/>
        <w:jc w:val="both"/>
        <w:rPr>
          <w:rFonts w:ascii="Times New Roman" w:eastAsiaTheme="minorHAnsi" w:hAnsi="Times New Roman"/>
          <w:color w:val="000000" w:themeColor="text1"/>
          <w:lang w:val="fr-FR"/>
        </w:rPr>
      </w:pPr>
      <w:r w:rsidRPr="00E175FC">
        <w:rPr>
          <w:rFonts w:ascii="Times New Roman" w:eastAsiaTheme="minorHAnsi" w:hAnsi="Times New Roman"/>
          <w:color w:val="000000" w:themeColor="text1"/>
          <w:lang w:val="fr-FR"/>
        </w:rPr>
        <w:t>Les interventions et objectifs des parties prenantes (PNUD) ? Y-a-t-il synergie ou complémentarité entre l'intervention du PNUD et celle de la Partie nationale ?</w:t>
      </w:r>
    </w:p>
    <w:p w:rsidR="00F90EF4" w:rsidRPr="00E175FC" w:rsidRDefault="00F90EF4" w:rsidP="00F90EF4">
      <w:pPr>
        <w:pStyle w:val="Style"/>
        <w:spacing w:before="0" w:after="0" w:line="240" w:lineRule="auto"/>
        <w:ind w:left="439" w:right="23"/>
        <w:jc w:val="both"/>
        <w:rPr>
          <w:rFonts w:ascii="Times New Roman" w:eastAsiaTheme="minorHAnsi" w:hAnsi="Times New Roman"/>
          <w:color w:val="000000" w:themeColor="text1"/>
          <w:lang w:val="fr-FR"/>
        </w:rPr>
      </w:pPr>
    </w:p>
    <w:p w:rsidR="00F90EF4" w:rsidRPr="00E175FC" w:rsidRDefault="00F90EF4" w:rsidP="00F90EF4">
      <w:pPr>
        <w:pStyle w:val="Paragraphedeliste"/>
        <w:keepNext/>
        <w:numPr>
          <w:ilvl w:val="1"/>
          <w:numId w:val="1"/>
        </w:numPr>
        <w:spacing w:after="120" w:line="240" w:lineRule="auto"/>
        <w:ind w:left="1134" w:hanging="493"/>
        <w:contextualSpacing w:val="0"/>
        <w:outlineLvl w:val="1"/>
        <w:rPr>
          <w:rFonts w:ascii="Times New Roman" w:eastAsia="Times New Roman" w:hAnsi="Times New Roman" w:cs="Times New Roman"/>
          <w:b/>
          <w:bCs/>
          <w:color w:val="000000" w:themeColor="text1"/>
          <w:sz w:val="24"/>
          <w:szCs w:val="24"/>
          <w:lang w:eastAsia="fr-FR"/>
        </w:rPr>
      </w:pPr>
      <w:bookmarkStart w:id="22" w:name="_Toc452642890"/>
      <w:r w:rsidRPr="00E175FC">
        <w:rPr>
          <w:rFonts w:ascii="Times New Roman" w:eastAsia="Times New Roman" w:hAnsi="Times New Roman" w:cs="Times New Roman"/>
          <w:b/>
          <w:bCs/>
          <w:color w:val="000000" w:themeColor="text1"/>
          <w:sz w:val="24"/>
          <w:szCs w:val="24"/>
          <w:lang w:eastAsia="fr-FR"/>
        </w:rPr>
        <w:t>Efficacité :</w:t>
      </w:r>
      <w:bookmarkEnd w:id="22"/>
    </w:p>
    <w:p w:rsidR="00F90EF4" w:rsidRDefault="00F90EF4" w:rsidP="00F90EF4">
      <w:pPr>
        <w:pStyle w:val="Commentaire"/>
        <w:numPr>
          <w:ilvl w:val="0"/>
          <w:numId w:val="16"/>
        </w:numPr>
        <w:spacing w:after="0"/>
        <w:rPr>
          <w:rFonts w:ascii="Times New Roman" w:eastAsia="Times New Roman" w:hAnsi="Times New Roman" w:cs="Times New Roman"/>
          <w:color w:val="000000" w:themeColor="text1"/>
          <w:sz w:val="24"/>
          <w:szCs w:val="24"/>
        </w:rPr>
      </w:pPr>
      <w:r w:rsidRPr="00E175FC">
        <w:rPr>
          <w:rFonts w:ascii="Times New Roman" w:eastAsia="Times New Roman" w:hAnsi="Times New Roman" w:cs="Times New Roman"/>
          <w:color w:val="000000" w:themeColor="text1"/>
          <w:sz w:val="24"/>
          <w:szCs w:val="24"/>
        </w:rPr>
        <w:t>Quels sont les résultats obtenus (prévus et/ou non prévus) ou les progrès vers les résultats ?</w:t>
      </w:r>
    </w:p>
    <w:p w:rsidR="00F90EF4" w:rsidRPr="00E175FC" w:rsidRDefault="00F90EF4" w:rsidP="00F90EF4">
      <w:pPr>
        <w:pStyle w:val="Commentaire"/>
        <w:numPr>
          <w:ilvl w:val="0"/>
          <w:numId w:val="16"/>
        </w:numPr>
        <w:spacing w:after="0"/>
        <w:rPr>
          <w:rFonts w:ascii="Times New Roman" w:eastAsia="Times New Roman" w:hAnsi="Times New Roman" w:cs="Times New Roman"/>
          <w:color w:val="000000" w:themeColor="text1"/>
          <w:sz w:val="24"/>
          <w:szCs w:val="24"/>
        </w:rPr>
      </w:pPr>
      <w:r w:rsidRPr="00E175FC">
        <w:rPr>
          <w:rFonts w:ascii="Times New Roman" w:eastAsia="Times New Roman" w:hAnsi="Times New Roman" w:cs="Times New Roman"/>
          <w:color w:val="000000" w:themeColor="text1"/>
          <w:sz w:val="24"/>
          <w:szCs w:val="24"/>
        </w:rPr>
        <w:t>Comment les intrants et les activités ont-ils mené aux produits?</w:t>
      </w:r>
    </w:p>
    <w:p w:rsidR="00F90EF4" w:rsidRPr="00E175FC" w:rsidRDefault="00F90EF4" w:rsidP="00F90EF4">
      <w:pPr>
        <w:pStyle w:val="Commentaire"/>
        <w:numPr>
          <w:ilvl w:val="0"/>
          <w:numId w:val="16"/>
        </w:numPr>
        <w:spacing w:after="0"/>
        <w:rPr>
          <w:rFonts w:ascii="Times New Roman" w:eastAsia="Times New Roman" w:hAnsi="Times New Roman" w:cs="Times New Roman"/>
          <w:color w:val="000000" w:themeColor="text1"/>
          <w:sz w:val="24"/>
          <w:szCs w:val="24"/>
        </w:rPr>
      </w:pPr>
      <w:r w:rsidRPr="00E175FC">
        <w:rPr>
          <w:rFonts w:ascii="Times New Roman" w:eastAsia="Times New Roman" w:hAnsi="Times New Roman" w:cs="Times New Roman"/>
          <w:color w:val="000000" w:themeColor="text1"/>
          <w:sz w:val="24"/>
          <w:szCs w:val="24"/>
        </w:rPr>
        <w:t>Quelle était la couverture de l’intervention? Est-ce qu’elle a atteint les groupes cibles prévus?</w:t>
      </w:r>
    </w:p>
    <w:p w:rsidR="00F90EF4" w:rsidRPr="00E175FC" w:rsidRDefault="00F90EF4" w:rsidP="00F90EF4">
      <w:pPr>
        <w:pStyle w:val="Style"/>
        <w:numPr>
          <w:ilvl w:val="0"/>
          <w:numId w:val="16"/>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 xml:space="preserve">Quels facteurs ont contraint ou facilité l'atteinte des résultats (Quelles étaient les influences contextuelles)? </w:t>
      </w:r>
    </w:p>
    <w:p w:rsidR="00F90EF4" w:rsidRDefault="00F90EF4" w:rsidP="00F90EF4">
      <w:pPr>
        <w:pStyle w:val="Style"/>
        <w:numPr>
          <w:ilvl w:val="0"/>
          <w:numId w:val="16"/>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 xml:space="preserve">En quoi et pourquoi certains résultats escomptés n’ont-ils pas été atteints ? Quelles leçons peut-on en tirées ? </w:t>
      </w:r>
    </w:p>
    <w:p w:rsidR="00F90EF4" w:rsidRPr="00E175FC" w:rsidRDefault="00F90EF4" w:rsidP="00F90EF4">
      <w:pPr>
        <w:pStyle w:val="Style"/>
        <w:spacing w:before="0" w:after="0" w:line="240" w:lineRule="auto"/>
        <w:ind w:left="360" w:right="23"/>
        <w:jc w:val="both"/>
        <w:rPr>
          <w:rFonts w:ascii="Times New Roman" w:hAnsi="Times New Roman"/>
          <w:color w:val="000000" w:themeColor="text1"/>
          <w:lang w:val="fr-FR"/>
        </w:rPr>
      </w:pPr>
    </w:p>
    <w:p w:rsidR="00F90EF4" w:rsidRPr="00E175FC" w:rsidRDefault="00F90EF4" w:rsidP="00F90EF4">
      <w:pPr>
        <w:pStyle w:val="Paragraphedeliste"/>
        <w:keepNext/>
        <w:numPr>
          <w:ilvl w:val="1"/>
          <w:numId w:val="1"/>
        </w:numPr>
        <w:spacing w:after="240" w:line="240" w:lineRule="auto"/>
        <w:ind w:left="1134" w:hanging="493"/>
        <w:contextualSpacing w:val="0"/>
        <w:outlineLvl w:val="1"/>
        <w:rPr>
          <w:rFonts w:ascii="Times New Roman" w:eastAsia="Times New Roman" w:hAnsi="Times New Roman" w:cs="Times New Roman"/>
          <w:b/>
          <w:bCs/>
          <w:color w:val="000000" w:themeColor="text1"/>
          <w:sz w:val="24"/>
          <w:szCs w:val="24"/>
          <w:lang w:eastAsia="fr-FR"/>
        </w:rPr>
      </w:pPr>
      <w:bookmarkStart w:id="23" w:name="_Toc452642891"/>
      <w:r w:rsidRPr="00E175FC">
        <w:rPr>
          <w:rFonts w:ascii="Times New Roman" w:eastAsia="Times New Roman" w:hAnsi="Times New Roman" w:cs="Times New Roman"/>
          <w:b/>
          <w:bCs/>
          <w:color w:val="000000" w:themeColor="text1"/>
          <w:sz w:val="24"/>
          <w:szCs w:val="24"/>
          <w:lang w:eastAsia="fr-FR"/>
        </w:rPr>
        <w:t>Efficience :</w:t>
      </w:r>
      <w:bookmarkEnd w:id="23"/>
    </w:p>
    <w:p w:rsidR="00F90EF4" w:rsidRDefault="00F90EF4" w:rsidP="00F90EF4">
      <w:pPr>
        <w:pStyle w:val="Style"/>
        <w:numPr>
          <w:ilvl w:val="0"/>
          <w:numId w:val="17"/>
        </w:numPr>
        <w:spacing w:before="0" w:after="0" w:line="240" w:lineRule="auto"/>
        <w:ind w:right="23"/>
        <w:jc w:val="both"/>
        <w:rPr>
          <w:rFonts w:ascii="Times New Roman" w:hAnsi="Times New Roman"/>
          <w:color w:val="000000" w:themeColor="text1"/>
          <w:lang w:val="fr-FR"/>
        </w:rPr>
      </w:pPr>
      <w:r>
        <w:rPr>
          <w:rFonts w:ascii="Times New Roman" w:hAnsi="Times New Roman"/>
          <w:color w:val="000000" w:themeColor="text1"/>
          <w:lang w:val="fr-FR"/>
        </w:rPr>
        <w:t>L</w:t>
      </w:r>
      <w:r w:rsidRPr="00E175FC">
        <w:rPr>
          <w:rFonts w:ascii="Times New Roman" w:hAnsi="Times New Roman"/>
          <w:color w:val="000000" w:themeColor="text1"/>
          <w:lang w:val="fr-FR"/>
        </w:rPr>
        <w:t>es intrants (financiers et matériels) investis ont-ils été utilisés de façon optimale pour atteindre les produits ?</w:t>
      </w:r>
    </w:p>
    <w:p w:rsidR="00F90EF4" w:rsidRDefault="00F90EF4" w:rsidP="00F90EF4">
      <w:pPr>
        <w:pStyle w:val="Style"/>
        <w:numPr>
          <w:ilvl w:val="0"/>
          <w:numId w:val="17"/>
        </w:numPr>
        <w:spacing w:before="0" w:after="0" w:line="240" w:lineRule="auto"/>
        <w:ind w:right="23"/>
        <w:jc w:val="both"/>
        <w:rPr>
          <w:rFonts w:ascii="Times New Roman" w:hAnsi="Times New Roman"/>
          <w:color w:val="000000" w:themeColor="text1"/>
          <w:lang w:val="fr-FR"/>
        </w:rPr>
      </w:pPr>
      <w:r>
        <w:rPr>
          <w:rFonts w:ascii="Times New Roman" w:hAnsi="Times New Roman"/>
          <w:color w:val="000000" w:themeColor="text1"/>
          <w:lang w:val="fr-FR"/>
        </w:rPr>
        <w:t>L</w:t>
      </w:r>
      <w:r w:rsidRPr="00E175FC">
        <w:rPr>
          <w:rFonts w:ascii="Times New Roman" w:hAnsi="Times New Roman"/>
          <w:color w:val="000000" w:themeColor="text1"/>
          <w:lang w:val="fr-FR"/>
        </w:rPr>
        <w:t>es intrants (ressources humaines, m</w:t>
      </w:r>
      <w:r>
        <w:rPr>
          <w:rFonts w:ascii="Times New Roman" w:hAnsi="Times New Roman"/>
          <w:color w:val="000000" w:themeColor="text1"/>
          <w:lang w:val="fr-FR"/>
        </w:rPr>
        <w:t xml:space="preserve">atérielles, financières, etc.) </w:t>
      </w:r>
      <w:r w:rsidRPr="00E175FC">
        <w:rPr>
          <w:rFonts w:ascii="Times New Roman" w:hAnsi="Times New Roman"/>
          <w:color w:val="000000" w:themeColor="text1"/>
          <w:lang w:val="fr-FR"/>
        </w:rPr>
        <w:t xml:space="preserve">ont- ils été fournis dans les délais?  Raisons et impacts ? </w:t>
      </w:r>
    </w:p>
    <w:p w:rsidR="00F90EF4" w:rsidRDefault="00F90EF4" w:rsidP="00F90EF4">
      <w:pPr>
        <w:pStyle w:val="Style"/>
        <w:numPr>
          <w:ilvl w:val="0"/>
          <w:numId w:val="17"/>
        </w:numPr>
        <w:spacing w:before="0" w:after="0" w:line="240" w:lineRule="auto"/>
        <w:ind w:right="23"/>
        <w:jc w:val="both"/>
        <w:rPr>
          <w:rFonts w:ascii="Times New Roman" w:hAnsi="Times New Roman"/>
          <w:color w:val="000000" w:themeColor="text1"/>
          <w:lang w:val="fr-FR"/>
        </w:rPr>
      </w:pPr>
      <w:r>
        <w:rPr>
          <w:rFonts w:ascii="Times New Roman" w:hAnsi="Times New Roman"/>
          <w:color w:val="000000" w:themeColor="text1"/>
          <w:lang w:val="fr-FR"/>
        </w:rPr>
        <w:t>L</w:t>
      </w:r>
      <w:r w:rsidRPr="00E175FC">
        <w:rPr>
          <w:rFonts w:ascii="Times New Roman" w:hAnsi="Times New Roman"/>
          <w:color w:val="000000" w:themeColor="text1"/>
          <w:lang w:val="fr-FR"/>
        </w:rPr>
        <w:t xml:space="preserve">es ressources ont-elles été dépensées rationnellement? </w:t>
      </w:r>
    </w:p>
    <w:p w:rsidR="00F90EF4" w:rsidRDefault="00F90EF4" w:rsidP="00F90EF4">
      <w:pPr>
        <w:pStyle w:val="Style"/>
        <w:numPr>
          <w:ilvl w:val="0"/>
          <w:numId w:val="17"/>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Les mêmes investissements auraient-ils permis d’atteindre plus de résultats ? Si oui, comment ?</w:t>
      </w:r>
    </w:p>
    <w:p w:rsidR="00F90EF4" w:rsidRPr="00E175FC" w:rsidRDefault="00F90EF4" w:rsidP="00F90EF4">
      <w:pPr>
        <w:pStyle w:val="Style"/>
        <w:spacing w:before="0" w:after="0" w:line="240" w:lineRule="auto"/>
        <w:ind w:left="360" w:right="23"/>
        <w:jc w:val="both"/>
        <w:rPr>
          <w:rFonts w:ascii="Times New Roman" w:hAnsi="Times New Roman"/>
          <w:color w:val="000000" w:themeColor="text1"/>
          <w:lang w:val="fr-FR"/>
        </w:rPr>
      </w:pPr>
    </w:p>
    <w:p w:rsidR="00F90EF4" w:rsidRPr="00E175FC" w:rsidRDefault="00F90EF4" w:rsidP="00F90EF4">
      <w:pPr>
        <w:pStyle w:val="Paragraphedeliste"/>
        <w:keepNext/>
        <w:numPr>
          <w:ilvl w:val="1"/>
          <w:numId w:val="1"/>
        </w:numPr>
        <w:spacing w:after="240" w:line="240" w:lineRule="auto"/>
        <w:ind w:left="1134" w:hanging="493"/>
        <w:contextualSpacing w:val="0"/>
        <w:outlineLvl w:val="1"/>
        <w:rPr>
          <w:rFonts w:ascii="Times New Roman" w:eastAsia="Times New Roman" w:hAnsi="Times New Roman" w:cs="Times New Roman"/>
          <w:b/>
          <w:bCs/>
          <w:color w:val="000000" w:themeColor="text1"/>
          <w:sz w:val="24"/>
          <w:szCs w:val="24"/>
          <w:lang w:eastAsia="fr-FR"/>
        </w:rPr>
      </w:pPr>
      <w:bookmarkStart w:id="24" w:name="_Toc452642892"/>
      <w:r w:rsidRPr="00E175FC">
        <w:rPr>
          <w:rFonts w:ascii="Times New Roman" w:eastAsia="Times New Roman" w:hAnsi="Times New Roman" w:cs="Times New Roman"/>
          <w:b/>
          <w:bCs/>
          <w:color w:val="000000" w:themeColor="text1"/>
          <w:sz w:val="24"/>
          <w:szCs w:val="24"/>
          <w:lang w:eastAsia="fr-FR"/>
        </w:rPr>
        <w:t>Durabilité :</w:t>
      </w:r>
      <w:bookmarkEnd w:id="24"/>
    </w:p>
    <w:p w:rsidR="00F90EF4" w:rsidRDefault="00F90EF4" w:rsidP="00F90EF4">
      <w:pPr>
        <w:pStyle w:val="Style"/>
        <w:numPr>
          <w:ilvl w:val="0"/>
          <w:numId w:val="18"/>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Quelle sera la pérennité des résultats du projet TOKTEN après l'arrêt de la coopération avec le PNUD ? Que faudrait-il faire pour l’assurer ?</w:t>
      </w:r>
    </w:p>
    <w:p w:rsidR="00F90EF4" w:rsidRDefault="00F90EF4" w:rsidP="00F90EF4">
      <w:pPr>
        <w:pStyle w:val="Style"/>
        <w:numPr>
          <w:ilvl w:val="0"/>
          <w:numId w:val="18"/>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 xml:space="preserve">Le projet TOKTEN aura-t-il des résultats durables après sa clôture ? Que faudrait-il faire pour l’assurer ? </w:t>
      </w:r>
    </w:p>
    <w:p w:rsidR="00F90EF4" w:rsidRDefault="00F90EF4" w:rsidP="00F90EF4">
      <w:pPr>
        <w:pStyle w:val="Style"/>
        <w:numPr>
          <w:ilvl w:val="0"/>
          <w:numId w:val="18"/>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Est-ce que les parties prenantes sont prêtes à continuer de soutenir  les activités du programme?</w:t>
      </w:r>
    </w:p>
    <w:p w:rsidR="00F90EF4" w:rsidRDefault="00F90EF4" w:rsidP="00F90EF4">
      <w:pPr>
        <w:pStyle w:val="Style"/>
        <w:numPr>
          <w:ilvl w:val="0"/>
          <w:numId w:val="18"/>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lastRenderedPageBreak/>
        <w:t>Quelles seront les différentes options pour assurer la consolidation des acquis du programme ?</w:t>
      </w:r>
    </w:p>
    <w:p w:rsidR="00F90EF4" w:rsidRDefault="00F90EF4" w:rsidP="00F90EF4">
      <w:pPr>
        <w:pStyle w:val="Style"/>
        <w:numPr>
          <w:ilvl w:val="0"/>
          <w:numId w:val="18"/>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Quels éléments de plaidoyer développer pour amener l’Etat et les partenaires techniques et financiers à financer les options retenues ?</w:t>
      </w:r>
    </w:p>
    <w:p w:rsidR="00F90EF4" w:rsidRPr="00E175FC" w:rsidRDefault="00F90EF4" w:rsidP="00F90EF4">
      <w:pPr>
        <w:pStyle w:val="Style"/>
        <w:spacing w:before="0" w:after="0" w:line="240" w:lineRule="auto"/>
        <w:ind w:left="360" w:right="23"/>
        <w:jc w:val="both"/>
        <w:rPr>
          <w:rFonts w:ascii="Times New Roman" w:hAnsi="Times New Roman"/>
          <w:color w:val="000000" w:themeColor="text1"/>
          <w:lang w:val="fr-FR"/>
        </w:rPr>
      </w:pPr>
    </w:p>
    <w:p w:rsidR="00F90EF4" w:rsidRPr="00E175FC" w:rsidRDefault="00F90EF4" w:rsidP="00F90EF4">
      <w:pPr>
        <w:pStyle w:val="Paragraphedeliste"/>
        <w:keepNext/>
        <w:numPr>
          <w:ilvl w:val="1"/>
          <w:numId w:val="1"/>
        </w:numPr>
        <w:spacing w:after="240" w:line="240" w:lineRule="auto"/>
        <w:ind w:left="1134" w:hanging="493"/>
        <w:contextualSpacing w:val="0"/>
        <w:outlineLvl w:val="1"/>
        <w:rPr>
          <w:rFonts w:ascii="Times New Roman" w:eastAsia="Times New Roman" w:hAnsi="Times New Roman" w:cs="Times New Roman"/>
          <w:b/>
          <w:bCs/>
          <w:color w:val="000000" w:themeColor="text1"/>
          <w:sz w:val="24"/>
          <w:szCs w:val="24"/>
          <w:lang w:eastAsia="fr-FR"/>
        </w:rPr>
      </w:pPr>
      <w:r w:rsidRPr="00E175FC">
        <w:rPr>
          <w:rFonts w:ascii="Times New Roman" w:eastAsia="Times New Roman" w:hAnsi="Times New Roman" w:cs="Times New Roman"/>
          <w:b/>
          <w:bCs/>
          <w:color w:val="000000" w:themeColor="text1"/>
          <w:sz w:val="24"/>
          <w:szCs w:val="24"/>
          <w:lang w:eastAsia="fr-FR"/>
        </w:rPr>
        <w:t>Impact:</w:t>
      </w:r>
    </w:p>
    <w:p w:rsidR="00F90EF4" w:rsidRDefault="00F90EF4" w:rsidP="00F90EF4">
      <w:pPr>
        <w:pStyle w:val="Style"/>
        <w:numPr>
          <w:ilvl w:val="0"/>
          <w:numId w:val="19"/>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Quels sont les résultats concrets du projet sur les groupes cibles et/ou la population, directement ou indirectement ? Quels correctifs à proposer ?</w:t>
      </w:r>
    </w:p>
    <w:p w:rsidR="00F90EF4" w:rsidRDefault="00F90EF4" w:rsidP="00F90EF4">
      <w:pPr>
        <w:pStyle w:val="Style"/>
        <w:numPr>
          <w:ilvl w:val="0"/>
          <w:numId w:val="19"/>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Y-a-t-il des résultats de développement dans les secteurs de de l’enseignement supérieur, de l’Agriculture, de l’éducation, de la santé, et dans le secteur privé ? Analyse critique : points forts, versus aspects à améliorer</w:t>
      </w:r>
      <w:r>
        <w:rPr>
          <w:rFonts w:ascii="Times New Roman" w:hAnsi="Times New Roman"/>
          <w:color w:val="000000" w:themeColor="text1"/>
          <w:lang w:val="fr-FR"/>
        </w:rPr>
        <w:t> ?</w:t>
      </w:r>
    </w:p>
    <w:p w:rsidR="00F90EF4" w:rsidRDefault="00F90EF4" w:rsidP="00F90EF4">
      <w:pPr>
        <w:pStyle w:val="Style"/>
        <w:numPr>
          <w:ilvl w:val="0"/>
          <w:numId w:val="19"/>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 xml:space="preserve">Les résultats obtenus par le projet en termes de produits et d’effets vont-ils permettre d’atteindre l’impact escompté pour les bénéficiaires et la population en général ? </w:t>
      </w:r>
    </w:p>
    <w:p w:rsidR="00F90EF4" w:rsidRPr="00E175FC" w:rsidRDefault="00F90EF4" w:rsidP="00F90EF4">
      <w:pPr>
        <w:pStyle w:val="Style"/>
        <w:numPr>
          <w:ilvl w:val="0"/>
          <w:numId w:val="19"/>
        </w:numPr>
        <w:spacing w:before="0" w:after="0" w:line="240" w:lineRule="auto"/>
        <w:ind w:right="23"/>
        <w:jc w:val="both"/>
        <w:rPr>
          <w:rFonts w:ascii="Times New Roman" w:hAnsi="Times New Roman"/>
          <w:color w:val="000000" w:themeColor="text1"/>
          <w:lang w:val="fr-FR"/>
        </w:rPr>
      </w:pPr>
      <w:r w:rsidRPr="00E175FC">
        <w:rPr>
          <w:rFonts w:ascii="Times New Roman" w:hAnsi="Times New Roman"/>
          <w:color w:val="000000" w:themeColor="text1"/>
          <w:lang w:val="fr-FR"/>
        </w:rPr>
        <w:t>De quelle manière les questions de genre ont-elles été prises en compte par le projet et de quelle manière les résultats obtenus touchent différemment les femmes et les hommes en matière de renforcement des capacités ?</w:t>
      </w:r>
    </w:p>
    <w:p w:rsidR="00F90EF4" w:rsidRDefault="00F90EF4" w:rsidP="00F90EF4">
      <w:pPr>
        <w:keepNext/>
        <w:spacing w:after="0" w:line="240" w:lineRule="auto"/>
        <w:outlineLvl w:val="1"/>
        <w:rPr>
          <w:rFonts w:ascii="Times New Roman" w:eastAsia="Times New Roman" w:hAnsi="Times New Roman" w:cs="Times New Roman"/>
          <w:b/>
          <w:bCs/>
          <w:color w:val="000000" w:themeColor="text1"/>
          <w:sz w:val="24"/>
          <w:szCs w:val="24"/>
          <w:lang w:eastAsia="fr-FR"/>
        </w:rPr>
      </w:pPr>
    </w:p>
    <w:p w:rsidR="00F90EF4" w:rsidRPr="00E175FC" w:rsidRDefault="00F90EF4" w:rsidP="00F90EF4">
      <w:pPr>
        <w:keepNext/>
        <w:spacing w:after="0" w:line="240" w:lineRule="auto"/>
        <w:outlineLvl w:val="1"/>
        <w:rPr>
          <w:rFonts w:ascii="Times New Roman" w:eastAsia="Times New Roman" w:hAnsi="Times New Roman" w:cs="Times New Roman"/>
          <w:b/>
          <w:bCs/>
          <w:color w:val="000000" w:themeColor="text1"/>
          <w:sz w:val="24"/>
          <w:szCs w:val="24"/>
          <w:lang w:eastAsia="fr-FR"/>
        </w:rPr>
      </w:pPr>
    </w:p>
    <w:p w:rsidR="00F90EF4" w:rsidRPr="004969C5" w:rsidRDefault="00F90EF4" w:rsidP="00F90EF4">
      <w:pPr>
        <w:pStyle w:val="Paragraphedeliste"/>
        <w:numPr>
          <w:ilvl w:val="0"/>
          <w:numId w:val="1"/>
        </w:numPr>
        <w:spacing w:line="240" w:lineRule="auto"/>
        <w:jc w:val="both"/>
        <w:rPr>
          <w:rFonts w:ascii="Times New Roman" w:hAnsi="Times New Roman" w:cs="Times New Roman"/>
          <w:b/>
          <w:sz w:val="28"/>
          <w:szCs w:val="28"/>
        </w:rPr>
      </w:pPr>
      <w:r w:rsidRPr="004969C5">
        <w:rPr>
          <w:rFonts w:ascii="Times New Roman" w:hAnsi="Times New Roman" w:cs="Times New Roman"/>
          <w:b/>
          <w:sz w:val="28"/>
          <w:szCs w:val="28"/>
        </w:rPr>
        <w:t>Méthodologie de la mission</w:t>
      </w:r>
    </w:p>
    <w:p w:rsidR="00F90EF4" w:rsidRDefault="00F90EF4" w:rsidP="00F90EF4">
      <w:pPr>
        <w:spacing w:after="0" w:line="240" w:lineRule="auto"/>
        <w:jc w:val="both"/>
      </w:pPr>
      <w:r>
        <w:rPr>
          <w:rFonts w:ascii="Times New Roman" w:eastAsia="Times New Roman" w:hAnsi="Times New Roman" w:cs="Times New Roman"/>
          <w:sz w:val="24"/>
          <w:szCs w:val="24"/>
          <w:lang w:eastAsia="fr-FR"/>
        </w:rPr>
        <w:t>La mission</w:t>
      </w:r>
      <w:r w:rsidRPr="002A04C8">
        <w:rPr>
          <w:rFonts w:ascii="Times New Roman" w:eastAsia="Times New Roman" w:hAnsi="Times New Roman" w:cs="Times New Roman"/>
          <w:sz w:val="24"/>
          <w:szCs w:val="24"/>
          <w:lang w:eastAsia="fr-FR"/>
        </w:rPr>
        <w:t xml:space="preserve"> débutera ses activités dès notification de la consultation par </w:t>
      </w:r>
      <w:r>
        <w:rPr>
          <w:rFonts w:ascii="Times New Roman" w:eastAsia="Times New Roman" w:hAnsi="Times New Roman" w:cs="Times New Roman"/>
          <w:sz w:val="24"/>
          <w:szCs w:val="24"/>
          <w:lang w:eastAsia="fr-FR"/>
        </w:rPr>
        <w:t xml:space="preserve">le PNUD </w:t>
      </w:r>
      <w:r w:rsidRPr="002A04C8">
        <w:rPr>
          <w:rFonts w:ascii="Times New Roman" w:eastAsia="Times New Roman" w:hAnsi="Times New Roman" w:cs="Times New Roman"/>
          <w:sz w:val="24"/>
          <w:szCs w:val="24"/>
          <w:lang w:eastAsia="fr-FR"/>
        </w:rPr>
        <w:t xml:space="preserve">et acceptation des conditions et du contenu des présents </w:t>
      </w:r>
      <w:r>
        <w:rPr>
          <w:rFonts w:ascii="Times New Roman" w:eastAsia="Times New Roman" w:hAnsi="Times New Roman" w:cs="Times New Roman"/>
          <w:sz w:val="24"/>
          <w:szCs w:val="24"/>
          <w:lang w:eastAsia="fr-FR"/>
        </w:rPr>
        <w:t>termes de référenc</w:t>
      </w:r>
      <w:r>
        <w:t>e.</w:t>
      </w:r>
    </w:p>
    <w:p w:rsidR="00F90EF4" w:rsidRDefault="00F90EF4" w:rsidP="00F90EF4">
      <w:pPr>
        <w:spacing w:after="0" w:line="240" w:lineRule="auto"/>
        <w:jc w:val="both"/>
        <w:rPr>
          <w:rFonts w:ascii="Times New Roman" w:eastAsia="Times New Roman" w:hAnsi="Times New Roman" w:cs="Times New Roman"/>
          <w:sz w:val="24"/>
          <w:szCs w:val="24"/>
          <w:lang w:eastAsia="fr-FR"/>
        </w:rPr>
      </w:pPr>
    </w:p>
    <w:p w:rsidR="00F90EF4" w:rsidRPr="002A04C8" w:rsidRDefault="00F90EF4" w:rsidP="00F90EF4">
      <w:pPr>
        <w:spacing w:after="6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Elle sera conduite </w:t>
      </w:r>
      <w:r w:rsidRPr="002A04C8">
        <w:rPr>
          <w:rFonts w:ascii="Times New Roman" w:eastAsia="Times New Roman" w:hAnsi="Times New Roman" w:cs="Times New Roman"/>
          <w:sz w:val="24"/>
          <w:szCs w:val="24"/>
          <w:lang w:eastAsia="fr-FR"/>
        </w:rPr>
        <w:t>comme suit :</w:t>
      </w:r>
    </w:p>
    <w:p w:rsidR="00F90EF4" w:rsidRPr="004969C5" w:rsidRDefault="00F90EF4" w:rsidP="00F90EF4">
      <w:pPr>
        <w:pStyle w:val="Paragraphedeliste"/>
        <w:numPr>
          <w:ilvl w:val="0"/>
          <w:numId w:val="20"/>
        </w:numPr>
        <w:spacing w:after="0"/>
        <w:jc w:val="both"/>
        <w:rPr>
          <w:rFonts w:ascii="Times New Roman" w:eastAsia="Times New Roman" w:hAnsi="Times New Roman" w:cs="Times New Roman"/>
          <w:sz w:val="24"/>
          <w:szCs w:val="24"/>
          <w:lang w:eastAsia="fr-FR"/>
        </w:rPr>
      </w:pPr>
      <w:r w:rsidRPr="004969C5">
        <w:rPr>
          <w:rFonts w:ascii="Times New Roman" w:eastAsia="Times New Roman" w:hAnsi="Times New Roman" w:cs="Times New Roman"/>
          <w:sz w:val="24"/>
          <w:szCs w:val="24"/>
          <w:lang w:eastAsia="fr-FR"/>
        </w:rPr>
        <w:t>La mission vérifiera et appréciera les critères énoncés au point 5 (pertinence, efficacité, efficience, durabilité et effet induit/impact) ;</w:t>
      </w:r>
    </w:p>
    <w:p w:rsidR="00F90EF4" w:rsidRPr="004969C5" w:rsidRDefault="00F90EF4" w:rsidP="00F90EF4">
      <w:pPr>
        <w:pStyle w:val="Paragraphedeliste"/>
        <w:numPr>
          <w:ilvl w:val="0"/>
          <w:numId w:val="20"/>
        </w:numPr>
        <w:spacing w:after="0"/>
        <w:jc w:val="both"/>
        <w:rPr>
          <w:rFonts w:ascii="Times New Roman" w:eastAsia="Times New Roman" w:hAnsi="Times New Roman" w:cs="Times New Roman"/>
          <w:sz w:val="24"/>
          <w:szCs w:val="24"/>
          <w:lang w:eastAsia="fr-FR"/>
        </w:rPr>
      </w:pPr>
      <w:r w:rsidRPr="004969C5">
        <w:rPr>
          <w:rFonts w:ascii="Times New Roman" w:eastAsia="Times New Roman" w:hAnsi="Times New Roman" w:cs="Times New Roman"/>
          <w:sz w:val="24"/>
          <w:szCs w:val="24"/>
          <w:lang w:eastAsia="fr-FR"/>
        </w:rPr>
        <w:t>Elle analysera et appréciera l’incidence du projet TOKTEN sur les secteurs concernés, notamment l’éducation, la santé, l’Agriculture, les PME/PMI et d’autres administrations ou secteurs d’activités ;</w:t>
      </w:r>
    </w:p>
    <w:p w:rsidR="00F90EF4" w:rsidRPr="004969C5" w:rsidRDefault="00F90EF4" w:rsidP="00F90EF4">
      <w:pPr>
        <w:pStyle w:val="Paragraphedeliste"/>
        <w:numPr>
          <w:ilvl w:val="0"/>
          <w:numId w:val="20"/>
        </w:numPr>
        <w:spacing w:after="0"/>
        <w:jc w:val="both"/>
        <w:rPr>
          <w:rFonts w:ascii="Times New Roman" w:eastAsia="Times New Roman" w:hAnsi="Times New Roman" w:cs="Times New Roman"/>
          <w:sz w:val="24"/>
          <w:szCs w:val="24"/>
          <w:lang w:eastAsia="fr-FR"/>
        </w:rPr>
      </w:pPr>
      <w:r w:rsidRPr="004969C5">
        <w:rPr>
          <w:rFonts w:ascii="Times New Roman" w:eastAsia="Times New Roman" w:hAnsi="Times New Roman" w:cs="Times New Roman"/>
          <w:sz w:val="24"/>
          <w:szCs w:val="24"/>
          <w:lang w:eastAsia="fr-FR"/>
        </w:rPr>
        <w:t>Elle appréciera les résultats atteints par le projet TOKTEN en rapport avec les objectifs définis lors de la formulation du projet ;</w:t>
      </w:r>
    </w:p>
    <w:p w:rsidR="00F90EF4" w:rsidRPr="004969C5" w:rsidRDefault="00F90EF4" w:rsidP="00F90EF4">
      <w:pPr>
        <w:pStyle w:val="Paragraphedeliste"/>
        <w:numPr>
          <w:ilvl w:val="0"/>
          <w:numId w:val="20"/>
        </w:numPr>
        <w:spacing w:after="0"/>
        <w:jc w:val="both"/>
        <w:rPr>
          <w:rFonts w:ascii="Times New Roman" w:eastAsia="Times New Roman" w:hAnsi="Times New Roman" w:cs="Times New Roman"/>
          <w:sz w:val="24"/>
          <w:szCs w:val="24"/>
          <w:lang w:eastAsia="fr-FR"/>
        </w:rPr>
      </w:pPr>
      <w:r w:rsidRPr="004969C5">
        <w:rPr>
          <w:rFonts w:ascii="Times New Roman" w:eastAsia="Times New Roman" w:hAnsi="Times New Roman" w:cs="Times New Roman"/>
          <w:sz w:val="24"/>
          <w:szCs w:val="24"/>
          <w:lang w:eastAsia="fr-FR"/>
        </w:rPr>
        <w:t>Elle évaluera la qualité des services du projet TOKTEN et sa contribution au renforcement des capacités. Son impact sur l'appropriation de la modalité par le Ministère des maliens de l’Extérieur et, notamment eu égard à sa stratégie de transfert de connaissances via les maliens de la diaspora ;</w:t>
      </w:r>
    </w:p>
    <w:p w:rsidR="00F90EF4" w:rsidRPr="004969C5" w:rsidRDefault="00F90EF4" w:rsidP="00F90EF4">
      <w:pPr>
        <w:pStyle w:val="Paragraphedeliste"/>
        <w:numPr>
          <w:ilvl w:val="0"/>
          <w:numId w:val="20"/>
        </w:numPr>
        <w:spacing w:after="0"/>
        <w:jc w:val="both"/>
        <w:rPr>
          <w:rFonts w:ascii="Times New Roman" w:eastAsia="Times New Roman" w:hAnsi="Times New Roman" w:cs="Times New Roman"/>
          <w:sz w:val="24"/>
          <w:szCs w:val="24"/>
          <w:lang w:eastAsia="fr-FR"/>
        </w:rPr>
      </w:pPr>
      <w:r w:rsidRPr="004969C5">
        <w:rPr>
          <w:rFonts w:ascii="Times New Roman" w:eastAsia="Times New Roman" w:hAnsi="Times New Roman" w:cs="Times New Roman"/>
          <w:sz w:val="24"/>
          <w:szCs w:val="24"/>
          <w:lang w:eastAsia="fr-FR"/>
        </w:rPr>
        <w:t>Elle évaluera le bien fondé du programme, suite aux changements intervenus (version élargie), le contexte institutionnel et le processus de développement du Mali ainsi que les nouvelles stratégies et les tendances de la politique économique.</w:t>
      </w:r>
    </w:p>
    <w:p w:rsidR="00F90EF4" w:rsidRPr="00E95441" w:rsidRDefault="00F90EF4" w:rsidP="00F90EF4">
      <w:pPr>
        <w:numPr>
          <w:ilvl w:val="2"/>
          <w:numId w:val="3"/>
        </w:numPr>
        <w:spacing w:after="0" w:line="240" w:lineRule="auto"/>
        <w:ind w:left="782"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mission</w:t>
      </w:r>
      <w:r w:rsidRPr="00E95441">
        <w:rPr>
          <w:rFonts w:ascii="Times New Roman" w:eastAsia="Times New Roman" w:hAnsi="Times New Roman" w:cs="Times New Roman"/>
          <w:sz w:val="24"/>
          <w:szCs w:val="24"/>
          <w:lang w:eastAsia="fr-FR"/>
        </w:rPr>
        <w:t xml:space="preserve"> appréciera les rapports fonctionnels entre le projet TOKTEN avec les partenaires que sont le Gouvernement, le PNUD.</w:t>
      </w:r>
    </w:p>
    <w:p w:rsidR="00F90EF4" w:rsidRPr="00E95441" w:rsidRDefault="00F90EF4" w:rsidP="00F90EF4">
      <w:pPr>
        <w:numPr>
          <w:ilvl w:val="2"/>
          <w:numId w:val="3"/>
        </w:numPr>
        <w:spacing w:after="0" w:line="240" w:lineRule="auto"/>
        <w:ind w:left="782"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w:t>
      </w:r>
      <w:r w:rsidRPr="00E95441">
        <w:rPr>
          <w:rFonts w:ascii="Times New Roman" w:eastAsia="Times New Roman" w:hAnsi="Times New Roman" w:cs="Times New Roman"/>
          <w:sz w:val="24"/>
          <w:szCs w:val="24"/>
          <w:lang w:eastAsia="fr-FR"/>
        </w:rPr>
        <w:t xml:space="preserve"> identifiera les problèmes (d'ordre institutionnel, Admini</w:t>
      </w:r>
      <w:r>
        <w:rPr>
          <w:rFonts w:ascii="Times New Roman" w:eastAsia="Times New Roman" w:hAnsi="Times New Roman" w:cs="Times New Roman"/>
          <w:sz w:val="24"/>
          <w:szCs w:val="24"/>
          <w:lang w:eastAsia="fr-FR"/>
        </w:rPr>
        <w:t>stratif, organisationnel etc.</w:t>
      </w:r>
      <w:r w:rsidRPr="00E95441">
        <w:rPr>
          <w:rFonts w:ascii="Times New Roman" w:eastAsia="Times New Roman" w:hAnsi="Times New Roman" w:cs="Times New Roman"/>
          <w:sz w:val="24"/>
          <w:szCs w:val="24"/>
          <w:lang w:eastAsia="fr-FR"/>
        </w:rPr>
        <w:t xml:space="preserve">.) et les contraintes liés à la mise en œuvre du programme. </w:t>
      </w:r>
    </w:p>
    <w:p w:rsidR="00F90EF4" w:rsidRPr="00E95441" w:rsidRDefault="00F90EF4" w:rsidP="00F90EF4">
      <w:pPr>
        <w:numPr>
          <w:ilvl w:val="2"/>
          <w:numId w:val="3"/>
        </w:numPr>
        <w:spacing w:after="0" w:line="240" w:lineRule="auto"/>
        <w:ind w:left="782"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w:t>
      </w:r>
      <w:r w:rsidRPr="00E95441">
        <w:rPr>
          <w:rFonts w:ascii="Times New Roman" w:eastAsia="Times New Roman" w:hAnsi="Times New Roman" w:cs="Times New Roman"/>
          <w:sz w:val="24"/>
          <w:szCs w:val="24"/>
          <w:lang w:eastAsia="fr-FR"/>
        </w:rPr>
        <w:t xml:space="preserve"> fera des recommandations quant aux aspects devant être améliorés afin d’atteindre les résultats attendus. </w:t>
      </w:r>
    </w:p>
    <w:p w:rsidR="00F90EF4" w:rsidRPr="00E95441" w:rsidRDefault="00F90EF4" w:rsidP="00F90EF4">
      <w:pPr>
        <w:numPr>
          <w:ilvl w:val="2"/>
          <w:numId w:val="3"/>
        </w:numPr>
        <w:spacing w:after="0" w:line="240" w:lineRule="auto"/>
        <w:ind w:left="782"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w:t>
      </w:r>
      <w:r w:rsidRPr="00E95441">
        <w:rPr>
          <w:rFonts w:ascii="Times New Roman" w:eastAsia="Times New Roman" w:hAnsi="Times New Roman" w:cs="Times New Roman"/>
          <w:sz w:val="24"/>
          <w:szCs w:val="24"/>
          <w:lang w:eastAsia="fr-FR"/>
        </w:rPr>
        <w:t xml:space="preserve"> fera des recommandations sur d’autres aspects nécessaires au renforcement du programme.</w:t>
      </w:r>
    </w:p>
    <w:p w:rsidR="00F90EF4" w:rsidRDefault="00F90EF4" w:rsidP="00F90EF4">
      <w:pPr>
        <w:tabs>
          <w:tab w:val="num" w:pos="1068"/>
        </w:tabs>
        <w:spacing w:after="0" w:line="240" w:lineRule="auto"/>
        <w:jc w:val="both"/>
        <w:rPr>
          <w:rFonts w:ascii="Times New Roman" w:eastAsia="Times New Roman" w:hAnsi="Times New Roman" w:cs="Times New Roman"/>
          <w:color w:val="000000" w:themeColor="text1"/>
          <w:sz w:val="24"/>
          <w:szCs w:val="24"/>
          <w:lang w:eastAsia="fr-FR"/>
        </w:rPr>
      </w:pPr>
    </w:p>
    <w:p w:rsidR="00F90EF4" w:rsidRPr="005D0A38" w:rsidRDefault="00F90EF4" w:rsidP="00F90EF4">
      <w:pPr>
        <w:tabs>
          <w:tab w:val="num" w:pos="1068"/>
        </w:tabs>
        <w:spacing w:after="0" w:line="240" w:lineRule="auto"/>
        <w:jc w:val="both"/>
        <w:rPr>
          <w:rFonts w:ascii="Times New Roman" w:eastAsia="Times New Roman" w:hAnsi="Times New Roman" w:cs="Times New Roman"/>
          <w:color w:val="000000" w:themeColor="text1"/>
          <w:sz w:val="24"/>
          <w:szCs w:val="24"/>
          <w:lang w:eastAsia="fr-FR"/>
        </w:rPr>
      </w:pPr>
      <w:r w:rsidRPr="005D0A38">
        <w:rPr>
          <w:rFonts w:ascii="Times New Roman" w:eastAsia="Times New Roman" w:hAnsi="Times New Roman" w:cs="Times New Roman"/>
          <w:color w:val="000000" w:themeColor="text1"/>
          <w:sz w:val="24"/>
          <w:szCs w:val="24"/>
          <w:lang w:eastAsia="fr-FR"/>
        </w:rPr>
        <w:lastRenderedPageBreak/>
        <w:t xml:space="preserve">Dans son approche, le consultant réalisera les activités suivantes </w:t>
      </w:r>
    </w:p>
    <w:p w:rsidR="00F90EF4" w:rsidRPr="005D0A38" w:rsidRDefault="00F90EF4" w:rsidP="00F90EF4">
      <w:pPr>
        <w:pStyle w:val="En-tte"/>
        <w:numPr>
          <w:ilvl w:val="0"/>
          <w:numId w:val="5"/>
        </w:numPr>
        <w:tabs>
          <w:tab w:val="clear" w:pos="4536"/>
          <w:tab w:val="clear" w:pos="9072"/>
        </w:tabs>
        <w:jc w:val="both"/>
        <w:rPr>
          <w:rFonts w:ascii="Times New Roman" w:hAnsi="Times New Roman" w:cs="Times New Roman"/>
          <w:b/>
          <w:i/>
          <w:color w:val="000000" w:themeColor="text1"/>
          <w:sz w:val="24"/>
          <w:szCs w:val="24"/>
        </w:rPr>
      </w:pPr>
      <w:r w:rsidRPr="005D0A38">
        <w:rPr>
          <w:rFonts w:ascii="Times New Roman" w:hAnsi="Times New Roman" w:cs="Times New Roman"/>
          <w:b/>
          <w:i/>
          <w:color w:val="000000" w:themeColor="text1"/>
          <w:sz w:val="24"/>
          <w:szCs w:val="24"/>
        </w:rPr>
        <w:t>Revue documentaire, compréhension des problématiques via des entretiens préliminaires et définition de la méthodologie (5 jours)</w:t>
      </w:r>
    </w:p>
    <w:p w:rsidR="00F90EF4" w:rsidRDefault="00F90EF4" w:rsidP="00F90EF4">
      <w:pPr>
        <w:pStyle w:val="En-tte"/>
        <w:tabs>
          <w:tab w:val="clear" w:pos="4536"/>
          <w:tab w:val="clear" w:pos="9072"/>
        </w:tabs>
        <w:rPr>
          <w:rFonts w:ascii="Times New Roman" w:hAnsi="Times New Roman" w:cs="Times New Roman"/>
          <w:color w:val="000000" w:themeColor="text1"/>
          <w:sz w:val="24"/>
          <w:szCs w:val="24"/>
        </w:rPr>
      </w:pPr>
    </w:p>
    <w:p w:rsidR="00F90EF4" w:rsidRPr="005D0A38" w:rsidRDefault="00F90EF4" w:rsidP="00F90EF4">
      <w:pPr>
        <w:pStyle w:val="En-tte"/>
        <w:tabs>
          <w:tab w:val="clear" w:pos="4536"/>
          <w:tab w:val="clear" w:pos="9072"/>
        </w:tabs>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Au cours de cette étape de démarrage, les documents suivants doivent être examinés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Documents du Programme TOKTEN : PRODOC, rapports de mise en œuvre, UNDAF, Programme Pays du PNUD (CPD), revues annuelles….</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Documents relatifs à la migration au Mali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Politiques et stratégies relatives à l’éducation, santé, agriculture et PME/PMI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Tout autre document jugé utile.</w:t>
      </w:r>
    </w:p>
    <w:p w:rsidR="00F90EF4" w:rsidRPr="005D0A38" w:rsidRDefault="00F90EF4" w:rsidP="00F90EF4">
      <w:pPr>
        <w:pStyle w:val="En-tte"/>
        <w:tabs>
          <w:tab w:val="clear" w:pos="4536"/>
          <w:tab w:val="clear" w:pos="9072"/>
        </w:tabs>
        <w:rPr>
          <w:rFonts w:ascii="Times New Roman" w:hAnsi="Times New Roman" w:cs="Times New Roman"/>
          <w:color w:val="000000" w:themeColor="text1"/>
          <w:sz w:val="24"/>
          <w:szCs w:val="24"/>
        </w:rPr>
      </w:pPr>
    </w:p>
    <w:p w:rsidR="00F90EF4" w:rsidRPr="005D0A38" w:rsidRDefault="00F90EF4" w:rsidP="00F90EF4">
      <w:pPr>
        <w:pStyle w:val="En-tte"/>
        <w:tabs>
          <w:tab w:val="clear" w:pos="4536"/>
          <w:tab w:val="clear" w:pos="9072"/>
        </w:tabs>
        <w:spacing w:after="120"/>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Les principales parties prenantes du projet seront rencontrées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Ministère Maliens de l’extérieur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PNUD Mali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Coordination TOKTEN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Universités du Mali ;</w:t>
      </w:r>
    </w:p>
    <w:p w:rsidR="00F90EF4" w:rsidRPr="005D0A38" w:rsidRDefault="00F90EF4" w:rsidP="00F90EF4">
      <w:pPr>
        <w:pStyle w:val="Style"/>
        <w:numPr>
          <w:ilvl w:val="0"/>
          <w:numId w:val="4"/>
        </w:numPr>
        <w:spacing w:before="0" w:after="12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Ministères en charge de : Enseignement Supérieur, Santé, Agriculture, PME/PMI,</w:t>
      </w:r>
    </w:p>
    <w:p w:rsidR="00F90EF4" w:rsidRDefault="00F90EF4" w:rsidP="00F90EF4">
      <w:pPr>
        <w:pStyle w:val="En-tte"/>
        <w:tabs>
          <w:tab w:val="clear" w:pos="4536"/>
          <w:tab w:val="clear" w:pos="9072"/>
        </w:tabs>
        <w:jc w:val="both"/>
        <w:rPr>
          <w:rFonts w:ascii="Times New Roman" w:eastAsia="Times New Roman" w:hAnsi="Times New Roman" w:cs="Times New Roman"/>
          <w:color w:val="000000" w:themeColor="text1"/>
          <w:sz w:val="24"/>
          <w:szCs w:val="24"/>
        </w:rPr>
      </w:pPr>
      <w:r w:rsidRPr="005D0A38">
        <w:rPr>
          <w:rFonts w:ascii="Times New Roman" w:eastAsia="Times New Roman" w:hAnsi="Times New Roman" w:cs="Times New Roman"/>
          <w:color w:val="000000" w:themeColor="text1"/>
          <w:sz w:val="24"/>
          <w:szCs w:val="24"/>
        </w:rPr>
        <w:t>A l’issue de cette première étape, une note méthodologique (maximum 10 pages) précisant les problématiques du projet, les enjeux de la mission, la méthodologie retenue y compris les outils, la liste des structures à rencontrer ainsi qu’un calendrier indicatif sera transmise par les Consultants et validée par le PNUD/Coordination TOKTEN.</w:t>
      </w:r>
    </w:p>
    <w:p w:rsidR="00F90EF4" w:rsidRPr="005D0A38" w:rsidRDefault="00F90EF4" w:rsidP="00F90EF4">
      <w:pPr>
        <w:pStyle w:val="En-tte"/>
        <w:tabs>
          <w:tab w:val="clear" w:pos="4536"/>
          <w:tab w:val="clear" w:pos="9072"/>
        </w:tabs>
        <w:jc w:val="both"/>
        <w:rPr>
          <w:rFonts w:ascii="Times New Roman" w:eastAsia="Times New Roman" w:hAnsi="Times New Roman" w:cs="Times New Roman"/>
          <w:color w:val="000000" w:themeColor="text1"/>
          <w:sz w:val="24"/>
          <w:szCs w:val="24"/>
        </w:rPr>
      </w:pPr>
    </w:p>
    <w:p w:rsidR="00F90EF4" w:rsidRPr="005D0A38" w:rsidRDefault="00F90EF4" w:rsidP="00F90EF4">
      <w:pPr>
        <w:pStyle w:val="En-tte"/>
        <w:numPr>
          <w:ilvl w:val="0"/>
          <w:numId w:val="5"/>
        </w:numPr>
        <w:tabs>
          <w:tab w:val="clear" w:pos="4536"/>
          <w:tab w:val="clear" w:pos="9072"/>
        </w:tabs>
        <w:spacing w:after="200"/>
        <w:jc w:val="both"/>
        <w:rPr>
          <w:rFonts w:ascii="Times New Roman" w:hAnsi="Times New Roman" w:cs="Times New Roman"/>
          <w:b/>
          <w:i/>
          <w:color w:val="000000" w:themeColor="text1"/>
          <w:sz w:val="24"/>
          <w:szCs w:val="24"/>
        </w:rPr>
      </w:pPr>
      <w:r w:rsidRPr="005D0A38">
        <w:rPr>
          <w:rFonts w:ascii="Times New Roman" w:hAnsi="Times New Roman" w:cs="Times New Roman"/>
          <w:b/>
          <w:i/>
          <w:color w:val="000000" w:themeColor="text1"/>
          <w:sz w:val="24"/>
          <w:szCs w:val="24"/>
        </w:rPr>
        <w:t>Entretiens et visites de terrain (10 jours)</w:t>
      </w:r>
    </w:p>
    <w:p w:rsidR="00F90EF4" w:rsidRPr="005D0A38" w:rsidRDefault="00F90EF4" w:rsidP="00F90EF4">
      <w:pPr>
        <w:pStyle w:val="En-tte"/>
        <w:tabs>
          <w:tab w:val="clear" w:pos="4536"/>
          <w:tab w:val="clear" w:pos="9072"/>
        </w:tabs>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Les acteurs à rencontrer sont principalement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Les institutions : Ministères et départements administratifs directement impliqués dans la mise en œuvre du Projet ;</w:t>
      </w:r>
    </w:p>
    <w:p w:rsidR="00F90EF4" w:rsidRPr="005D0A38" w:rsidRDefault="00F90EF4" w:rsidP="00F90EF4">
      <w:pPr>
        <w:pStyle w:val="Style"/>
        <w:numPr>
          <w:ilvl w:val="0"/>
          <w:numId w:val="4"/>
        </w:numPr>
        <w:spacing w:before="0" w:after="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Les acteurs institutionnels intervenant dans les questions migratoires ;</w:t>
      </w:r>
    </w:p>
    <w:p w:rsidR="00F90EF4" w:rsidRPr="005D0A38" w:rsidRDefault="00F90EF4" w:rsidP="00F90EF4">
      <w:pPr>
        <w:pStyle w:val="Style"/>
        <w:numPr>
          <w:ilvl w:val="0"/>
          <w:numId w:val="4"/>
        </w:numPr>
        <w:spacing w:before="0" w:after="240" w:line="240" w:lineRule="auto"/>
        <w:ind w:left="714" w:right="23" w:hanging="357"/>
        <w:jc w:val="both"/>
        <w:rPr>
          <w:rFonts w:ascii="Times New Roman" w:hAnsi="Times New Roman"/>
          <w:color w:val="000000" w:themeColor="text1"/>
          <w:lang w:val="fr-FR"/>
        </w:rPr>
      </w:pPr>
      <w:r w:rsidRPr="005D0A38">
        <w:rPr>
          <w:rFonts w:ascii="Times New Roman" w:hAnsi="Times New Roman"/>
          <w:color w:val="000000" w:themeColor="text1"/>
          <w:lang w:val="fr-FR"/>
        </w:rPr>
        <w:t>Un échantillonnage de consultants TOKTEN et de structures ayant bénéficié de missions TOKTEN. Les consultants n’étant pas présents à Bamako, ils devront être joints par téléphone ou par courrier électronique.</w:t>
      </w:r>
    </w:p>
    <w:p w:rsidR="00F90EF4" w:rsidRPr="005D0A38" w:rsidRDefault="00F90EF4" w:rsidP="00F90EF4">
      <w:pPr>
        <w:pStyle w:val="En-tte"/>
        <w:numPr>
          <w:ilvl w:val="0"/>
          <w:numId w:val="5"/>
        </w:numPr>
        <w:tabs>
          <w:tab w:val="clear" w:pos="4536"/>
          <w:tab w:val="clear" w:pos="9072"/>
        </w:tabs>
        <w:spacing w:before="200" w:after="200"/>
        <w:jc w:val="both"/>
        <w:rPr>
          <w:rFonts w:ascii="Times New Roman" w:hAnsi="Times New Roman" w:cs="Times New Roman"/>
          <w:b/>
          <w:i/>
          <w:color w:val="000000" w:themeColor="text1"/>
          <w:sz w:val="24"/>
          <w:szCs w:val="24"/>
        </w:rPr>
      </w:pPr>
      <w:r w:rsidRPr="005D0A38">
        <w:rPr>
          <w:rFonts w:ascii="Times New Roman" w:hAnsi="Times New Roman" w:cs="Times New Roman"/>
          <w:b/>
          <w:i/>
          <w:color w:val="000000" w:themeColor="text1"/>
          <w:sz w:val="24"/>
          <w:szCs w:val="24"/>
        </w:rPr>
        <w:t>Rédaction du rapport, présentation et validation (15 jours)</w:t>
      </w:r>
    </w:p>
    <w:p w:rsidR="00F90EF4" w:rsidRPr="005D0A38" w:rsidRDefault="00F90EF4" w:rsidP="00F90EF4">
      <w:pPr>
        <w:pStyle w:val="En-tte"/>
        <w:tabs>
          <w:tab w:val="clear" w:pos="4536"/>
          <w:tab w:val="clear" w:pos="9072"/>
        </w:tabs>
        <w:spacing w:after="240"/>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La mission soumettra :</w:t>
      </w:r>
    </w:p>
    <w:p w:rsidR="00F90EF4" w:rsidRPr="005D0A38" w:rsidRDefault="00F90EF4" w:rsidP="00F90EF4">
      <w:pPr>
        <w:pStyle w:val="Retraitcorpsdetexte2"/>
        <w:numPr>
          <w:ilvl w:val="0"/>
          <w:numId w:val="6"/>
        </w:numPr>
        <w:spacing w:line="240" w:lineRule="auto"/>
        <w:jc w:val="both"/>
        <w:rPr>
          <w:rFonts w:eastAsiaTheme="minorHAnsi"/>
          <w:color w:val="000000" w:themeColor="text1"/>
          <w:lang w:eastAsia="en-US"/>
        </w:rPr>
      </w:pPr>
      <w:r w:rsidRPr="005D0A38">
        <w:rPr>
          <w:rFonts w:eastAsiaTheme="minorHAnsi"/>
          <w:color w:val="000000" w:themeColor="text1"/>
          <w:lang w:eastAsia="en-US"/>
        </w:rPr>
        <w:t>le Rapport provisoire en trois (3) copies (version dure et électronique) et sera transmis aux différentes parties prenantes, lesquelles seront invitées à apporter leurs observations par écrit et/ou lors de l’atelier de restitution (10 jours) ;</w:t>
      </w:r>
    </w:p>
    <w:p w:rsidR="00F90EF4" w:rsidRPr="005D0A38" w:rsidRDefault="00F90EF4" w:rsidP="00F90EF4">
      <w:pPr>
        <w:pStyle w:val="Retraitcorpsdetexte2"/>
        <w:numPr>
          <w:ilvl w:val="0"/>
          <w:numId w:val="6"/>
        </w:numPr>
        <w:spacing w:after="0" w:line="240" w:lineRule="auto"/>
        <w:jc w:val="both"/>
        <w:rPr>
          <w:color w:val="000000" w:themeColor="text1"/>
        </w:rPr>
      </w:pPr>
      <w:r w:rsidRPr="005D0A38">
        <w:rPr>
          <w:rFonts w:eastAsiaTheme="minorHAnsi"/>
          <w:color w:val="000000" w:themeColor="text1"/>
          <w:lang w:eastAsia="en-US"/>
        </w:rPr>
        <w:t xml:space="preserve">le dépôt du Rapport final en trois (3) copies (version dure et électronique), après l’intégration des observations faites par les parties prenantes (5 jours). </w:t>
      </w:r>
    </w:p>
    <w:p w:rsidR="00F90EF4" w:rsidRDefault="00F90EF4" w:rsidP="00F90EF4">
      <w:pPr>
        <w:spacing w:after="0" w:line="240" w:lineRule="auto"/>
        <w:jc w:val="both"/>
        <w:rPr>
          <w:rFonts w:ascii="Times New Roman" w:eastAsia="Times New Roman" w:hAnsi="Times New Roman" w:cs="Times New Roman"/>
          <w:b/>
          <w:bCs/>
          <w:color w:val="000000" w:themeColor="text1"/>
          <w:sz w:val="24"/>
          <w:szCs w:val="24"/>
          <w:lang w:eastAsia="fr-FR"/>
        </w:rPr>
      </w:pPr>
    </w:p>
    <w:p w:rsidR="00F90EF4" w:rsidRDefault="00F90EF4" w:rsidP="00F90EF4">
      <w:pPr>
        <w:spacing w:after="0" w:line="240" w:lineRule="auto"/>
        <w:jc w:val="both"/>
        <w:rPr>
          <w:rFonts w:ascii="Times New Roman" w:eastAsia="Times New Roman" w:hAnsi="Times New Roman" w:cs="Times New Roman"/>
          <w:b/>
          <w:bCs/>
          <w:color w:val="000000" w:themeColor="text1"/>
          <w:sz w:val="24"/>
          <w:szCs w:val="24"/>
          <w:lang w:eastAsia="fr-FR"/>
        </w:rPr>
      </w:pPr>
    </w:p>
    <w:p w:rsidR="00F90EF4" w:rsidRPr="005D0A38" w:rsidRDefault="00F90EF4" w:rsidP="00F90EF4">
      <w:pPr>
        <w:pStyle w:val="Paragraphedeliste"/>
        <w:numPr>
          <w:ilvl w:val="0"/>
          <w:numId w:val="1"/>
        </w:numPr>
        <w:spacing w:after="0" w:line="240" w:lineRule="auto"/>
        <w:jc w:val="both"/>
        <w:rPr>
          <w:rFonts w:ascii="Times New Roman" w:hAnsi="Times New Roman" w:cs="Times New Roman"/>
          <w:b/>
          <w:color w:val="000000" w:themeColor="text1"/>
          <w:sz w:val="28"/>
          <w:szCs w:val="28"/>
        </w:rPr>
      </w:pPr>
      <w:r w:rsidRPr="005D0A38">
        <w:rPr>
          <w:rFonts w:ascii="Times New Roman" w:hAnsi="Times New Roman" w:cs="Times New Roman"/>
          <w:b/>
          <w:color w:val="000000" w:themeColor="text1"/>
          <w:sz w:val="28"/>
          <w:szCs w:val="28"/>
        </w:rPr>
        <w:t>Produits D’évaluation</w:t>
      </w:r>
    </w:p>
    <w:p w:rsidR="00F90EF4" w:rsidRDefault="00F90EF4" w:rsidP="00F90EF4">
      <w:pPr>
        <w:spacing w:after="0" w:line="240" w:lineRule="auto"/>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L’évaluation du projet devra fournir les produits suivants :</w:t>
      </w:r>
    </w:p>
    <w:p w:rsidR="00F90EF4" w:rsidRPr="005D0A38" w:rsidRDefault="00F90EF4" w:rsidP="00F90EF4">
      <w:pPr>
        <w:spacing w:after="0" w:line="240" w:lineRule="auto"/>
        <w:jc w:val="both"/>
        <w:rPr>
          <w:rFonts w:ascii="Times New Roman" w:hAnsi="Times New Roman" w:cs="Times New Roman"/>
          <w:color w:val="000000" w:themeColor="text1"/>
          <w:sz w:val="24"/>
          <w:szCs w:val="24"/>
        </w:rPr>
      </w:pPr>
    </w:p>
    <w:p w:rsidR="00F90EF4" w:rsidRDefault="00F90EF4" w:rsidP="00F90EF4">
      <w:pPr>
        <w:pStyle w:val="Paragraphedeliste"/>
        <w:numPr>
          <w:ilvl w:val="0"/>
          <w:numId w:val="24"/>
        </w:numPr>
        <w:spacing w:after="0" w:line="240" w:lineRule="auto"/>
        <w:ind w:left="360"/>
        <w:jc w:val="both"/>
        <w:rPr>
          <w:rFonts w:ascii="Times New Roman" w:hAnsi="Times New Roman" w:cs="Times New Roman"/>
          <w:color w:val="000000" w:themeColor="text1"/>
          <w:sz w:val="24"/>
          <w:szCs w:val="24"/>
        </w:rPr>
      </w:pPr>
      <w:r w:rsidRPr="005D0A38">
        <w:rPr>
          <w:rFonts w:ascii="Times New Roman" w:hAnsi="Times New Roman" w:cs="Times New Roman"/>
          <w:b/>
          <w:color w:val="000000" w:themeColor="text1"/>
          <w:sz w:val="24"/>
          <w:szCs w:val="24"/>
        </w:rPr>
        <w:t>Un rapport initial d’évaluation</w:t>
      </w:r>
      <w:r w:rsidRPr="005D0A38">
        <w:rPr>
          <w:rFonts w:ascii="Times New Roman" w:hAnsi="Times New Roman" w:cs="Times New Roman"/>
          <w:color w:val="000000" w:themeColor="text1"/>
          <w:sz w:val="24"/>
          <w:szCs w:val="24"/>
        </w:rPr>
        <w:t xml:space="preserve"> – Un rapport préliminaire préparé par l’équipe d’évaluation et présentant la méthodologie et le plan de travail indicatif de l’équipe avant le début de la mission. Ce rapport détaillera la compréhension de l’équipe par rapport aux </w:t>
      </w:r>
      <w:r w:rsidRPr="005D0A38">
        <w:rPr>
          <w:rFonts w:ascii="Times New Roman" w:hAnsi="Times New Roman" w:cs="Times New Roman"/>
          <w:color w:val="000000" w:themeColor="text1"/>
          <w:sz w:val="24"/>
          <w:szCs w:val="24"/>
        </w:rPr>
        <w:lastRenderedPageBreak/>
        <w:t xml:space="preserve">éléments qui seront évalués et pour quelle raison ils vont être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en désignant un membre de l’équipe qui aura la responsabilité de chaque tâche ou produit. Le rapport initial offre à </w:t>
      </w:r>
      <w:r>
        <w:rPr>
          <w:rFonts w:ascii="Times New Roman" w:hAnsi="Times New Roman" w:cs="Times New Roman"/>
          <w:color w:val="000000" w:themeColor="text1"/>
          <w:sz w:val="24"/>
          <w:szCs w:val="24"/>
        </w:rPr>
        <w:t>au</w:t>
      </w:r>
      <w:r w:rsidRPr="005D0A38">
        <w:rPr>
          <w:rFonts w:ascii="Times New Roman" w:hAnsi="Times New Roman" w:cs="Times New Roman"/>
          <w:color w:val="000000" w:themeColor="text1"/>
          <w:sz w:val="24"/>
          <w:szCs w:val="24"/>
        </w:rPr>
        <w:t xml:space="preserve"> projet et aux évaluateurs une opportunité de vérifier qu’ils partagent la même compréhension au sujet de l’évaluation et également de clarifier tout malentendu au départ.</w:t>
      </w:r>
    </w:p>
    <w:p w:rsidR="00F90EF4" w:rsidRPr="005D0A38" w:rsidRDefault="00F90EF4" w:rsidP="00F90EF4">
      <w:pPr>
        <w:pStyle w:val="Paragraphedeliste"/>
        <w:spacing w:after="0" w:line="240" w:lineRule="auto"/>
        <w:ind w:left="360"/>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 xml:space="preserve"> </w:t>
      </w:r>
    </w:p>
    <w:p w:rsidR="00F90EF4" w:rsidRDefault="00F90EF4" w:rsidP="00F90EF4">
      <w:pPr>
        <w:numPr>
          <w:ilvl w:val="0"/>
          <w:numId w:val="21"/>
        </w:numPr>
        <w:tabs>
          <w:tab w:val="clear" w:pos="1068"/>
          <w:tab w:val="num" w:pos="360"/>
        </w:tabs>
        <w:spacing w:after="0" w:line="240" w:lineRule="auto"/>
        <w:ind w:left="360"/>
        <w:jc w:val="both"/>
        <w:rPr>
          <w:rFonts w:ascii="Times New Roman" w:hAnsi="Times New Roman" w:cs="Times New Roman"/>
          <w:color w:val="000000" w:themeColor="text1"/>
          <w:sz w:val="24"/>
          <w:szCs w:val="24"/>
        </w:rPr>
      </w:pPr>
      <w:r w:rsidRPr="005D0A38">
        <w:rPr>
          <w:rFonts w:ascii="Times New Roman" w:hAnsi="Times New Roman" w:cs="Times New Roman"/>
          <w:b/>
          <w:color w:val="000000" w:themeColor="text1"/>
          <w:sz w:val="24"/>
          <w:szCs w:val="24"/>
        </w:rPr>
        <w:t>Projet de rapport d’évaluation</w:t>
      </w:r>
      <w:r w:rsidRPr="005D0A38">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Le </w:t>
      </w:r>
      <w:r w:rsidRPr="005D0A38">
        <w:rPr>
          <w:rFonts w:ascii="Times New Roman" w:hAnsi="Times New Roman" w:cs="Times New Roman"/>
          <w:color w:val="000000" w:themeColor="text1"/>
          <w:sz w:val="24"/>
          <w:szCs w:val="24"/>
        </w:rPr>
        <w:t>projet et les principales parties prenantes dans l’évaluation doivent réviser le projet de rapport pour veiller à ce que l’évaluation réponde aux critères de qualité requis.</w:t>
      </w:r>
    </w:p>
    <w:p w:rsidR="00F90EF4" w:rsidRPr="005D0A38" w:rsidRDefault="00F90EF4" w:rsidP="00F90EF4">
      <w:pPr>
        <w:spacing w:after="0" w:line="240" w:lineRule="auto"/>
        <w:ind w:left="360"/>
        <w:jc w:val="both"/>
        <w:rPr>
          <w:rFonts w:ascii="Times New Roman" w:hAnsi="Times New Roman" w:cs="Times New Roman"/>
          <w:color w:val="000000" w:themeColor="text1"/>
          <w:sz w:val="24"/>
          <w:szCs w:val="24"/>
        </w:rPr>
      </w:pPr>
    </w:p>
    <w:p w:rsidR="00F90EF4" w:rsidRPr="005D0A38" w:rsidRDefault="00F90EF4" w:rsidP="00F90EF4">
      <w:pPr>
        <w:numPr>
          <w:ilvl w:val="0"/>
          <w:numId w:val="22"/>
        </w:numPr>
        <w:spacing w:after="0" w:line="240" w:lineRule="auto"/>
        <w:ind w:left="372"/>
        <w:jc w:val="both"/>
        <w:rPr>
          <w:rFonts w:ascii="Times New Roman" w:hAnsi="Times New Roman" w:cs="Times New Roman"/>
          <w:color w:val="000000" w:themeColor="text1"/>
          <w:sz w:val="24"/>
          <w:szCs w:val="24"/>
        </w:rPr>
      </w:pPr>
      <w:r w:rsidRPr="005D0A38">
        <w:rPr>
          <w:rFonts w:ascii="Times New Roman" w:hAnsi="Times New Roman" w:cs="Times New Roman"/>
          <w:b/>
          <w:color w:val="000000" w:themeColor="text1"/>
          <w:sz w:val="24"/>
          <w:szCs w:val="24"/>
        </w:rPr>
        <w:t>Rapport final d’évaluation</w:t>
      </w:r>
      <w:r w:rsidRPr="005D0A38">
        <w:rPr>
          <w:rFonts w:ascii="Times New Roman" w:hAnsi="Times New Roman" w:cs="Times New Roman"/>
          <w:color w:val="000000" w:themeColor="text1"/>
          <w:sz w:val="24"/>
          <w:szCs w:val="24"/>
        </w:rPr>
        <w:t xml:space="preserve"> en version soft et papier avec des conclusions et recommandations. Ainsi la mission devra présenter ses conclusions et faire des recommandations spécifiques concernant tous les sujets couverts ci-dessus. Spécifiquement, ceux-ci devraient comprendre :</w:t>
      </w:r>
    </w:p>
    <w:p w:rsidR="00F90EF4" w:rsidRPr="005D0A38" w:rsidRDefault="00F90EF4" w:rsidP="00F90EF4">
      <w:pPr>
        <w:numPr>
          <w:ilvl w:val="1"/>
          <w:numId w:val="23"/>
        </w:numPr>
        <w:spacing w:after="0" w:line="240" w:lineRule="auto"/>
        <w:ind w:left="732"/>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des recommandations d’ordre général concernant la stratégie de mise en œuvre du programme en vue d’atteindre les objectifs;</w:t>
      </w:r>
    </w:p>
    <w:p w:rsidR="00F90EF4" w:rsidRPr="005D0A38" w:rsidRDefault="00F90EF4" w:rsidP="00F90EF4">
      <w:pPr>
        <w:pStyle w:val="Paragraphedeliste"/>
        <w:numPr>
          <w:ilvl w:val="1"/>
          <w:numId w:val="23"/>
        </w:numPr>
        <w:spacing w:after="0" w:line="240" w:lineRule="auto"/>
        <w:ind w:left="732"/>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 xml:space="preserve">des recommandations spécifiques allant dans le sens de l’atteinte des résultats du programme; </w:t>
      </w:r>
    </w:p>
    <w:p w:rsidR="00F90EF4" w:rsidRPr="005D0A38" w:rsidRDefault="00F90EF4" w:rsidP="00F90EF4">
      <w:pPr>
        <w:pStyle w:val="Paragraphedeliste"/>
        <w:numPr>
          <w:ilvl w:val="1"/>
          <w:numId w:val="23"/>
        </w:numPr>
        <w:spacing w:after="0" w:line="240" w:lineRule="auto"/>
        <w:ind w:left="732"/>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des recommandations pour une meilleure appropriation nationale et une meilleure utilisation par les bénéficiaires des acquis des différentes formations;</w:t>
      </w:r>
    </w:p>
    <w:p w:rsidR="00F90EF4" w:rsidRPr="005D0A38" w:rsidRDefault="00F90EF4" w:rsidP="00F90EF4">
      <w:pPr>
        <w:pStyle w:val="Paragraphedeliste"/>
        <w:numPr>
          <w:ilvl w:val="1"/>
          <w:numId w:val="23"/>
        </w:numPr>
        <w:spacing w:after="0" w:line="240" w:lineRule="auto"/>
        <w:ind w:left="732"/>
        <w:jc w:val="both"/>
        <w:rPr>
          <w:rFonts w:ascii="Times New Roman" w:hAnsi="Times New Roman" w:cs="Times New Roman"/>
          <w:color w:val="000000" w:themeColor="text1"/>
          <w:sz w:val="24"/>
          <w:szCs w:val="24"/>
        </w:rPr>
      </w:pPr>
      <w:r w:rsidRPr="005D0A38">
        <w:rPr>
          <w:rFonts w:ascii="Times New Roman" w:hAnsi="Times New Roman" w:cs="Times New Roman"/>
          <w:color w:val="000000" w:themeColor="text1"/>
          <w:sz w:val="24"/>
          <w:szCs w:val="24"/>
        </w:rPr>
        <w:t>des recommandations en vue de définir les orientations futures innovantes, de renforcer les acquis du projet et des modalités de mise en œuvre.</w:t>
      </w:r>
    </w:p>
    <w:p w:rsidR="00F90EF4" w:rsidRPr="005D0A38" w:rsidRDefault="00F90EF4" w:rsidP="00F90EF4">
      <w:pPr>
        <w:pStyle w:val="Paragraphedeliste"/>
        <w:spacing w:after="0" w:line="240" w:lineRule="auto"/>
        <w:ind w:left="732"/>
        <w:jc w:val="both"/>
        <w:rPr>
          <w:rFonts w:ascii="Times New Roman" w:hAnsi="Times New Roman" w:cs="Times New Roman"/>
          <w:color w:val="000000" w:themeColor="text1"/>
          <w:sz w:val="24"/>
          <w:szCs w:val="24"/>
        </w:rPr>
      </w:pPr>
    </w:p>
    <w:p w:rsidR="00F90EF4" w:rsidRPr="005D0A38" w:rsidRDefault="00F90EF4" w:rsidP="00F90EF4">
      <w:pPr>
        <w:numPr>
          <w:ilvl w:val="0"/>
          <w:numId w:val="21"/>
        </w:numPr>
        <w:tabs>
          <w:tab w:val="clear" w:pos="1068"/>
          <w:tab w:val="num" w:pos="360"/>
        </w:tabs>
        <w:spacing w:after="0" w:line="240" w:lineRule="auto"/>
        <w:ind w:left="360"/>
        <w:jc w:val="both"/>
        <w:rPr>
          <w:rFonts w:ascii="Times New Roman" w:hAnsi="Times New Roman" w:cs="Times New Roman"/>
          <w:color w:val="000000" w:themeColor="text1"/>
          <w:sz w:val="24"/>
          <w:szCs w:val="24"/>
        </w:rPr>
      </w:pPr>
      <w:r w:rsidRPr="005D0A38">
        <w:rPr>
          <w:rFonts w:ascii="Times New Roman" w:hAnsi="Times New Roman" w:cs="Times New Roman"/>
          <w:b/>
          <w:color w:val="000000" w:themeColor="text1"/>
          <w:sz w:val="24"/>
          <w:szCs w:val="24"/>
        </w:rPr>
        <w:t>Evaluation des notes d’informations et autres éléments de connaissance</w:t>
      </w:r>
      <w:r w:rsidRPr="005D0A38">
        <w:rPr>
          <w:rFonts w:ascii="Times New Roman" w:hAnsi="Times New Roman" w:cs="Times New Roman"/>
          <w:color w:val="000000" w:themeColor="text1"/>
          <w:sz w:val="24"/>
          <w:szCs w:val="24"/>
        </w:rPr>
        <w:t xml:space="preserve"> ou participation dans les évènements de partage des connaissances. Opportunité de vérifier que tous les partenaires partagent la même compréhension au sujet de l’évaluation et également de clarifier tout malentendu au départ. </w:t>
      </w:r>
    </w:p>
    <w:p w:rsidR="00F90EF4" w:rsidRDefault="00F90EF4" w:rsidP="00F90EF4">
      <w:pPr>
        <w:spacing w:after="0" w:line="240" w:lineRule="auto"/>
        <w:jc w:val="both"/>
        <w:rPr>
          <w:rFonts w:ascii="Times New Roman" w:hAnsi="Times New Roman" w:cs="Times New Roman"/>
          <w:color w:val="000000" w:themeColor="text1"/>
          <w:sz w:val="24"/>
          <w:szCs w:val="24"/>
        </w:rPr>
      </w:pPr>
    </w:p>
    <w:p w:rsidR="00F90EF4" w:rsidRPr="005D0A38" w:rsidRDefault="00F90EF4" w:rsidP="00F90EF4">
      <w:pPr>
        <w:spacing w:after="0" w:line="240" w:lineRule="auto"/>
        <w:jc w:val="both"/>
        <w:rPr>
          <w:rFonts w:ascii="Times New Roman" w:hAnsi="Times New Roman" w:cs="Times New Roman"/>
          <w:color w:val="000000" w:themeColor="text1"/>
          <w:sz w:val="24"/>
          <w:szCs w:val="24"/>
        </w:rPr>
      </w:pPr>
    </w:p>
    <w:p w:rsidR="00F90EF4" w:rsidRPr="005D0A38" w:rsidRDefault="00F90EF4" w:rsidP="00F90EF4">
      <w:pPr>
        <w:pStyle w:val="Paragraphedeliste"/>
        <w:numPr>
          <w:ilvl w:val="0"/>
          <w:numId w:val="1"/>
        </w:numPr>
        <w:spacing w:after="0"/>
        <w:ind w:left="1428"/>
        <w:jc w:val="both"/>
        <w:rPr>
          <w:rFonts w:ascii="Times New Roman" w:hAnsi="Times New Roman" w:cs="Times New Roman"/>
          <w:b/>
          <w:color w:val="000000" w:themeColor="text1"/>
          <w:sz w:val="28"/>
          <w:szCs w:val="28"/>
        </w:rPr>
      </w:pPr>
      <w:r w:rsidRPr="005D0A38">
        <w:rPr>
          <w:rFonts w:ascii="Times New Roman" w:hAnsi="Times New Roman" w:cs="Times New Roman"/>
          <w:b/>
          <w:color w:val="000000" w:themeColor="text1"/>
          <w:sz w:val="28"/>
          <w:szCs w:val="28"/>
        </w:rPr>
        <w:t>Composition de l’équipe d’évaluation et Profil des consultants</w:t>
      </w:r>
    </w:p>
    <w:p w:rsidR="00F90EF4" w:rsidRPr="005D0A38" w:rsidRDefault="00F90EF4" w:rsidP="00F90EF4">
      <w:pPr>
        <w:spacing w:after="0" w:line="240" w:lineRule="auto"/>
        <w:ind w:left="348"/>
        <w:jc w:val="both"/>
        <w:rPr>
          <w:rFonts w:ascii="Times New Roman" w:hAnsi="Times New Roman" w:cs="Times New Roman"/>
          <w:color w:val="000000" w:themeColor="text1"/>
          <w:sz w:val="24"/>
          <w:szCs w:val="24"/>
        </w:rPr>
      </w:pPr>
    </w:p>
    <w:p w:rsidR="00F90EF4" w:rsidRPr="005D0A38" w:rsidRDefault="00F90EF4" w:rsidP="00F90EF4">
      <w:pPr>
        <w:pStyle w:val="Style"/>
        <w:spacing w:before="0" w:after="0" w:line="240" w:lineRule="auto"/>
        <w:ind w:right="23"/>
        <w:jc w:val="both"/>
        <w:rPr>
          <w:rFonts w:ascii="Times New Roman" w:hAnsi="Times New Roman"/>
          <w:color w:val="000000" w:themeColor="text1"/>
          <w:lang w:val="fr-FR"/>
        </w:rPr>
      </w:pPr>
      <w:r w:rsidRPr="005D0A38">
        <w:rPr>
          <w:rFonts w:ascii="Times New Roman" w:hAnsi="Times New Roman"/>
          <w:color w:val="000000" w:themeColor="text1"/>
          <w:lang w:val="fr-FR"/>
        </w:rPr>
        <w:t xml:space="preserve">La mission sera réalisée par une équipe de deux consultants dont l’un sera idéalement une femme : </w:t>
      </w:r>
    </w:p>
    <w:p w:rsidR="00F90EF4" w:rsidRPr="005D0A38" w:rsidRDefault="00F90EF4" w:rsidP="00F90EF4">
      <w:pPr>
        <w:pStyle w:val="Style"/>
        <w:spacing w:before="0" w:after="0" w:line="240" w:lineRule="auto"/>
        <w:ind w:left="348" w:right="23"/>
        <w:jc w:val="both"/>
        <w:rPr>
          <w:rFonts w:ascii="Times New Roman" w:hAnsi="Times New Roman"/>
          <w:color w:val="000000" w:themeColor="text1"/>
          <w:lang w:val="fr-FR"/>
        </w:rPr>
      </w:pPr>
    </w:p>
    <w:p w:rsidR="00F90EF4" w:rsidRPr="005D0A38" w:rsidRDefault="00F90EF4" w:rsidP="00F90EF4">
      <w:pPr>
        <w:pStyle w:val="Style"/>
        <w:spacing w:before="0" w:after="0" w:line="240" w:lineRule="auto"/>
        <w:ind w:right="23"/>
        <w:jc w:val="both"/>
        <w:rPr>
          <w:rFonts w:ascii="Times New Roman" w:hAnsi="Times New Roman"/>
          <w:color w:val="000000" w:themeColor="text1"/>
          <w:lang w:val="fr-FR"/>
        </w:rPr>
      </w:pPr>
      <w:r w:rsidRPr="00353FF9">
        <w:rPr>
          <w:rFonts w:ascii="Times New Roman" w:hAnsi="Times New Roman"/>
          <w:b/>
          <w:color w:val="000000" w:themeColor="text1"/>
          <w:lang w:val="fr-FR"/>
        </w:rPr>
        <w:t>Le premier consultant</w:t>
      </w:r>
      <w:r w:rsidRPr="005D0A38">
        <w:rPr>
          <w:rFonts w:ascii="Times New Roman" w:hAnsi="Times New Roman"/>
          <w:color w:val="000000" w:themeColor="text1"/>
          <w:lang w:val="fr-FR"/>
        </w:rPr>
        <w:t xml:space="preserve"> sera un spécialiste en science de l’éducation (enseignement supérieur, recherche etc.) ou en ingénierie de la formation, familier avec le développement des ressources humaines, la problématique de l’adéquation formation/emploi, la planification stratégique, et le renforcement des capacités et des compétences. Il analysera notamment  les acquis du projet, bonnes pratiques, réussites, résultats obtenus dans le cadre de l’enseignement supérieur et de la formation technique et professionnelle etc.  en étroite collaboration avec le second consultant.</w:t>
      </w:r>
    </w:p>
    <w:p w:rsidR="00F90EF4" w:rsidRPr="005D0A38" w:rsidRDefault="00F90EF4" w:rsidP="00F90EF4">
      <w:pPr>
        <w:spacing w:after="0" w:line="240" w:lineRule="auto"/>
        <w:ind w:left="348"/>
        <w:rPr>
          <w:rFonts w:ascii="Times New Roman" w:eastAsia="Times New Roman" w:hAnsi="Times New Roman" w:cs="Times New Roman"/>
          <w:color w:val="000000" w:themeColor="text1"/>
          <w:sz w:val="24"/>
          <w:szCs w:val="24"/>
        </w:rPr>
      </w:pPr>
    </w:p>
    <w:p w:rsidR="00F90EF4" w:rsidRDefault="00F90EF4" w:rsidP="00F90EF4">
      <w:pPr>
        <w:spacing w:after="0" w:line="240" w:lineRule="auto"/>
        <w:rPr>
          <w:rFonts w:ascii="Times New Roman" w:eastAsia="Times New Roman" w:hAnsi="Times New Roman" w:cs="Times New Roman"/>
          <w:color w:val="000000" w:themeColor="text1"/>
          <w:sz w:val="24"/>
          <w:szCs w:val="24"/>
        </w:rPr>
      </w:pPr>
      <w:r w:rsidRPr="005D0A38">
        <w:rPr>
          <w:rFonts w:ascii="Times New Roman" w:eastAsia="Times New Roman" w:hAnsi="Times New Roman" w:cs="Times New Roman"/>
          <w:color w:val="000000" w:themeColor="text1"/>
          <w:sz w:val="24"/>
          <w:szCs w:val="24"/>
        </w:rPr>
        <w:t>En résumé, le  consultant  principal devra avoir le profil et les autres  qualifications suivantes :</w:t>
      </w:r>
    </w:p>
    <w:p w:rsidR="00F90EF4" w:rsidRPr="005D0A38" w:rsidRDefault="00F90EF4" w:rsidP="00F90EF4">
      <w:pPr>
        <w:spacing w:after="0" w:line="240" w:lineRule="auto"/>
        <w:rPr>
          <w:rFonts w:ascii="Times New Roman" w:eastAsia="Times New Roman" w:hAnsi="Times New Roman" w:cs="Times New Roman"/>
          <w:color w:val="000000" w:themeColor="text1"/>
          <w:sz w:val="24"/>
          <w:szCs w:val="24"/>
        </w:rPr>
      </w:pPr>
    </w:p>
    <w:p w:rsidR="00F90EF4" w:rsidRPr="00353FF9"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U</w:t>
      </w:r>
      <w:r w:rsidRPr="005D0A38">
        <w:rPr>
          <w:rFonts w:ascii="Times New Roman" w:hAnsi="Times New Roman"/>
          <w:color w:val="000000" w:themeColor="text1"/>
          <w:lang w:val="fr-FR"/>
        </w:rPr>
        <w:t>ne expérience solide et diversifiée dans le domaine spécifique requis, notamment une expérience en matière d’évaluation de projets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U</w:t>
      </w:r>
      <w:r w:rsidRPr="005D0A38">
        <w:rPr>
          <w:rFonts w:ascii="Times New Roman" w:hAnsi="Times New Roman"/>
          <w:color w:val="000000" w:themeColor="text1"/>
          <w:lang w:val="fr-FR"/>
        </w:rPr>
        <w:t>ne expérience de la sous-région Afrique de l’Ouest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L</w:t>
      </w:r>
      <w:r w:rsidRPr="005D0A38">
        <w:rPr>
          <w:rFonts w:ascii="Times New Roman" w:hAnsi="Times New Roman"/>
          <w:color w:val="000000" w:themeColor="text1"/>
          <w:lang w:val="fr-FR"/>
        </w:rPr>
        <w:t>a maitrise du français ainsi qu’une excellente capacité de rédaction de rapports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diplôme Universitaire (Bac + 4 minimum)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lastRenderedPageBreak/>
        <w:t>U</w:t>
      </w:r>
      <w:r w:rsidRPr="005D0A38">
        <w:rPr>
          <w:rFonts w:ascii="Times New Roman" w:hAnsi="Times New Roman"/>
          <w:color w:val="000000" w:themeColor="text1"/>
          <w:lang w:val="fr-FR"/>
        </w:rPr>
        <w:t>ne expérience approfondie et adéquate, notamment des questions liées à la gestion de projet et au renforcement institutionnel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U</w:t>
      </w:r>
      <w:r w:rsidRPr="005D0A38">
        <w:rPr>
          <w:rFonts w:ascii="Times New Roman" w:hAnsi="Times New Roman"/>
          <w:color w:val="000000" w:themeColor="text1"/>
          <w:lang w:val="fr-FR"/>
        </w:rPr>
        <w:t>ne excellente connaissance des méthodes et techniques d’évaluation de projet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U</w:t>
      </w:r>
      <w:r w:rsidRPr="005D0A38">
        <w:rPr>
          <w:rFonts w:ascii="Times New Roman" w:hAnsi="Times New Roman"/>
          <w:color w:val="000000" w:themeColor="text1"/>
          <w:lang w:val="fr-FR"/>
        </w:rPr>
        <w:t>ne expérience sur les problématiques « migration et développement » serait un atout considérable ;</w:t>
      </w:r>
    </w:p>
    <w:p w:rsidR="00F90EF4"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Pr>
          <w:rFonts w:ascii="Times New Roman" w:hAnsi="Times New Roman"/>
          <w:color w:val="000000" w:themeColor="text1"/>
          <w:lang w:val="fr-FR"/>
        </w:rPr>
        <w:t>E</w:t>
      </w:r>
      <w:r w:rsidRPr="005D0A38">
        <w:rPr>
          <w:rFonts w:ascii="Times New Roman" w:hAnsi="Times New Roman"/>
          <w:color w:val="000000" w:themeColor="text1"/>
          <w:lang w:val="fr-FR"/>
        </w:rPr>
        <w:t xml:space="preserve">xpérience professionnelle d’au moins 7 ans dans le domaine du renforcement des capacités et de la formation professionnelle et technique. Une connaissance des domaines de la santé, de l’Agriculture </w:t>
      </w:r>
      <w:r>
        <w:rPr>
          <w:rFonts w:ascii="Times New Roman" w:hAnsi="Times New Roman"/>
          <w:color w:val="000000" w:themeColor="text1"/>
          <w:lang w:val="fr-FR"/>
        </w:rPr>
        <w:t>et des PME/PMI serait un atout.</w:t>
      </w:r>
    </w:p>
    <w:p w:rsidR="00F90EF4" w:rsidRDefault="00F90EF4" w:rsidP="00F90EF4">
      <w:pPr>
        <w:pStyle w:val="Style"/>
        <w:spacing w:before="0" w:after="0" w:line="240" w:lineRule="auto"/>
        <w:ind w:right="23"/>
        <w:jc w:val="both"/>
        <w:rPr>
          <w:rFonts w:ascii="Times New Roman" w:hAnsi="Times New Roman"/>
          <w:color w:val="000000" w:themeColor="text1"/>
          <w:lang w:val="fr-FR"/>
        </w:rPr>
      </w:pPr>
    </w:p>
    <w:p w:rsidR="00F90EF4" w:rsidRPr="00DB5884" w:rsidRDefault="00F90EF4" w:rsidP="00F90EF4">
      <w:pPr>
        <w:pStyle w:val="Style"/>
        <w:spacing w:before="0" w:after="0" w:line="240" w:lineRule="auto"/>
        <w:ind w:right="23"/>
        <w:jc w:val="both"/>
        <w:rPr>
          <w:rFonts w:ascii="Times New Roman" w:hAnsi="Times New Roman"/>
          <w:color w:val="000000" w:themeColor="text1"/>
          <w:lang w:val="fr-FR"/>
        </w:rPr>
      </w:pPr>
      <w:r w:rsidRPr="00353FF9">
        <w:rPr>
          <w:rFonts w:ascii="Times New Roman" w:hAnsi="Times New Roman"/>
          <w:b/>
          <w:color w:val="000000" w:themeColor="text1"/>
          <w:lang w:val="fr-FR"/>
        </w:rPr>
        <w:t>Le deuxième consultant</w:t>
      </w:r>
      <w:r w:rsidRPr="00353FF9">
        <w:rPr>
          <w:rFonts w:ascii="Times New Roman" w:hAnsi="Times New Roman"/>
          <w:color w:val="000000" w:themeColor="text1"/>
          <w:lang w:val="fr-FR"/>
        </w:rPr>
        <w:t xml:space="preserve"> devra être spécialiste en économie du développement ou en gestion d'entreprise avec des compétences en développement des ressources humaines, création d’emplois, et renforcement des capacités des PME/PMI et du secteur privé. Il aura surtout pour tâche d’évaluer notamment les résultats du projet dans les secteurs PME/PMI, Agriculture et Santé, identifier la valeur ajoutée du TOKTEN dans chaque secteur, fixer des résultats, proposer un nouvel ancrage institutionnel …Il travaillera en étroite collaborati</w:t>
      </w:r>
      <w:r>
        <w:rPr>
          <w:rFonts w:ascii="Times New Roman" w:hAnsi="Times New Roman"/>
          <w:color w:val="000000" w:themeColor="text1"/>
          <w:lang w:val="fr-FR"/>
        </w:rPr>
        <w:t xml:space="preserve">on avec le consultant principal et doit avoir </w:t>
      </w:r>
      <w:r w:rsidRPr="00DB5884">
        <w:rPr>
          <w:rFonts w:ascii="Times New Roman" w:hAnsi="Times New Roman"/>
          <w:color w:val="000000" w:themeColor="text1"/>
          <w:lang w:val="fr-FR"/>
        </w:rPr>
        <w:t>une expérience solide et diversifiée dans le domaine spécifique requis, notamment une expérience en matière d’évaluation de projets ;</w:t>
      </w:r>
    </w:p>
    <w:p w:rsidR="00F90EF4" w:rsidRPr="00353FF9" w:rsidRDefault="00F90EF4" w:rsidP="00F90EF4">
      <w:pPr>
        <w:pStyle w:val="Style"/>
        <w:spacing w:before="0" w:after="0" w:line="240" w:lineRule="auto"/>
        <w:ind w:right="23"/>
        <w:jc w:val="both"/>
        <w:rPr>
          <w:rFonts w:ascii="Times New Roman" w:hAnsi="Times New Roman"/>
          <w:color w:val="000000" w:themeColor="text1"/>
          <w:lang w:val="fr-FR"/>
        </w:rPr>
      </w:pP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une expérience de la sous-région Afrique de l’Ouest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la maitrise du français ainsi qu’une excellente capacité de rédaction de rapports ;</w:t>
      </w:r>
    </w:p>
    <w:p w:rsidR="00F90EF4" w:rsidRPr="00353FF9"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diplôme Universitaire (Bac + 4 minimum) dans les domaines des sciences sociales, de gesti</w:t>
      </w:r>
      <w:r>
        <w:rPr>
          <w:rFonts w:ascii="Times New Roman" w:hAnsi="Times New Roman"/>
          <w:color w:val="000000" w:themeColor="text1"/>
          <w:lang w:val="fr-FR"/>
        </w:rPr>
        <w:t>on de projets ou d’entreprises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une expérience approfondie et adéquate, notamment des questions liées à la gestion de projet et au renforcement institutionnel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une excellente connaissance des méthodes et techniques d’évaluation de projet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une expérience sur les problématiques « migration et développement » serait un atout considérable ;</w:t>
      </w:r>
    </w:p>
    <w:p w:rsidR="00F90EF4" w:rsidRPr="005D0A38" w:rsidRDefault="00F90EF4" w:rsidP="00F90EF4">
      <w:pPr>
        <w:pStyle w:val="Style"/>
        <w:numPr>
          <w:ilvl w:val="0"/>
          <w:numId w:val="4"/>
        </w:numPr>
        <w:spacing w:before="0" w:after="0" w:line="240" w:lineRule="auto"/>
        <w:ind w:left="0" w:right="23"/>
        <w:jc w:val="both"/>
        <w:rPr>
          <w:rFonts w:ascii="Times New Roman" w:hAnsi="Times New Roman"/>
          <w:color w:val="000000" w:themeColor="text1"/>
          <w:lang w:val="fr-FR"/>
        </w:rPr>
      </w:pPr>
      <w:r w:rsidRPr="005D0A38">
        <w:rPr>
          <w:rFonts w:ascii="Times New Roman" w:hAnsi="Times New Roman"/>
          <w:color w:val="000000" w:themeColor="text1"/>
          <w:lang w:val="fr-FR"/>
        </w:rPr>
        <w:t>expérience professionnelle d’au moins 5 ans dans le domaine du renforcement des capacités et de la formation professionnelle et technique. Une connaissance des domaines de l’enseignement supérieur et de la formation technique et professionnelle serait un atout.</w:t>
      </w:r>
    </w:p>
    <w:p w:rsidR="00F90EF4" w:rsidRDefault="00F90EF4" w:rsidP="00F90EF4">
      <w:pPr>
        <w:pStyle w:val="Style"/>
        <w:spacing w:before="0" w:after="0" w:line="240" w:lineRule="auto"/>
        <w:ind w:right="23"/>
        <w:jc w:val="both"/>
        <w:rPr>
          <w:rFonts w:ascii="Times New Roman" w:hAnsi="Times New Roman"/>
          <w:color w:val="000000" w:themeColor="text1"/>
          <w:lang w:val="fr-FR"/>
        </w:rPr>
      </w:pPr>
    </w:p>
    <w:p w:rsidR="00F90EF4" w:rsidRPr="005D0A38" w:rsidRDefault="00F90EF4" w:rsidP="00F90EF4">
      <w:pPr>
        <w:pStyle w:val="Style"/>
        <w:spacing w:before="0" w:after="0" w:line="240" w:lineRule="auto"/>
        <w:ind w:right="23"/>
        <w:jc w:val="both"/>
        <w:rPr>
          <w:rFonts w:ascii="Times New Roman" w:hAnsi="Times New Roman"/>
          <w:color w:val="000000" w:themeColor="text1"/>
          <w:lang w:val="fr-FR"/>
        </w:rPr>
      </w:pPr>
      <w:r w:rsidRPr="005D0A38">
        <w:rPr>
          <w:rFonts w:ascii="Times New Roman" w:hAnsi="Times New Roman"/>
          <w:color w:val="000000" w:themeColor="text1"/>
          <w:lang w:val="fr-FR"/>
        </w:rPr>
        <w:t>Les deux consultants devront disposer de connaissances approfondies en matière de gestion de projets programmes et d’une expérience confirmée en développement et renforcement de partenariat stratégique.</w:t>
      </w:r>
      <w:r>
        <w:rPr>
          <w:rFonts w:ascii="Times New Roman" w:hAnsi="Times New Roman"/>
          <w:color w:val="000000" w:themeColor="text1"/>
          <w:lang w:val="fr-FR"/>
        </w:rPr>
        <w:t xml:space="preserve"> </w:t>
      </w:r>
      <w:r w:rsidRPr="005D0A38">
        <w:rPr>
          <w:rFonts w:ascii="Times New Roman" w:hAnsi="Times New Roman"/>
          <w:color w:val="000000" w:themeColor="text1"/>
          <w:lang w:val="fr-FR"/>
        </w:rPr>
        <w:t>La maîtrise du français ainsi qu’une excellente capacité de rédaction de rapports est requise pour les deux Consultants.</w:t>
      </w:r>
    </w:p>
    <w:p w:rsidR="00F90EF4" w:rsidRPr="005D0A38" w:rsidRDefault="00F90EF4" w:rsidP="00F90EF4">
      <w:pPr>
        <w:pStyle w:val="Style"/>
        <w:spacing w:before="0" w:after="0"/>
        <w:ind w:left="348" w:right="23"/>
        <w:jc w:val="both"/>
        <w:rPr>
          <w:rFonts w:ascii="Times New Roman" w:hAnsi="Times New Roman"/>
          <w:color w:val="000000" w:themeColor="text1"/>
          <w:lang w:val="fr-FR"/>
        </w:rPr>
      </w:pPr>
    </w:p>
    <w:p w:rsidR="00F90EF4" w:rsidRPr="005D0A38" w:rsidRDefault="00F90EF4" w:rsidP="00F90EF4">
      <w:pPr>
        <w:pStyle w:val="Style"/>
        <w:spacing w:before="0" w:after="0"/>
        <w:ind w:left="348" w:right="23"/>
        <w:jc w:val="both"/>
        <w:rPr>
          <w:rFonts w:ascii="Times New Roman" w:hAnsi="Times New Roman"/>
          <w:color w:val="000000" w:themeColor="text1"/>
          <w:lang w:val="fr-FR"/>
        </w:rPr>
      </w:pPr>
    </w:p>
    <w:p w:rsidR="00F90EF4" w:rsidRDefault="00F90EF4" w:rsidP="00F90EF4">
      <w:pPr>
        <w:rPr>
          <w:rFonts w:ascii="Times New Roman" w:hAnsi="Times New Roman" w:cs="Times New Roman"/>
          <w:b/>
          <w:sz w:val="28"/>
          <w:szCs w:val="28"/>
        </w:rPr>
      </w:pPr>
      <w:r>
        <w:rPr>
          <w:rFonts w:ascii="Times New Roman" w:hAnsi="Times New Roman" w:cs="Times New Roman"/>
          <w:b/>
          <w:sz w:val="28"/>
          <w:szCs w:val="28"/>
        </w:rPr>
        <w:br w:type="page"/>
      </w:r>
    </w:p>
    <w:p w:rsidR="00F90EF4" w:rsidRPr="008E0D0E" w:rsidRDefault="00F90EF4" w:rsidP="00F90EF4">
      <w:pPr>
        <w:pStyle w:val="Paragraphedeliste"/>
        <w:numPr>
          <w:ilvl w:val="0"/>
          <w:numId w:val="1"/>
        </w:numPr>
        <w:spacing w:after="0" w:line="240" w:lineRule="auto"/>
        <w:jc w:val="both"/>
        <w:rPr>
          <w:rFonts w:ascii="Times New Roman" w:hAnsi="Times New Roman" w:cs="Times New Roman"/>
          <w:b/>
          <w:sz w:val="28"/>
          <w:szCs w:val="28"/>
        </w:rPr>
      </w:pPr>
      <w:r w:rsidRPr="008E0D0E">
        <w:rPr>
          <w:rFonts w:ascii="Times New Roman" w:hAnsi="Times New Roman" w:cs="Times New Roman"/>
          <w:b/>
          <w:sz w:val="28"/>
          <w:szCs w:val="28"/>
        </w:rPr>
        <w:lastRenderedPageBreak/>
        <w:t>Ethique d’Evaluation</w:t>
      </w:r>
    </w:p>
    <w:p w:rsidR="00F90EF4" w:rsidRPr="008E0D0E" w:rsidRDefault="00F90EF4" w:rsidP="00F90EF4">
      <w:pPr>
        <w:pStyle w:val="Paragraphedeliste"/>
        <w:spacing w:after="0" w:line="240" w:lineRule="auto"/>
        <w:ind w:left="1080"/>
        <w:jc w:val="both"/>
        <w:rPr>
          <w:rFonts w:ascii="Times New Roman" w:hAnsi="Times New Roman" w:cs="Times New Roman"/>
          <w:b/>
          <w:sz w:val="28"/>
          <w:szCs w:val="28"/>
        </w:rPr>
      </w:pPr>
    </w:p>
    <w:p w:rsidR="00F90EF4" w:rsidRDefault="00F90EF4" w:rsidP="00F90EF4">
      <w:pPr>
        <w:pStyle w:val="Paragraphedeliste"/>
        <w:numPr>
          <w:ilvl w:val="0"/>
          <w:numId w:val="7"/>
        </w:numPr>
        <w:spacing w:line="240" w:lineRule="auto"/>
        <w:jc w:val="both"/>
        <w:rPr>
          <w:rFonts w:cs="Arial"/>
          <w:b/>
          <w:bCs/>
          <w:color w:val="333333"/>
          <w:sz w:val="24"/>
          <w:szCs w:val="24"/>
        </w:rPr>
      </w:pPr>
      <w:r w:rsidRPr="001E4FA2">
        <w:rPr>
          <w:rFonts w:cs="Arial"/>
          <w:b/>
          <w:bCs/>
          <w:color w:val="333333"/>
          <w:sz w:val="24"/>
          <w:szCs w:val="24"/>
        </w:rPr>
        <w:t>Ethique d’Evaluation</w:t>
      </w:r>
    </w:p>
    <w:p w:rsidR="00F90EF4" w:rsidRPr="001D2476" w:rsidRDefault="00F90EF4" w:rsidP="00F90EF4">
      <w:pPr>
        <w:spacing w:after="0" w:line="240" w:lineRule="auto"/>
        <w:jc w:val="both"/>
        <w:rPr>
          <w:rFonts w:ascii="Times New Roman" w:hAnsi="Times New Roman" w:cs="Times New Roman"/>
          <w:sz w:val="24"/>
          <w:szCs w:val="24"/>
        </w:rPr>
      </w:pPr>
      <w:r w:rsidRPr="001D2476">
        <w:rPr>
          <w:rFonts w:ascii="Times New Roman" w:hAnsi="Times New Roman" w:cs="Times New Roman"/>
          <w:sz w:val="24"/>
          <w:szCs w:val="24"/>
        </w:rPr>
        <w:t>L’évaluation devra être conduite dans le respect et la protection des droits et du bien-être des populations et des communautés auxquelles elles appartiennent, conformément à la Déclaration Universelle des Droits de l’Homme des Nations Unies et autres conventions sur les droits de l’Homme. L’évaluation devra être conduite conformément aux principes contenus dans les « Directives éthiques pour l’évaluation » l’UNEG</w:t>
      </w:r>
      <w:r w:rsidRPr="001D2476">
        <w:rPr>
          <w:rFonts w:ascii="Times New Roman" w:hAnsi="Times New Roman" w:cs="Times New Roman"/>
          <w:sz w:val="24"/>
          <w:szCs w:val="24"/>
        </w:rPr>
        <w:footnoteReference w:id="2"/>
      </w:r>
      <w:r w:rsidRPr="001D2476">
        <w:rPr>
          <w:rFonts w:ascii="Times New Roman" w:hAnsi="Times New Roman" w:cs="Times New Roman"/>
          <w:sz w:val="24"/>
          <w:szCs w:val="24"/>
        </w:rPr>
        <w:t>.</w:t>
      </w:r>
    </w:p>
    <w:p w:rsidR="00F90EF4" w:rsidRDefault="00F90EF4" w:rsidP="00F90EF4">
      <w:pPr>
        <w:spacing w:after="0" w:line="240" w:lineRule="auto"/>
        <w:jc w:val="both"/>
        <w:rPr>
          <w:rFonts w:ascii="Times New Roman" w:hAnsi="Times New Roman" w:cs="Times New Roman"/>
          <w:sz w:val="24"/>
          <w:szCs w:val="24"/>
        </w:rPr>
      </w:pPr>
    </w:p>
    <w:p w:rsidR="00F90EF4" w:rsidRPr="001D2476" w:rsidRDefault="00F90EF4" w:rsidP="00F90EF4">
      <w:pPr>
        <w:spacing w:after="0" w:line="240" w:lineRule="auto"/>
        <w:jc w:val="both"/>
        <w:rPr>
          <w:rFonts w:ascii="Times New Roman" w:hAnsi="Times New Roman" w:cs="Times New Roman"/>
          <w:sz w:val="24"/>
          <w:szCs w:val="24"/>
        </w:rPr>
      </w:pPr>
    </w:p>
    <w:p w:rsidR="00F90EF4" w:rsidRPr="001608BE" w:rsidRDefault="00F90EF4" w:rsidP="00F90EF4">
      <w:pPr>
        <w:pStyle w:val="Paragraphedeliste"/>
        <w:numPr>
          <w:ilvl w:val="0"/>
          <w:numId w:val="1"/>
        </w:numPr>
        <w:jc w:val="both"/>
        <w:rPr>
          <w:rFonts w:ascii="Times New Roman" w:hAnsi="Times New Roman" w:cs="Times New Roman"/>
          <w:b/>
          <w:sz w:val="28"/>
          <w:szCs w:val="28"/>
        </w:rPr>
      </w:pPr>
      <w:r w:rsidRPr="001608BE">
        <w:rPr>
          <w:rFonts w:ascii="Times New Roman" w:hAnsi="Times New Roman" w:cs="Times New Roman"/>
          <w:b/>
          <w:sz w:val="28"/>
          <w:szCs w:val="28"/>
        </w:rPr>
        <w:t>Durée de la mission :</w:t>
      </w:r>
    </w:p>
    <w:p w:rsidR="00F90EF4" w:rsidRDefault="00F90EF4" w:rsidP="00F90EF4">
      <w:pPr>
        <w:spacing w:after="0"/>
        <w:jc w:val="both"/>
        <w:rPr>
          <w:rFonts w:ascii="Times New Roman" w:hAnsi="Times New Roman" w:cs="Times New Roman"/>
          <w:sz w:val="24"/>
          <w:szCs w:val="24"/>
        </w:rPr>
      </w:pPr>
      <w:r w:rsidRPr="00533755">
        <w:rPr>
          <w:rFonts w:ascii="Times New Roman" w:hAnsi="Times New Roman" w:cs="Times New Roman"/>
          <w:sz w:val="24"/>
          <w:szCs w:val="24"/>
        </w:rPr>
        <w:t>La mission se déroulera sur une durée de trente jours (</w:t>
      </w:r>
      <w:r>
        <w:rPr>
          <w:rFonts w:ascii="Times New Roman" w:hAnsi="Times New Roman" w:cs="Times New Roman"/>
          <w:sz w:val="24"/>
          <w:szCs w:val="24"/>
        </w:rPr>
        <w:t>30</w:t>
      </w:r>
      <w:r w:rsidRPr="00533755">
        <w:rPr>
          <w:rFonts w:ascii="Times New Roman" w:hAnsi="Times New Roman" w:cs="Times New Roman"/>
          <w:sz w:val="24"/>
          <w:szCs w:val="24"/>
        </w:rPr>
        <w:t>) jours au maximum repartis entre les trois phases ci-dessus indiquées.</w:t>
      </w:r>
    </w:p>
    <w:p w:rsidR="00F90EF4" w:rsidRDefault="00F90EF4" w:rsidP="00F90EF4">
      <w:pPr>
        <w:spacing w:after="0"/>
        <w:jc w:val="both"/>
        <w:rPr>
          <w:rFonts w:ascii="Times New Roman" w:hAnsi="Times New Roman" w:cs="Times New Roman"/>
          <w:sz w:val="24"/>
          <w:szCs w:val="24"/>
        </w:rPr>
      </w:pPr>
    </w:p>
    <w:p w:rsidR="00F90EF4" w:rsidRPr="00533755" w:rsidRDefault="00F90EF4" w:rsidP="00F90EF4">
      <w:pPr>
        <w:spacing w:after="0"/>
        <w:jc w:val="both"/>
        <w:rPr>
          <w:rFonts w:ascii="Times New Roman" w:hAnsi="Times New Roman" w:cs="Times New Roman"/>
          <w:sz w:val="24"/>
          <w:szCs w:val="24"/>
        </w:rPr>
      </w:pPr>
    </w:p>
    <w:p w:rsidR="00F90EF4" w:rsidRPr="008C1F8D" w:rsidRDefault="00F90EF4" w:rsidP="00F90EF4">
      <w:pPr>
        <w:pStyle w:val="Paragraphedeliste"/>
        <w:numPr>
          <w:ilvl w:val="0"/>
          <w:numId w:val="1"/>
        </w:numPr>
        <w:jc w:val="both"/>
        <w:rPr>
          <w:rFonts w:ascii="Times New Roman" w:hAnsi="Times New Roman" w:cs="Times New Roman"/>
          <w:b/>
          <w:sz w:val="28"/>
          <w:szCs w:val="28"/>
        </w:rPr>
      </w:pPr>
      <w:r>
        <w:rPr>
          <w:rFonts w:ascii="Times New Roman" w:hAnsi="Times New Roman" w:cs="Times New Roman"/>
          <w:b/>
          <w:sz w:val="28"/>
          <w:szCs w:val="28"/>
        </w:rPr>
        <w:t>Financement</w:t>
      </w:r>
      <w:r w:rsidRPr="008C1F8D">
        <w:rPr>
          <w:rFonts w:ascii="Times New Roman" w:hAnsi="Times New Roman" w:cs="Times New Roman"/>
          <w:b/>
          <w:sz w:val="28"/>
          <w:szCs w:val="28"/>
        </w:rPr>
        <w:t xml:space="preserve"> de la mission :</w:t>
      </w:r>
    </w:p>
    <w:p w:rsidR="00F90EF4" w:rsidRPr="00353FF9" w:rsidRDefault="00F90EF4" w:rsidP="00F90EF4">
      <w:pPr>
        <w:spacing w:after="0" w:line="240" w:lineRule="auto"/>
        <w:jc w:val="both"/>
        <w:rPr>
          <w:rFonts w:ascii="Times New Roman" w:eastAsia="Times New Roman" w:hAnsi="Times New Roman" w:cs="Times New Roman"/>
          <w:color w:val="000000" w:themeColor="text1"/>
          <w:sz w:val="24"/>
          <w:szCs w:val="24"/>
          <w:lang w:eastAsia="fr-FR"/>
        </w:rPr>
      </w:pPr>
      <w:r w:rsidRPr="00353FF9">
        <w:rPr>
          <w:rFonts w:ascii="Times New Roman" w:hAnsi="Times New Roman" w:cs="Times New Roman"/>
          <w:color w:val="000000" w:themeColor="text1"/>
          <w:sz w:val="24"/>
          <w:szCs w:val="24"/>
        </w:rPr>
        <w:t>Le coût de la mission sera supporté par le budget 2016 de la Coordination du projet TOKTEN</w:t>
      </w:r>
      <w:r w:rsidRPr="00353FF9">
        <w:rPr>
          <w:rFonts w:ascii="Times New Roman" w:eastAsia="Times New Roman" w:hAnsi="Times New Roman" w:cs="Times New Roman"/>
          <w:color w:val="000000" w:themeColor="text1"/>
          <w:sz w:val="24"/>
          <w:szCs w:val="24"/>
          <w:lang w:eastAsia="fr-FR"/>
        </w:rPr>
        <w:t xml:space="preserve"> et selon les modalités suivantes :</w:t>
      </w:r>
    </w:p>
    <w:p w:rsidR="00F90EF4" w:rsidRPr="00353FF9" w:rsidRDefault="00F90EF4" w:rsidP="00F90EF4">
      <w:pPr>
        <w:pStyle w:val="Paragraphedeliste"/>
        <w:numPr>
          <w:ilvl w:val="0"/>
          <w:numId w:val="25"/>
        </w:numPr>
        <w:spacing w:after="0" w:line="240" w:lineRule="auto"/>
        <w:jc w:val="both"/>
        <w:rPr>
          <w:rFonts w:ascii="Times New Roman" w:eastAsia="Times New Roman" w:hAnsi="Times New Roman" w:cs="Times New Roman"/>
          <w:color w:val="000000" w:themeColor="text1"/>
          <w:sz w:val="24"/>
          <w:szCs w:val="24"/>
          <w:lang w:eastAsia="fr-FR"/>
        </w:rPr>
      </w:pPr>
      <w:r w:rsidRPr="00353FF9">
        <w:rPr>
          <w:rFonts w:ascii="Times New Roman" w:eastAsia="Times New Roman" w:hAnsi="Times New Roman" w:cs="Times New Roman"/>
          <w:color w:val="000000" w:themeColor="text1"/>
          <w:sz w:val="24"/>
          <w:szCs w:val="24"/>
          <w:lang w:eastAsia="fr-FR"/>
        </w:rPr>
        <w:t>20% à la signature du contrat ;</w:t>
      </w:r>
    </w:p>
    <w:p w:rsidR="00F90EF4" w:rsidRPr="00353FF9" w:rsidRDefault="00F90EF4" w:rsidP="00F90EF4">
      <w:pPr>
        <w:pStyle w:val="Paragraphedeliste"/>
        <w:numPr>
          <w:ilvl w:val="0"/>
          <w:numId w:val="25"/>
        </w:numPr>
        <w:spacing w:after="0" w:line="240" w:lineRule="auto"/>
        <w:jc w:val="both"/>
        <w:rPr>
          <w:rFonts w:ascii="Times New Roman" w:eastAsia="Times New Roman" w:hAnsi="Times New Roman" w:cs="Times New Roman"/>
          <w:color w:val="000000" w:themeColor="text1"/>
          <w:sz w:val="24"/>
          <w:szCs w:val="24"/>
          <w:lang w:eastAsia="fr-FR"/>
        </w:rPr>
      </w:pPr>
      <w:r w:rsidRPr="00353FF9">
        <w:rPr>
          <w:rFonts w:ascii="Times New Roman" w:eastAsia="Times New Roman" w:hAnsi="Times New Roman" w:cs="Times New Roman"/>
          <w:color w:val="000000" w:themeColor="text1"/>
          <w:sz w:val="24"/>
          <w:szCs w:val="24"/>
          <w:lang w:eastAsia="fr-FR"/>
        </w:rPr>
        <w:t>30% au dépôt du rapport provisoire ;</w:t>
      </w:r>
    </w:p>
    <w:p w:rsidR="00F90EF4" w:rsidRPr="00353FF9" w:rsidRDefault="00F90EF4" w:rsidP="00F90EF4">
      <w:pPr>
        <w:pStyle w:val="Paragraphedeliste"/>
        <w:numPr>
          <w:ilvl w:val="0"/>
          <w:numId w:val="25"/>
        </w:numPr>
        <w:spacing w:after="0" w:line="240" w:lineRule="auto"/>
        <w:jc w:val="both"/>
        <w:rPr>
          <w:rFonts w:ascii="Times New Roman" w:hAnsi="Times New Roman" w:cs="Times New Roman"/>
          <w:b/>
          <w:color w:val="000000" w:themeColor="text1"/>
          <w:sz w:val="24"/>
          <w:szCs w:val="24"/>
        </w:rPr>
      </w:pPr>
      <w:r w:rsidRPr="00353FF9">
        <w:rPr>
          <w:rFonts w:ascii="Times New Roman" w:eastAsia="Times New Roman" w:hAnsi="Times New Roman" w:cs="Times New Roman"/>
          <w:color w:val="000000" w:themeColor="text1"/>
          <w:sz w:val="24"/>
          <w:szCs w:val="24"/>
          <w:lang w:eastAsia="fr-FR"/>
        </w:rPr>
        <w:t>50% au dépôt du rapport final</w:t>
      </w:r>
    </w:p>
    <w:p w:rsidR="00F90EF4" w:rsidRDefault="00F90EF4" w:rsidP="00F90EF4">
      <w:pPr>
        <w:tabs>
          <w:tab w:val="left" w:pos="35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90EF4" w:rsidRPr="00875E4F" w:rsidRDefault="00F90EF4" w:rsidP="00F90EF4">
      <w:pPr>
        <w:spacing w:after="0" w:line="240" w:lineRule="auto"/>
        <w:rPr>
          <w:rFonts w:ascii="Times New Roman" w:hAnsi="Times New Roman" w:cs="Times New Roman"/>
          <w:sz w:val="24"/>
          <w:szCs w:val="24"/>
        </w:rPr>
      </w:pPr>
    </w:p>
    <w:p w:rsidR="00F90EF4" w:rsidRPr="00875E4F" w:rsidRDefault="00F90EF4" w:rsidP="00F90EF4">
      <w:pPr>
        <w:rPr>
          <w:rFonts w:ascii="Times New Roman" w:hAnsi="Times New Roman" w:cs="Times New Roman"/>
          <w:sz w:val="24"/>
          <w:szCs w:val="24"/>
        </w:rPr>
      </w:pPr>
    </w:p>
    <w:p w:rsidR="00F90EF4" w:rsidRPr="00875E4F" w:rsidRDefault="00F90EF4" w:rsidP="00F90EF4">
      <w:pPr>
        <w:rPr>
          <w:rFonts w:ascii="Times New Roman" w:hAnsi="Times New Roman" w:cs="Times New Roman"/>
          <w:sz w:val="24"/>
          <w:szCs w:val="24"/>
        </w:rPr>
      </w:pPr>
    </w:p>
    <w:p w:rsidR="00F90EF4" w:rsidRPr="00875E4F" w:rsidRDefault="00F90EF4" w:rsidP="00F90EF4">
      <w:pPr>
        <w:rPr>
          <w:rFonts w:ascii="Times New Roman" w:hAnsi="Times New Roman" w:cs="Times New Roman"/>
          <w:sz w:val="24"/>
          <w:szCs w:val="24"/>
        </w:rPr>
      </w:pPr>
    </w:p>
    <w:p w:rsidR="00F90EF4" w:rsidRPr="00875E4F" w:rsidRDefault="00F90EF4" w:rsidP="00F90EF4">
      <w:pPr>
        <w:rPr>
          <w:rFonts w:ascii="Times New Roman" w:hAnsi="Times New Roman" w:cs="Times New Roman"/>
          <w:sz w:val="24"/>
          <w:szCs w:val="24"/>
        </w:rPr>
      </w:pPr>
    </w:p>
    <w:p w:rsidR="00F90EF4" w:rsidRDefault="00F90EF4" w:rsidP="00F90EF4">
      <w:pPr>
        <w:rPr>
          <w:rFonts w:ascii="Times New Roman" w:hAnsi="Times New Roman" w:cs="Times New Roman"/>
          <w:sz w:val="24"/>
          <w:szCs w:val="24"/>
        </w:rPr>
      </w:pPr>
    </w:p>
    <w:p w:rsidR="00F90EF4" w:rsidRDefault="00F90EF4" w:rsidP="00F90EF4">
      <w:pPr>
        <w:tabs>
          <w:tab w:val="left" w:pos="5775"/>
        </w:tabs>
        <w:rPr>
          <w:rFonts w:ascii="Times New Roman" w:hAnsi="Times New Roman" w:cs="Times New Roman"/>
          <w:sz w:val="24"/>
          <w:szCs w:val="24"/>
        </w:rPr>
      </w:pPr>
      <w:r>
        <w:rPr>
          <w:rFonts w:ascii="Times New Roman" w:hAnsi="Times New Roman" w:cs="Times New Roman"/>
          <w:sz w:val="24"/>
          <w:szCs w:val="24"/>
        </w:rPr>
        <w:tab/>
      </w:r>
    </w:p>
    <w:p w:rsidR="00F90EF4" w:rsidRDefault="00F90EF4" w:rsidP="00F90EF4">
      <w:pPr>
        <w:tabs>
          <w:tab w:val="left" w:pos="5775"/>
        </w:tabs>
        <w:rPr>
          <w:rFonts w:ascii="Times New Roman" w:hAnsi="Times New Roman" w:cs="Times New Roman"/>
          <w:sz w:val="24"/>
          <w:szCs w:val="24"/>
        </w:rPr>
      </w:pPr>
    </w:p>
    <w:p w:rsidR="00F90EF4" w:rsidRDefault="00F90EF4" w:rsidP="00F90EF4">
      <w:pPr>
        <w:rPr>
          <w:rFonts w:ascii="Times New Roman" w:hAnsi="Times New Roman" w:cs="Times New Roman"/>
          <w:sz w:val="24"/>
          <w:szCs w:val="24"/>
        </w:rPr>
      </w:pPr>
      <w:r>
        <w:rPr>
          <w:rFonts w:ascii="Times New Roman" w:hAnsi="Times New Roman" w:cs="Times New Roman"/>
          <w:sz w:val="24"/>
          <w:szCs w:val="24"/>
        </w:rPr>
        <w:br w:type="page"/>
      </w:r>
    </w:p>
    <w:p w:rsidR="00F90EF4" w:rsidRDefault="00F90EF4" w:rsidP="00F90EF4">
      <w:pPr>
        <w:tabs>
          <w:tab w:val="left" w:pos="5775"/>
        </w:tabs>
        <w:spacing w:after="0"/>
        <w:rPr>
          <w:rFonts w:ascii="Times New Roman" w:hAnsi="Times New Roman" w:cs="Times New Roman"/>
          <w:b/>
          <w:color w:val="000000" w:themeColor="text1"/>
          <w:sz w:val="32"/>
          <w:szCs w:val="32"/>
          <w:u w:val="single"/>
        </w:rPr>
      </w:pPr>
      <w:r w:rsidRPr="00353FF9">
        <w:rPr>
          <w:rFonts w:ascii="Times New Roman" w:hAnsi="Times New Roman" w:cs="Times New Roman"/>
          <w:b/>
          <w:color w:val="000000" w:themeColor="text1"/>
          <w:sz w:val="32"/>
          <w:szCs w:val="32"/>
          <w:u w:val="single"/>
        </w:rPr>
        <w:lastRenderedPageBreak/>
        <w:t>Annexes</w:t>
      </w:r>
    </w:p>
    <w:p w:rsidR="00F90EF4" w:rsidRPr="00353FF9" w:rsidRDefault="00F90EF4" w:rsidP="00F90EF4">
      <w:pPr>
        <w:tabs>
          <w:tab w:val="left" w:pos="5775"/>
        </w:tabs>
        <w:spacing w:after="0"/>
        <w:rPr>
          <w:rFonts w:ascii="Times New Roman" w:hAnsi="Times New Roman" w:cs="Times New Roman"/>
          <w:b/>
          <w:color w:val="000000" w:themeColor="text1"/>
          <w:sz w:val="32"/>
          <w:szCs w:val="32"/>
          <w:u w:val="single"/>
        </w:rPr>
      </w:pPr>
    </w:p>
    <w:p w:rsidR="00F90EF4" w:rsidRPr="00353FF9" w:rsidRDefault="00F90EF4" w:rsidP="00F90EF4">
      <w:pPr>
        <w:pStyle w:val="En-tte"/>
        <w:tabs>
          <w:tab w:val="clear" w:pos="4536"/>
          <w:tab w:val="clear" w:pos="9072"/>
        </w:tabs>
        <w:rPr>
          <w:rFonts w:ascii="Times New Roman" w:hAnsi="Times New Roman" w:cs="Times New Roman"/>
          <w:color w:val="000000" w:themeColor="text1"/>
          <w:sz w:val="24"/>
          <w:szCs w:val="24"/>
        </w:rPr>
      </w:pPr>
      <w:r w:rsidRPr="00353FF9">
        <w:rPr>
          <w:rFonts w:ascii="Times New Roman" w:hAnsi="Times New Roman" w:cs="Times New Roman"/>
          <w:color w:val="000000" w:themeColor="text1"/>
          <w:sz w:val="24"/>
          <w:szCs w:val="24"/>
          <w:u w:val="single"/>
        </w:rPr>
        <w:t>Les principales parties prenantes du projet seront rencontrées</w:t>
      </w:r>
      <w:r w:rsidRPr="00353FF9">
        <w:rPr>
          <w:rFonts w:ascii="Times New Roman" w:hAnsi="Times New Roman" w:cs="Times New Roman"/>
          <w:color w:val="000000" w:themeColor="text1"/>
          <w:sz w:val="24"/>
          <w:szCs w:val="24"/>
        </w:rPr>
        <w:t>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Ministère Maliens de l’extérieur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PNUD Mali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Coordination TOKTEN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Universités du Mali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Ministères en charge de : Enseignement Supérieur, Santé, Agriculture, PME/PMI,</w:t>
      </w:r>
    </w:p>
    <w:p w:rsidR="00F90EF4" w:rsidRPr="00353FF9" w:rsidRDefault="00F90EF4" w:rsidP="00F90EF4">
      <w:pPr>
        <w:tabs>
          <w:tab w:val="left" w:pos="5775"/>
        </w:tabs>
        <w:spacing w:after="0"/>
        <w:rPr>
          <w:rFonts w:ascii="Times New Roman" w:hAnsi="Times New Roman" w:cs="Times New Roman"/>
          <w:color w:val="000000" w:themeColor="text1"/>
          <w:sz w:val="24"/>
          <w:szCs w:val="24"/>
        </w:rPr>
      </w:pPr>
    </w:p>
    <w:p w:rsidR="00F90EF4" w:rsidRPr="00353FF9" w:rsidRDefault="00F90EF4" w:rsidP="00F90EF4">
      <w:pPr>
        <w:tabs>
          <w:tab w:val="left" w:pos="5775"/>
        </w:tabs>
        <w:spacing w:after="0"/>
        <w:rPr>
          <w:rFonts w:ascii="Times New Roman" w:hAnsi="Times New Roman" w:cs="Times New Roman"/>
          <w:color w:val="000000" w:themeColor="text1"/>
          <w:sz w:val="24"/>
          <w:szCs w:val="24"/>
        </w:rPr>
      </w:pPr>
      <w:r w:rsidRPr="00353FF9">
        <w:rPr>
          <w:rFonts w:ascii="Times New Roman" w:hAnsi="Times New Roman" w:cs="Times New Roman"/>
          <w:color w:val="000000" w:themeColor="text1"/>
          <w:sz w:val="24"/>
          <w:szCs w:val="24"/>
          <w:u w:val="single"/>
        </w:rPr>
        <w:t>Documents à consulter</w:t>
      </w:r>
      <w:r w:rsidRPr="00353FF9">
        <w:rPr>
          <w:rFonts w:ascii="Times New Roman" w:hAnsi="Times New Roman" w:cs="Times New Roman"/>
          <w:color w:val="000000" w:themeColor="text1"/>
          <w:sz w:val="24"/>
          <w:szCs w:val="24"/>
        </w:rPr>
        <w:t>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Documents du Programme TOKTEN : PRODOC, rapports de mise en œuvre, UNDAF, Programme Pays du PNUD (CPD), revues annuelles….</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Documents relatifs à la migration au Mali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Politiques et stratégies relatives à l’éducation, santé, agriculture et PME/PMI ;</w:t>
      </w:r>
    </w:p>
    <w:p w:rsidR="00F90EF4" w:rsidRPr="00353FF9" w:rsidRDefault="00F90EF4" w:rsidP="00F90EF4">
      <w:pPr>
        <w:pStyle w:val="Style"/>
        <w:numPr>
          <w:ilvl w:val="0"/>
          <w:numId w:val="4"/>
        </w:numPr>
        <w:spacing w:before="0" w:after="0"/>
        <w:ind w:left="714" w:right="23" w:hanging="357"/>
        <w:jc w:val="both"/>
        <w:rPr>
          <w:rFonts w:ascii="Times New Roman" w:hAnsi="Times New Roman"/>
          <w:color w:val="000000" w:themeColor="text1"/>
          <w:lang w:val="fr-FR"/>
        </w:rPr>
      </w:pPr>
      <w:r w:rsidRPr="00353FF9">
        <w:rPr>
          <w:rFonts w:ascii="Times New Roman" w:hAnsi="Times New Roman"/>
          <w:color w:val="000000" w:themeColor="text1"/>
          <w:lang w:val="fr-FR"/>
        </w:rPr>
        <w:t>Tout autre document jugé utile.</w:t>
      </w:r>
    </w:p>
    <w:p w:rsidR="00F90EF4" w:rsidRPr="00875E4F" w:rsidRDefault="00F90EF4" w:rsidP="00F90EF4">
      <w:pPr>
        <w:tabs>
          <w:tab w:val="left" w:pos="5775"/>
        </w:tabs>
        <w:rPr>
          <w:rFonts w:ascii="Times New Roman" w:hAnsi="Times New Roman" w:cs="Times New Roman"/>
          <w:sz w:val="24"/>
          <w:szCs w:val="24"/>
        </w:rPr>
      </w:pPr>
    </w:p>
    <w:p w:rsidR="00A43583" w:rsidRDefault="00A43583"/>
    <w:sectPr w:rsidR="00A43583" w:rsidSect="00456D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A2" w:rsidRDefault="003904A2" w:rsidP="00F90EF4">
      <w:pPr>
        <w:spacing w:after="0" w:line="240" w:lineRule="auto"/>
      </w:pPr>
      <w:r>
        <w:separator/>
      </w:r>
    </w:p>
  </w:endnote>
  <w:endnote w:type="continuationSeparator" w:id="0">
    <w:p w:rsidR="003904A2" w:rsidRDefault="003904A2" w:rsidP="00F9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30296"/>
      <w:docPartObj>
        <w:docPartGallery w:val="Page Numbers (Bottom of Page)"/>
        <w:docPartUnique/>
      </w:docPartObj>
    </w:sdtPr>
    <w:sdtEndPr/>
    <w:sdtContent>
      <w:p w:rsidR="0000662C" w:rsidRDefault="002D6BD6">
        <w:pPr>
          <w:pStyle w:val="Pieddepage"/>
        </w:pPr>
        <w:r>
          <w:rPr>
            <w:noProof/>
            <w:lang w:eastAsia="fr-FR"/>
          </w:rPr>
          <mc:AlternateContent>
            <mc:Choice Requires="wps">
              <w:drawing>
                <wp:anchor distT="0" distB="0" distL="114300" distR="114300" simplePos="0" relativeHeight="251659264" behindDoc="0" locked="0" layoutInCell="0" allowOverlap="1" wp14:anchorId="09E91E3C" wp14:editId="4F399446">
                  <wp:simplePos x="0" y="0"/>
                  <wp:positionH relativeFrom="rightMargin">
                    <wp:posOffset>6350</wp:posOffset>
                  </wp:positionH>
                  <wp:positionV relativeFrom="bottomMargin">
                    <wp:posOffset>300990</wp:posOffset>
                  </wp:positionV>
                  <wp:extent cx="428625" cy="32385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0662C" w:rsidRDefault="002D6BD6">
                              <w:pPr>
                                <w:jc w:val="center"/>
                              </w:pPr>
                              <w:r>
                                <w:fldChar w:fldCharType="begin"/>
                              </w:r>
                              <w:r>
                                <w:instrText xml:space="preserve"> PAGE    \* MERGEFORMAT </w:instrText>
                              </w:r>
                              <w:r>
                                <w:fldChar w:fldCharType="separate"/>
                              </w:r>
                              <w:r w:rsidR="006C6066" w:rsidRPr="006C6066">
                                <w:rPr>
                                  <w:noProof/>
                                  <w:sz w:val="16"/>
                                  <w:szCs w:val="16"/>
                                </w:rPr>
                                <w:t>13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1E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pt;margin-top:23.7pt;width:33.75pt;height:25.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" o:allowincell="f" adj="14135" strokecolor="gray [1629]" strokeweight=".25pt">
                  <v:textbox>
                    <w:txbxContent>
                      <w:p w:rsidR="0000662C" w:rsidRDefault="002D6BD6">
                        <w:pPr>
                          <w:jc w:val="center"/>
                        </w:pPr>
                        <w:r>
                          <w:fldChar w:fldCharType="begin"/>
                        </w:r>
                        <w:r>
                          <w:instrText xml:space="preserve"> PAGE    \* MERGEFORMAT </w:instrText>
                        </w:r>
                        <w:r>
                          <w:fldChar w:fldCharType="separate"/>
                        </w:r>
                        <w:r w:rsidR="006C6066" w:rsidRPr="006C6066">
                          <w:rPr>
                            <w:noProof/>
                            <w:sz w:val="16"/>
                            <w:szCs w:val="16"/>
                          </w:rPr>
                          <w:t>13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A2" w:rsidRDefault="003904A2" w:rsidP="00F90EF4">
      <w:pPr>
        <w:spacing w:after="0" w:line="240" w:lineRule="auto"/>
      </w:pPr>
      <w:r>
        <w:separator/>
      </w:r>
    </w:p>
  </w:footnote>
  <w:footnote w:type="continuationSeparator" w:id="0">
    <w:p w:rsidR="003904A2" w:rsidRDefault="003904A2" w:rsidP="00F90EF4">
      <w:pPr>
        <w:spacing w:after="0" w:line="240" w:lineRule="auto"/>
      </w:pPr>
      <w:r>
        <w:continuationSeparator/>
      </w:r>
    </w:p>
  </w:footnote>
  <w:footnote w:id="1">
    <w:p w:rsidR="00F90EF4" w:rsidRDefault="00F90EF4" w:rsidP="00F90EF4">
      <w:pPr>
        <w:pStyle w:val="Notedebasdepage"/>
        <w:spacing w:before="0" w:after="0" w:line="240" w:lineRule="auto"/>
      </w:pPr>
      <w:r w:rsidRPr="00A631DD">
        <w:rPr>
          <w:rStyle w:val="Appelnotedebasdep"/>
          <w:lang w:val="fr-FR"/>
        </w:rPr>
        <w:footnoteRef/>
      </w:r>
      <w:r w:rsidRPr="00A631DD">
        <w:rPr>
          <w:lang w:val="fr-FR"/>
        </w:rPr>
        <w:t xml:space="preserve"> Cadre stratégique de lutte contre la pauvreté, CSLP</w:t>
      </w:r>
      <w:r>
        <w:t>.</w:t>
      </w:r>
    </w:p>
  </w:footnote>
  <w:footnote w:id="2">
    <w:p w:rsidR="00F90EF4" w:rsidRPr="00C1134F" w:rsidRDefault="00F90EF4" w:rsidP="00F90EF4">
      <w:pPr>
        <w:pStyle w:val="Notedebasdepage"/>
        <w:rPr>
          <w:lang w:val="en-US"/>
        </w:rPr>
      </w:pPr>
      <w:r>
        <w:rPr>
          <w:rStyle w:val="Appelnotedebasdep"/>
        </w:rPr>
        <w:footnoteRef/>
      </w:r>
      <w:r w:rsidRPr="00086986">
        <w:rPr>
          <w:lang w:val="en-US"/>
        </w:rPr>
        <w:t xml:space="preserve"> </w:t>
      </w:r>
      <w:r w:rsidRPr="00732A30">
        <w:rPr>
          <w:lang w:val="en-US"/>
        </w:rPr>
        <w:t>UNEG, ‘Ethical Guidelines for Evaluation’, June 2008. Available at http://www.uneval.org/ search/index.jsp?q=ethical+guidelines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3C9"/>
    <w:multiLevelType w:val="hybridMultilevel"/>
    <w:tmpl w:val="671E8222"/>
    <w:lvl w:ilvl="0" w:tplc="040C0001">
      <w:start w:val="1"/>
      <w:numFmt w:val="bullet"/>
      <w:lvlText w:val=""/>
      <w:lvlJc w:val="left"/>
      <w:pPr>
        <w:tabs>
          <w:tab w:val="num" w:pos="426"/>
        </w:tabs>
        <w:ind w:left="4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44E61"/>
    <w:multiLevelType w:val="hybridMultilevel"/>
    <w:tmpl w:val="6DDE3758"/>
    <w:lvl w:ilvl="0" w:tplc="8AD80294">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1F4E02"/>
    <w:multiLevelType w:val="hybridMultilevel"/>
    <w:tmpl w:val="3580CA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14B0C"/>
    <w:multiLevelType w:val="hybridMultilevel"/>
    <w:tmpl w:val="94447044"/>
    <w:lvl w:ilvl="0" w:tplc="F6FE1EFC">
      <w:numFmt w:val="bullet"/>
      <w:lvlText w:val="-"/>
      <w:lvlJc w:val="left"/>
      <w:pPr>
        <w:ind w:left="360" w:hanging="360"/>
      </w:pPr>
      <w:rPr>
        <w:rFonts w:ascii="Arial"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5AC2F29"/>
    <w:multiLevelType w:val="multilevel"/>
    <w:tmpl w:val="3F4A6F18"/>
    <w:lvl w:ilvl="0">
      <w:start w:val="1"/>
      <w:numFmt w:val="bullet"/>
      <w:lvlText w:val=""/>
      <w:lvlJc w:val="left"/>
      <w:pPr>
        <w:tabs>
          <w:tab w:val="num" w:pos="1068"/>
        </w:tabs>
        <w:ind w:left="1068" w:hanging="360"/>
      </w:pPr>
      <w:rPr>
        <w:rFonts w:ascii="Symbol" w:hAnsi="Symbol" w:hint="default"/>
        <w:sz w:val="20"/>
      </w:rPr>
    </w:lvl>
    <w:lvl w:ilvl="1">
      <w:start w:val="7"/>
      <w:numFmt w:val="decimal"/>
      <w:lvlText w:val="%2."/>
      <w:lvlJc w:val="left"/>
      <w:pPr>
        <w:ind w:left="1788" w:hanging="360"/>
      </w:pPr>
      <w:rPr>
        <w:rFonts w:ascii="Verdana" w:hAnsi="Verdana" w:cs="Times New Roman" w:hint="default"/>
        <w:b/>
        <w:color w:val="333333"/>
        <w:sz w:val="20"/>
      </w:rPr>
    </w:lvl>
    <w:lvl w:ilvl="2">
      <w:start w:val="1"/>
      <w:numFmt w:val="decimal"/>
      <w:lvlText w:val="%3"/>
      <w:lvlJc w:val="left"/>
      <w:pPr>
        <w:ind w:left="2508" w:hanging="360"/>
      </w:pPr>
      <w:rPr>
        <w:rFonts w:ascii="Calibri" w:eastAsia="Times New Roman" w:hAnsi="Calibri" w:cs="Times New Roman"/>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18966FEC"/>
    <w:multiLevelType w:val="hybridMultilevel"/>
    <w:tmpl w:val="05A04672"/>
    <w:lvl w:ilvl="0" w:tplc="8AD80294">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0917F7"/>
    <w:multiLevelType w:val="hybridMultilevel"/>
    <w:tmpl w:val="060A0F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C174F8F"/>
    <w:multiLevelType w:val="hybridMultilevel"/>
    <w:tmpl w:val="A9D499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10256A"/>
    <w:multiLevelType w:val="hybridMultilevel"/>
    <w:tmpl w:val="28C8D0E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E91502F"/>
    <w:multiLevelType w:val="hybridMultilevel"/>
    <w:tmpl w:val="88C8EC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71B6ECB"/>
    <w:multiLevelType w:val="hybridMultilevel"/>
    <w:tmpl w:val="67384E48"/>
    <w:lvl w:ilvl="0" w:tplc="F6FE1EFC">
      <w:numFmt w:val="bullet"/>
      <w:lvlText w:val="-"/>
      <w:lvlJc w:val="left"/>
      <w:pPr>
        <w:ind w:left="360" w:hanging="360"/>
      </w:pPr>
      <w:rPr>
        <w:rFonts w:ascii="Arial"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3630A83"/>
    <w:multiLevelType w:val="hybridMultilevel"/>
    <w:tmpl w:val="01D6E6A6"/>
    <w:lvl w:ilvl="0" w:tplc="F6FE1EFC">
      <w:numFmt w:val="bullet"/>
      <w:lvlText w:val="-"/>
      <w:lvlJc w:val="left"/>
      <w:pPr>
        <w:ind w:left="360" w:hanging="360"/>
      </w:pPr>
      <w:rPr>
        <w:rFonts w:ascii="Arial"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7D6397E"/>
    <w:multiLevelType w:val="hybridMultilevel"/>
    <w:tmpl w:val="90DCB67C"/>
    <w:lvl w:ilvl="0" w:tplc="B50AF2F0">
      <w:start w:val="1"/>
      <w:numFmt w:val="bullet"/>
      <w:lvlText w:val="-"/>
      <w:lvlJc w:val="left"/>
      <w:pPr>
        <w:ind w:left="-1782" w:hanging="360"/>
      </w:pPr>
      <w:rPr>
        <w:rFonts w:ascii="Calibri" w:eastAsia="Times New Roman" w:hAnsi="Calibri" w:hint="default"/>
        <w:color w:val="000000"/>
      </w:rPr>
    </w:lvl>
    <w:lvl w:ilvl="1" w:tplc="040C0003" w:tentative="1">
      <w:start w:val="1"/>
      <w:numFmt w:val="bullet"/>
      <w:lvlText w:val="o"/>
      <w:lvlJc w:val="left"/>
      <w:pPr>
        <w:ind w:left="-1062" w:hanging="360"/>
      </w:pPr>
      <w:rPr>
        <w:rFonts w:ascii="Courier New" w:hAnsi="Courier New" w:hint="default"/>
      </w:rPr>
    </w:lvl>
    <w:lvl w:ilvl="2" w:tplc="040C0005" w:tentative="1">
      <w:start w:val="1"/>
      <w:numFmt w:val="bullet"/>
      <w:lvlText w:val=""/>
      <w:lvlJc w:val="left"/>
      <w:pPr>
        <w:ind w:left="-342" w:hanging="360"/>
      </w:pPr>
      <w:rPr>
        <w:rFonts w:ascii="Wingdings" w:hAnsi="Wingdings" w:hint="default"/>
      </w:rPr>
    </w:lvl>
    <w:lvl w:ilvl="3" w:tplc="040C0001" w:tentative="1">
      <w:start w:val="1"/>
      <w:numFmt w:val="bullet"/>
      <w:lvlText w:val=""/>
      <w:lvlJc w:val="left"/>
      <w:pPr>
        <w:ind w:left="378" w:hanging="360"/>
      </w:pPr>
      <w:rPr>
        <w:rFonts w:ascii="Symbol" w:hAnsi="Symbol" w:hint="default"/>
      </w:rPr>
    </w:lvl>
    <w:lvl w:ilvl="4" w:tplc="040C0003" w:tentative="1">
      <w:start w:val="1"/>
      <w:numFmt w:val="bullet"/>
      <w:lvlText w:val="o"/>
      <w:lvlJc w:val="left"/>
      <w:pPr>
        <w:ind w:left="1098" w:hanging="360"/>
      </w:pPr>
      <w:rPr>
        <w:rFonts w:ascii="Courier New" w:hAnsi="Courier New" w:hint="default"/>
      </w:rPr>
    </w:lvl>
    <w:lvl w:ilvl="5" w:tplc="040C0005" w:tentative="1">
      <w:start w:val="1"/>
      <w:numFmt w:val="bullet"/>
      <w:lvlText w:val=""/>
      <w:lvlJc w:val="left"/>
      <w:pPr>
        <w:ind w:left="1818" w:hanging="360"/>
      </w:pPr>
      <w:rPr>
        <w:rFonts w:ascii="Wingdings" w:hAnsi="Wingdings" w:hint="default"/>
      </w:rPr>
    </w:lvl>
    <w:lvl w:ilvl="6" w:tplc="040C0001" w:tentative="1">
      <w:start w:val="1"/>
      <w:numFmt w:val="bullet"/>
      <w:lvlText w:val=""/>
      <w:lvlJc w:val="left"/>
      <w:pPr>
        <w:ind w:left="2538" w:hanging="360"/>
      </w:pPr>
      <w:rPr>
        <w:rFonts w:ascii="Symbol" w:hAnsi="Symbol" w:hint="default"/>
      </w:rPr>
    </w:lvl>
    <w:lvl w:ilvl="7" w:tplc="040C0003" w:tentative="1">
      <w:start w:val="1"/>
      <w:numFmt w:val="bullet"/>
      <w:lvlText w:val="o"/>
      <w:lvlJc w:val="left"/>
      <w:pPr>
        <w:ind w:left="3258" w:hanging="360"/>
      </w:pPr>
      <w:rPr>
        <w:rFonts w:ascii="Courier New" w:hAnsi="Courier New" w:hint="default"/>
      </w:rPr>
    </w:lvl>
    <w:lvl w:ilvl="8" w:tplc="040C0005" w:tentative="1">
      <w:start w:val="1"/>
      <w:numFmt w:val="bullet"/>
      <w:lvlText w:val=""/>
      <w:lvlJc w:val="left"/>
      <w:pPr>
        <w:ind w:left="3978" w:hanging="360"/>
      </w:pPr>
      <w:rPr>
        <w:rFonts w:ascii="Wingdings" w:hAnsi="Wingdings" w:hint="default"/>
      </w:rPr>
    </w:lvl>
  </w:abstractNum>
  <w:abstractNum w:abstractNumId="13" w15:restartNumberingAfterBreak="0">
    <w:nsid w:val="39E13458"/>
    <w:multiLevelType w:val="hybridMultilevel"/>
    <w:tmpl w:val="CE6A4D52"/>
    <w:lvl w:ilvl="0" w:tplc="A088FF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773EA2"/>
    <w:multiLevelType w:val="hybridMultilevel"/>
    <w:tmpl w:val="FCC0F590"/>
    <w:lvl w:ilvl="0" w:tplc="8AD8029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416BE0"/>
    <w:multiLevelType w:val="multilevel"/>
    <w:tmpl w:val="68F63FEA"/>
    <w:lvl w:ilvl="0">
      <w:start w:val="1"/>
      <w:numFmt w:val="bullet"/>
      <w:lvlText w:val=""/>
      <w:lvlJc w:val="left"/>
      <w:pPr>
        <w:ind w:left="360" w:hanging="360"/>
      </w:pPr>
      <w:rPr>
        <w:rFonts w:ascii="Wingdings" w:hAnsi="Wingdings" w:hint="default"/>
      </w:rPr>
    </w:lvl>
    <w:lvl w:ilvl="1">
      <w:start w:val="5"/>
      <w:numFmt w:val="bullet"/>
      <w:lvlText w:val="-"/>
      <w:lvlJc w:val="left"/>
      <w:pPr>
        <w:ind w:left="720" w:hanging="720"/>
      </w:pPr>
      <w:rPr>
        <w:rFonts w:ascii="Times New Roman" w:eastAsia="Times New Roman" w:hAnsi="Times New Roman" w:cs="Times New Roman" w:hint="default"/>
        <w:b/>
        <w:color w:val="auto"/>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B6E0D3C"/>
    <w:multiLevelType w:val="hybridMultilevel"/>
    <w:tmpl w:val="CCA8FF48"/>
    <w:lvl w:ilvl="0" w:tplc="8AD80294">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C4D68E0"/>
    <w:multiLevelType w:val="hybridMultilevel"/>
    <w:tmpl w:val="55A62C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3094C39"/>
    <w:multiLevelType w:val="hybridMultilevel"/>
    <w:tmpl w:val="B44E9972"/>
    <w:lvl w:ilvl="0" w:tplc="3CA29CF4">
      <w:start w:val="1"/>
      <w:numFmt w:val="upperRoman"/>
      <w:lvlText w:val="%1."/>
      <w:lvlJc w:val="left"/>
      <w:pPr>
        <w:tabs>
          <w:tab w:val="num" w:pos="720"/>
        </w:tabs>
        <w:ind w:left="720" w:hanging="720"/>
      </w:pPr>
    </w:lvl>
    <w:lvl w:ilvl="1" w:tplc="69347B48">
      <w:start w:val="2"/>
      <w:numFmt w:val="bullet"/>
      <w:lvlText w:val="-"/>
      <w:lvlJc w:val="left"/>
      <w:pPr>
        <w:tabs>
          <w:tab w:val="num" w:pos="1080"/>
        </w:tabs>
        <w:ind w:left="1080" w:hanging="360"/>
      </w:pPr>
      <w:rPr>
        <w:rFonts w:ascii="Times New Roman" w:eastAsia="Times New Roman" w:hAnsi="Times New Roman" w:cs="Times New Roman" w:hint="default"/>
      </w:rPr>
    </w:lvl>
    <w:lvl w:ilvl="2" w:tplc="040C0001">
      <w:start w:val="1"/>
      <w:numFmt w:val="bullet"/>
      <w:lvlText w:val=""/>
      <w:lvlJc w:val="left"/>
      <w:pPr>
        <w:tabs>
          <w:tab w:val="num" w:pos="426"/>
        </w:tabs>
        <w:ind w:left="426" w:hanging="360"/>
      </w:pPr>
      <w:rPr>
        <w:rFonts w:ascii="Symbol" w:hAnsi="Symbol" w:hint="default"/>
      </w:r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9" w15:restartNumberingAfterBreak="0">
    <w:nsid w:val="60C77093"/>
    <w:multiLevelType w:val="hybridMultilevel"/>
    <w:tmpl w:val="FCC6CEA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29272D"/>
    <w:multiLevelType w:val="hybridMultilevel"/>
    <w:tmpl w:val="65E2F7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30916A2"/>
    <w:multiLevelType w:val="multilevel"/>
    <w:tmpl w:val="202E0A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7C12A6C"/>
    <w:multiLevelType w:val="hybridMultilevel"/>
    <w:tmpl w:val="5A1A2240"/>
    <w:lvl w:ilvl="0" w:tplc="F6FE1EFC">
      <w:numFmt w:val="bullet"/>
      <w:lvlText w:val="-"/>
      <w:lvlJc w:val="left"/>
      <w:pPr>
        <w:ind w:left="720" w:hanging="360"/>
      </w:pPr>
      <w:rPr>
        <w:rFonts w:ascii="Arial"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E01B04"/>
    <w:multiLevelType w:val="hybridMultilevel"/>
    <w:tmpl w:val="55B0BA02"/>
    <w:lvl w:ilvl="0" w:tplc="F6FE1EFC">
      <w:numFmt w:val="bullet"/>
      <w:lvlText w:val="-"/>
      <w:lvlJc w:val="left"/>
      <w:pPr>
        <w:ind w:left="360" w:hanging="360"/>
      </w:pPr>
      <w:rPr>
        <w:rFonts w:ascii="Arial"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CF7F95"/>
    <w:multiLevelType w:val="hybridMultilevel"/>
    <w:tmpl w:val="49107F14"/>
    <w:lvl w:ilvl="0" w:tplc="8AD80294">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2"/>
  </w:num>
  <w:num w:numId="5">
    <w:abstractNumId w:val="9"/>
  </w:num>
  <w:num w:numId="6">
    <w:abstractNumId w:val="8"/>
  </w:num>
  <w:num w:numId="7">
    <w:abstractNumId w:val="13"/>
  </w:num>
  <w:num w:numId="8">
    <w:abstractNumId w:val="17"/>
  </w:num>
  <w:num w:numId="9">
    <w:abstractNumId w:val="7"/>
  </w:num>
  <w:num w:numId="10">
    <w:abstractNumId w:val="20"/>
  </w:num>
  <w:num w:numId="11">
    <w:abstractNumId w:val="15"/>
  </w:num>
  <w:num w:numId="12">
    <w:abstractNumId w:val="16"/>
  </w:num>
  <w:num w:numId="13">
    <w:abstractNumId w:val="5"/>
  </w:num>
  <w:num w:numId="14">
    <w:abstractNumId w:val="1"/>
  </w:num>
  <w:num w:numId="15">
    <w:abstractNumId w:val="14"/>
  </w:num>
  <w:num w:numId="16">
    <w:abstractNumId w:val="10"/>
  </w:num>
  <w:num w:numId="17">
    <w:abstractNumId w:val="11"/>
  </w:num>
  <w:num w:numId="18">
    <w:abstractNumId w:val="23"/>
  </w:num>
  <w:num w:numId="19">
    <w:abstractNumId w:val="3"/>
  </w:num>
  <w:num w:numId="20">
    <w:abstractNumId w:val="0"/>
  </w:num>
  <w:num w:numId="21">
    <w:abstractNumId w:val="4"/>
  </w:num>
  <w:num w:numId="22">
    <w:abstractNumId w:val="2"/>
  </w:num>
  <w:num w:numId="23">
    <w:abstractNumId w:val="19"/>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F4"/>
    <w:rsid w:val="002D6BD6"/>
    <w:rsid w:val="003904A2"/>
    <w:rsid w:val="004820E0"/>
    <w:rsid w:val="006C6066"/>
    <w:rsid w:val="00A43583"/>
    <w:rsid w:val="00F90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11E33-191F-4666-B619-98336B2C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EF4"/>
    <w:pPr>
      <w:spacing w:after="200" w:line="276" w:lineRule="auto"/>
    </w:pPr>
  </w:style>
  <w:style w:type="paragraph" w:styleId="Titre2">
    <w:name w:val="heading 2"/>
    <w:basedOn w:val="Normal"/>
    <w:next w:val="Normal"/>
    <w:link w:val="Titre2Car"/>
    <w:uiPriority w:val="9"/>
    <w:unhideWhenUsed/>
    <w:qFormat/>
    <w:rsid w:val="00F90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0EF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link w:val="ParagraphedelisteCar"/>
    <w:uiPriority w:val="34"/>
    <w:qFormat/>
    <w:rsid w:val="00F90EF4"/>
    <w:pPr>
      <w:ind w:left="720"/>
      <w:contextualSpacing/>
    </w:pPr>
  </w:style>
  <w:style w:type="paragraph" w:styleId="En-tte">
    <w:name w:val="header"/>
    <w:basedOn w:val="Normal"/>
    <w:link w:val="En-tteCar"/>
    <w:unhideWhenUsed/>
    <w:rsid w:val="00F90EF4"/>
    <w:pPr>
      <w:tabs>
        <w:tab w:val="center" w:pos="4536"/>
        <w:tab w:val="right" w:pos="9072"/>
      </w:tabs>
      <w:spacing w:after="0" w:line="240" w:lineRule="auto"/>
    </w:pPr>
  </w:style>
  <w:style w:type="character" w:customStyle="1" w:styleId="En-tteCar">
    <w:name w:val="En-tête Car"/>
    <w:basedOn w:val="Policepardfaut"/>
    <w:link w:val="En-tte"/>
    <w:rsid w:val="00F90EF4"/>
  </w:style>
  <w:style w:type="paragraph" w:styleId="Pieddepage">
    <w:name w:val="footer"/>
    <w:basedOn w:val="Normal"/>
    <w:link w:val="PieddepageCar"/>
    <w:uiPriority w:val="99"/>
    <w:unhideWhenUsed/>
    <w:rsid w:val="00F90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EF4"/>
  </w:style>
  <w:style w:type="character" w:customStyle="1" w:styleId="ParagraphedelisteCar">
    <w:name w:val="Paragraphe de liste Car"/>
    <w:link w:val="Paragraphedeliste"/>
    <w:uiPriority w:val="34"/>
    <w:locked/>
    <w:rsid w:val="00F90EF4"/>
  </w:style>
  <w:style w:type="paragraph" w:styleId="Commentaire">
    <w:name w:val="annotation text"/>
    <w:basedOn w:val="Normal"/>
    <w:link w:val="CommentaireCar"/>
    <w:uiPriority w:val="99"/>
    <w:unhideWhenUsed/>
    <w:rsid w:val="00F90EF4"/>
    <w:pPr>
      <w:spacing w:after="160" w:line="240" w:lineRule="auto"/>
    </w:pPr>
    <w:rPr>
      <w:sz w:val="20"/>
      <w:szCs w:val="20"/>
    </w:rPr>
  </w:style>
  <w:style w:type="character" w:customStyle="1" w:styleId="CommentaireCar">
    <w:name w:val="Commentaire Car"/>
    <w:basedOn w:val="Policepardfaut"/>
    <w:link w:val="Commentaire"/>
    <w:uiPriority w:val="99"/>
    <w:rsid w:val="00F90EF4"/>
    <w:rPr>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SUPERS,Error-Fußnotenzeichen5,Error-Fußnotenzeichen6"/>
    <w:basedOn w:val="Policepardfaut"/>
    <w:rsid w:val="00F90EF4"/>
    <w:rPr>
      <w:rFonts w:cs="Times New Roman"/>
      <w:vertAlign w:val="superscript"/>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Geneva 9,f"/>
    <w:basedOn w:val="Normal"/>
    <w:link w:val="NotedebasdepageCar"/>
    <w:rsid w:val="00F90EF4"/>
    <w:pPr>
      <w:spacing w:before="200"/>
      <w:jc w:val="both"/>
    </w:pPr>
    <w:rPr>
      <w:rFonts w:ascii="Calibri" w:eastAsia="Times New Roman" w:hAnsi="Calibri" w:cs="Times New Roman"/>
      <w:sz w:val="20"/>
      <w:szCs w:val="20"/>
      <w:lang w:val="nl-NL" w:eastAsia="nl-NL"/>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Geneva 9 Car"/>
    <w:basedOn w:val="Policepardfaut"/>
    <w:link w:val="Notedebasdepage"/>
    <w:rsid w:val="00F90EF4"/>
    <w:rPr>
      <w:rFonts w:ascii="Calibri" w:eastAsia="Times New Roman" w:hAnsi="Calibri" w:cs="Times New Roman"/>
      <w:sz w:val="20"/>
      <w:szCs w:val="20"/>
      <w:lang w:val="nl-NL" w:eastAsia="nl-NL"/>
    </w:rPr>
  </w:style>
  <w:style w:type="paragraph" w:customStyle="1" w:styleId="Style">
    <w:name w:val="Style"/>
    <w:rsid w:val="00F90EF4"/>
    <w:pPr>
      <w:widowControl w:val="0"/>
      <w:autoSpaceDE w:val="0"/>
      <w:autoSpaceDN w:val="0"/>
      <w:adjustRightInd w:val="0"/>
      <w:spacing w:before="200" w:after="200" w:line="276" w:lineRule="auto"/>
    </w:pPr>
    <w:rPr>
      <w:rFonts w:ascii="Calibri" w:eastAsia="Times New Roman" w:hAnsi="Calibri" w:cs="Times New Roman"/>
      <w:sz w:val="24"/>
      <w:szCs w:val="24"/>
      <w:lang w:val="en-US"/>
    </w:rPr>
  </w:style>
  <w:style w:type="paragraph" w:styleId="Retraitcorpsdetexte2">
    <w:name w:val="Body Text Indent 2"/>
    <w:basedOn w:val="Normal"/>
    <w:link w:val="Retraitcorpsdetexte2Car"/>
    <w:rsid w:val="00F90EF4"/>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F90EF4"/>
    <w:rPr>
      <w:rFonts w:ascii="Times New Roman" w:eastAsia="Times New Roman" w:hAnsi="Times New Roman" w:cs="Times New Roman"/>
      <w:sz w:val="24"/>
      <w:szCs w:val="24"/>
      <w:lang w:eastAsia="fr-FR"/>
    </w:rPr>
  </w:style>
  <w:style w:type="paragraph" w:customStyle="1" w:styleId="Default">
    <w:name w:val="Default"/>
    <w:rsid w:val="00F90EF4"/>
    <w:pPr>
      <w:autoSpaceDE w:val="0"/>
      <w:autoSpaceDN w:val="0"/>
      <w:adjustRightInd w:val="0"/>
      <w:spacing w:after="0" w:line="240" w:lineRule="auto"/>
    </w:pPr>
    <w:rPr>
      <w:rFonts w:ascii="Calibri" w:hAnsi="Calibri" w:cs="Calibri"/>
      <w:color w:val="000000"/>
      <w:sz w:val="24"/>
      <w:szCs w:val="24"/>
    </w:rPr>
  </w:style>
  <w:style w:type="paragraph" w:styleId="Corpsdetexte2">
    <w:name w:val="Body Text 2"/>
    <w:basedOn w:val="Normal"/>
    <w:link w:val="Corpsdetexte2Car"/>
    <w:uiPriority w:val="99"/>
    <w:unhideWhenUsed/>
    <w:rsid w:val="00F90EF4"/>
    <w:pPr>
      <w:spacing w:after="120" w:line="480" w:lineRule="auto"/>
    </w:pPr>
  </w:style>
  <w:style w:type="character" w:customStyle="1" w:styleId="Corpsdetexte2Car">
    <w:name w:val="Corps de texte 2 Car"/>
    <w:basedOn w:val="Policepardfaut"/>
    <w:link w:val="Corpsdetexte2"/>
    <w:uiPriority w:val="99"/>
    <w:rsid w:val="00F90EF4"/>
  </w:style>
  <w:style w:type="paragraph" w:styleId="Textebrut">
    <w:name w:val="Plain Text"/>
    <w:basedOn w:val="Normal"/>
    <w:link w:val="TextebrutCar"/>
    <w:uiPriority w:val="99"/>
    <w:unhideWhenUsed/>
    <w:rsid w:val="00F90EF4"/>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F90EF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imali.gov.ml/investir-au-mali/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5326</Words>
  <Characters>29297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Safia</cp:lastModifiedBy>
  <cp:revision>2</cp:revision>
  <dcterms:created xsi:type="dcterms:W3CDTF">2016-07-25T17:21:00Z</dcterms:created>
  <dcterms:modified xsi:type="dcterms:W3CDTF">2016-07-25T17:21:00Z</dcterms:modified>
</cp:coreProperties>
</file>