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r>
        <w:tc>
          <w:tcPr>
            <w:tcW w:w="4000" w:type="dxa"/>
            <w:textDirection w:val="btLr"/>
            <w:vAlign w:val="center"/>
          </w:tcPr>
          <w:p/>
        </w:tc>
        <w:tc>
          <w:tcPr>
            <w:tcW w:w="6080" w:type="dxa"/>
          </w:tcPr>
          <w:p>
            <w:pPr>
              <w:jc w:val="center"/>
              <w:spacing w:after="100"/>
            </w:pPr>
            <w:r>
              <w:rPr>
                <w:rFonts w:ascii="Calibri" w:hAnsi="Calibri" w:cs="Calibri"/>
                <w:sz w:val="28"/>
                <w:szCs w:val="28"/>
              </w:rPr>
              <w:t xml:space="preserve"> </w:t>
            </w:r>
          </w:p>
          <w:p>
            <w:pPr>
              <w:jc w:val="center"/>
              <w:spacing w:after="100"/>
            </w:pPr>
            <w:r>
              <w:rPr>
                <w:rFonts w:ascii="Calibri" w:hAnsi="Calibri" w:cs="Calibri"/>
                <w:sz w:val="28"/>
                <w:szCs w:val="28"/>
              </w:rPr>
              <w:t xml:space="preserve">2016</w:t>
            </w:r>
          </w:p>
          <w:p>
            <w:pPr>
              <w:jc w:val="center"/>
              <w:spacing w:after="100"/>
            </w:pPr>
            <w:r>
              <w:rPr>
                <w:rFonts w:ascii="Calibri" w:hAnsi="Calibri" w:cs="Calibri"/>
                <w:sz w:val="28"/>
                <w:szCs w:val="28"/>
              </w:rPr>
              <w:t xml:space="preserve">Project Implementation Review (PIR)</w:t>
            </w:r>
          </w:p>
          <w:p>
            <w:pPr>
              <w:jc w:val="center"/>
              <w:spacing w:after="100"/>
            </w:pPr>
            <w:r>
              <w:rPr>
                <w:rFonts w:ascii="Calibri" w:hAnsi="Calibri" w:cs="Calibri"/>
              </w:rPr>
              <w:t xml:space="preserve">of</w:t>
            </w:r>
          </w:p>
          <w:p>
            <w:pPr>
              <w:jc w:val="center"/>
              <w:spacing w:after="100"/>
            </w:pPr>
            <w:r>
              <w:rPr>
                <w:rFonts w:ascii="Calibri" w:hAnsi="Calibri" w:cs="Calibri"/>
                <w:sz w:val="28"/>
                <w:szCs w:val="28"/>
              </w:rPr>
              <w:t xml:space="preserve"> </w:t>
            </w:r>
          </w:p>
        </w:tc>
        <w:tc>
          <w:tcPr>
            <w:tcW w:w="4000" w:type="dxa"/>
            <w:textDirection w:val="btLr"/>
            <w:vAlign w:val="center"/>
          </w:tcPr>
          <w:p/>
        </w:tc>
      </w:tr>
    </w:tbl>
    <w:p>
      <w:pPr>
        <w:jc w:val="center"/>
        <w:spacing w:after="100"/>
      </w:pPr>
      <w:r>
        <w:rPr>
          <w:rFonts w:ascii="Calibri" w:hAnsi="Calibri" w:cs="Calibri"/>
          <w:sz w:val="28"/>
          <w:szCs w:val="28"/>
          <w:b/>
        </w:rPr>
        <w:t xml:space="preserve">PIMS 4657</w:t>
      </w:r>
    </w:p>
    <w:p>
      <w:pPr>
        <w:jc w:val="center"/>
        <w:spacing w:after="100"/>
      </w:pPr>
      <w:r>
        <w:rPr>
          <w:rFonts w:ascii="Calibri" w:hAnsi="Calibri" w:cs="Calibri"/>
          <w:sz w:val="28"/>
          <w:szCs w:val="28"/>
          <w:b/>
        </w:rPr>
        <w:t xml:space="preserve">Community Based Flood and Glacial Lake Outburst Risk Reduction</w:t>
      </w:r>
    </w:p>
    <w:p/>
    <w:p/>
    <w:p>
      <w:pPr>
        <w:jc w:val="left"/>
        <w:spacing w:after="0"/>
      </w:pPr>
      <w:r>
        <w:rPr>
          <w:rFonts w:ascii="Calibri" w:hAnsi="Calibri" w:cs="Calibri"/>
          <w:color w:val="#FFFFFF"/>
          <w:sz w:val="28"/>
          <w:szCs w:val="28"/>
          <w:b/>
          <w:highlight w:val="darkGray"/>
        </w:rPr>
        <w:t xml:space="preserve">Table of Contents</w:t>
      </w:r>
    </w:p>
    <w:p>
      <w:pPr>
        <w:tabs>
          <w:tab w:val="right" w:leader="dot" w:pos="9062"/>
        </w:tabs>
      </w:pPr>
      <w:r>
        <w:fldChar w:fldCharType="begin"/>
      </w:r>
      <w:r>
        <w:instrText xml:space="preserve">TOC \o "1-9" \h \z \u</w:instrText>
      </w:r>
      <w:r>
        <w:fldChar w:fldCharType="separate"/>
      </w:r>
      <w:hyperlink w:anchor="_Toc252634155" w:history="1">
        <w:r>
          <w:rPr>
            <w:rFonts w:ascii="Calibri" w:hAnsi="Calibri" w:cs="Calibri"/>
          </w:rPr>
          <w:t>A.    Basic Project and Finance Data</w:t>
        </w:r>
        <w:r>
          <w:tab/>
        </w:r>
        <w:r>
          <w:fldChar w:fldCharType="begin"/>
        </w:r>
        <w:r>
          <w:instrText xml:space="preserve">PAGEREF _Toc252634155 \h</w:instrText>
        </w:r>
        <w:r>
          <w:fldChar w:fldCharType="end"/>
        </w:r>
      </w:hyperlink>
    </w:p>
    <w:p>
      <w:pPr>
        <w:tabs>
          <w:tab w:val="right" w:leader="dot" w:pos="9062"/>
        </w:tabs>
      </w:pPr>
      <w:hyperlink w:anchor="_Toc252634156" w:history="1">
        <w:r>
          <w:rPr>
            <w:rFonts w:ascii="Calibri" w:hAnsi="Calibri" w:cs="Calibri"/>
          </w:rPr>
          <w:t>B.    Project Contacts and Links</w:t>
        </w:r>
        <w:r>
          <w:tab/>
        </w:r>
        <w:r>
          <w:fldChar w:fldCharType="begin"/>
        </w:r>
        <w:r>
          <w:instrText xml:space="preserve">PAGEREF _Toc252634156 \h</w:instrText>
        </w:r>
        <w:r>
          <w:fldChar w:fldCharType="end"/>
        </w:r>
      </w:hyperlink>
    </w:p>
    <w:p>
      <w:pPr>
        <w:tabs>
          <w:tab w:val="right" w:leader="dot" w:pos="9062"/>
        </w:tabs>
      </w:pPr>
      <w:hyperlink w:anchor="_Toc252634157" w:history="1">
        <w:r>
          <w:rPr>
            <w:rFonts w:ascii="Calibri" w:hAnsi="Calibri" w:cs="Calibri"/>
          </w:rPr>
          <w:t>C.    Project Summary</w:t>
        </w:r>
        <w:r>
          <w:tab/>
        </w:r>
        <w:r>
          <w:fldChar w:fldCharType="begin"/>
        </w:r>
        <w:r>
          <w:instrText xml:space="preserve">PAGEREF _Toc252634157 \h</w:instrText>
        </w:r>
        <w:r>
          <w:fldChar w:fldCharType="end"/>
        </w:r>
      </w:hyperlink>
    </w:p>
    <w:p>
      <w:pPr>
        <w:tabs>
          <w:tab w:val="right" w:leader="dot" w:pos="9062"/>
        </w:tabs>
      </w:pPr>
      <w:hyperlink w:anchor="_Toc252634158" w:history="1">
        <w:r>
          <w:rPr>
            <w:rFonts w:ascii="Calibri" w:hAnsi="Calibri" w:cs="Calibri"/>
          </w:rPr>
          <w:t>D.    Progress toward Development Objective</w:t>
        </w:r>
        <w:r>
          <w:tab/>
        </w:r>
        <w:r>
          <w:fldChar w:fldCharType="begin"/>
        </w:r>
        <w:r>
          <w:instrText xml:space="preserve">PAGEREF _Toc252634158 \h</w:instrText>
        </w:r>
        <w:r>
          <w:fldChar w:fldCharType="end"/>
        </w:r>
      </w:hyperlink>
    </w:p>
    <w:p>
      <w:pPr>
        <w:tabs>
          <w:tab w:val="right" w:leader="dot" w:pos="9062"/>
        </w:tabs>
      </w:pPr>
      <w:hyperlink w:anchor="_Toc252634159" w:history="1">
        <w:r>
          <w:rPr>
            <w:rFonts w:ascii="Calibri" w:hAnsi="Calibri" w:cs="Calibri"/>
          </w:rPr>
          <w:t>E.    Annual Project Quality Assurance Assessment</w:t>
        </w:r>
        <w:r>
          <w:tab/>
        </w:r>
        <w:r>
          <w:fldChar w:fldCharType="begin"/>
        </w:r>
        <w:r>
          <w:instrText xml:space="preserve">PAGEREF _Toc252634159 \h</w:instrText>
        </w:r>
        <w:r>
          <w:fldChar w:fldCharType="end"/>
        </w:r>
      </w:hyperlink>
    </w:p>
    <w:p>
      <w:pPr>
        <w:tabs>
          <w:tab w:val="right" w:leader="dot" w:pos="9062"/>
        </w:tabs>
      </w:pPr>
      <w:hyperlink w:anchor="_Toc252634160" w:history="1">
        <w:r>
          <w:rPr>
            <w:rFonts w:ascii="Calibri" w:hAnsi="Calibri" w:cs="Calibri"/>
          </w:rPr>
          <w:t>F.   Ratings and Comments on Project Progress</w:t>
        </w:r>
        <w:r>
          <w:tab/>
        </w:r>
        <w:r>
          <w:fldChar w:fldCharType="begin"/>
        </w:r>
        <w:r>
          <w:instrText xml:space="preserve">PAGEREF _Toc252634160 \h</w:instrText>
        </w:r>
        <w:r>
          <w:fldChar w:fldCharType="end"/>
        </w:r>
      </w:hyperlink>
    </w:p>
    <w:p>
      <w:pPr>
        <w:tabs>
          <w:tab w:val="right" w:leader="dot" w:pos="9062"/>
        </w:tabs>
      </w:pPr>
      <w:hyperlink w:anchor="_Toc252634161" w:history="1">
        <w:r>
          <w:rPr>
            <w:rFonts w:ascii="Calibri" w:hAnsi="Calibri" w:cs="Calibri"/>
          </w:rPr>
          <w:t>G.   Project Planning</w:t>
        </w:r>
        <w:r>
          <w:tab/>
        </w:r>
        <w:r>
          <w:fldChar w:fldCharType="begin"/>
        </w:r>
        <w:r>
          <w:instrText xml:space="preserve">PAGEREF _Toc252634161 \h</w:instrText>
        </w:r>
        <w:r>
          <w:fldChar w:fldCharType="end"/>
        </w:r>
      </w:hyperlink>
    </w:p>
    <w:p>
      <w:pPr>
        <w:tabs>
          <w:tab w:val="right" w:leader="dot" w:pos="9062"/>
        </w:tabs>
      </w:pPr>
      <w:hyperlink w:anchor="_Toc252634162" w:history="1">
        <w:r>
          <w:rPr>
            <w:rFonts w:ascii="Calibri" w:hAnsi="Calibri" w:cs="Calibri"/>
          </w:rPr>
          <w:t>H.    Critical Risk Management</w:t>
        </w:r>
        <w:r>
          <w:tab/>
        </w:r>
        <w:r>
          <w:fldChar w:fldCharType="begin"/>
        </w:r>
        <w:r>
          <w:instrText xml:space="preserve">PAGEREF _Toc252634162 \h</w:instrText>
        </w:r>
        <w:r>
          <w:fldChar w:fldCharType="end"/>
        </w:r>
      </w:hyperlink>
    </w:p>
    <w:p>
      <w:pPr>
        <w:tabs>
          <w:tab w:val="right" w:leader="dot" w:pos="9062"/>
        </w:tabs>
      </w:pPr>
      <w:hyperlink w:anchor="_Toc252634163" w:history="1">
        <w:r>
          <w:rPr>
            <w:rFonts w:ascii="Calibri" w:hAnsi="Calibri" w:cs="Calibri"/>
          </w:rPr>
          <w:t>I.    Environmental and Social Grievances</w:t>
        </w:r>
        <w:r>
          <w:tab/>
        </w:r>
        <w:r>
          <w:fldChar w:fldCharType="begin"/>
        </w:r>
        <w:r>
          <w:instrText xml:space="preserve">PAGEREF _Toc252634163 \h</w:instrText>
        </w:r>
        <w:r>
          <w:fldChar w:fldCharType="end"/>
        </w:r>
      </w:hyperlink>
    </w:p>
    <w:p>
      <w:pPr>
        <w:tabs>
          <w:tab w:val="right" w:leader="dot" w:pos="9062"/>
        </w:tabs>
      </w:pPr>
      <w:hyperlink w:anchor="_Toc252634164" w:history="1">
        <w:r>
          <w:rPr>
            <w:rFonts w:ascii="Calibri" w:hAnsi="Calibri" w:cs="Calibri"/>
          </w:rPr>
          <w:t>J.  	 Communicating Impact </w:t>
        </w:r>
        <w:r>
          <w:tab/>
        </w:r>
        <w:r>
          <w:fldChar w:fldCharType="begin"/>
        </w:r>
        <w:r>
          <w:instrText xml:space="preserve">PAGEREF _Toc252634164 \h</w:instrText>
        </w:r>
        <w:r>
          <w:fldChar w:fldCharType="end"/>
        </w:r>
      </w:hyperlink>
    </w:p>
    <w:p>
      <w:pPr>
        <w:tabs>
          <w:tab w:val="right" w:leader="dot" w:pos="9062"/>
        </w:tabs>
      </w:pPr>
      <w:hyperlink w:anchor="_Toc252634165" w:history="1">
        <w:r>
          <w:rPr>
            <w:rFonts w:ascii="Calibri" w:hAnsi="Calibri" w:cs="Calibri"/>
          </w:rPr>
          <w:t>K.    Partnerships</w:t>
        </w:r>
        <w:r>
          <w:tab/>
        </w:r>
        <w:r>
          <w:fldChar w:fldCharType="begin"/>
        </w:r>
        <w:r>
          <w:instrText xml:space="preserve">PAGEREF _Toc252634165 \h</w:instrText>
        </w:r>
        <w:r>
          <w:fldChar w:fldCharType="end"/>
        </w:r>
      </w:hyperlink>
    </w:p>
    <w:p>
      <w:pPr>
        <w:tabs>
          <w:tab w:val="right" w:leader="dot" w:pos="9062"/>
        </w:tabs>
      </w:pPr>
      <w:hyperlink w:anchor="_Toc252634166" w:history="1">
        <w:r>
          <w:rPr>
            <w:rFonts w:ascii="Calibri" w:hAnsi="Calibri" w:cs="Calibri"/>
          </w:rPr>
          <w:t>L.    Progress toward Gender Equality</w:t>
        </w:r>
        <w:r>
          <w:tab/>
        </w:r>
        <w:r>
          <w:fldChar w:fldCharType="begin"/>
        </w:r>
        <w:r>
          <w:instrText xml:space="preserve">PAGEREF _Toc252634166 \h</w:instrText>
        </w:r>
        <w:r>
          <w:fldChar w:fldCharType="end"/>
        </w:r>
      </w:hyperlink>
    </w:p>
    <w:p>
      <w:pPr>
        <w:tabs>
          <w:tab w:val="right" w:leader="dot" w:pos="9062"/>
        </w:tabs>
      </w:pPr>
      <w:hyperlink w:anchor="_Toc252634167" w:history="1">
        <w:r>
          <w:rPr>
            <w:rFonts w:ascii="Calibri" w:hAnsi="Calibri" w:cs="Calibri"/>
          </w:rPr>
          <w:t>M.    Annex 1 - Ratings Definitions</w:t>
        </w:r>
        <w:r>
          <w:tab/>
        </w:r>
        <w:r>
          <w:fldChar w:fldCharType="begin"/>
        </w:r>
        <w:r>
          <w:instrText xml:space="preserve">PAGEREF _Toc252634167 \h</w:instrText>
        </w:r>
        <w:r>
          <w:fldChar w:fldCharType="end"/>
        </w:r>
      </w:hyperlink>
    </w:p>
    <w:p>
      <w:r>
        <w:fldChar w:fldCharType="end"/>
      </w:r>
    </w:p>
    <w:p>
      <w:r>
        <w:br w:type="page"/>
      </w:r>
    </w:p>
    <w:p>
      <w:pPr>
        <w:pStyle w:val="Heading1"/>
      </w:pPr>
      <w:r>
        <w:fldChar w:fldCharType="end"/>
      </w:r>
      <w:bookmarkStart w:id="0" w:name="_Toc252634155"/>
      <w:r>
        <w:t>A.    Basic Project and Finance Data</w:t>
      </w:r>
      <w:bookmarkEnd w:id="0"/>
    </w:p>
    <w:tbl>
      <w:tr>
        <w:tc>
          <w:tcPr>
            <w:tcW w:w="2000" w:type="dxa"/>
          </w:tcPr>
          <w:p>
            <w:r>
              <w:rPr>
                <w:rFonts w:ascii="Calibri" w:hAnsi="Calibri" w:cs="Calibri"/>
              </w:rPr>
              <w:t xml:space="preserve">Project Implementing Partner:</w:t>
            </w:r>
          </w:p>
        </w:tc>
        <w:tc>
          <w:tcPr>
            <w:tcW w:w="10000" w:type="dxa"/>
          </w:tcPr>
          <w:p>
            <w:r>
              <w:rPr>
                <w:rFonts w:ascii="Calibri" w:hAnsi="Calibri" w:cs="Calibri"/>
              </w:rPr>
              <w:t xml:space="preserve">Department of Hydrology and Meteorology (DHM)</w:t>
            </w:r>
          </w:p>
        </w:tc>
      </w:tr>
      <w:tr>
        <w:tc>
          <w:tcPr>
            <w:tcW w:w="2000" w:type="dxa"/>
          </w:tcPr>
          <w:p>
            <w:r>
              <w:rPr>
                <w:rFonts w:ascii="Calibri" w:hAnsi="Calibri" w:cs="Calibri"/>
              </w:rPr>
              <w:t xml:space="preserve">GEF Focal Area:</w:t>
            </w:r>
          </w:p>
        </w:tc>
        <w:tc>
          <w:tcPr>
            <w:tcW w:w="10000" w:type="dxa"/>
          </w:tcPr>
          <w:p>
            <w:r>
              <w:rPr>
                <w:rFonts w:ascii="Calibri" w:hAnsi="Calibri" w:cs="Calibri"/>
              </w:rPr>
              <w:t xml:space="preserve">Climate Change - LDCF</w:t>
            </w:r>
          </w:p>
        </w:tc>
      </w:tr>
      <w:tr>
        <w:tc>
          <w:tcPr>
            <w:tcW w:w="2000" w:type="dxa"/>
          </w:tcPr>
          <w:p>
            <w:r>
              <w:rPr>
                <w:rFonts w:ascii="Calibri" w:hAnsi="Calibri" w:cs="Calibri"/>
              </w:rPr>
              <w:t xml:space="preserve">Country(ies)</w:t>
            </w:r>
          </w:p>
        </w:tc>
        <w:tc>
          <w:tcPr>
            <w:tcW w:w="10000" w:type="dxa"/>
          </w:tcPr>
          <w:p>
            <w:r>
              <w:rPr>
                <w:rFonts w:ascii="Calibri" w:hAnsi="Calibri" w:cs="Calibri"/>
              </w:rPr>
              <w:t xml:space="preserve">(NEP) Nepal</w:t>
            </w:r>
          </w:p>
        </w:tc>
      </w:tr>
      <w:tr>
        <w:tc>
          <w:tcPr>
            <w:tcW w:w="2000" w:type="dxa"/>
          </w:tcPr>
          <w:p>
            <w:r>
              <w:rPr>
                <w:rFonts w:ascii="Calibri" w:hAnsi="Calibri" w:cs="Calibri"/>
              </w:rPr>
              <w:t xml:space="preserve">Project Start Date:</w:t>
            </w:r>
          </w:p>
        </w:tc>
        <w:tc>
          <w:tcPr>
            <w:tcW w:w="10000" w:type="dxa"/>
          </w:tcPr>
          <w:p>
            <w:r>
              <w:rPr>
                <w:rFonts w:ascii="Calibri" w:hAnsi="Calibri" w:cs="Calibri"/>
              </w:rPr>
              <w:t xml:space="preserve">15-Jul-2013</w:t>
            </w:r>
          </w:p>
        </w:tc>
      </w:tr>
      <w:tr>
        <w:tc>
          <w:tcPr>
            <w:tcW w:w="2000" w:type="dxa"/>
          </w:tcPr>
          <w:p>
            <w:r>
              <w:rPr>
                <w:rFonts w:ascii="Calibri" w:hAnsi="Calibri" w:cs="Calibri"/>
              </w:rPr>
              <w:t xml:space="preserve">Planned Project Closing Date:</w:t>
            </w:r>
          </w:p>
        </w:tc>
        <w:tc>
          <w:tcPr>
            <w:tcW w:w="10000" w:type="dxa"/>
          </w:tcPr>
          <w:p>
            <w:r>
              <w:rPr>
                <w:rFonts w:ascii="Calibri" w:hAnsi="Calibri" w:cs="Calibri"/>
              </w:rPr>
              <w:t xml:space="preserve">31-Oct-2017</w:t>
            </w:r>
          </w:p>
        </w:tc>
      </w:tr>
    </w:tbl>
    <w:tbl>
      <w:tr>
        <w:tc>
          <w:tcPr>
            <w:tcW w:w="4000" w:type="dxa"/>
          </w:tcPr>
          <w:p>
            <w:r>
              <w:rPr>
                <w:rFonts w:ascii="Calibri" w:hAnsi="Calibri" w:cs="Calibri"/>
              </w:rPr>
              <w:t xml:space="preserve">Total GEF Grant (U$S)</w:t>
            </w:r>
          </w:p>
        </w:tc>
        <w:tc>
          <w:tcPr>
            <w:tcW w:w="7000" w:type="dxa"/>
          </w:tcPr>
          <w:p>
            <w:r>
              <w:rPr>
                <w:rFonts w:ascii="Calibri" w:hAnsi="Calibri" w:cs="Calibri"/>
              </w:rPr>
              <w:t xml:space="preserve">$ 5,022,700</w:t>
            </w:r>
          </w:p>
        </w:tc>
      </w:tr>
      <w:tr>
        <w:tc>
          <w:tcPr>
            <w:tcW w:w="4000" w:type="dxa"/>
          </w:tcPr>
          <w:p>
            <w:r>
              <w:rPr>
                <w:rFonts w:ascii="Calibri" w:hAnsi="Calibri" w:cs="Calibri"/>
              </w:rPr>
              <w:t xml:space="preserve">GEF Grant Disbursed as of 30 June (U$S):</w:t>
            </w:r>
          </w:p>
        </w:tc>
        <w:tc>
          <w:tcPr>
            <w:tcW w:w="7000" w:type="dxa"/>
          </w:tcPr>
          <w:p>
            <w:r>
              <w:rPr>
                <w:rFonts w:ascii="Calibri" w:hAnsi="Calibri" w:cs="Calibri"/>
              </w:rPr>
              <w:t xml:space="preserve">$ 2,447,040.13</w:t>
            </w:r>
          </w:p>
        </w:tc>
      </w:tr>
      <w:tr>
        <w:tc>
          <w:tcPr>
            <w:tcW w:w="4000" w:type="dxa"/>
          </w:tcPr>
          <w:p>
            <w:r>
              <w:rPr>
                <w:rFonts w:ascii="Calibri" w:hAnsi="Calibri" w:cs="Calibri"/>
              </w:rPr>
              <w:t xml:space="preserve">Total Co-financing (as planned in CEO endorsement request):</w:t>
            </w:r>
          </w:p>
        </w:tc>
        <w:tc>
          <w:tcPr>
            <w:tcW w:w="7000" w:type="dxa"/>
          </w:tcPr>
          <w:p>
            <w:r>
              <w:rPr>
                <w:rFonts w:ascii="Calibri" w:hAnsi="Calibri" w:cs="Calibri"/>
              </w:rPr>
              <w:t xml:space="preserve">$ 20,352,510.00</w:t>
            </w:r>
          </w:p>
        </w:tc>
      </w:tr>
      <w:tr>
        <w:tc>
          <w:tcPr>
            <w:tcW w:w="4000" w:type="dxa"/>
          </w:tcPr>
          <w:p>
            <w:r>
              <w:rPr>
                <w:rFonts w:ascii="Calibri" w:hAnsi="Calibri" w:cs="Calibri"/>
              </w:rPr>
              <w:t xml:space="preserve">Overall Risk Rating</w:t>
            </w:r>
          </w:p>
        </w:tc>
        <w:tc>
          <w:tcPr>
            <w:tcW w:w="7000" w:type="dxa"/>
          </w:tcPr>
          <w:p>
            <w:r>
              <w:rPr>
                <w:rFonts w:ascii="Calibri" w:hAnsi="Calibri" w:cs="Calibri"/>
              </w:rPr>
              <w:t xml:space="preserve">Substantial</w:t>
            </w:r>
          </w:p>
        </w:tc>
      </w:tr>
      <w:tr>
        <w:tc>
          <w:tcPr>
            <w:tcW w:w="4000" w:type="dxa"/>
          </w:tcPr>
          <w:p>
            <w:r>
              <w:rPr>
                <w:rFonts w:ascii="Calibri" w:hAnsi="Calibri" w:cs="Calibri"/>
              </w:rPr>
              <w:t xml:space="preserve">Overall DO Rating</w:t>
            </w:r>
          </w:p>
        </w:tc>
        <w:tc>
          <w:tcPr>
            <w:tcW w:w="7000" w:type="dxa"/>
          </w:tcPr>
          <w:p>
            <w:r>
              <w:rPr>
                <w:rFonts w:ascii="Calibri" w:hAnsi="Calibri" w:cs="Calibri"/>
              </w:rPr>
              <w:t xml:space="preserve">Satisfactory</w:t>
            </w:r>
          </w:p>
        </w:tc>
      </w:tr>
      <w:tr>
        <w:tc>
          <w:tcPr>
            <w:tcW w:w="4000" w:type="dxa"/>
          </w:tcPr>
          <w:p>
            <w:r>
              <w:rPr>
                <w:rFonts w:ascii="Calibri" w:hAnsi="Calibri" w:cs="Calibri"/>
              </w:rPr>
              <w:t xml:space="preserve">Overall IP Rating</w:t>
            </w:r>
          </w:p>
        </w:tc>
        <w:tc>
          <w:tcPr>
            <w:tcW w:w="7000" w:type="dxa"/>
          </w:tcPr>
          <w:p>
            <w:r>
              <w:rPr>
                <w:rFonts w:ascii="Calibri" w:hAnsi="Calibri" w:cs="Calibri"/>
              </w:rPr>
              <w:t xml:space="preserve">Satisfactory</w:t>
            </w:r>
          </w:p>
        </w:tc>
      </w:tr>
    </w:tbl>
    <w:p/>
    <w:p>
      <w:pPr>
        <w:pStyle w:val="Heading1"/>
      </w:pPr>
      <w:r>
        <w:fldChar w:fldCharType="end"/>
      </w:r>
      <w:bookmarkStart w:id="1" w:name="_Toc252634156"/>
      <w:r>
        <w:t>B.    Project Contacts and Links</w:t>
      </w:r>
      <w:bookmarkEnd w:id="1"/>
    </w:p>
    <w:tbl>
      <w:tblPr>
        <w:tblStyle w:val="myOwnTableStyle"/>
      </w:tblPr>
      <w:tr>
        <w:tc>
          <w:tcPr>
            <w:tcW w:w="4080" w:type="dxa"/>
            <w:shd w:val="clear" w:color="auto" w:fill="#D9D9D9"/>
          </w:tcPr>
          <w:p>
            <w:r>
              <w:rPr>
                <w:rFonts w:ascii="Calibri" w:hAnsi="Calibri" w:cs="Calibri"/>
              </w:rPr>
              <w:t xml:space="preserve">Partner</w:t>
            </w:r>
          </w:p>
        </w:tc>
        <w:tc>
          <w:tcPr>
            <w:tcW w:w="4080" w:type="dxa"/>
            <w:shd w:val="clear" w:color="auto" w:fill="#D9D9D9"/>
          </w:tcPr>
          <w:p>
            <w:r>
              <w:rPr>
                <w:rFonts w:ascii="Calibri" w:hAnsi="Calibri" w:cs="Calibri"/>
              </w:rPr>
              <w:t xml:space="preserve">Contact Name</w:t>
            </w:r>
          </w:p>
        </w:tc>
        <w:tc>
          <w:tcPr>
            <w:tcW w:w="4080" w:type="dxa"/>
            <w:shd w:val="clear" w:color="auto" w:fill="#D9D9D9"/>
          </w:tcPr>
          <w:p>
            <w:r>
              <w:rPr>
                <w:rFonts w:ascii="Calibri" w:hAnsi="Calibri" w:cs="Calibri"/>
              </w:rPr>
              <w:t xml:space="preserve">Email Address</w:t>
            </w:r>
          </w:p>
        </w:tc>
      </w:tr>
      <w:tr>
        <w:tc>
          <w:tcPr>
            <w:tcW w:w="4080" w:type="dxa"/>
            <w:shd w:val="clear" w:color="auto" w:fill="#D9D9D9"/>
          </w:tcPr>
          <w:p>
            <w:r>
              <w:rPr>
                <w:rFonts w:ascii="Calibri" w:hAnsi="Calibri" w:cs="Calibri"/>
              </w:rPr>
              <w:t xml:space="preserve">Project Coordinator / Manager</w:t>
            </w:r>
          </w:p>
        </w:tc>
        <w:tc>
          <w:tcPr>
            <w:tcW w:w="4080" w:type="dxa"/>
          </w:tcPr>
          <w:p>
            <w:r>
              <w:t xml:space="preserve">Mr. Top B Khatri</w:t>
            </w:r>
          </w:p>
        </w:tc>
        <w:tc>
          <w:tcPr>
            <w:tcW w:w="4080" w:type="dxa"/>
          </w:tcPr>
          <w:p>
            <w:r>
              <w:t xml:space="preserve">tbkhatri.cfgorrp@dhm.gov.np</w:t>
            </w:r>
          </w:p>
        </w:tc>
      </w:tr>
      <w:tr>
        <w:tc>
          <w:tcPr>
            <w:tcW w:w="4080" w:type="dxa"/>
            <w:shd w:val="clear" w:color="auto" w:fill="#D9D9D9"/>
          </w:tcPr>
          <w:p>
            <w:r>
              <w:rPr>
                <w:rFonts w:ascii="Calibri" w:hAnsi="Calibri" w:cs="Calibri"/>
              </w:rPr>
              <w:t xml:space="preserve">UNDP Country Office Programme Officer</w:t>
            </w:r>
          </w:p>
        </w:tc>
        <w:tc>
          <w:tcPr>
            <w:tcW w:w="4080" w:type="dxa"/>
          </w:tcPr>
          <w:p>
            <w:r>
              <w:t xml:space="preserve">Anupa Rimal Lamichhane</w:t>
            </w:r>
          </w:p>
        </w:tc>
        <w:tc>
          <w:tcPr>
            <w:tcW w:w="4080" w:type="dxa"/>
          </w:tcPr>
          <w:p>
            <w:r>
              <w:t xml:space="preserve">anupa.lamichhane@undp.org</w:t>
            </w:r>
          </w:p>
        </w:tc>
      </w:tr>
      <w:tr>
        <w:tc>
          <w:tcPr>
            <w:tcW w:w="4080" w:type="dxa"/>
            <w:shd w:val="clear" w:color="auto" w:fill="#D9D9D9"/>
          </w:tcPr>
          <w:p>
            <w:r>
              <w:rPr>
                <w:rFonts w:ascii="Calibri" w:hAnsi="Calibri" w:cs="Calibri"/>
              </w:rPr>
              <w:t xml:space="preserve">Project Implementing Partner</w:t>
            </w:r>
          </w:p>
        </w:tc>
        <w:tc>
          <w:tcPr>
            <w:tcW w:w="4080" w:type="dxa"/>
          </w:tcPr>
          <w:p>
            <w:r>
              <w:t xml:space="preserve">Department of Soil Conservation and Watershed Management</w:t>
            </w:r>
          </w:p>
        </w:tc>
        <w:tc>
          <w:tcPr>
            <w:tcW w:w="4080" w:type="dxa"/>
          </w:tcPr>
          <w:p>
            <w:r>
              <w:t xml:space="preserve">dscwm2031@yahoo.com</w:t>
            </w:r>
          </w:p>
        </w:tc>
      </w:tr>
      <w:tr>
        <w:tc>
          <w:tcPr>
            <w:tcW w:w="4080" w:type="dxa"/>
            <w:shd w:val="clear" w:color="auto" w:fill="#D9D9D9"/>
          </w:tcPr>
          <w:p>
            <w:r>
              <w:rPr>
                <w:rFonts w:ascii="Calibri" w:hAnsi="Calibri" w:cs="Calibri"/>
              </w:rPr>
              <w:t xml:space="preserve">GEF Operational Focal Point</w:t>
            </w:r>
          </w:p>
        </w:tc>
        <w:tc>
          <w:tcPr>
            <w:tcW w:w="4080" w:type="dxa"/>
          </w:tcPr>
          <w:p>
            <w:r>
              <w:t xml:space="preserve">Baikuntha Aryal, Joint Secretary, Chief, IECCD, MoF</w:t>
            </w:r>
          </w:p>
        </w:tc>
        <w:tc>
          <w:tcPr>
            <w:tcW w:w="4080" w:type="dxa"/>
          </w:tcPr>
          <w:p>
            <w:r>
              <w:t xml:space="preserve">baryal@mof.gov.np</w:t>
            </w:r>
          </w:p>
        </w:tc>
      </w:tr>
      <w:tr>
        <w:tc>
          <w:tcPr>
            <w:tcW w:w="4080" w:type="dxa"/>
            <w:shd w:val="clear" w:color="auto" w:fill="#D9D9D9"/>
          </w:tcPr>
          <w:p>
            <w:r>
              <w:rPr>
                <w:rFonts w:ascii="Calibri" w:hAnsi="Calibri" w:cs="Calibri"/>
              </w:rPr>
              <w:t xml:space="preserve">Other Partners</w:t>
            </w:r>
          </w:p>
        </w:tc>
        <w:tc>
          <w:tcPr>
            <w:tcW w:w="4080" w:type="dxa"/>
          </w:tcPr>
          <w:p>
            <w:r>
              <w:t xml:space="preserve">Department of Water Induced Disaster Prevention; </w:t>
            </w:r>
          </w:p>
        </w:tc>
        <w:tc>
          <w:tcPr>
            <w:tcW w:w="4080" w:type="dxa"/>
          </w:tcPr>
          <w:p>
            <w:r>
              <w:t xml:space="preserve">dwidp@ntc.net.np</w:t>
            </w:r>
          </w:p>
        </w:tc>
      </w:tr>
      <w:tr>
        <w:tc>
          <w:tcPr>
            <w:tcW w:w="4080" w:type="dxa"/>
            <w:shd w:val="clear" w:color="auto" w:fill="#D9D9D9"/>
          </w:tcPr>
          <w:p>
            <w:r>
              <w:rPr>
                <w:rFonts w:ascii="Calibri" w:hAnsi="Calibri" w:cs="Calibri"/>
              </w:rPr>
              <w:t xml:space="preserve">UNDP Technical Adviser</w:t>
            </w:r>
          </w:p>
        </w:tc>
        <w:tc>
          <w:tcPr>
            <w:tcW w:w="4080" w:type="dxa"/>
          </w:tcPr>
          <w:p>
            <w:r>
              <w:t xml:space="preserve"> Keti Chachibaia</w:t>
            </w:r>
          </w:p>
        </w:tc>
        <w:tc>
          <w:tcPr>
            <w:tcW w:w="4080" w:type="dxa"/>
          </w:tcPr>
          <w:p>
            <w:r>
              <w:t xml:space="preserve">keti.chachibaia@undp.org</w:t>
            </w:r>
          </w:p>
        </w:tc>
      </w:tr>
      <w:tr>
        <w:tc>
          <w:tcPr>
            <w:tcW w:w="4080" w:type="dxa"/>
            <w:shd w:val="clear" w:color="auto" w:fill="#D9D9D9"/>
          </w:tcPr>
          <w:p>
            <w:r>
              <w:rPr>
                <w:rFonts w:ascii="Calibri" w:hAnsi="Calibri" w:cs="Calibri"/>
              </w:rPr>
              <w:t xml:space="preserve">UNDP Programme Associate</w:t>
            </w:r>
          </w:p>
        </w:tc>
        <w:tc>
          <w:tcPr>
            <w:tcW w:w="4080" w:type="dxa"/>
          </w:tcPr>
          <w:p>
            <w:r>
              <w:t xml:space="preserve">Ms. Phatthamon Jantalae</w:t>
            </w:r>
          </w:p>
        </w:tc>
        <w:tc>
          <w:tcPr>
            <w:tcW w:w="4080" w:type="dxa"/>
          </w:tcPr>
          <w:p>
            <w:r>
              <w:t xml:space="preserve">phatthamon.jantalae@undp.org</w:t>
            </w:r>
          </w:p>
        </w:tc>
      </w:tr>
    </w:tbl>
    <w:p/>
    <w:tbl>
      <w:tblPr>
        <w:tblStyle w:val="myOwnTableStyle"/>
      </w:tblPr>
      <w:tr>
        <w:tc>
          <w:tcPr>
            <w:tcW w:w="2448" w:type="dxa"/>
            <w:shd w:val="clear" w:color="auto" w:fill="#D9D9D9"/>
          </w:tcPr>
          <w:p>
            <w:r>
              <w:rPr>
                <w:rFonts w:ascii="Calibri" w:hAnsi="Calibri" w:cs="Calibri"/>
              </w:rPr>
              <w:t xml:space="preserve">Project website, etc.</w:t>
            </w:r>
          </w:p>
        </w:tc>
        <w:tc>
          <w:tcPr>
            <w:tcW w:w="9000" w:type="dxa"/>
          </w:tcPr>
          <w:p>
            <w:r>
              <w:t xml:space="preserve">http://cfgorrp.dhm.gov.np/
http://cfgorrp.dhm.gov.np/media_types/radio-program/
http://cfgorrp.dhm.gov.np/gallery/
http://www.np.undp.org/content/nepal/en/home/operations/projects/environment_and_energy/cfgorrp/home.html
https://www.facebook.com/UNDPNepal/photos/pcb.944980805595141/944980605595161/?type=3&amp;theater
https://www.facebook.com/UNDPNepal/photos/pcb.1020461731380381/1020459551380599/?type=3&amp;theater</w:t>
            </w:r>
          </w:p>
        </w:tc>
      </w:tr>
      <w:tr>
        <w:tc>
          <w:tcPr>
            <w:tcW w:w="2448" w:type="dxa"/>
            <w:shd w:val="clear" w:color="auto" w:fill="#D9D9D9"/>
          </w:tcPr>
          <w:p>
            <w:r>
              <w:rPr>
                <w:rFonts w:ascii="Calibri" w:hAnsi="Calibri" w:cs="Calibri"/>
              </w:rPr>
              <w:t xml:space="preserve">Links to media coverage</w:t>
            </w:r>
          </w:p>
        </w:tc>
        <w:tc>
          <w:tcPr>
            <w:tcW w:w="9000" w:type="dxa"/>
          </w:tcPr>
          <w:p>
            <w:r>
              <w:t xml:space="preserve">http://cfgorrp.dhm.gov.np/media_types/video/
https://www.facebook.com/UNDPNepal/posts/1006588242767730</w:t>
            </w:r>
          </w:p>
        </w:tc>
      </w:tr>
    </w:tbl>
    <w:p/>
    <w:p>
      <w:pPr>
        <w:pStyle w:val="Heading1"/>
      </w:pPr>
      <w:r>
        <w:fldChar w:fldCharType="end"/>
      </w:r>
      <w:bookmarkStart w:id="2" w:name="_Toc252634157"/>
      <w:r>
        <w:t>C.    Project Summary</w:t>
      </w:r>
      <w:bookmarkEnd w:id="2"/>
    </w:p>
    <w:p>
      <w:pPr>
        <w:pStyle w:val="npara"/>
      </w:pPr>
      <w:r>
        <w:rPr>
          <w:rStyle w:val="undpStyle"/>
        </w:rPr>
        <w:t xml:space="preserve">Community Based Flood and Glacial Lake Outburst Risk Reduction Project (CFGORRP) is a joint undertaking of the Government of Nepal (GoN), Global Environment Facility (GEF) and the United Nations Development Programme (UNDP). The project is being implemented by the Department of Hydrology and Meteorology (DHM) under the Ministry of Science, Technology and Environment (MoSTE) as the lead Implementing Agency. Department of Water Induced Disaster Prevention (DWIDP), Department of Soil Conservation and Watershed Management (DSCWM) and Department of National Park and Wildlife Conservation (DNPWC) are the three collaborating partners of the project. </w:t>
      </w:r>
    </w:p>
    <w:p>
      <w:pPr>
        <w:pStyle w:val="npara"/>
      </w:pPr>
      <w:r>
        <w:rPr>
          <w:rStyle w:val="undpStyle"/>
        </w:rPr>
        <w:t xml:space="preserve">
</w:t>
      </w:r>
    </w:p>
    <w:p>
      <w:pPr>
        <w:pStyle w:val="npara"/>
      </w:pPr>
      <w:r>
        <w:rPr>
          <w:rStyle w:val="undpStyle"/>
        </w:rPr>
        <w:t xml:space="preserve">
The CFGORRP has two outcomes: The First Outcome / Component I focusses on the Imja Glacial Lake Outburst Flood (GLOF) risk reduction in Solukhumbu (covering Chaurikharka, Namche and Khumjung VDCs). The Second Outcome / Component II is aimed at reducing the flood risk in Terai and Churia covering 8 Village Development Committees (VDCs) namely Sarpallo and Nainhi in Ratu (in Mahottari district), Tulsipur and Pipra Pra Pi in Gagan (in Siraha district), Dighawa and Pakari in Khando (in Saptari district) and Hadiya and Jogidaha in Triyuga Watersheds (in Udayapur district).</w:t>
      </w:r>
    </w:p>
    <w:p>
      <w:pPr>
        <w:pStyle w:val="npara"/>
      </w:pPr>
      <w:r>
        <w:rPr>
          <w:rStyle w:val="undpStyle"/>
        </w:rPr>
        <w:t xml:space="preserve">
</w:t>
      </w:r>
    </w:p>
    <w:p>
      <w:pPr>
        <w:pStyle w:val="npara"/>
      </w:pPr>
      <w:r>
        <w:rPr>
          <w:rStyle w:val="undpStyle"/>
        </w:rPr>
        <w:t xml:space="preserve">
Since the project focuses on the implementation of flood and GLOF control measures through community participation, it requires a strong blend between technical and social studies of the given area. Technical studies primarily include technical database collection and management of topography, geology, hydrology for hazard mapping, and finally engineering design of the proposed interventions. A Technical Advisor Group (TAG) consisting of nationally reputed professionals has been formed for the proper review and feedback on all types of technical studies. On the other hand, social studies include collection of social baseline data, vulnerability and risk assessment in relation to flood and GLOF hazards. This approach paper provides a brief description of the different technical and social studies undertaken and for rolling out under the two project components.</w:t>
      </w:r>
    </w:p>
    <w:p/>
    <w:p>
      <w:pPr>
        <w:sectPr>
          <w:footerReference w:type="default" r:id="rId7"/>
          <w:pgSz w:w="11906" w:h="16838"/>
          <w:pgMar w:top="600" w:right="500" w:bottom="600" w:left="500" w:header="720" w:footer="720" w:gutter="0"/>
          <w:cols w:space="720"/>
        </w:sectPr>
      </w:pPr>
    </w:p>
    <w:p>
      <w:pPr>
        <w:pStyle w:val="Heading1"/>
      </w:pPr>
      <w:r>
        <w:fldChar w:fldCharType="end"/>
      </w:r>
      <w:bookmarkStart w:id="3" w:name="_Toc252634158"/>
      <w:r>
        <w:t>D.    Progress toward Development Objective</w:t>
      </w:r>
      <w:bookmarkEnd w:id="3"/>
    </w:p>
    <w:p/>
    <w:tbl>
      <w:tblPr>
        <w:tblStyle w:val="myOwnTableStyle"/>
      </w:tblPr>
      <w:tr>
        <w:tc>
          <w:tcPr>
            <w:tcW w:w="2000" w:type="dxa"/>
            <w:vAlign w:val="center"/>
          </w:tcPr>
          <w:p>
            <w:r>
              <w:rPr>
                <w:b/>
              </w:rPr>
              <w:t xml:space="preserve">Objective/Outcome</w:t>
            </w:r>
          </w:p>
        </w:tc>
        <w:tc>
          <w:tcPr>
            <w:tcW w:w="4000" w:type="dxa"/>
            <w:vAlign w:val="center"/>
          </w:tcPr>
          <w:p>
            <w:r>
              <w:rPr>
                <w:b/>
              </w:rPr>
              <w:t xml:space="preserve">Description</w:t>
            </w:r>
          </w:p>
        </w:tc>
        <w:tc>
          <w:tcPr>
            <w:tcW w:w="4000" w:type="dxa"/>
            <w:vAlign w:val="center"/>
          </w:tcPr>
          <w:p>
            <w:r>
              <w:rPr>
                <w:b/>
              </w:rPr>
              <w:t xml:space="preserve">Description of Indicator</w:t>
            </w:r>
          </w:p>
        </w:tc>
        <w:tc>
          <w:tcPr>
            <w:tcW w:w="4000" w:type="dxa"/>
            <w:vAlign w:val="center"/>
          </w:tcPr>
          <w:p>
            <w:r>
              <w:rPr>
                <w:b/>
              </w:rPr>
              <w:t xml:space="preserve">Baseline Level</w:t>
            </w:r>
          </w:p>
        </w:tc>
        <w:tc>
          <w:tcPr>
            <w:tcW w:w="4000" w:type="dxa"/>
            <w:vAlign w:val="center"/>
          </w:tcPr>
          <w:p>
            <w:r>
              <w:rPr>
                <w:b/>
              </w:rPr>
              <w:t xml:space="preserve">Target Level at end of project</w:t>
            </w:r>
          </w:p>
        </w:tc>
        <w:tc>
          <w:tcPr>
            <w:tcW w:w="2000" w:type="dxa"/>
            <w:vAlign w:val="center"/>
          </w:tcPr>
          <w:p>
            <w:r>
              <w:rPr>
                <w:b/>
              </w:rPr>
              <w:t xml:space="preserve">Level at 30 June 2015</w:t>
            </w:r>
          </w:p>
        </w:tc>
        <w:tc>
          <w:tcPr>
            <w:tcW w:w="2000" w:type="dxa"/>
            <w:vAlign w:val="center"/>
          </w:tcPr>
          <w:p>
            <w:r>
              <w:rPr>
                <w:b/>
              </w:rPr>
              <w:t xml:space="preserve">Level at 30 June 2016</w:t>
            </w:r>
          </w:p>
        </w:tc>
      </w:tr>
      <w:tr>
        <w:tc>
          <w:tcPr>
            <w:tcW w:w="2000" w:type="dxa"/>
          </w:tcPr>
          <w:p>
            <w:r>
              <w:rPr>
                <w:rFonts w:ascii="Calibri" w:hAnsi="Calibri" w:cs="Calibri"/>
              </w:rPr>
              <w:t xml:space="preserve">Objective</w:t>
            </w:r>
          </w:p>
        </w:tc>
        <w:tc>
          <w:tcPr>
            <w:tcW w:w="4000" w:type="dxa"/>
          </w:tcPr>
          <w:p>
            <w:r>
              <w:rPr>
                <w:rFonts w:ascii="Calibri" w:hAnsi="Calibri" w:cs="Calibri"/>
              </w:rPr>
              <w:t xml:space="preserve">To reduce human and material losses from Glacier Lake Outburst Flooding (GLOF) in Solukhumbu District and catastrophic flooding events in the Tarai and Churia Range</w:t>
            </w:r>
          </w:p>
        </w:tc>
        <w:tc>
          <w:tcPr>
            <w:tcW w:w="4000" w:type="dxa"/>
          </w:tcPr>
          <w:p>
            <w:r>
              <w:rPr>
                <w:rFonts w:ascii="Calibri" w:hAnsi="Calibri" w:cs="Calibri"/>
              </w:rPr>
              <w:t xml:space="preserve">Number of high risk settlements of the GLOF Impact Zone of Solukhumbu district downstream of Imja  lake area covered by an Early Warning System (EWS) [refer to AMAT 1.2.1.2]
Number of institutions with increased capacity to minimize human and material losses from potential GLOF events in the High Mountains and climate-related flooding in the Tarai and Churia Range [refer to AMAT 2.2.1]</w:t>
            </w:r>
          </w:p>
        </w:tc>
        <w:tc>
          <w:tcPr>
            <w:tcW w:w="4000" w:type="dxa"/>
          </w:tcPr>
          <w:p>
            <w:r>
              <w:rPr>
                <w:rFonts w:ascii="Calibri" w:hAnsi="Calibri" w:cs="Calibri"/>
              </w:rPr>
              <w:t xml:space="preserve">As per the updated Baseline developed by the project - Within 50 km downstream from the Imja Glacial Lake mainly covering 4 VDCs among which Khumjung, Namche, Chaurikharka lies in SNP Buffer Zone and adjoining Juving VDC which lies outside the buffer zone are identified as vulnerable VDCs. Altogether 40 settlements, having 3,278 households with 12,690 population, which lie in 4 VDCs were identified as vulnerable from Imja GLOF.
 Primary beneficiaries: 4,360 population residing in permanent settlements with critical risk of GLOF. 
 Secondary Beneficiaries: 12,690 residing along 50 km downstream from Imja Lake in 40 permanent settlements. This includes the 4,360 primary beneficiaries as well. 
 Tertiary Beneficiaries: Annual floating population 74,992 (24,994 tourist + 49,998 porters) and VDC people residing along the trekking route and Imja Khola and Dudhkoshi River. 
 Total Beneficiaries: A total of 87,682 population including permanent residents and annual floating population in the area. 
 The initial estimation of total beneficiaries was only 31,862. However, the study conducted by project on GLOF Hazard Zonation and Safety Evacuation Plan explored that the total of 87,682 people will be benefited from the GLOF risk reduction activities in Khumbu region. Thus, project will be using the updated data instead of the numbers reported in project document. 
 Infrastructure: 5.5 km road, 94 km trail, 25 truss and suspension bridges, 0.5 river embankment, 0.5 irrigation canal, three schools, four office buildings, 137 hotels, 64 teashops, three temple, gumba and mosque, two hydropower dam, five water mills, seven transmission lines and one industry.
 Total direct &amp;amp; indirect costs of potential GLOF damages including replacement of major infrastructure estimated as $8.98 billion. 
 Weak system for flood risk management (only construction work is done) in DWIDP. 
 There is only a district level Disaster Relief Committee though no GLOF risk management committee formed in Solukhumbu district.
 DDRC is mostly involved in rescue and relief for post disaster work and their activity in the targeted districts is limited.
 Limited trained staff in DHM to work in GLOF risk reduction.</w:t>
            </w:r>
          </w:p>
        </w:tc>
        <w:tc>
          <w:tcPr>
            <w:tcW w:w="4000" w:type="dxa"/>
          </w:tcPr>
          <w:p>
            <w:r>
              <w:rPr>
                <w:rFonts w:ascii="Calibri" w:hAnsi="Calibri" w:cs="Calibri"/>
              </w:rPr>
              <w:t xml:space="preserve">By the end of the project, at least 100% of the population (men and women) who are directly vulnerable to GLOF impacts within the 27 high risk settlements GLOF Impact Zone are covered by a comprehensive Community-Based Early Warning System (CBEWS). 
 By the end of the project, targeted training/on the job training in gender sensitive flood risk management including disaster preparedness will have been provided to at least 32 technical staff from 2 key government departments, DHM (2  senior level) and DWIDP (30  district and regional level), 30 representatives from 5 DDRCs, 64 representatives from 1 GLOF Risk Management Committee and at least 2 university students.
 DHM will have the necessary technologies, skills &amp;amp; systems to assess and effectively communicate GLOF risk levels and warnings. 
 DWIDP will have the necessary technologies, skills &amp;amp; systems to monitor sediment load in flood-prone river basins in the Tarai &amp;amp; Churia Range.
 The Annual District Plans of at least 3 of the 5 target project districts incorporate budgeted flood risk preparedness activities.</w:t>
            </w:r>
          </w:p>
        </w:tc>
        <w:tc>
          <w:tcPr>
            <w:tcW w:w="2000" w:type="dxa"/>
          </w:tcPr>
          <w:p>
            <w:r>
              <w:rPr>
                <w:rFonts w:ascii="Calibri" w:hAnsi="Calibri" w:cs="Calibri"/>
              </w:rPr>
              <w:t xml:space="preserve">Twelve Taskforces each containing three sub-groups of search and rescue, first aid and early warning have been formed during March 2015 in project area. All Taskforces have been equipped with necessary First Aid (FA), Light Search and Rescue (LSAR) and Community Based Early Warning System (CBEWS) equipment and trained total 152 members on use of equipment during GLOF and any climatic hazards on June 2015. 
 CBEWS have been installed in 15 identified locations along the 50 km stretch downstream from Imja during June 2015. 
 First round of training on "Flood Risk Management and Sediment Monitoring" was organized during 18-21 August 2014 at Lahan for district level officers. Another training was organized during 17-20, November 2014 for national level officials. As a follow-up of first round, training on Flood risk management and sediment monitoring is planned for third quarter 2015. 
 Sediment Monitoring Protocols for Churia Originating River Systems was developed and shared to DHM, DWIDP and DSCMW which aims toward internalizing the Protocols in their sediment database management system.</w:t>
            </w:r>
          </w:p>
        </w:tc>
        <w:tc>
          <w:tcPr>
            <w:tcW w:w="2000" w:type="dxa"/>
          </w:tcPr>
          <w:p>
            <w:r>
              <w:rPr>
                <w:rFonts w:ascii="Calibri" w:hAnsi="Calibri" w:cs="Calibri"/>
              </w:rPr>
              <w:t xml:space="preserve">Installation of automated GLOF early warning comprising of hydromet and GLOF sensors in the periphery of Imja Lake has been completed. Installation of automated sirens at six most vulnerable settlements along 50 km downstream of Imja Dudh Koshi corridor will be completed by end of July, 2016. Additional three sets of Community Based Early Warning System (CBEWS) have been distributed in high risk settlements. With operationalization of these systems, communities in the high risk settlements will receive early warning sirens and messages to enable them to be prepared and respond to GLOF events. Further equipping of 12 Taskforces with additional 3 sets of Light Search and Rescue (LSAR) and 15 sets of First Aid (FA), has been made to ensure their effective mobilization. A total of 425 Taskforce members, LRPs and community people, including 165 women, have enhanced their knowledge on GLOF risk reduction preparedness by taking part in 9 mock drill events. 
Under component II as a knowledge product, Sediment Monitoring Protocols (SMP) has been published based on the detail study carried out during 2014. The SMP illustrates detailed methodologies and steps for collecting and analyzing suspended and bed load sediment data from Churia originating rivers. National level training on Flood Hazard Modeling and Sediment Monitoring has been conducted for 26 officials from collaborating partners of DHM, DSCWM, DWIDP and President Churia Madhesh Terai Conservation Development Board (PCMTCDB). The training aimed to sensitize and broaden their knowledge on topic for planning effective flood risk reduction activities. At local level, a refresher training for 14 gauge readers and eight events of refresher trainings on FA and LSAR for members from 55 FA and LSAR Taskforces, have been completed during this reporting period. 
A manual entitled 'Standard Operating Procedures of Early Warning System and Sediment Sampling has been developed during June 2016 which is expected to be very useful for volunteer gauge readers. The manual explains detail procedures for sediment sampling, labelling and transportation including collection of rain and flood related data, communication and dissemination of information to downstream communities. 
Installation and operationalization of 15 CBEWSs at strategic locations along the five targeted river systems and three semi-automated Community based Flood Early Warning Systems (CBFEWS) in Ratu River have been completed. Fifty hoarding boards depicting information on Flood Risk Management have been erected at vantage points. Altogether 2,057 Village Disaster Risk Management Committees (VDRMCs)/ Community Disaster Management Committees (CDMCs) and Taskforces members and vulnerable people comprising of 913 women, 449 Dalits and 160 ethnic have gained knowledge and skills on FRM through 19 mock drill events. At local level, three upstream downstream peer learning visits were conducted benefiting 38 members from CDMCs of which 17 were women.</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
            </w:r>
          </w:p>
        </w:tc>
        <w:tc>
          <w:tcPr>
            <w:tcW w:w="2000" w:type="dxa"/>
          </w:tcPr>
          <w:p>
            <w:r>
              <w:rPr>
                <w:rFonts w:ascii="Calibri" w:hAnsi="Calibri" w:cs="Calibri"/>
              </w:rPr>
              <w:t xml:space="preserve"/>
            </w:r>
          </w:p>
        </w:tc>
        <w:tc>
          <w:tcPr>
            <w:tcW w:w="2000" w:type="dxa"/>
          </w:tcPr>
          <w:p>
            <w:r>
              <w:rPr>
                <w:rFonts w:ascii="Calibri" w:hAnsi="Calibri" w:cs="Calibri"/>
              </w:rPr>
              <w:t xml:space="preserve"/>
            </w:r>
          </w:p>
        </w:tc>
      </w:tr>
      <w:tr>
        <w:tc>
          <w:tcPr>
            <w:tcW w:w="2000" w:type="dxa"/>
          </w:tcPr>
          <w:p>
            <w:r>
              <w:rPr>
                <w:rFonts w:ascii="Calibri" w:hAnsi="Calibri" w:cs="Calibri"/>
              </w:rPr>
              <w:t xml:space="preserve">Outcome 1</w:t>
            </w:r>
          </w:p>
        </w:tc>
        <w:tc>
          <w:tcPr>
            <w:tcW w:w="4000" w:type="dxa"/>
          </w:tcPr>
          <w:p>
            <w:r>
              <w:rPr>
                <w:rFonts w:ascii="Calibri" w:hAnsi="Calibri" w:cs="Calibri"/>
              </w:rPr>
              <w:t xml:space="preserve">Risks of human and material losses from Glacial Lake Outburst Flooding (GLOF) events from Imja Lake reduced</w:t>
            </w:r>
          </w:p>
        </w:tc>
        <w:tc>
          <w:tcPr>
            <w:tcW w:w="4000" w:type="dxa"/>
          </w:tcPr>
          <w:p>
            <w:r>
              <w:rPr>
                <w:rFonts w:ascii="Calibri" w:hAnsi="Calibri" w:cs="Calibri"/>
              </w:rPr>
              <w:t xml:space="preserve">Average depth of Imja lake 
[refer to AMAT 1.2.1.2]
Percentage of high risk settlements of Imja GLOF Impact Zone residents  (including women, children and elderly people) with a clear understand of how the EWS works and what to do in the event of a GLOF
[refer to AMAT 2.1.2.1 / 3.1.1.1]
Number of targeted institutions with increased capacity to minimize exposure to GLOF risks
[refer to AMAT 2.2.1.1 / 2.2.2.1 / 2.3.1.1/2 / 3.2.1.1]</w:t>
            </w:r>
          </w:p>
        </w:tc>
        <w:tc>
          <w:tcPr>
            <w:tcW w:w="4000" w:type="dxa"/>
          </w:tcPr>
          <w:p>
            <w:r>
              <w:rPr>
                <w:rFonts w:ascii="Calibri" w:hAnsi="Calibri" w:cs="Calibri"/>
              </w:rPr>
              <w:t xml:space="preserve">Updated baseline data: Average water depth of Lake is 58.8 m and highest water depth was 149.8 m in October 2014
 90% of the community have heard about GLOF about GLOF risk but are not prepared for it (Source: Regional GLOF Risk Reduction Project)
 X number of female and Y number of male are aware of the potential risk of GLOF and benefits of EWS. 
 No local institution to address or understand the GLOF risk which is creating unnecessary havoc of outburst.
 Limited access to information as well as Government level institution in the Khumbu region (Imja lake and surrounding) to address or disseminate GLOF risks.</w:t>
            </w:r>
          </w:p>
        </w:tc>
        <w:tc>
          <w:tcPr>
            <w:tcW w:w="4000" w:type="dxa"/>
          </w:tcPr>
          <w:p>
            <w:r>
              <w:rPr>
                <w:rFonts w:ascii="Calibri" w:hAnsi="Calibri" w:cs="Calibri"/>
              </w:rPr>
              <w:t xml:space="preserve">Average depth of lake kept below danger level by ensuring average water depth during spring and summer months is at least 3 meters or more below the baseline level prior to the construction of the channel. 
 100% residents from Solukhumbu district of the high risk settlements of the GLOF Impact Zone (within 50 km of outlet) understand how the EWS works and know what to do during the event of a GLOF, including men and women and elder residents. 
 Number of representatives from Solukhubmu DDRC, Sagarmatha National Park, the Imja GLOF Risk Management Committee, and CBEWS Taskforces trained to manage and minimize GLOF risks.
 No. &amp;amp; type of information materials disseminated to local and non-local people (i.e. tourists) by different agencies on GLOF risks, risk reduction measures and what to do in the event of a GLOF. 
 By the end of the project, DHM is operating a GLOF Risk Monitoring System and has a mechanism in place to communicate GLOF risk warnings to MoHA and NEOC.</w:t>
            </w:r>
          </w:p>
        </w:tc>
        <w:tc>
          <w:tcPr>
            <w:tcW w:w="2000" w:type="dxa"/>
          </w:tcPr>
          <w:p>
            <w:r>
              <w:rPr>
                <w:rFonts w:ascii="Calibri" w:hAnsi="Calibri" w:cs="Calibri"/>
              </w:rPr>
              <w:t xml:space="preserve">Lake lowering design and other associated studies such as Electric Resistivity Tomography (ERT), Ground Penetrating Radar (GPR) investigation and Bathymetric survey of the lake were completed on December 2014. Based on these studies, the design for lake lowering was completed in the first quarter 2015. 
 Invitation to Bid (ITB) to undertake the construction activities of lake lowering has been announced. 
 12 Taskforces consisting of early warning, FA and LSAR sub-groups have been formed along the stretch of 50 km downstream from the Imja lake under the umbrella of GMRCC during March 2015. 
 20 Local Resource Persons (LRPs) consisting of 13 male and 7 female members have been developed and trained on GLOF risk management Training of Trainer (ToT) in 2014. 
 CBEWS tools and equipment have been handed over to Taskforce and training to handle and equipment use was organized during June 2015. 
 Mobile Apps to disseminate information related to GLOF risk reduction has been developed during January 2015. Communication medium (IRIDUM system) is being extended by Government/Private in the project site after which this apps will be functional &amp; operational.
 Study on automatic Imja GLOF EWS with cost effective data transfer from equipment at Imja Lake to local community and DHM web portal was completed during December 2014.</w:t>
            </w:r>
          </w:p>
        </w:tc>
        <w:tc>
          <w:tcPr>
            <w:tcW w:w="2000" w:type="dxa"/>
          </w:tcPr>
          <w:p>
            <w:r>
              <w:rPr>
                <w:rFonts w:ascii="Calibri" w:hAnsi="Calibri" w:cs="Calibri"/>
              </w:rPr>
              <w:t xml:space="preserve">Invitation to bid for Imja Lake lowering construction was published in June, 2015.  However, the bidding process was terminated due to non-responsive bidders. Due to insufficient time for re-bidding process and because of weather bound to work in high altitude, the project rescheduled the construction works for 2016. Upon approval from Project Executive Board (PEB), project started exploring the feasibility of involving the Nepal Army (NA) in lake lowering construction works as Plan B. Project decided to move with NA as it has a separate engineering department and experiences of working in the high mountain region, guarding the national parks and is well equipped with separate directorate for Disaster Management. 
For this, necessary consultations and coordination were made by DHM through Ministry of Population and Environment (MoPE). Hence, a cabinet decision of the Government of Nepal on 16th February paved the way for NA to enter into a Letter of Agreement (LoA) with DHM. 
A LOA was signed between DHM and the Engineer Department of Nepal Army (ED-NA) on 25th March 2016 to materialize the Cabinet decision. Based on the LoA, which encapsulates five key milestones, Imja Lake lowering has been initiated. Imja Lake lowering works through construction of an artificial drainage channel to lower the lake level by at least 3 meter is scheduled to be completed by October, 2016. 
After the operationalization of automated GLOF EWS, DHM will be operating a GLOF Risk Monitoring System and will have a mechanism in place to communicate GLOF risk warnings received from the automated GLOF early warning system to Ministry of Home Affairs (MoHA) and National Emergency Operation Center (NEOC).
Nine mock drill events were undertaken in high risk settlements to educate and aware communities on GLOF risk and preparedness including use of FA and LSAR equipment during disasters. 
Twelve taskforces have been equipped with additional 3 sets of LSAR and 15 sets of FA, to ensure their effective mobilization. 
About 7,510 units of audio visuals materials comprising of flyers and posters with information on GLOF risks, risk reduction measures and what to do in the event of a GLOF have been distributed among locals and visitors. 
Daily PSAs and nine radio programs episodes in Nepali and Sherpa dialects have been aired via two local FM stations, to reach wider audience with information of GLOF risk including activities undertaken by the project.</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
            </w:r>
          </w:p>
        </w:tc>
        <w:tc>
          <w:tcPr>
            <w:tcW w:w="2000" w:type="dxa"/>
          </w:tcPr>
          <w:p>
            <w:r>
              <w:rPr>
                <w:rFonts w:ascii="Calibri" w:hAnsi="Calibri" w:cs="Calibri"/>
              </w:rPr>
              <w:t xml:space="preserve"/>
            </w:r>
          </w:p>
        </w:tc>
        <w:tc>
          <w:tcPr>
            <w:tcW w:w="2000" w:type="dxa"/>
          </w:tcPr>
          <w:p>
            <w:r>
              <w:rPr>
                <w:rFonts w:ascii="Calibri" w:hAnsi="Calibri" w:cs="Calibri"/>
              </w:rPr>
              <w:t xml:space="preserve"/>
            </w:r>
          </w:p>
        </w:tc>
      </w:tr>
      <w:tr>
        <w:tc>
          <w:tcPr>
            <w:tcW w:w="2000" w:type="dxa"/>
          </w:tcPr>
          <w:p>
            <w:r>
              <w:rPr>
                <w:rFonts w:ascii="Calibri" w:hAnsi="Calibri" w:cs="Calibri"/>
              </w:rPr>
              <w:t xml:space="preserve">Outcome 2</w:t>
            </w:r>
          </w:p>
        </w:tc>
        <w:tc>
          <w:tcPr>
            <w:tcW w:w="4000" w:type="dxa"/>
          </w:tcPr>
          <w:p>
            <w:r>
              <w:rPr>
                <w:rFonts w:ascii="Calibri" w:hAnsi="Calibri" w:cs="Calibri"/>
              </w:rPr>
              <w:t xml:space="preserve">Human and material losses from recurrent flooding events  in 4 flood-prone districts of the Tarai and Churia Range reduced</w:t>
            </w:r>
          </w:p>
        </w:tc>
        <w:tc>
          <w:tcPr>
            <w:tcW w:w="4000" w:type="dxa"/>
          </w:tcPr>
          <w:p>
            <w:r>
              <w:rPr>
                <w:rFonts w:ascii="Calibri" w:hAnsi="Calibri" w:cs="Calibri"/>
              </w:rPr>
              <w:t xml:space="preserve">Number of additional people provided with access to safe water supply and basic sanitation services
[refer to AMAT 1.2.3]
Number of people and value of their material assets covered by a CBEWS  in the four target project districts
[refer to AMAT 2.2.2.1 / 3.1.1.1 / 3.2.1.1]
Number of targeted institutions with increased capacity to minimize exposure to flood risks in the Tarai &amp;amp; Churia Range 
[refer to AMAT 2.2.1.1 / 3.2.1.1]</w:t>
            </w:r>
          </w:p>
        </w:tc>
        <w:tc>
          <w:tcPr>
            <w:tcW w:w="4000" w:type="dxa"/>
          </w:tcPr>
          <w:p>
            <w:r>
              <w:rPr>
                <w:rFonts w:ascii="Calibri" w:hAnsi="Calibri" w:cs="Calibri"/>
              </w:rPr>
              <w:t xml:space="preserve">Existing tube wells in 8 VDCs get flooded during the flooding season hindering the access to safe drinking water for 59,062 population residing in the villages. 
 Water supply/drainage system in 8 VDCs gets flooded making it difficult for 59,062 population.
 The initial estimation of the population for six VDCs which get flooded during the flooding season was 22,500. Likewise, the population estimation of four VDCs in which water supply/drainage get flooded in monsoon was 14,500. However, the detail study carried out by the project called Project related Baseline Socio-Economic data of Eight Project covering VDCs of Terai and Churia Region came up with the updated number i.e. 59,062 population from total eight VDCs will be beneficiaries of the project. Thus, project will be using the updated data instead of the numbers reported in project document. 
 There are no EWS in the 4 project target districts; 3 VDCs ((Mahisthan, Hattilet and Aurahi) communities in Mahottari district  Janagha River) have been trained in CBEWS UNDP/CDRMP programme 
 The total population of the most flood-prone VDCs is 59,062. 
 Weak system for flood risk management. DWIDP currently focuses only on construction works.
 Limited trained staffs in DWIDP on flood risk management. 
 DDRC is mostly involved in rescue and relief for post disaster work and their activity in the targeted districts is limited.</w:t>
            </w:r>
          </w:p>
        </w:tc>
        <w:tc>
          <w:tcPr>
            <w:tcW w:w="4000" w:type="dxa"/>
          </w:tcPr>
          <w:p>
            <w:r>
              <w:rPr>
                <w:rFonts w:ascii="Calibri" w:hAnsi="Calibri" w:cs="Calibri"/>
              </w:rPr>
              <w:t xml:space="preserve">At least 70% population in 3 districts/6 VDCs have access to 24 elevated tube wells and/or a flood proofing drainage system. 
 100% of the population covered by CBEWS in all target flood prone river basins 
 By the end of the project, at least 8 gender sensitive Village Disaster Management Plans prepared by the Village Disaster Risk Management Committees in the Terai &amp;amp; Churia Range. 
 By the end of the project, at least two vulnerable VDCs of four districts will have CBEWSs and which are being effectively maintained by local communities (including women) under the leadership of the Village Management Committees.</w:t>
            </w:r>
          </w:p>
        </w:tc>
        <w:tc>
          <w:tcPr>
            <w:tcW w:w="2000" w:type="dxa"/>
          </w:tcPr>
          <w:p>
            <w:r>
              <w:rPr>
                <w:rFonts w:ascii="Calibri" w:hAnsi="Calibri" w:cs="Calibri"/>
              </w:rPr>
              <w:t xml:space="preserve">35 Elevated Tube Wells were constructed in the four districts/8 target VDCs. Hence this ensures about 75% population have access to safe drinking water during flood. 
 About 4.5 km long Flood Proofing Drainage System has been constructed by the end of June 2015. 
 Total of eight Village Disaster Risk Management Committees (VDRMCs) and 35 Community Disaster Management Committees (CDMCs) have been formed and operationalized during July 2014. A total of 399 members are affiliated in 35 CDMCs including 200 female and 199 male. 
 Altogether, 28 FA Taskforces and 27 LSAR Taskforces have been formed under CDMCs and operationalized during July 2014. Likewise, 23 CBEWS Taskforces have been formed during March 2015. 
 Taskforces were equipped with relevant equipment during March 2015. 
 Training on LSAR and FA to members of Taskforces have been conducted during June 2015. A total of 213 members were trained including 87 female. 
 A total of 44 District and national level officials from DWIDP and DSCWM have been trained on Flood Risk Management &amp; Sediment Monitoring during August and November 2014 respectively. 
 Training on Mainstreaming Flood Risk Management in Development Planning Process was also conducted to VDC level officials during August 2014.</w:t>
            </w:r>
          </w:p>
        </w:tc>
        <w:tc>
          <w:tcPr>
            <w:tcW w:w="2000" w:type="dxa"/>
          </w:tcPr>
          <w:p>
            <w:r>
              <w:rPr>
                <w:rFonts w:ascii="Calibri" w:hAnsi="Calibri" w:cs="Calibri"/>
              </w:rPr>
              <w:t xml:space="preserve">Project during this reporting period completed installation and operationalization of 15 CBEWS in targeted five river basins and 3 CBFEWS in collaboration with ICIMOD in Ratu River basin. With this, project expects to cover 100% population living in the targeted flood prone river basins and additional 48,991 people from the seven upstream Village Development Committees (VDCs) along Ratu, Khado and Gagan river basins.  The VDCs include  Bardibas, Gauribas and Hatilet in Ratu, Rayapur and Sambhunath in Khado and Belhi and Lalpur in Gagan River basins. 
3 safe evacuation centers (ECs) have been constructed in Mahottari and Siraha. These centers will provide the much needed space for vulnerable communities during flooding and inundation. An additional of about 1.6 km flood proofing drainage system (FPDS) in Nainhi VDC, Mahottari district has been completed which will provide a safe passage to drain out logged water during the monsoon. 
 8 VDRMCs, 35 CDMCs and 78 Taskforces of Light Search and Rescue - LSAR, First Aid - FA and Early Warning Systems- EWS have been capacitated and  mobilized regularly in flood risk reduction activities. To trigger this, 3 events of upstream downstream peer learning visits for committees members, 19 events of mock drills and 10 street drama demonstrations have been undertaken during this reporting period. In addition, Refresher Trainings on LSAR and FA to Taskforces members have been conducted during June 2016. A refresher training for 14 volunteer gauge readers has been conducted and they have been mobilized to collect sediment samples from the five targeted river basins. 
To enhance technical capacity of national level government officials on flood risk management, a national level training on Flood Hazard Modelling and Sediment Modeling was conducted during November 2015 targeting officials from collaborating partners [DHM, Department of Water Induced Disaster Prevention (DWIPD), Department of Soil Conservation and Watershed Management (DSCWM)]  and the President Churia Madhesh Terai Conservation Development Board (PCMTCDB)]. The PCMTCDB is a recently formed body which has the mandate for Churia conservation through an integrated watershed management approach. To explore partnership with PCMTCBD, a joint exploration visit to terai sites has been planned.</w:t>
            </w:r>
          </w:p>
        </w:tc>
      </w:tr>
      <w:tr>
        <w:tc>
          <w:tcPr>
            <w:tcW w:w="2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
            </w:r>
          </w:p>
        </w:tc>
        <w:tc>
          <w:tcPr>
            <w:tcW w:w="4000" w:type="dxa"/>
          </w:tcPr>
          <w:p>
            <w:r>
              <w:rPr>
                <w:rFonts w:ascii="Calibri" w:hAnsi="Calibri" w:cs="Calibri"/>
              </w:rPr>
              <w:t xml:space="preserve"/>
            </w:r>
          </w:p>
        </w:tc>
        <w:tc>
          <w:tcPr>
            <w:tcW w:w="2000" w:type="dxa"/>
          </w:tcPr>
          <w:p>
            <w:r>
              <w:rPr>
                <w:rFonts w:ascii="Calibri" w:hAnsi="Calibri" w:cs="Calibri"/>
              </w:rPr>
              <w:t xml:space="preserve"/>
            </w:r>
          </w:p>
        </w:tc>
        <w:tc>
          <w:tcPr>
            <w:tcW w:w="2000" w:type="dxa"/>
          </w:tcPr>
          <w:p>
            <w:r>
              <w:rPr>
                <w:rFonts w:ascii="Calibri" w:hAnsi="Calibri" w:cs="Calibri"/>
              </w:rPr>
              <w:t xml:space="preserve"/>
            </w:r>
          </w:p>
        </w:tc>
      </w:tr>
    </w:tbl>
    <w:p/>
    <w:p/>
    <w:p>
      <w:pPr>
        <w:pStyle w:val="Heading1"/>
      </w:pPr>
      <w:r>
        <w:fldChar w:fldCharType="end"/>
      </w:r>
      <w:bookmarkStart w:id="4" w:name="_Toc252634159"/>
      <w:r>
        <w:t>E.    Annual Project Quality Assurance Assessment</w:t>
      </w:r>
      <w:bookmarkEnd w:id="4"/>
    </w:p>
    <w:tbl>
      <w:tblPr>
        <w:tblStyle w:val="myOwnTableStyle"/>
      </w:tblPr>
      <w:tr>
        <w:tc>
          <w:tcPr>
            <w:tcW w:w="10800" w:type="dxa"/>
          </w:tcPr>
          <w:p>
            <w:r>
              <w:rPr>
                <w:rFonts w:ascii="Calibri" w:hAnsi="Calibri" w:cs="Calibri"/>
              </w:rPr>
              <w:t xml:space="preserve">Project Governance</w:t>
            </w:r>
          </w:p>
        </w:tc>
      </w:tr>
      <w:tr>
        <w:tc>
          <w:tcPr>
            <w:tcW w:w="1800" w:type="dxa"/>
            <w:shd w:val="clear" w:color="auto" w:fill="#D9D9D9"/>
          </w:tcPr>
          <w:p>
            <w:r>
              <w:rPr>
                <w:rFonts w:ascii="Calibri" w:hAnsi="Calibri" w:cs="Calibri"/>
              </w:rPr>
              <w:t xml:space="preserve">Are at least 40 percent of the personnel hired by the project, regardless of contract type, female?</w:t>
            </w:r>
          </w:p>
        </w:tc>
        <w:tc>
          <w:tcPr>
            <w:tcW w:w="9000" w:type="dxa"/>
          </w:tcPr>
          <w:p>
            <w:r>
              <w:rPr>
                <w:rFonts w:ascii="Calibri" w:hAnsi="Calibri" w:cs="Calibri"/>
              </w:rPr>
              <w:t xml:space="preserve">N</w:t>
            </w:r>
          </w:p>
        </w:tc>
      </w:tr>
      <w:tr>
        <w:tc>
          <w:tcPr>
            <w:tcW w:w="1800" w:type="dxa"/>
            <w:shd w:val="clear" w:color="auto" w:fill="#D9D9D9"/>
          </w:tcPr>
          <w:p>
            <w:r>
              <w:rPr>
                <w:rFonts w:ascii="Calibri" w:hAnsi="Calibri" w:cs="Calibri"/>
              </w:rPr>
              <w:t xml:space="preserve">Dates of Project Steering Committee/Board meetings during reporting period (30 June 2015 to 1 July 2016)</w:t>
            </w:r>
          </w:p>
        </w:tc>
        <w:tc>
          <w:tcPr>
            <w:tcW w:w="9000" w:type="dxa"/>
          </w:tcPr>
          <w:p>
            <w:r>
              <w:rPr>
                <w:rFonts w:ascii="Calibri" w:hAnsi="Calibri" w:cs="Calibri"/>
              </w:rPr>
              <w:t xml:space="preserve">July 2015 August 2015 August 2015 October 2015 December 2015 December 2015 March 2016 May 2016 </w:t>
            </w:r>
          </w:p>
        </w:tc>
      </w:tr>
      <w:tr>
        <w:tc>
          <w:tcPr>
            <w:tcW w:w="1800" w:type="dxa"/>
            <w:shd w:val="clear" w:color="auto" w:fill="#D9D9D9"/>
          </w:tcPr>
          <w:p>
            <w:r>
              <w:rPr>
                <w:rFonts w:ascii="Calibri" w:hAnsi="Calibri" w:cs="Calibri"/>
              </w:rPr>
              <w:t xml:space="preserve">Did the Project Board function as intended this reporting period?  </w:t>
            </w:r>
          </w:p>
        </w:tc>
        <w:tc>
          <w:tcPr>
            <w:tcW w:w="9000" w:type="dxa"/>
          </w:tcPr>
          <w:p>
            <w:r>
              <w:rPr>
                <w:rFonts w:ascii="Calibri" w:hAnsi="Calibri" w:cs="Calibri"/>
              </w:rPr>
              <w:t xml:space="preserve">Y</w:t>
            </w:r>
          </w:p>
        </w:tc>
      </w:tr>
      <w:tr>
        <w:tc>
          <w:tcPr>
            <w:tcW w:w="1800" w:type="dxa"/>
            <w:shd w:val="clear" w:color="auto" w:fill="#D9D9D9"/>
          </w:tcPr>
          <w:p>
            <w:r>
              <w:rPr>
                <w:rFonts w:ascii="Calibri" w:hAnsi="Calibri" w:cs="Calibri"/>
              </w:rPr>
              <w:t xml:space="preserve">Please add any comments on project governance.</w:t>
            </w:r>
          </w:p>
        </w:tc>
        <w:tc>
          <w:tcPr>
            <w:tcW w:w="9000" w:type="dxa"/>
          </w:tcPr>
          <w:p>
            <w:r>
              <w:rPr>
                <w:rFonts w:ascii="Calibri" w:hAnsi="Calibri" w:cs="Calibri"/>
              </w:rPr>
              <w:t xml:space="preserve">Project developed all Annual/Quarterly Work Plans (AWP/QWP) in consultation with focal persons from respective collaborating partners and their inputs and feedbacks were fully incorporated. Project Executive Board approved all the AWP and QWPs. A total of eight PEB meetings were conducted during this reporting period. All contractual processes to hire service providers and consultants were made through competitive bidding process to ensure better quality of works and transparency of the process followed. Independent consultants conducted Audit and Spot Check for the year 2015.  Furthermore, progress made by the project and upcoming plans are being shared to local and district level line agencies as part of the downward accountability. Two separate joint monitoring visits by district line agencies were conducted in Mahottari and Udayapur districts during this period. At community level, discussion and consultations meetings were held to solicit inputs and comments from local stakeholders. In consultations with VDRMCs and CDMCs, various construction committees were formed and mobilized for implementing and executing construction related works. To promote, transparency and accountability of works undertaken, public auditing were conducted by construction committees, and cost estimates and expenditure of activity were displayed through information boards.</w:t>
            </w:r>
          </w:p>
        </w:tc>
      </w:tr>
      <w:tr>
        <w:tc>
          <w:tcPr>
            <w:tcW w:w="10800" w:type="dxa"/>
          </w:tcPr>
          <w:p>
            <w:r>
              <w:rPr>
                <w:rFonts w:ascii="Calibri" w:hAnsi="Calibri" w:cs="Calibri"/>
              </w:rPr>
              <w:t xml:space="preserve">Annual Work Planning</w:t>
            </w:r>
          </w:p>
        </w:tc>
      </w:tr>
      <w:tr>
        <w:tc>
          <w:tcPr>
            <w:tcW w:w="1800" w:type="dxa"/>
            <w:shd w:val="clear" w:color="auto" w:fill="#D9D9D9"/>
          </w:tcPr>
          <w:p>
            <w:r>
              <w:rPr>
                <w:rFonts w:ascii="Calibri" w:hAnsi="Calibri" w:cs="Calibri"/>
              </w:rPr>
              <w:t xml:space="preserve">Have project inputs been procured and delivered on time and budget this reporting period?</w:t>
            </w:r>
          </w:p>
        </w:tc>
        <w:tc>
          <w:tcPr>
            <w:tcW w:w="9000" w:type="dxa"/>
          </w:tcPr>
          <w:p>
            <w:r>
              <w:rPr>
                <w:rFonts w:ascii="Calibri" w:hAnsi="Calibri" w:cs="Calibri"/>
              </w:rPr>
              <w:t xml:space="preserve">Y</w:t>
            </w:r>
          </w:p>
        </w:tc>
      </w:tr>
      <w:tr>
        <w:tc>
          <w:tcPr>
            <w:tcW w:w="1800" w:type="dxa"/>
            <w:shd w:val="clear" w:color="auto" w:fill="#D9D9D9"/>
          </w:tcPr>
          <w:p>
            <w:r>
              <w:rPr>
                <w:rFonts w:ascii="Calibri" w:hAnsi="Calibri" w:cs="Calibri"/>
              </w:rPr>
              <w:t xml:space="preserve">Will the project be able to close on time as planned?</w:t>
            </w:r>
          </w:p>
        </w:tc>
        <w:tc>
          <w:tcPr>
            <w:tcW w:w="9000" w:type="dxa"/>
          </w:tcPr>
          <w:p>
            <w:r>
              <w:rPr>
                <w:rFonts w:ascii="Calibri" w:hAnsi="Calibri" w:cs="Calibri"/>
              </w:rPr>
              <w:t xml:space="preserve">Y</w:t>
            </w:r>
          </w:p>
        </w:tc>
      </w:tr>
      <w:tr>
        <w:tc>
          <w:tcPr>
            <w:tcW w:w="1800" w:type="dxa"/>
            <w:shd w:val="clear" w:color="auto" w:fill="#D9D9D9"/>
          </w:tcPr>
          <w:p>
            <w:r>
              <w:rPr>
                <w:rFonts w:ascii="Calibri" w:hAnsi="Calibri" w:cs="Calibri"/>
              </w:rPr>
              <w:t xml:space="preserve">Please add any comments on annual work planning.</w:t>
            </w:r>
          </w:p>
        </w:tc>
        <w:tc>
          <w:tcPr>
            <w:tcW w:w="9000" w:type="dxa"/>
          </w:tcPr>
          <w:p>
            <w:r>
              <w:rPr>
                <w:rFonts w:ascii="Calibri" w:hAnsi="Calibri" w:cs="Calibri"/>
              </w:rPr>
              <w:t xml:space="preserve">At central level, project ensures involvement of designated focal persons from collaborating partners during preparation of Annual and Quarterly Work Plans to promote coordination and collaboration.  
At community level, frequent community consultations have also been made during planning and prioritizing the activities. 
Annual/Quarterly Work Plans have been approved and endorsed by PEB meetings. 
However, revisions on annual plan have been made as per need and have been endorsed by PEB. Rescheduling of lake lowering activity under component I and activities of third and fourth quarters of 2015 under component II to the year 2016 were the major adjustments made in work plans during this reporting period. The revision related to component I was made due to unresponsive bidding process and that related to component II was due to prolonged political disturbances in Terai. 
Project has taken due consideration of Result Resource Framework and Monitoring and Evaluation Framework while setting annual targets to ensure that the planned activities under each outputs are aligned towards achieving the project outcomes and objectives.</w:t>
            </w:r>
          </w:p>
        </w:tc>
      </w:tr>
      <w:tr>
        <w:tc>
          <w:tcPr>
            <w:tcW w:w="10800" w:type="dxa"/>
          </w:tcPr>
          <w:p>
            <w:r>
              <w:rPr>
                <w:rFonts w:ascii="Calibri" w:hAnsi="Calibri" w:cs="Calibri"/>
              </w:rPr>
              <w:t xml:space="preserve">Stakeholder engagement and target groups</w:t>
            </w:r>
          </w:p>
        </w:tc>
      </w:tr>
      <w:tr>
        <w:tc>
          <w:tcPr>
            <w:tcW w:w="1800" w:type="dxa"/>
            <w:shd w:val="clear" w:color="auto" w:fill="#D9D9D9"/>
          </w:tcPr>
          <w:p>
            <w:r>
              <w:rPr>
                <w:rFonts w:ascii="Calibri" w:hAnsi="Calibri" w:cs="Calibri"/>
              </w:rPr>
              <w:t xml:space="preserve">Please discuss how stakeholders and target groups were directly engaged in the decision-making, implementation and monitoring of the project this reporting period.</w:t>
            </w:r>
          </w:p>
        </w:tc>
        <w:tc>
          <w:tcPr>
            <w:tcW w:w="9000" w:type="dxa"/>
          </w:tcPr>
          <w:p>
            <w:r>
              <w:rPr>
                <w:rFonts w:ascii="Calibri" w:hAnsi="Calibri" w:cs="Calibri"/>
              </w:rPr>
              <w:t xml:space="preserve">Project prioritizes involvement of focal persons from partners for developing annual work plans to build national level ownership towards project and promote the coordination among district level line agencies under these departments. A high level visit to the project sites by the representatives from the collaborating partners, was undertaken.
Sharing and coordination meetings were conducted with district line agencies to build ownership towards project for ensuring sustainability. Two separate district level joint field monitoring visits were organized in Udayapur and Mahottari. 
At local level, disaster risk management committees, construction committees and vulnerable people were consulted and mobilized during planning and executing activities. 
Coordination were made with monasteries, schools and taskforces while implementing activities. 15 safe evacuation centers in Khumbu region were strengthened in consultation with community people instead of only 12 centers recommended by the GLOF Hazard Zonation and Safe Evacuation Plan (HSEP) study undertaken in 2014.  
Communities from Sarpallo, Mahottari have allocated an additional budget of NRs. 300,000 from the local religious fund, and invested for the construction of safe evacuation shelter, as matching fund. The fund has been invested to elevate the evacuation center site from which the center is easily accessible for all from the road head.</w:t>
            </w:r>
          </w:p>
        </w:tc>
      </w:tr>
      <w:tr>
        <w:tc>
          <w:tcPr>
            <w:tcW w:w="10800" w:type="dxa"/>
          </w:tcPr>
          <w:p>
            <w:r>
              <w:rPr>
                <w:rFonts w:ascii="Calibri" w:hAnsi="Calibri" w:cs="Calibri"/>
              </w:rPr>
              <w:t xml:space="preserve">Monitoring &amp; Evaluation (M&amp;E)</w:t>
            </w:r>
          </w:p>
        </w:tc>
      </w:tr>
      <w:tr>
        <w:tc>
          <w:tcPr>
            <w:tcW w:w="1800" w:type="dxa"/>
            <w:shd w:val="clear" w:color="auto" w:fill="#D9D9D9"/>
          </w:tcPr>
          <w:p>
            <w:r>
              <w:rPr>
                <w:rFonts w:ascii="Calibri" w:hAnsi="Calibri" w:cs="Calibri"/>
              </w:rPr>
              <w:t xml:space="preserve">Please discuss how the project M&amp;E Plan was implemented and used to support effective project management this reporting period (e.g. please consider whether progress data against the indicators in the project results framework was reported using credible data sources and collected according to the M&amp;E plan, including sex disaggregated data as relevant; whether lesson learned were used to take corrective actions as necessary; whether evaluations were conducted following the UNDP-GEF guidance available at www.undp.erc.org; and other issues as relevant).</w:t>
            </w:r>
          </w:p>
        </w:tc>
        <w:tc>
          <w:tcPr>
            <w:tcW w:w="9000" w:type="dxa"/>
          </w:tcPr>
          <w:p>
            <w:r>
              <w:rPr>
                <w:rFonts w:ascii="Calibri" w:hAnsi="Calibri" w:cs="Calibri"/>
              </w:rPr>
              <w:t xml:space="preserve">Based on Result Framework, M&amp;E framework 2013-2017 was developed. Framework has been revised this year. Based on M&amp;E framework, output level annual monitoring plan was developed and approved accordingly. Annual work plan was aligned with M&amp;E plan to ensure that outputs will contribute to achieve the targets. 
Project has maintained the output level database based on the M&amp;E plan. Documentation of sex disaggregated data and database of marginalized people has been prioritized. 
During the Midterm Review- MTR (April 2016), the Climate Change Adaptation Tracking Tool has been updated and shared. 
Project has been integrating the feedbacks and lessons learnt from monitoring visits, for corrective measures in the work plan. For instance, inputs provided by monitoring visits from project management particularly on the bioengineering works undertaken in the 4.4 km embankment stretch had high rate of mortality of saplings owing to long drought period. Realizing this gap, project has completed the re-plantation works in the above stretch within this reporting period. It is expected that the survival rates of the saplings will be high.  MTR of the project was completed during April 2016, based on UNDP-GEF guidelines and the MTR report provides a satisfactory rating despite the challenges faced in 2015.</w:t>
            </w:r>
          </w:p>
        </w:tc>
      </w:tr>
      <w:tr>
        <w:tc>
          <w:tcPr>
            <w:tcW w:w="10800" w:type="dxa"/>
          </w:tcPr>
          <w:p>
            <w:r>
              <w:rPr>
                <w:rFonts w:ascii="Calibri" w:hAnsi="Calibri" w:cs="Calibri"/>
              </w:rPr>
              <w:t xml:space="preserve">Social &amp; Environmental Standards</w:t>
            </w:r>
          </w:p>
        </w:tc>
      </w:tr>
      <w:tr>
        <w:tc>
          <w:tcPr>
            <w:tcW w:w="1800" w:type="dxa"/>
            <w:shd w:val="clear" w:color="auto" w:fill="#D9D9D9"/>
          </w:tcPr>
          <w:p>
            <w:r>
              <w:rPr>
                <w:rFonts w:ascii="Calibri" w:hAnsi="Calibri" w:cs="Calibri"/>
              </w:rPr>
              <w:t xml:space="preserve">Were any new social and environmental impacts and risks identified this reporting period?</w:t>
            </w:r>
          </w:p>
        </w:tc>
        <w:tc>
          <w:tcPr>
            <w:tcW w:w="9000" w:type="dxa"/>
          </w:tcPr>
          <w:p>
            <w:r>
              <w:rPr>
                <w:rFonts w:ascii="Calibri" w:hAnsi="Calibri" w:cs="Calibri"/>
              </w:rPr>
              <w:t xml:space="preserve">Y</w:t>
            </w:r>
          </w:p>
        </w:tc>
      </w:tr>
      <w:tr>
        <w:tc>
          <w:tcPr>
            <w:tcW w:w="1800" w:type="dxa"/>
            <w:shd w:val="clear" w:color="auto" w:fill="#D9D9D9"/>
          </w:tcPr>
          <w:p>
            <w:r>
              <w:rPr>
                <w:rFonts w:ascii="Calibri" w:hAnsi="Calibri" w:cs="Calibri"/>
              </w:rPr>
              <w:t xml:space="preserve">Please discuss how social and environmental impacts and risks were managed this reporting period, as relevant. </w:t>
            </w:r>
          </w:p>
        </w:tc>
        <w:tc>
          <w:tcPr>
            <w:tcW w:w="9000" w:type="dxa"/>
          </w:tcPr>
          <w:p>
            <w:r>
              <w:rPr>
                <w:rFonts w:ascii="Calibri" w:hAnsi="Calibri" w:cs="Calibri"/>
              </w:rPr>
              <w:t xml:space="preserve">As field staff under component I was not foreseen during project formulation, local level coordination with Buffer Zone communities became difficult owing to remoteness and accessibility. Hence, realizing the need to have a local staff, a Social Mobilizer (SM) was hired from June-December 2015. Presence of SM was found to be helpful in realizing the project activities. However, SM did not continue since 2015. Project is planning to hire a local SM again to give continuity of earlier works. 
For Imja lake lowering works, strict environmental compliance measures have been annexed in LoA for compliance. As Lake is located in a Sagarmatha National Park (SNP) and World Heritage Site, necessary pre-cautions and measures related to environmental safeguard measures have been prescribed.  For instance, NA has been asked to follow Sagarmatha Pollution Control Committee guidelines in for garbage and waste disposal, which prescribes bring back principle. Necessary consultations with UNESCO country office and UNESCO mission were made and briefed about GLOF risk reduction measures being undertaken by project. An environmental audit of lake lowering works will be initiated by an independent team of experts as advised by SNP during the later stage of construction.</w:t>
            </w:r>
          </w:p>
        </w:tc>
      </w:tr>
    </w:tbl>
    <w:p/>
    <w:p>
      <w:pPr>
        <w:sectPr>
          <w:pgSz w:w="16838" w:h="11906" w:orient="landscape"/>
          <w:pgMar w:top="600" w:right="500" w:bottom="600" w:left="500" w:header="720" w:footer="720" w:gutter="0"/>
          <w:cols w:space="720"/>
        </w:sectPr>
      </w:pPr>
    </w:p>
    <w:p/>
    <w:p>
      <w:pPr>
        <w:pStyle w:val="Heading1"/>
      </w:pPr>
      <w:r>
        <w:fldChar w:fldCharType="end"/>
      </w:r>
      <w:bookmarkStart w:id="5" w:name="_Toc252634160"/>
      <w:r>
        <w:t>F.   Ratings and Comments on Project Progress</w:t>
      </w:r>
      <w:bookmarkEnd w:id="5"/>
    </w:p>
    <w:p>
      <w:pPr>
        <w:jc w:val="left"/>
      </w:pPr>
      <w:r>
        <w:rPr>
          <w:rFonts w:ascii="Calibri" w:hAnsi="Calibri" w:cs="Calibri"/>
          <w:sz w:val="24"/>
          <w:szCs w:val="24"/>
          <w:b/>
        </w:rPr>
        <w:t xml:space="preserve">Project Progress toward Development Objective</w:t>
      </w:r>
    </w:p>
    <w:tbl>
      <w:tblPr>
        <w:tblStyle w:val="myOwnTableStyle"/>
      </w:tblPr>
      <w:tr>
        <w:tc>
          <w:tcPr>
            <w:tcW w:w="2000" w:type="dxa"/>
            <w:shd w:val="clear" w:color="auto" w:fill="#D9D9D9"/>
          </w:tcPr>
          <w:p>
            <w:r>
              <w:rPr>
                <w:rFonts w:ascii="Calibri" w:hAnsi="Calibri" w:cs="Calibri"/>
              </w:rPr>
              <w:t xml:space="preserve">Role</w:t>
            </w:r>
          </w:p>
        </w:tc>
        <w:tc>
          <w:tcPr>
            <w:tcW w:w="2000" w:type="dxa"/>
            <w:shd w:val="clear" w:color="auto" w:fill="#D9D9D9"/>
          </w:tcPr>
          <w:p>
            <w:r>
              <w:rPr>
                <w:rFonts w:ascii="Calibri" w:hAnsi="Calibri" w:cs="Calibri"/>
              </w:rPr>
              <w:t xml:space="preserve">2016 Rating</w:t>
            </w:r>
          </w:p>
        </w:tc>
        <w:tc>
          <w:tcPr>
            <w:tcW w:w="8000" w:type="dxa"/>
            <w:shd w:val="clear" w:color="auto" w:fill="#D9D9D9"/>
          </w:tcPr>
          <w:p>
            <w:r>
              <w:rPr>
                <w:rFonts w:ascii="Calibri" w:hAnsi="Calibri" w:cs="Calibri"/>
              </w:rPr>
              <w:t xml:space="preserve">2016 Comments</w:t>
            </w:r>
          </w:p>
        </w:tc>
      </w:tr>
      <w:tr>
        <w:tc>
          <w:tcPr>
            <w:tcW w:w="2000" w:type="dxa"/>
            <w:shd w:val="clear" w:color="auto" w:fill="#D9D9D9"/>
          </w:tcPr>
          <w:p>
            <w:r>
              <w:rPr>
                <w:rFonts w:ascii="Calibri" w:hAnsi="Calibri" w:cs="Calibri"/>
              </w:rPr>
              <w:t xml:space="preserve">Project Manager/Coordinator</w:t>
            </w:r>
          </w:p>
        </w:tc>
        <w:tc>
          <w:tcPr>
            <w:tcW w:w="2000" w:type="dxa"/>
          </w:tcPr>
          <w:p>
            <w:r>
              <w:rPr>
                <w:rFonts w:ascii="Calibri" w:hAnsi="Calibri" w:cs="Calibri"/>
              </w:rPr>
              <w:t xml:space="preserve">Satisfactory</w:t>
            </w:r>
          </w:p>
        </w:tc>
        <w:tc>
          <w:tcPr>
            <w:tcW w:w="8000" w:type="dxa"/>
          </w:tcPr>
          <w:p>
            <w:r>
              <w:rPr>
                <w:rFonts w:ascii="Calibri" w:hAnsi="Calibri" w:cs="Calibri"/>
              </w:rPr>
              <w:t xml:space="preserve">CFGORRP has made significant progress in achieving its objective of reducing human and material losses from glacial flooding in Solukhumbu and flooding events in the Terai and Churia Range. 
Followings are the key achievements under component I (i.e. Imja GLOF risk reduction in Solukhumbu district):
1.	After the unresponsive international bidding process of the Imja Lake lowering works, project rescheduled the activity for 2016 and explored the feasibility of involving Nepal Army (NA) in the Lake lowering works.  As a result, a Letter of Agreement (LoA) has been signed with Nepal Army to undertake lake lowering works. The LoA has 5 key milestones as deliverables. Milestone 1 has already been achieved with the transportation of heavy equipment and construction materials; collection of sand and aggregates; construction of coffer dam and diversion channel. The work is expected to be completed in October 2016. A defect liability period is from November 2016 until November 2017. 
2.	After the operationalization of system, DHM will be operating a GLOF Risk Monitoring System and will have mechanism in place to communicate GLOF risk warnings to the concerned authorities at national level. At local level, communities in the high risk settlements will receive early warning messages through automated sirens and further communicate through 18 sets of CBEWSs. 
3.	15 Safe Evacuation Centers comprising of local schools, monasteries and open spaces in the high-risk settlements are expected to cater the need of safe shelter for affected population during emergencies.  
4.	Altogether 425 Taskforce members, LRPs and community people gained knowledge and honed their skills on GLOF risk reduction preparedness by taking part in nine mock drill events. Role of Taskforce members and LRPs as a frontline responders will be significant during any GLOF events. 
5.	Awareness raising activities such as production and distribution/installation of flyers, posters, hoarding boards and airing of radio programs and Public Service Announcements through FM Radio stations,  has helped local people and visitorsâ to acquire information on potential GLOF events and Imja GLOF risk management measures.  
Followings are the key  achievements under component II (i.e. flood risk management in Terai and Churia range).
1.	A total of about 2.5 km additional earthen embankment along with gabion revetment works has been completed. Bioengineering works will be conducted during July, 2016. As of June 2016, a total of 6.9 km embankment has been constructed in targeted five river basins. Embankment is the key for addressing flood and sediment control measures. 
2.	Operationalization of 15 CBEWS in five targeted river basins and 3 CBFEWS in Ratu aims to disseminate early warning messages to vulnerable communities for improving their respond to flood events. With this, projects expects to benefit additional 48,991 people living in the seven VDCs in upstream of Ratu, Gagan and Khando rivers. 
3.	An additional of about 1.6 km flood proofing drainage system (FPDS) constructed in Nainhi VDC, Mahottari, totaling to 6.1 km long FDPS functional in VDC, which will provide a safe passage for draining logged water. This will further improve sanitation situation, and therefore decrease risk of outbreaks of water and mosquito borne disease.
4.	3 Safe Evacuation Centers constructed in three targeted VDCs in Siraha and Mahottari will provide safe shelter to vulnerable communities during response and recovery phase of any flood or other disasters. As a matching fund, communities from Sarpallo, Mahottari voluntarily mobilized NRs. 300,000 for the construction of shelter.
5.	Project published Sediment Monitoring Protocols (SMP) for Churia originating river systems, a very new document in the context of Nepal which provides guidance on standardized methodologies for collection and management of suspended and bed load sediment data. This product is being used by the project as a main resource material during the national level training on Sediment Monitoring and Flood Hazard Modeling. DWIDP and PCMTCDB are also planning to use the SMP. 
6.	A refresher training for 14 gauge readers will support for effective mobilization of volunteers as the focal persons for CBEWS. They regularly collect, manage and disseminate flood and rainfall related data and information. 
7.	Capacity building activities for members of disaster management committees and Taskforces were undertaken for effective mobilization in flood risk reduction activities. 3 upstream- downstream learning visits were conducted from which CDMC and VDRMC members learned about linkage of environmental degradation in upstream churia range and its impacts in downstream. To enhance the early response capacity at community level, refresher trainings on First Aid and Light Search and Rescue targeting to the taskforce members were undertaken. 
19 mock drills events conducted in project areas provided opportunities to familiarize VDRMCs/CDMCs and Taskforceâs members in the use of equipment and the procedures to be followed, delegation of roles and responsibilities during disasters. Thus, early response capacity of the vulnerable communities has been significantly increased. 
These local institutions are expected to function as frontline institutions to effectively and efficiently respond during disasters.
8.	Installation of 50 hoarding boards with messages at strategic locations in the targeted eight VDCs and airing of flood related jingles through FM radio stations have helped to reach the vulnerable communities with flood risk preparedness messages. 
9.	Sediment trap measures implemented in Ratu upstream is expected to control sediment flow from the source thereby reducing the risk of flash flood and bank cutting. Similar measures will be undertaken in other tributaries of Ratu during the last quarter, 2016. 
10.	All 35 Elevated Tube Wells (ETWs) installed during last reporting period are functioning well even after the mega earthquake of 25th April, 2015. Local users have maintained and repaired ETWs as needed. ETWs became a major boon for people that can access safe drinking water which has reduced the risk of water borne diseases during and flood and inundation.
11.	Despite of prolonged political disturbance in Terai region, between September 2016-February 2016, project has been able to deliver and achieve significant progress during this reporting period even completing the backlogged activities of 2015.</w:t>
            </w:r>
          </w:p>
        </w:tc>
      </w:tr>
      <w:tr>
        <w:tc>
          <w:tcPr>
            <w:tcW w:w="2000" w:type="dxa"/>
            <w:shd w:val="clear" w:color="auto" w:fill="#D9D9D9"/>
          </w:tcPr>
          <w:p>
            <w:r>
              <w:rPr>
                <w:rFonts w:ascii="Calibri" w:hAnsi="Calibri" w:cs="Calibri"/>
              </w:rPr>
              <w:t xml:space="preserve">UNDP Country Office Programme Officer</w:t>
            </w:r>
          </w:p>
        </w:tc>
        <w:tc>
          <w:tcPr>
            <w:tcW w:w="2000" w:type="dxa"/>
          </w:tcPr>
          <w:p>
            <w:r>
              <w:rPr>
                <w:rFonts w:ascii="Calibri" w:hAnsi="Calibri" w:cs="Calibri"/>
              </w:rPr>
              <w:t xml:space="preserve">Satisfactory</w:t>
            </w:r>
          </w:p>
        </w:tc>
        <w:tc>
          <w:tcPr>
            <w:tcW w:w="8000" w:type="dxa"/>
            <w:vAlign w:val="center"/>
          </w:tcPr>
          <w:p>
            <w:r>
              <w:rPr>
                <w:rFonts w:ascii="Calibri" w:hAnsi="Calibri" w:cs="Calibri"/>
              </w:rPr>
              <w:t xml:space="preserve">In the current reporting period, the project has made significant progress towards materializing the initiatives to set milestones for achieving the project objectives of reducing human and material losses from Glacial Lake Outburst Flooding in Solukhumbu and catastrophic flooding events in the Terai and Churia Range. The year 2015 was marked as the year for âfull phase implementationâ thus the implementation of structural and non-structural measures for reducing risks from flood and GLOF has been carried out extensively. Remarkable progress has been achieved in building awareness level among vulnerable communities and establishing structural measures. 
The massive earthquake of last year did impact the delivery of the project. More so, the situation deteriorated due to the border blockade which restricted basic supplies all over the country that lasted for about 5 months. The blockade hampered Component 2 activities extensively as the office was closed due to riots and curfews for months. However, despite these challenges the project did make significant progress during the one year timeline. 
Under first Outcome, after the unsuccessful bidding process of the Imja Lake lowering works, project rescheduled the activity for 2016 and explored the feasibility of involving Nepal Army (NA) in the Lake lowering works.  The approach to use Nepal Army was due to their experience of working in such harsh climatic conditions as well as their functional disaster and engineering division. NA has the mandate to work in crisis situation and they have been mobilized in past to act in circumstances during flood, mudslide etcâ¦After much negotiations and consultations, in March 2016, a Letter of Agreement (LoA) was signed between Department of Hydrology and Meteorology and Nepal Army to undertake lake lowering works. The LoA has 5 key milestones as deliverables. Milestone 1 has already been achieved with the transportation of heavy equipment and construction materials; collection of sand and aggregates; construction of coffer dam and diversion channel. The work is expected to be completed in October 2016. At the community level, 12 high risk settlements from the GLOF hazard along the Imja Dudh Koshi river corridor have been covered by the Community Based Early Warning System (CBEWS). 15 Safe Evacuation Centers have been established in local schools, monasteries and open spaces in the high-risk settlements which are expected to cater the need of safe shelter for affected population during emergencies.  It is expected that 12,690 local vulnerable people residing in high risk settlements will be benefited by the operationalization of these early warning systems. The local institutions and their members in these settlements have been capacitated with knowledge and skills of handling the Early Warning System (EWS) and measures for reducing losses from the potential GLOF. Capable local level institutions in the form of Taskforces are operational in the high risk settlements for mobilizing to reduce risks from GLOF hazards. 
Under second outcome, the project has been made substantial achievements on structural and non-structural measures to respond to flood related challenges and benefit the population living in the eight targeted VDCs. During the reporting period, about 2.4 km (totaling 6.9 km) additional earthen embankment along with gabion revetment works has been completed in targeted five river basins. Beneficiaries living in the eight targeted VDCs are expected to be covered from the operationalization of 18 CB(F)EWS as well as expected to be benefited from the increased access to the safe drinking water facilities from the elevated tube wells during flood and inundation. Similarly, 1.6 km (total 6.1 km) Flood Proofing Drainage System (FDPS) has been constructed and made operational to benefit vulnerable communities of Nainhi and Mahottari VDCs during flood and inundation. Along with to save lives and properties during floods, 3 Safe Evacuation Centers has been constructed in targeted VDCs during response and recovery phase of any flood or other disasters. To build community ownership and realizing the importance of these shelters, communities from Sarpallo, Mahottari voluntarily mobilized matching fund of NRs. 300,000 for the construction of shelter. Likewise, the institutionalization of the Sediment Monitoring Protocols (SMP) among the collaborating partners is expected to increase the technical capacity of partners to minimize exposure to flood risks in the Terai and Churia range.  
In regards to capacity building, during the reporting period, quite a lot has been achieved. Different awareness raising and capacity building activities such as street dramas, mock drills trainings, production and dissemination of Information, Education and Communication (IEC) materials, radio programs etc. have contributed significantly to raise awareness on flood/GLOF risk reduction preparedness  among  communities in the targeted working areas. A total of 7,633 members from vulnerable communities have benefited from 67 different events. 
In the long run, these results will contribute directly towards building the resilient communities as outlined in UNDAF outcome âPeople living in areas vulnerable to climate change and disasters benefit from improved risk management and are more resilient to hazard-related shocksâ. Despite of prolonged political disturbance in Terai region, between September 2016-February 2016, project has been able to deliver and achieve significant progress during this reporting period even completing the backlogged activities of 2015. 
The year 2015 has remained a successful year in terms of partnering with communities and stakeholders across the levels for effective implementation of activities for institutionalization of risk reduction knowledge and skills.
In addition, the Mid Term Review of the the project was conducted during 6-26 April 2016. The MTR finalized the report during May, 2016 after review and inputs from UNDP and project team.The MTR concluded that the Project is on track and has been rated as âSatisfactoryâ. The findings revealed that the project has achieved significant results despite of constraints faced and prescribes to focus more on sustainability aspects of the interventions. The MTR made nine recommendations, all concerned about the sustainability aspects of the project.</w:t>
            </w:r>
          </w:p>
        </w:tc>
      </w:tr>
      <w:tr>
        <w:tc>
          <w:tcPr>
            <w:tcW w:w="2000" w:type="dxa"/>
            <w:shd w:val="clear" w:color="auto" w:fill="#D9D9D9"/>
          </w:tcPr>
          <w:p>
            <w:r>
              <w:rPr>
                <w:rFonts w:ascii="Calibri" w:hAnsi="Calibri" w:cs="Calibri"/>
              </w:rPr>
              <w:t xml:space="preserve">Project Implementing Partner</w:t>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GEF Operational Focal point</w:t>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Other Partners</w:t>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UNDP Technical Advisor</w:t>
            </w:r>
          </w:p>
        </w:tc>
        <w:tc>
          <w:tcPr>
            <w:tcW w:w="2000" w:type="dxa"/>
          </w:tcPr>
          <w:p>
            <w:r>
              <w:rPr>
                <w:rFonts w:ascii="Calibri" w:hAnsi="Calibri" w:cs="Calibri"/>
              </w:rPr>
              <w:t xml:space="preserve">Satisfactory</w:t>
            </w:r>
          </w:p>
        </w:tc>
        <w:tc>
          <w:tcPr>
            <w:tcW w:w="8000" w:type="dxa"/>
            <w:vAlign w:val="center"/>
          </w:tcPr>
          <w:p>
            <w:r>
              <w:rPr>
                <w:rFonts w:ascii="Calibri" w:hAnsi="Calibri" w:cs="Calibri"/>
              </w:rPr>
              <w:t xml:space="preserve">The project has delivered impressive results during the reporting year. At this point in time it is evident that the project has made a direct contribution to the risk reduction and management of glacial flooding in highland Sulukhumbu and fluvial flooding in the lowland Terai regions. The team has nearly completed the installation of all automated early warning equipment in the Imja lake target areas. As for the Terai area, with 15 CBEWSs set up at strategic locations within five target river basins, fully covers the residing population, nearly 50,000 people and will ensure their safety against flood risks. These are semi-automated, low-tech, locally managed and operated Community Based Early Warning Systems (CBEWSs) functional in the highly hazardous settlements. These high risk communities are now fully equipped to receive early warning sirens and systematically trained to ably respond to the flood risks. Taskforces of Light Search and Rescue - LSAR, First Aid - FA and Early Warning Systems- EWS have been equipped, trained and regularly mobilized in flood risk reduction activities, in series of mock drill events that have demonstrated that CBEWSs are well-functioning. Evacuation centres have been established at the monasteries and local schools. These centres now have sanitation facilities both for women and men and have capacity to supply for food and water during the evacuation periods. It is also notable that the project team took conscious efforts to mobilize and empower women and local ethnic groups as part of the local community-based early warning systems and risk management institutions (local taskforces, LSARs and FA groups).   
The project has also delivered Sediment Monitoring Protocols that include detailed methodologies and provide a step-by-step guidance for collecting and analyzing suspended and bed load sediment data for Churia originating rivers. 26 officials have received the training in Flood Hazard Modeling and Sediment Monitoring. Additionally a SOP manual for Early Warning and Sediment Sampling has been delivered and guides through the stages of data collection, processing and procedures of communication and dissemination to the potentially affected communities downstream.
The project team has also delivered impressive results in actual GLOF and flood risk reduction in the target regions. Now the legal basis and all contractual arrangements are in place to start actual lowering of the target Imja Lake by at least 3 meters against the baseline level (the key project target). During the reporting year all equipment has been delivered to the site and necessary set up arranged for the commencement of the actual works. The complete works on Early Warning System, including sensors, sirens and trained human resources mobilized across the local taskforces and evacuation centres grant the project preparedness for the actual ground works in this highly sensitive area. Field works have considerably advanced in the Terai as well. Earthen embankment with additional stretch added during the reporting year has almost reached 7km of a well-protected flood risk zone. This combined with bio-engineering is expected to stabilize this earthen structure and reduce flood risks in the area. Improved drainage system is an important measure to for flood water diversion and avoidance of recurrently persistent waterborne diseases during the post flooding periods.  
Now at the final stretch of the project implementation a rigorous monitoring and evaluation system must be put in place to follow through the Imja lake lowering process and all associated processes, including the necessary safeguards against potential environmental and social risks. The project team has already outlined a five key milestone plan in relation to GLOF risk reduction on the Imja lake. Importance of this effort cannot be understated. Lowering technology and methods of monitoring and early warning have been fully embedded into the national and local institutions such as DHM, Nepal Army, MHA,  VDCs etc and in essence must demonstrate locally feasible and affordable option for GLOF risk management in Nepal that can be effectively handled by the local institutions. Imja is only the first such demonstration for future institutionalized and further evolving methodology for GLOF risk management in the country. This approach has a high probability of securing sustainability of the project results.</w:t>
            </w:r>
          </w:p>
        </w:tc>
      </w:tr>
    </w:tbl>
    <w:p/>
    <w:p/>
    <w:p>
      <w:pPr>
        <w:jc w:val="left"/>
      </w:pPr>
      <w:r>
        <w:rPr>
          <w:rFonts w:ascii="Calibri" w:hAnsi="Calibri" w:cs="Calibri"/>
          <w:sz w:val="24"/>
          <w:szCs w:val="24"/>
          <w:b/>
        </w:rPr>
        <w:t xml:space="preserve">Project Progress in Project Implementation</w:t>
      </w:r>
    </w:p>
    <w:tbl>
      <w:tblPr>
        <w:tblStyle w:val="myOwnTableStyle"/>
      </w:tblPr>
      <w:tr>
        <w:tc>
          <w:tcPr>
            <w:tcW w:w="2000" w:type="dxa"/>
            <w:shd w:val="clear" w:color="auto" w:fill="#D9D9D9"/>
          </w:tcPr>
          <w:p>
            <w:r>
              <w:rPr>
                <w:rFonts w:ascii="Calibri" w:hAnsi="Calibri" w:cs="Calibri"/>
              </w:rPr>
              <w:t xml:space="preserve">Role</w:t>
            </w:r>
          </w:p>
        </w:tc>
        <w:tc>
          <w:tcPr>
            <w:tcW w:w="2000" w:type="dxa"/>
            <w:shd w:val="clear" w:color="auto" w:fill="#D9D9D9"/>
          </w:tcPr>
          <w:p>
            <w:r>
              <w:rPr>
                <w:rFonts w:ascii="Calibri" w:hAnsi="Calibri" w:cs="Calibri"/>
              </w:rPr>
              <w:t xml:space="preserve">2015 Rating</w:t>
            </w:r>
          </w:p>
        </w:tc>
        <w:tc>
          <w:tcPr>
            <w:tcW w:w="2000" w:type="dxa"/>
            <w:shd w:val="clear" w:color="auto" w:fill="#D9D9D9"/>
          </w:tcPr>
          <w:p>
            <w:r>
              <w:rPr>
                <w:rFonts w:ascii="Calibri" w:hAnsi="Calibri" w:cs="Calibri"/>
              </w:rPr>
              <w:t xml:space="preserve">2016 Rating</w:t>
            </w:r>
          </w:p>
        </w:tc>
        <w:tc>
          <w:tcPr>
            <w:tcW w:w="8000" w:type="dxa"/>
            <w:shd w:val="clear" w:color="auto" w:fill="#D9D9D9"/>
          </w:tcPr>
          <w:p>
            <w:r>
              <w:rPr>
                <w:rFonts w:ascii="Calibri" w:hAnsi="Calibri" w:cs="Calibri"/>
              </w:rPr>
              <w:t xml:space="preserve">2016 Comments</w:t>
            </w:r>
          </w:p>
        </w:tc>
      </w:tr>
      <w:tr>
        <w:tc>
          <w:tcPr>
            <w:tcW w:w="2000" w:type="dxa"/>
            <w:shd w:val="clear" w:color="auto" w:fill="#D9D9D9"/>
          </w:tcPr>
          <w:p>
            <w:r>
              <w:rPr>
                <w:rFonts w:ascii="Calibri" w:hAnsi="Calibri" w:cs="Calibri"/>
              </w:rPr>
              <w:t xml:space="preserve">Project Manager/Coordinator</w:t>
            </w:r>
          </w:p>
        </w:tc>
        <w:tc>
          <w:tcPr>
            <w:tcW w:w="2000" w:type="dxa"/>
          </w:tcPr>
          <w:p>
            <w:r>
              <w:rPr>
                <w:rFonts w:ascii="Calibri" w:hAnsi="Calibri" w:cs="Calibri"/>
              </w:rPr>
              <w:t xml:space="preserve">Satisfactory</w:t>
            </w:r>
          </w:p>
        </w:tc>
        <w:tc>
          <w:tcPr>
            <w:tcW w:w="2000" w:type="dxa"/>
          </w:tcPr>
          <w:p>
            <w:r>
              <w:rPr>
                <w:rFonts w:ascii="Calibri" w:hAnsi="Calibri" w:cs="Calibri"/>
              </w:rPr>
              <w:t xml:space="preserve">Satisfactory</w:t>
            </w:r>
          </w:p>
        </w:tc>
        <w:tc>
          <w:tcPr>
            <w:tcW w:w="8000" w:type="dxa"/>
          </w:tcPr>
          <w:p>
            <w:r>
              <w:rPr>
                <w:rFonts w:ascii="Calibri" w:hAnsi="Calibri" w:cs="Calibri"/>
              </w:rPr>
              <w:t xml:space="preserve">Outcome 1: Risks of human and material losses from Glacial Lake Outburst Flooding (GLOF) events from Imja Lake reduced
Output 1.1: The lake lowering works could not be materialized in 2015 as planned. Hence, the work has been rescheduled for 2016. Decision for exploring feasibility for involving NA in Lake lowering works as plan B, is one of the pragmatic decision made as part of adaptive management. Delayed by almost six months, the Imja Lake lowering works has now commenced after signing of LOA with Nepal Army. 
Construction work in Imja has begun from May 2016 and the progress on milestone 1 has been achieved. Work under milestone 2 and 3 have also begun and is expected to be completed as per the timelines. However, working conditions are difficult due to remoteness and terrain, and health related issues such as altitude sickness are not yet encountered by work force during the construction period. 
Output 1.2:  Due to delay in Imja Lake lowering works, development of Protocols for GLOF Risk Monitoring and Maintenance of Artificial Drainage System of Imja has also been delayed. Project will develop the protocols after the completion of lake lowering work in October, 2016. 
Output 1.3: Installation of Automated GLOF EWS is currently being fixed and will be completed by July 2016. After installation of hydro-meteorological station and GLOF detecting sensors, local communities would be able to receive GLOF warnings which would enable them for GLOF risk preparedness. 
Output 1.4: 
For institutionalizing the GLOF risk management skills and knowledge at local level, project has produced hand books on First Aid; Light Search and Rescue and Early Warning System. Hand books have been distributed among the Taskforce members and Local Resource Persons. In addition, production of TOT manual on GLOF Risk Management as a knowledge product is under way. At national level, officials from Department of Hydrology and Meteorology will be trained on operation of automated GLOF EWS for receiving and handling real time data on hydrological and meteorological status of Imja Lake.  
Outcome 2: Human and material losses from recurrent flooding events in 4 flood-prone districts of the Terai and Churia Range reduced. 
Output 2.1: Despite prolonged political disturbance in Terai, the project has been able to complete the construction of 2.5 km long embankment with gabion revetment works in Gagan, Ratu, and Hadiya and Kong river against the planned 5 km. Apart from this, the project has piloted sediment trap measure in Kurung Khola, a small tributary of Ratu River basin in upstream which will be replicated in other 5 major tributaries of Ratu. The sediment trap primarily comprises of check dams constructed using gabion walls, dry stone walls and significant plantations of local species. Fourteen volunteers gauge readers are collecting runoff samples from targeted rivers which are being measured and analyzed in the lab established at Field Coordination Office (FCO) Lahan to quantify erosion and deposition rate of the targeted river systems.   
Output 2.2: As per the plan, 1.6 km Flood Proofing Drainage System (FPDS) in Nainhi VDC, Mahottari district has been constructed. 
Output 2.3: The project aims at internalizing the knowledge products developed by the products such as the Sediment Monitoring Protocols (SMP) by collaborating partners in their day to day work planning. SMP is being used by the project as a main resource material during the national level training. Collaborating partners such as DWIDP and DSCWM including PCMTCDB have shown keen interest on the SMP. 
Volunteer gauge readers have been trained to collect, manage and disseminate flood related data and information by conducting a refresher training held during June 2016. The project expects that the data are timely shared to the downstream gauge readers and communities to reduce the loss of lives and properties. Similarly, the project expects that the training delivered to local taskforces of EWS, FA and LSAR would help plan and deliver better in providing services to communities during emergencies. 
Output 2.4: 19 events of mock drills and 10 street drama demonstrations have been carried out in project VDCs to sensitize and aware vulnerable communities in responding to flood risk management. In addition, airing of flood related jingles in local (i.e. Maithali) and Nepali dialects through six FM radios within the project area has helped significantly to enhance local peopleâs knowledge on FRM.  
Progress on outputs under both outcomes has been made as targeted in Annual and Quarter Work Plans. Decisions to re-schedule major activities like Imja Lake lowering (component I); construction of embankment; refresher trainings on FRM, installation of hoarding boards and exchange visits (component II) for 2016 were the major adjustments made as adaptation plan. The decisions have been endorsed by Project Executive Board (PEB) meetings. 
Annual budget for the period of July 2015 to June 2016 allocated USD 2,149,714 was approved by the board on a quarterly basis which were held in different dates. Overall progress of the financial delivery in this reporting period was USD 1,780,028 which is 83% against annual budget for the period of July 2015 to June 2016. Expenditures in relation to the annual budgets was reasonable in terms financial delivery.
In the same way, financial resources allocated for the project monitoring and evaluation was USD 18,089 which is 0.84% of the annual budget and reported expenditures on monitoring and evaluation was USD 9,246, which is 52% against the allocated monitoring and evaluation budget. The financial resources allocated to project monitoring and evaluation was appropriate in terms of association of further component activities. Regular monitoring of the activities in project areas have been conducted from project management unit. Mid Term Review of the project has been conducted during this reporting period.
Project implementation has been managed well with a proactive approach to capture and address contemporary issues and concerns. Risks and issue logs are updated on a quarterly basis. The project board has been providing strategic guidance in realizing the project objectives. The strategic direction and guidance provided by the project board has been instrumental for smooth operation of the project.
The Mid Term Review (MTR) was planned to be undertaken conduct during September 2015, however it was rescheduled for April 2016 in consultation with GoN, UNDP and GEF as there was no significant work progress to showcase under component I, including the prolonged political disturbance in Terai since September 2015 until February 2016. 
The MTR report was submitted on 07 May, 2016.  The MTR concluded that Project is on track and has been rated as âSatisfactoryâ. The findings revealed that the project has achieved significant results despite of constraints faced and prescribes to focus more on sustainability aspects of the interventions. The MTR made nine recommendations, all concerned about the sustainability aspects of the project. CFGORRP/DHM found all recommendations to be relevant and has designed key actions for each recommendation, to address the issue. Implementation of some key actions has already begun. The International Consultant (IC) undertook his first visit to the Imja Lake during June and the next visit has been planned on fourth week of September, 2016. Preparation of Imja Lake lowering booklet/handbook, as a knowledge product has been initiated. Likewise, a high level meeting with SNP stakeholders was held in SNP, Namche on May 22, 2016 and consultations are being made for implementation of activities in Khumbu region. Furthermore, first round of consultation has been held with collaborating partners including PCTMCDB for integrating projectâs lessons/learning into their daily business.
Likewise, CFGORRP/DHM will finalize the âExit Strategyâ by end of Fourth Quarter, 2016 aligning the key actions under management responses of MTR recommendations. This Exit Strategy will take into account the future course of actions of the management responses prepared.</w:t>
            </w:r>
          </w:p>
        </w:tc>
      </w:tr>
      <w:tr>
        <w:tc>
          <w:tcPr>
            <w:tcW w:w="2000" w:type="dxa"/>
            <w:shd w:val="clear" w:color="auto" w:fill="#D9D9D9"/>
          </w:tcPr>
          <w:p>
            <w:r>
              <w:rPr>
                <w:rFonts w:ascii="Calibri" w:hAnsi="Calibri" w:cs="Calibri"/>
              </w:rPr>
              <w:t xml:space="preserve">UNDP Country Office Programme Officer</w:t>
            </w:r>
          </w:p>
        </w:tc>
        <w:tc>
          <w:tcPr>
            <w:tcW w:w="2000" w:type="dxa"/>
          </w:tcPr>
          <w:p>
            <w:r>
              <w:rPr>
                <w:rFonts w:ascii="Calibri" w:hAnsi="Calibri" w:cs="Calibri"/>
              </w:rPr>
              <w:t xml:space="preserve">Satisfactory</w:t>
            </w:r>
          </w:p>
        </w:tc>
        <w:tc>
          <w:tcPr>
            <w:tcW w:w="2000" w:type="dxa"/>
          </w:tcPr>
          <w:p>
            <w:r>
              <w:rPr>
                <w:rFonts w:ascii="Calibri" w:hAnsi="Calibri" w:cs="Calibri"/>
              </w:rPr>
              <w:t xml:space="preserve">Satisfactory</w:t>
            </w:r>
          </w:p>
        </w:tc>
        <w:tc>
          <w:tcPr>
            <w:tcW w:w="8000" w:type="dxa"/>
            <w:vAlign w:val="center"/>
          </w:tcPr>
          <w:p>
            <w:r>
              <w:rPr>
                <w:rFonts w:ascii="Calibri" w:hAnsi="Calibri" w:cs="Calibri"/>
              </w:rPr>
              <w:t xml:space="preserve">The project during the reporting period has achieved satisfactory delivery of outputs. In 2015, 81% was delivered against the annual work plan (Jan to Dec 2015). Focusing on the reporting period of July 2015 to June 2016, the project has made 83% financial delivery against the annual budget of USD 1,780,028. Despite earthquake backlog and political instability which obstructed work in Component 2 for almost 5 months, the project was able to speed up its work and adapt to the changing situation and achieve its planned target during the reporting year. 
During this reporting year, under both the components major structural and non-structural works have been completed or initiated, providing good indication that the project will be completed on time. 
The key highlight under outcome 1 for this year has been the construction of Imja Glacial lake lowering works. Engaging Nepal Army (NA) in Lake lowering works as plan B, has been the most pragmatic decision made as part of adaptive management. Not only that the work is expected to be completed on time but this gives an opportunity for NA to understand the dynamics of Glacial Lake Management and Risk Reduction strategies; and to mitigate such risks in future by making this approach sustainable. Nepal has over 21 Glacial Lakes currently under risk and the lessons from Imja Lake will strengthen the capacity of the NA on Glacial Risk Reduction. Despite the delay by six months, the Lake lowering works has now commenced and is due to complete by October 2016; and protocols for GLOF Risk Monitoring and Maintenance of Artificial Drainage System will also be developed after the completion of lake lowering work. To support GLOF risk reduction and to inform local communities on GLOF warnings/risk, installation of Automated GLOF EWS is currently being fixed and will be completed by July end. Along with, at the local level, the GLOF risk management skills and knowledge on First Aid, Light Search and Rescue and Early Warning System has been conducted. 
Implementing interventions under Outcome 2 was most challenging this reporting year. At one point, there was absolutely no certainty due to the prolonged political disturbance in Terai where the office was closed indefinitely. However, due to the strong and dedicated team the activities under this outcome took a big leap once the situation normalized. As part of structural risk reduction measures, construction of 2.5 km long embankment with gabion revetment works in Gagan, Ratu, and Hadiya and Kong river; and 1.6 km Flood Proofing Drainage System (FPDS) in Nainhi VDC, Mahottari district has been constructed. As part of the non-structural risk reduction measures, to quantify erosion and deposition rate of the targeted river systems, the project has piloted sediment trap measure in Kurung Khola, a small tributary of Ratu River basin; and 14 volunteers gauge readers have been trained to collect runoff samples from targeted rivers, measure and analyze in the lab established at Field Coordination Office (FCO). Additional volunteer gauge readers have been trained by the project to collect, manage and disseminate flood related data/information to downstream communities to reduce loss of lives and properties. Likewise, the project has conducted various type of trainings at the local level on first aid, light search and rescue, mock drills, street drama demonstrations to sensitize the local vulnerable communities to respond to flood risk. The impacts of flood risk reduction interventions has started becoming visible. For example in Sarpollo VDC, the communities have shared that during the monsoon, they felt safe and didnât have to run out of their houses at night due to flooding. The EWS which provides lead time of 2.5 hours as well as the embankment measures along the river controlled flood water to enter into the villages. It has proven that small floods is now controlled due to the measures constructed along the river banks.
Cumulatively, the project is on track but definitely there are number of activities that needs to be completed with the same speed to achieve its milestones as planned (given the natural and political context doesnât deteriorate). The support from DHM as the implementing partner has been commendable. DHMâs leadership to steer the project key stakeholders and PEB members has been remarkable for adaptive management. This is a complex technical project and in particular for Component 1, working conditions is most harsh. Undertaking the assessments, studies and hazard mapping within the altitude of 3000 to 5000+m has been challenging at every step but with the dedicated team and strong governance system is place, the project has progressed as planned. 
Regular monitoring of the activities in project areas have been conducted from project management unit. Mid Term Review of the project has been conducted during this reporting period. The financial resources allocated for the project during this reporting year for monitoring and evaluation was USD 18,089 of which expenditure reported was USD 9,246, which is 52% against the allocated budget. 
There has been some hiccups of coordination at the community level due to remoteness and distance under component 1, for which the project has plans to assign a staff (short term) in the region to support its community based activities. Likewise, the need to enhance coordination between key stakeholders of the project in both components has been raised in various PEB meetings; and the project team with full support from DHM has responded to improve coordination at levels â which needs to be continued to institutionalize the mechanism adopted by the project. 
Possible risk that could affect the project is the political situation in Terai, which is not completely settled. Hence, there is an urgent need to complete both structural and non-structural activities in Terai region while the situation is favorable.
In 2016, MTR was conducted during the months of April and May. The MTR concluded that Project is on track and has been rated as âSatisfactoryâ. The findings revealed that the project has achieved significant results despite of constraints faced and prescribes to focus more on sustainability aspects of the interventions. The MTR made nine recommendations, all concerned about the sustainability aspects of the project. The project accepts all the recommendations and a management response with actions has been prepared and shared with the PEB members and UNDP BRH/HQ. The actions are time bound and will be monitored and reviewed during the upcoming PEB meetings.</w:t>
            </w:r>
          </w:p>
        </w:tc>
      </w:tr>
      <w:tr>
        <w:tc>
          <w:tcPr>
            <w:tcW w:w="2000" w:type="dxa"/>
            <w:shd w:val="clear" w:color="auto" w:fill="#D9D9D9"/>
          </w:tcPr>
          <w:p>
            <w:r>
              <w:rPr>
                <w:rFonts w:ascii="Calibri" w:hAnsi="Calibri" w:cs="Calibri"/>
              </w:rPr>
              <w:t xml:space="preserve">Project Implementing Partner</w:t>
            </w:r>
          </w:p>
        </w:tc>
        <w:tc>
          <w:tcPr>
            <w:tcW w:w="2000" w:type="dxa"/>
          </w:tcPr>
          <w:p>
            <w:r>
              <w:rPr>
                <w:rFonts w:ascii="Calibri" w:hAnsi="Calibri" w:cs="Calibri"/>
              </w:rPr>
              <w:t xml:space="preserve"/>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GEF Operational Focal point</w:t>
            </w:r>
          </w:p>
        </w:tc>
        <w:tc>
          <w:tcPr>
            <w:tcW w:w="2000" w:type="dxa"/>
          </w:tcPr>
          <w:p>
            <w:r>
              <w:rPr>
                <w:rFonts w:ascii="Calibri" w:hAnsi="Calibri" w:cs="Calibri"/>
              </w:rPr>
              <w:t xml:space="preserve"/>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Other Partners</w:t>
            </w:r>
          </w:p>
        </w:tc>
        <w:tc>
          <w:tcPr>
            <w:tcW w:w="2000" w:type="dxa"/>
          </w:tcPr>
          <w:p>
            <w:r>
              <w:rPr>
                <w:rFonts w:ascii="Calibri" w:hAnsi="Calibri" w:cs="Calibri"/>
              </w:rPr>
              <w:t xml:space="preserve">Satisfactory</w:t>
            </w:r>
          </w:p>
        </w:tc>
        <w:tc>
          <w:tcPr>
            <w:tcW w:w="2000" w:type="dxa"/>
          </w:tcPr>
          <w:p>
            <w:r>
              <w:rPr>
                <w:rFonts w:ascii="Calibri" w:hAnsi="Calibri" w:cs="Calibri"/>
              </w:rPr>
              <w:t xml:space="preserve"/>
            </w:r>
          </w:p>
        </w:tc>
        <w:tc>
          <w:tcPr>
            <w:tcW w:w="8000" w:type="dxa"/>
            <w:vAlign w:val="center"/>
          </w:tcPr>
          <w:p>
            <w:r>
              <w:rPr>
                <w:rFonts w:ascii="Calibri" w:hAnsi="Calibri" w:cs="Calibri"/>
              </w:rPr>
              <w:t xml:space="preserve"/>
            </w:r>
          </w:p>
        </w:tc>
      </w:tr>
      <w:tr>
        <w:tc>
          <w:tcPr>
            <w:tcW w:w="2000" w:type="dxa"/>
            <w:shd w:val="clear" w:color="auto" w:fill="#D9D9D9"/>
          </w:tcPr>
          <w:p>
            <w:r>
              <w:rPr>
                <w:rFonts w:ascii="Calibri" w:hAnsi="Calibri" w:cs="Calibri"/>
              </w:rPr>
              <w:t xml:space="preserve">UNDP Technical Advisor</w:t>
            </w:r>
          </w:p>
        </w:tc>
        <w:tc>
          <w:tcPr>
            <w:tcW w:w="2000" w:type="dxa"/>
          </w:tcPr>
          <w:p>
            <w:r>
              <w:rPr>
                <w:rFonts w:ascii="Calibri" w:hAnsi="Calibri" w:cs="Calibri"/>
              </w:rPr>
              <w:t xml:space="preserve">Satisfactory</w:t>
            </w:r>
          </w:p>
        </w:tc>
        <w:tc>
          <w:tcPr>
            <w:tcW w:w="2000" w:type="dxa"/>
          </w:tcPr>
          <w:p>
            <w:r>
              <w:rPr>
                <w:rFonts w:ascii="Calibri" w:hAnsi="Calibri" w:cs="Calibri"/>
              </w:rPr>
              <w:t xml:space="preserve">Satisfactory</w:t>
            </w:r>
          </w:p>
        </w:tc>
        <w:tc>
          <w:tcPr>
            <w:tcW w:w="8000" w:type="dxa"/>
            <w:vAlign w:val="center"/>
          </w:tcPr>
          <w:p>
            <w:r>
              <w:rPr>
                <w:rFonts w:ascii="Calibri" w:hAnsi="Calibri" w:cs="Calibri"/>
              </w:rPr>
              <w:t xml:space="preserve">The project implementation has been particularly challenging during the reporting year. First of all, Imja Lake reduction works were planned to be outsourced to the best bidder. However, the few rounds demonstrated that such capacities are lacking in the country. With leadership of DHM and UNDP CO proactive support, the public works have been delegated to the Nepal Army as part of their mandate to undertake the response operations under the extreme conditions and during the emergencies. Under the institutional leadership and guidance from the DHM and with support of the project all necessary assessments, ground-truthing and engineering methodology have been completed for the commencement of lake lowering works. The construction of drainage facility and its maintenance will now be conducted by the NA. Their works will be governed by the Letter of Agreement between the Army and DHM. 
Complex terrain and harsh weather conditions within which the team is implementing the field works poses additional challenges. Field studies and hazard mapping at over 3000-5000m high was extremely demanding, but the team has now fully completed all necessary baseline assessments necessary for GLOF component. Seasonality of works on the ground also places additional limitations, but encourages advanced planning. 
During the implementation two main risks have materialized and challenged the implementation progress. First, Earthquake had a considerable impact on the project implementation. All the attention and efforts of the government institutions, including UNDP were mobilized towards response and rehabilitation. The team however has mobilized itself and undertook necessary field assessment to examine the magnitude of disruptions in the project target regions as to consider the post-earthquake conditions and necessary precautionary measures for the ground works. 
Another important factor that played the role in project implementation progress was the escalation of political tensions in the Terai regions and an imposed blockade. A five month political turmoil slowed down the implementation. However, once the situation receded the team leaped forward with much progress and results. Fully cognizant of such risks in future the team now actively invests in the Terai region to advance on its flood risk management efforts and take advantage of currently stable conditions. These adaptive actions clearly manifest the teamâs ability to adapt to external risks either political or environmental. Delivery rate of over 80 percent this year is a clear indicator of that. 
It is now critical to follow through the M&amp;E plans and MTR recommendations and mobilize all efforts towards the successful completion of the automated early warning systems, GLOF and fluvial risk reduction methods and associated capacities at national and local levels. As part of the M&amp;E plan a regular impact monitoring missions must continue to take place and detailed records made for continuation of similar initiatives by the relevant government or non-government stakeholders.</w:t>
            </w:r>
          </w:p>
        </w:tc>
      </w:tr>
    </w:tbl>
    <w:p/>
    <w:p>
      <w:r>
        <w:t xml:space="preserve">General Comments</w:t>
      </w:r>
    </w:p>
    <w:p>
      <w:pPr>
        <w:pStyle w:val="npara"/>
      </w:pPr>
      <w:r>
        <w:rPr>
          <w:rStyle w:val="undpStyle"/>
        </w:rPr>
        <w:t xml:space="preserve">Project has implemented all activities as per the annual and quarterly work plan within the stipulated timeframe. </w:t>
      </w:r>
    </w:p>
    <w:p>
      <w:pPr>
        <w:pStyle w:val="npara"/>
      </w:pPr>
      <w:r>
        <w:rPr>
          <w:rStyle w:val="undpStyle"/>
        </w:rPr>
        <w:t xml:space="preserve">
Yet, there was a delay in contracting the Imja Lake lowering construction work by about six months due to unresponsive international bidding process. Immediately as an adaptive plan, the project rescheduled the Imja Lake lowering works to 2016 and started exploring the feasibility of engaging NA in lake lowering works. The role of the PEB has been strategic and timely. The decision to go for Plan B to involve Nepal Army in Imja lake lowering works is indeed a good adaptive management approach. Engaging NA in lake lowering works has the following advantage. </w:t>
      </w:r>
    </w:p>
    <w:p>
      <w:pPr>
        <w:pStyle w:val="npara"/>
      </w:pPr>
      <w:r>
        <w:rPr>
          <w:rStyle w:val="undpStyle"/>
        </w:rPr>
        <w:t xml:space="preserve">
1.	It will help to build the technical &amp; institutional capacity of the Nepal Army in dealing with other potentially dangerous glacier lakes in Nepal. </w:t>
      </w:r>
    </w:p>
    <w:p>
      <w:pPr>
        <w:pStyle w:val="npara"/>
      </w:pPr>
      <w:r>
        <w:rPr>
          <w:rStyle w:val="undpStyle"/>
        </w:rPr>
        <w:t xml:space="preserve">
2.	NA has potential for engagement in Imja Lake lowering work as it has a separate engineering department, has experiences of working in the high mountain region, is well equipped, guard the national parks, and has separate directorate for Disaster Management.-  </w:t>
      </w:r>
    </w:p>
    <w:p>
      <w:pPr>
        <w:pStyle w:val="npara"/>
      </w:pPr>
      <w:r>
        <w:rPr>
          <w:rStyle w:val="undpStyle"/>
        </w:rPr>
        <w:t xml:space="preserve">
For component II, prolonged political disturbance in Terai region from September 2015 to February 2016 (almost for six months), created difficulties for programme implementation for almost 2 working quarters. Hence, the activities planned for last two quarters of 2015 were re-scheduled for 2016. Despite the loss of two working quarters, the project has been able to implement all backlogged activities of 2015 within this reporting period. Backup plan developed by project management unit has helped to attain the targets despite the difficulties. Activities were implemented in accordance with the approved quarterly and annual work plans. Looking at the achievements made under both components in this reporting period, the aggregated progress has been ranked as satisfactory.</w:t>
      </w:r>
    </w:p>
    <w:p>
      <w:pPr>
        <w:pStyle w:val="Heading1"/>
      </w:pPr>
      <w:r>
        <w:fldChar w:fldCharType="end"/>
      </w:r>
      <w:bookmarkStart w:id="6" w:name="_Toc252634161"/>
      <w:r>
        <w:t>G.   Project Planning</w:t>
      </w:r>
      <w:bookmarkEnd w:id="6"/>
    </w:p>
    <w:tbl>
      <w:tblPr>
        <w:tblStyle w:val="myOwnTableStyle"/>
      </w:tblPr>
      <w:tr>
        <w:tc>
          <w:tcPr>
            <w:tcW w:w="3000" w:type="dxa"/>
            <w:shd w:val="clear" w:color="auto" w:fill="#D9D9D9"/>
          </w:tcPr>
          <w:p>
            <w:r>
              <w:rPr>
                <w:rFonts w:ascii="Calibri" w:hAnsi="Calibri" w:cs="Calibri"/>
                <w:b/>
              </w:rPr>
              <w:t xml:space="preserve">Key project milestone</w:t>
            </w:r>
          </w:p>
        </w:tc>
        <w:tc>
          <w:tcPr>
            <w:tcW w:w="4000" w:type="dxa"/>
            <w:shd w:val="clear" w:color="auto" w:fill="#D9D9D9"/>
          </w:tcPr>
          <w:p>
            <w:r>
              <w:rPr>
                <w:rFonts w:ascii="Calibri" w:hAnsi="Calibri" w:cs="Calibri"/>
                <w:b/>
              </w:rPr>
              <w:t xml:space="preserve">Status</w:t>
            </w:r>
          </w:p>
        </w:tc>
        <w:tc>
          <w:tcPr>
            <w:tcW w:w="5000" w:type="dxa"/>
            <w:shd w:val="clear" w:color="auto" w:fill="#D9D9D9"/>
          </w:tcPr>
          <w:p>
            <w:r>
              <w:rPr>
                <w:rFonts w:ascii="Calibri" w:hAnsi="Calibri" w:cs="Calibri"/>
                <w:b/>
              </w:rPr>
              <w:t xml:space="preserve">Original Planned Date (Month/Year)</w:t>
            </w:r>
          </w:p>
        </w:tc>
        <w:tc>
          <w:tcPr>
            <w:tcW w:w="5000" w:type="dxa"/>
            <w:shd w:val="clear" w:color="auto" w:fill="#D9D9D9"/>
          </w:tcPr>
          <w:p>
            <w:r>
              <w:rPr>
                <w:rFonts w:ascii="Calibri" w:hAnsi="Calibri" w:cs="Calibri"/>
                <w:b/>
              </w:rPr>
              <w:t xml:space="preserve">Actual or Expected Date (Month/Year)</w:t>
            </w:r>
          </w:p>
        </w:tc>
        <w:tc>
          <w:tcPr>
            <w:tcW w:w="5000" w:type="dxa"/>
            <w:shd w:val="clear" w:color="auto" w:fill="#D9D9D9"/>
          </w:tcPr>
          <w:p>
            <w:r>
              <w:rPr>
                <w:rFonts w:ascii="Calibri" w:hAnsi="Calibri" w:cs="Calibri"/>
                <w:b/>
              </w:rPr>
              <w:t xml:space="preserve">Comments</w:t>
            </w:r>
          </w:p>
        </w:tc>
      </w:tr>
      <w:tr>
        <w:tc>
          <w:tcPr>
            <w:tcW w:w="3000" w:type="dxa"/>
          </w:tcPr>
          <w:p>
            <w:r>
              <w:rPr>
                <w:rFonts w:ascii="Calibri" w:hAnsi="Calibri" w:cs="Calibri"/>
                <w:b/>
              </w:rPr>
              <w:t xml:space="preserve">Inception Workshop</w:t>
            </w:r>
          </w:p>
        </w:tc>
        <w:tc>
          <w:tcPr>
            <w:tcW w:w="4000" w:type="dxa"/>
          </w:tcPr>
          <w:p>
            <w:r>
              <w:rPr>
                <w:rFonts w:ascii="Calibri" w:hAnsi="Calibri" w:cs="Calibri"/>
                <w:b/>
              </w:rPr>
              <w:t xml:space="preserve">on schedule</w:t>
            </w:r>
          </w:p>
        </w:tc>
        <w:tc>
          <w:tcPr>
            <w:tcW w:w="5000" w:type="dxa"/>
          </w:tcPr>
          <w:p>
            <w:r>
              <w:rPr>
                <w:rFonts w:ascii="Calibri" w:hAnsi="Calibri" w:cs="Calibri"/>
                <w:b/>
              </w:rPr>
              <w:t xml:space="preserve">October - 2013</w:t>
            </w:r>
          </w:p>
        </w:tc>
        <w:tc>
          <w:tcPr>
            <w:tcW w:w="5000" w:type="dxa"/>
          </w:tcPr>
          <w:p>
            <w:r>
              <w:rPr>
                <w:rFonts w:ascii="Calibri" w:hAnsi="Calibri" w:cs="Calibri"/>
                <w:b/>
              </w:rPr>
              <w:t xml:space="preserve">October - 2013</w:t>
            </w:r>
          </w:p>
        </w:tc>
        <w:tc>
          <w:tcPr>
            <w:tcW w:w="5000" w:type="dxa"/>
          </w:tcPr>
          <w:p>
            <w:r>
              <w:rPr>
                <w:rFonts w:ascii="Calibri" w:hAnsi="Calibri" w:cs="Calibri"/>
                <w:b/>
              </w:rPr>
              <w:t xml:space="preserve"/>
            </w:r>
          </w:p>
        </w:tc>
      </w:tr>
      <w:tr>
        <w:tc>
          <w:tcPr>
            <w:tcW w:w="3000" w:type="dxa"/>
          </w:tcPr>
          <w:p>
            <w:r>
              <w:t xml:space="preserve">Mid-term Review</w:t>
            </w:r>
          </w:p>
        </w:tc>
        <w:tc>
          <w:tcPr>
            <w:tcW w:w="4000" w:type="dxa"/>
          </w:tcPr>
          <w:p>
            <w:r>
              <w:t xml:space="preserve">delayed/completed</w:t>
            </w:r>
          </w:p>
        </w:tc>
        <w:tc>
          <w:tcPr>
            <w:tcW w:w="5000" w:type="dxa"/>
          </w:tcPr>
          <w:p>
            <w:r>
              <w:t xml:space="preserve">9 - 2015</w:t>
            </w:r>
          </w:p>
        </w:tc>
        <w:tc>
          <w:tcPr>
            <w:tcW w:w="5000" w:type="dxa"/>
          </w:tcPr>
          <w:p>
            <w:r>
              <w:t xml:space="preserve">5 - 2016</w:t>
            </w:r>
          </w:p>
        </w:tc>
        <w:tc>
          <w:tcPr>
            <w:tcW w:w="5000" w:type="dxa"/>
          </w:tcPr>
          <w:p>
            <w:r>
              <w:t xml:space="preserve">Since there was no significant work progress to showcase under component I, including the prolonged political disturbance in Terai from September 2015 until February 2016, MTR was re-scheduled for April 2016 in consultation with GON, UNDP and GEF, and the MTR report was received in May 2016.</w:t>
            </w:r>
          </w:p>
        </w:tc>
      </w:tr>
      <w:tr>
        <w:tc>
          <w:tcPr>
            <w:tcW w:w="3000" w:type="dxa"/>
          </w:tcPr>
          <w:p>
            <w:r>
              <w:t xml:space="preserve">Terminal Evaluation</w:t>
            </w:r>
          </w:p>
        </w:tc>
        <w:tc>
          <w:tcPr>
            <w:tcW w:w="4000" w:type="dxa"/>
          </w:tcPr>
          <w:p>
            <w:r>
              <w:t xml:space="preserve">on schedule</w:t>
            </w:r>
          </w:p>
        </w:tc>
        <w:tc>
          <w:tcPr>
            <w:tcW w:w="5000" w:type="dxa"/>
          </w:tcPr>
          <w:p>
            <w:r>
              <w:t xml:space="preserve">June - 2017</w:t>
            </w:r>
          </w:p>
        </w:tc>
        <w:tc>
          <w:tcPr>
            <w:tcW w:w="5000" w:type="dxa"/>
          </w:tcPr>
          <w:p>
            <w:r>
              <w:t xml:space="preserve">June - 2017</w:t>
            </w:r>
          </w:p>
        </w:tc>
        <w:tc>
          <w:tcPr>
            <w:tcW w:w="5000" w:type="dxa"/>
          </w:tcPr>
          <w:p>
            <w:r>
              <w:t xml:space="preserve"/>
            </w:r>
          </w:p>
        </w:tc>
      </w:tr>
      <w:tr>
        <w:tc>
          <w:tcPr>
            <w:tcW w:w="3000" w:type="dxa"/>
          </w:tcPr>
          <w:p>
            <w:r>
              <w:t xml:space="preserve">Project Closure</w:t>
            </w:r>
          </w:p>
        </w:tc>
        <w:tc>
          <w:tcPr>
            <w:tcW w:w="4000" w:type="dxa"/>
          </w:tcPr>
          <w:p>
            <w:r>
              <w:t xml:space="preserve">on schedule</w:t>
            </w:r>
          </w:p>
        </w:tc>
        <w:tc>
          <w:tcPr>
            <w:tcW w:w="5000" w:type="dxa"/>
          </w:tcPr>
          <w:p>
            <w:r>
              <w:t xml:space="preserve">October - 2017</w:t>
            </w:r>
          </w:p>
        </w:tc>
        <w:tc>
          <w:tcPr>
            <w:tcW w:w="5000" w:type="dxa"/>
          </w:tcPr>
          <w:p>
            <w:r>
              <w:t xml:space="preserve">October - 2017</w:t>
            </w:r>
          </w:p>
        </w:tc>
        <w:tc>
          <w:tcPr>
            <w:tcW w:w="5000" w:type="dxa"/>
          </w:tcPr>
          <w:p>
            <w:r>
              <w:t xml:space="preserve"/>
            </w:r>
          </w:p>
        </w:tc>
      </w:tr>
    </w:tbl>
    <w:p/>
    <w:p>
      <w:pPr>
        <w:pStyle w:val="Heading1"/>
      </w:pPr>
      <w:r>
        <w:fldChar w:fldCharType="end"/>
      </w:r>
      <w:bookmarkStart w:id="7" w:name="_Toc252634162"/>
      <w:r>
        <w:t>H.    Critical Risk Management</w:t>
      </w:r>
      <w:bookmarkEnd w:id="7"/>
    </w:p>
    <w:tbl>
      <w:tblPr>
        <w:tblStyle w:val="myOwnTableStyle"/>
      </w:tblPr>
      <w:tr>
        <w:tc>
          <w:tcPr>
            <w:tcW w:w="5000" w:type="dxa"/>
            <w:vAlign w:val="center"/>
          </w:tcPr>
          <w:p>
            <w:r>
              <w:rPr>
                <w:rFonts w:ascii="Calibri" w:hAnsi="Calibri" w:cs="Calibri"/>
              </w:rPr>
              <w:t xml:space="preserve">Critical Risks Type(s)</w:t>
            </w:r>
          </w:p>
        </w:tc>
        <w:tc>
          <w:tcPr>
            <w:tcW w:w="7000" w:type="dxa"/>
            <w:vAlign w:val="center"/>
          </w:tcPr>
          <w:p>
            <w:r>
              <w:rPr>
                <w:rFonts w:ascii="Calibri" w:hAnsi="Calibri" w:cs="Calibri"/>
              </w:rPr>
              <w:t xml:space="preserve">Critical Risk Management Measures Undertaken in 2016</w:t>
            </w:r>
          </w:p>
        </w:tc>
      </w:tr>
      <w:tr>
        <w:tc>
          <w:tcPr>
            <w:tcW w:w="5000" w:type="dxa"/>
          </w:tcPr>
          <w:p>
            <w:r>
              <w:t xml:space="preserve">Strategic</w:t>
            </w:r>
          </w:p>
        </w:tc>
        <w:tc>
          <w:tcPr>
            <w:tcW w:w="7000" w:type="dxa"/>
          </w:tcPr>
          <w:p>
            <w:r>
              <w:t xml:space="preserve">Invitation to bid for Imja Lake lowering construction that was published in June 2015 was terminated due to non-responsive bidders. Due to insufficient time for re-bidding process, project rescheduled the construction work for 2016. Upon approval from Project Executive Board (PEB), project started exploring the feasibility of involving the Nepal Army (NA) in lake lowering construction works as âPlan Bâ. 
A concept note was prepared to approach and discuss with NA. After few rounds of discussions, NA expressed interest to undertake the task. On this basis, DHM as the implementing agency processed the approval process through MOPE then to MOD to seek official engagement. On 16th February, a cabinet decision of the GON paved the way for NA to engage in Imja Lake lowering works and to enter into a LOA with DHM. 
A Letter of Agreement (LoA) was signed by DHM with the Engineer Department of Nepal Army (ED-NA) on 25th March 2016 to materialize the Cabinet decision made by the Government of Nepal.  Based on the LoA, which encapsulates five key milestones, Imja Lake lowering has been initiated. Imja Lake lowering works through construction of an artificial drainage channel to lower the lake level by at least 3 meter will be completed by October, 2016.
The budget for Imja Lake Lowering activity as per the design study was estimated as USD 2.4 million. After the unsuccessful international bidding process (which was inside the estimated budget parameter) in 2015, the lake lowering activity was rescheduled for 2016. However, situation changed during the six months long political disturbance in Terai region which started from September 2015 - February 2016. The border blockade for almost 5 months hampered daily lives of people in the country which triggered shortage of petroleum products, daily basic supplies like food, water and medicine to name a few. Businesses closed down or went into loss, price of all commodities hiked up due to increase in fuel price and the country is still facing its consequences.
Consequently, the project also got affected with the price hike, lake lowering works which has been contracted to Nepal Army to complete construction works is now estimated at USD 3 million (this price went through round of negotiations and consultations before being confirmed). The increase in budget has been due to inflation of construction materials after six months long political disturbance. Hence, project has a challenge to meet the budget deficit during upcoming period. Department of Hydrology &amp;amp; Meteorology and UNDP Country Office are exploring together to address the budget deficit.</w:t>
            </w:r>
          </w:p>
        </w:tc>
      </w:tr>
      <w:tr>
        <w:tc>
          <w:tcPr>
            <w:tcW w:w="5000" w:type="dxa"/>
          </w:tcPr>
          <w:p>
            <w:r>
              <w:t xml:space="preserve">Operational</w:t>
            </w:r>
          </w:p>
        </w:tc>
        <w:tc>
          <w:tcPr>
            <w:tcW w:w="7000" w:type="dxa"/>
          </w:tcPr>
          <w:p>
            <w:r>
              <w:t xml:space="preserve">Prolonged political disturbance between September 2015 and February 2016 in the Terai region had halted the implementation of activities under component II for almost six months. Hence, planned activities for the third and fourth quarters of 2015 have been rescheduled and readjusted for 2016, and accordingly approved by PEB meeting.  
Since the situation was a national political issue, project could only wait and wish for the situation to improve. However, project completed all the preparatory works beforehand so the activities could be implemented as soon as situation got normal. 
Due to necessary preparations beforehand, project could easily accomplish all planned activities for first and second quarters of 2016, though the situation was improved only after second week of February 2016.</w:t>
            </w:r>
          </w:p>
        </w:tc>
      </w:tr>
    </w:tbl>
    <w:p>
      <w:pPr>
        <w:pStyle w:val="npara"/>
      </w:pPr>
      <w:r>
        <w:rPr>
          <w:rStyle w:val="unHeaderStyle"/>
        </w:rPr>
        <w:t xml:space="preserve">General comments:</w:t>
      </w:r>
    </w:p>
    <w:p>
      <w:pPr>
        <w:pStyle w:val="npara"/>
      </w:pPr>
      <w:r>
        <w:rPr>
          <w:rStyle w:val="undpStyle"/>
        </w:rPr>
        <w:t xml:space="preserve">Strategic decision to explore the involvement of NA in Imja Lake lowering construction work as Plan B is a wise step towards building the technical capacity of National Institution. The lessons learnt by NA from Imja Lake lowering mitigation measures will have a profound impact on the capacity of NA and GoN in addressing GLOF risk reduction measures across the country. There are altogether 21 such lakes that warrant immediate attention.</w:t>
      </w:r>
    </w:p>
    <w:p/>
    <w:p>
      <w:pPr>
        <w:pStyle w:val="Heading1"/>
      </w:pPr>
      <w:r>
        <w:fldChar w:fldCharType="end"/>
      </w:r>
      <w:bookmarkStart w:id="8" w:name="_Toc252634163"/>
      <w:r>
        <w:t>I.    Environmental and Social Grievances</w:t>
      </w:r>
      <w:bookmarkEnd w:id="8"/>
    </w:p>
    <w:tbl>
      <w:tblPr>
        <w:tblStyle w:val="myOwnTableStyle"/>
      </w:tblPr>
      <w:tr>
        <w:tc>
          <w:tcPr>
            <w:tcW w:w="3000" w:type="dxa"/>
            <w:shd w:val="clear" w:color="auto" w:fill="#D9D9D9"/>
          </w:tcPr>
          <w:p>
            <w:r>
              <w:rPr>
                <w:rFonts w:ascii="Calibri" w:hAnsi="Calibri" w:cs="Calibri"/>
              </w:rPr>
              <w:t xml:space="preserve">Related environmental or social issue</w:t>
            </w:r>
          </w:p>
        </w:tc>
        <w:tc>
          <w:tcPr>
            <w:tcW w:w="8000" w:type="dxa"/>
          </w:tcPr>
          <w:p>
            <w:r>
              <w:t xml:space="preserve">Other</w:t>
            </w:r>
          </w:p>
        </w:tc>
      </w:tr>
      <w:tr>
        <w:tc>
          <w:tcPr>
            <w:tcW w:w="3000" w:type="dxa"/>
            <w:shd w:val="clear" w:color="auto" w:fill="#D9D9D9"/>
          </w:tcPr>
          <w:p>
            <w:r>
              <w:rPr>
                <w:rFonts w:ascii="Calibri" w:hAnsi="Calibri" w:cs="Calibri"/>
              </w:rPr>
              <w:t xml:space="preserve">Status</w:t>
            </w:r>
          </w:p>
        </w:tc>
        <w:tc>
          <w:tcPr>
            <w:tcW w:w="8000" w:type="dxa"/>
          </w:tcPr>
          <w:p>
            <w:r>
              <w:t xml:space="preserve">Both</w:t>
            </w:r>
          </w:p>
        </w:tc>
      </w:tr>
      <w:tr>
        <w:tc>
          <w:tcPr>
            <w:tcW w:w="3000" w:type="dxa"/>
            <w:shd w:val="clear" w:color="auto" w:fill="#D9D9D9"/>
          </w:tcPr>
          <w:p>
            <w:r>
              <w:rPr>
                <w:rFonts w:ascii="Calibri" w:hAnsi="Calibri" w:cs="Calibri"/>
              </w:rPr>
              <w:t xml:space="preserve">Significance</w:t>
            </w:r>
          </w:p>
        </w:tc>
        <w:tc>
          <w:tcPr>
            <w:tcW w:w="8000" w:type="dxa"/>
          </w:tcPr>
          <w:p>
            <w:r>
              <w:t xml:space="preserve">Minor</w:t>
            </w:r>
          </w:p>
        </w:tc>
      </w:tr>
      <w:tr>
        <w:tc>
          <w:tcPr>
            <w:tcW w:w="3000" w:type="dxa"/>
            <w:shd w:val="clear" w:color="auto" w:fill="#D9D9D9"/>
          </w:tcPr>
          <w:p>
            <w:r>
              <w:rPr>
                <w:rFonts w:ascii="Calibri" w:hAnsi="Calibri" w:cs="Calibri"/>
              </w:rPr>
              <w:t xml:space="preserve">Detailed description</w:t>
            </w:r>
          </w:p>
        </w:tc>
        <w:tc>
          <w:tcPr>
            <w:tcW w:w="8000" w:type="dxa"/>
          </w:tcPr>
          <w:p>
            <w:r>
              <w:t xml:space="preserve">Due to non - availability of local staff under component 1, the project faced difficulties in coordination and communication with Sagarmantha National Park (SNP) stakeholders. Realizing this and with the concurrence of PEB members, a local Social Mobilizer (SM) was hired from June-December 2015. This temporary arrangement was helpful in implementing the planned activities in 2015. The project learnt that presence of social mobilizer was essential for the smooth implementation of activities, and also to keep the communities actively engaged in project interventions thereby building trust, better communications and understanding towards the project. However, the incumbent SM decided not to continue with the job hence there has been a void since then. The MTR also reflected the need to improve coordination among the community stakeholders in the Khumbu region and hence suggested for immediate attention. The project team plans to hire a new SM for the remaining period subject to availability of funds or assign project staff with additional responsibilities to smoothen coordination in that region.</w:t>
            </w:r>
          </w:p>
        </w:tc>
      </w:tr>
    </w:tbl>
    <w:p/>
    <w:p/>
    <w:p>
      <w:pPr>
        <w:pStyle w:val="Heading1"/>
      </w:pPr>
      <w:r>
        <w:fldChar w:fldCharType="end"/>
      </w:r>
      <w:bookmarkStart w:id="9" w:name="_Toc252634164"/>
      <w:r>
        <w:t>J.  	 Communicating Impact </w:t>
      </w:r>
      <w:bookmarkEnd w:id="9"/>
    </w:p>
    <w:tbl>
      <w:tblPr>
        <w:tblStyle w:val="myOwnTableStyle"/>
      </w:tblPr>
      <w:tr>
        <w:tc>
          <w:tcPr>
            <w:tcW w:w="11000" w:type="dxa"/>
            <w:shd w:val="clear" w:color="auto" w:fill="#D9D9D9"/>
          </w:tcPr>
          <w:p>
            <w:r>
              <w:rPr>
                <w:rFonts w:ascii="Calibri" w:hAnsi="Calibri" w:cs="Calibri"/>
              </w:rPr>
              <w:t xml:space="preserve">Tell us the story of the project focusing on how the project has helped to improve peoples lives.</w:t>
            </w:r>
          </w:p>
        </w:tc>
      </w:tr>
      <w:tr>
        <w:tc>
          <w:tcPr>
            <w:tcW w:w="11000" w:type="dxa"/>
          </w:tcPr>
          <w:p>
            <w:r>
              <w:t xml:space="preserve">Under Component II 
Dhati Tole in Hadiya VDC, Udayapur district is located alongside the Hadiya River, was most vulnerable settlement in the VDC due to recurrent floods. About 300 families reside in the Dhati tole and majority of them are indigenous people, mostly Chaudhary and Mushahar.  Flash floods from Hadiya River has imposed very high risk to the settlement and about 5 hectares of farmlands. Most of these families depend on agriculture for their livelihood. 
Chandra Giri, resident of Dhati Tole says-ââlife was miserable then. Monsoon was like a curse. During one monsoon night, while sleeping, I heard a strange noise. When I got up, I saw flood entering into my house. I was very frightened but not shattered. I carried my daughter and ran out of the house towards drier placeâ.  This was the situation of almost all vulnerable communities in Dhati tole. Although monsoon season is very important to farmers for agricultural production, particularly paddy production, it is always difficult for them to cope with the floods triggered generally in every monsoon. 
Since 2014, CFGORRP started working in Dhati tole from Hadiya VDC for saving lives and properties of vulnerable people from the flood risk. The embankment construction in this area was initiated under close consultation with vulnerable communities and local line agencies. A total of about 500 meter stretch of embankment along with gabion revetment and bioengineering measures was constructed during last reporting period. Now, with this establishment, the flood did during the monsoon didnât enter their village and communities felt safe and could sleep well in nights. 
Chandra adds, âwith the construction of strengthened embankment, we feel very safe now. We, the villagers, are thankful to the projectââ.
Balaram Basnet, a hotel entrepreneur, narrates, ââI run a small hotel for my livelihood. Two years ago on a monsoon night when I was about to sleep, suddenly the flood entered into my room and everything was floating over the water. It washed my hotel away, leaving me completely helpless.  But after the completion of sediment control measures, I have rebuilt my house at the same location and now I feel safeâ. He adds, âOur lands were valueless compared to the rate in other settlements of Hadiya VDC. Nowadays, the land price has shot up and intensity of transaction has also increased. Cost of land in Dhati tole was mere NRs. 625,000 per hectare before and has now reached to more than 6,250,000 with an increment of 10 times. â Santa Devi Dahal, local female resident, says, âflood and monsoon were like a curse. Children were not able to go school during monsoon. Flood used to enter into house and inundate everything. But now, we feel safe and happy due to construction of embankment. Project also supports to raise awareness on FRM through trainings, mock drills and street drama events. The disaster risk management committees and Taskforces have been formed, capacitated and mobilized. We hope, with these systems in place, flood vulnerability of Dhati tole has been reducedâ.</w:t>
            </w:r>
          </w:p>
        </w:tc>
      </w:tr>
      <w:tr>
        <w:tc>
          <w:tcPr>
            <w:tcW w:w="11000" w:type="dxa"/>
            <w:shd w:val="clear" w:color="auto" w:fill="#D9D9D9"/>
          </w:tcPr>
          <w:p>
            <w:r>
              <w:rPr>
                <w:rFonts w:ascii="Calibri" w:hAnsi="Calibri" w:cs="Calibri"/>
              </w:rPr>
              <w:t xml:space="preserve">What is the most significant change that has resulted from the project this reporting period?</w:t>
            </w:r>
          </w:p>
        </w:tc>
      </w:tr>
      <w:tr>
        <w:tc>
          <w:tcPr>
            <w:tcW w:w="11000" w:type="dxa"/>
          </w:tcPr>
          <w:p>
            <w:r>
              <w:t xml:space="preserve">Under Component I
Project during this reporting period has contributed for institutionalizing knowledge and skills of GLOF risk management among vulnerable community people residing in the high risk settlements along 50 Km downstream of Imja Dudh Koshi River corridor. Community level activities such as mock drill events; distribution of Information, Education and Communication (IEC) materials; regular airing of radio programs and Public Service Announcements (PSAs) by local FM stations; mobilization of Local Resource Persons (LRPs) and taskforce members, in high-risk settlements has contributed to increase awareness level of vulnerable communities on GLOF risk management and importance of preparedness for reducing loss of human lives. 
Local institutions that have been formed, capacitated and mobilized by the project like Taskforces and LRPs, are expected to be active during any GLOF event to disseminate early warning messages, and to perform effective search and rescue operations and provide first aid services to vulnerable communities. 
Project expects that with completion of lake lowering mitigation works and operationalization of automated GLOF early warning system, potential risks from Imja GLOF in the Khumbu region will be reduced. This will also strengthen the institutional capacity of the DHM as DHM will be operating a GLOF Risk Monitoring System and will develop mechanism in place to communicate GLOF risk warnings to the national level agencies. This is expected to further support for effective and efficient rescue and relief operation from the central agencies, thus minimizing human casualties and losses. 
Under Component II
With the installation and operationalization of Community Based Flood Early Warning Systems (CB-FEWS) at 3 strategic locations along Ratu River in Mahottari, project aims to benefit vulnerable communities living along the targeted flood areas. 
CBFEWS is a semi-automated system which generates flood warning signals; and flood related data and information are manually disseminated by means of telecommunication, hand operated sirens and megaphones. Operationalizing these systems will link upstream and downstream communities by sharing real time flood related information. The system is found to be effective because of itâs simple, low cost and low tech semi-automated design. This is expected to improve preparedness, and lessen the impact of flash and catastrophic floods in the project areas thus reducing vulnerability. 
Indal Mahato, a local resident of Sarpallo-7, Mahottari, explains how the vulnerable people were living with the flood risk during monsoon before. âPeople used to get in a ready position to run away with families due to recurrent flooding events from Jangha and Akushi river, tributaries of Ratu. In past, for entire monsoon, the residents of these villages shared that they could not sleep and we used to wake up during nights. Now, these residents can easily obtain flood related information in advance from our early warning systems installed along the Ratu River. This system provides sufficient lead time of about 2.5 hours for necessary precautions to minimize potential flood impactsâ.  
After the CBFEWS in upstream notifies about potential flood, the focal person i.e. gauge reader has to communicate to the respective focal persons in downstream. The focal persons in downstream then have to coordinate with local frontline institutions like disaster management committees and taskforces. Then, the institutions further communicate to vulnerable communities by using hand mikes, manual sirens and mobile phones about flood early warnings. This will help communities to be aware of potential flood and prepare accordingly for reducing human and material losses. 
Besides, project constructed about 1.3 km long embankment, six elevated tube wells and safe evacuation center in Sarpallo to reduce flood risk and increase preparedness.</w:t>
            </w:r>
          </w:p>
        </w:tc>
      </w:tr>
      <w:tr>
        <w:tc>
          <w:tcPr>
            <w:tcW w:w="11000" w:type="dxa"/>
            <w:shd w:val="clear" w:color="auto" w:fill="#D9D9D9"/>
          </w:tcPr>
          <w:p>
            <w:r>
              <w:rPr>
                <w:rFonts w:ascii="Calibri" w:hAnsi="Calibri" w:cs="Calibri"/>
              </w:rPr>
              <w:t xml:space="preserve">Describe how the project supported South-South Cooperation and Triangular Cooperation efforts in the reporting year.</w:t>
            </w:r>
          </w:p>
        </w:tc>
      </w:tr>
      <w:tr>
        <w:tc>
          <w:tcPr>
            <w:tcW w:w="11000" w:type="dxa"/>
          </w:tcPr>
          <w:p>
            <w:r>
              <w:t xml:space="preserve">National Project Manager (NPM) from CFGORRP and Climate Change Program Analyst (CCPA), UNDP Nepal, attended the Regional Planning meeting among LDCF/Special Climate Change Fund (SCCF) partners during the last reporting period. At that meeting, Bhutan and Pakistan shared their experiences on implementation challenges, technical knowledge base and human resources, including steps and process followed for procurement for implementing GLOF mitigation Projects.  Bhutan shared their experience of having a contractor that was unable to perform the stipulated work, and eventually the Royal Bhutan Army was mobilized to complete the mitigation works. Hence, with the learning from Bhutan GEF project, after the unresponsive bidding process for lake lowering works, Nepal also explored the feasibility of engaging Nepal Army in Lake lowering works. Eventually, the Imja Lake lowering works has been contracted to the Nepal Army upon the signing of Letter of Agreement (LoA). Imja Lake lowering work has been initiated since May, 2016. CFGORRP National Program Manager (NPM) and Climate Change Program Analyst (CCPA) participated in the âInternational GLOF Conference on Learning and the Way Forwardâ held in Islamabad, Pakistan from 11-12 October, 2015. Pakistan GLOF Project has undertaken non-structural mitigation approach as part of GLOF risk mitigation measures. CCPA and NPM respectively shared UNDP COâs experience on climate risk management and disaster risk reduction and âReducing Risks and Vulnerabilities from Imja Glacial Lake Outburst Floodâ during the conference. Pakistan GLOF project has already accessed Green Climate Fund (GCF) for a follow-up GLOF mitigation project. Discussion and sharing of the salient features of the new project and GCF process was also accomplished during the conclave.</w:t>
            </w:r>
          </w:p>
        </w:tc>
      </w:tr>
    </w:tbl>
    <w:p/>
    <w:p>
      <w:r>
        <w:t xml:space="preserve">General Comments</w:t>
      </w:r>
    </w:p>
    <w:p>
      <w:pPr>
        <w:pStyle w:val="npara"/>
      </w:pPr>
      <w:r>
        <w:rPr>
          <w:rStyle w:val="undpStyle"/>
        </w:rPr>
        <w:t xml:space="preserve">As prioritized by the National Adaptation Programme of Action (NAPA), Project aims to reduce risk from recurrent flooding events in the Churia and Terai regions and Glacial Lake Outburst Flood (GLOF) in Solukhumbu district. </w:t>
      </w:r>
    </w:p>
    <w:p>
      <w:pPr>
        <w:pStyle w:val="npara"/>
      </w:pPr>
      <w:r>
        <w:rPr>
          <w:rStyle w:val="undpStyle"/>
        </w:rPr>
        <w:t xml:space="preserve">
</w:t>
      </w:r>
    </w:p>
    <w:p>
      <w:pPr>
        <w:pStyle w:val="npara"/>
      </w:pPr>
      <w:r>
        <w:rPr>
          <w:rStyle w:val="undpStyle"/>
        </w:rPr>
        <w:t xml:space="preserve">
Under Component I, with the initiation of Imja Lake lowering construction works and installation and operationalization of automated GLOF early warning system, project will contribute towards reducing GLOF risk in the most vulnerable settlements along 50 km downstream of Imja Dudh Koshi River Corridor. Well-equipped, capacitated and functional Taskforces and LRPs are expected to better respond in the event of GLOF disaster. Strengthening of 15 safe evacuations centers with sanitation and drinking water facilities will provide safe shelter to vulnerable communities during disaster. Besides, awareness raising activities have increased the awareness level of local communities about GLOR risk management including coping strategy among locals. </w:t>
      </w:r>
    </w:p>
    <w:p>
      <w:pPr>
        <w:pStyle w:val="npara"/>
      </w:pPr>
      <w:r>
        <w:rPr>
          <w:rStyle w:val="undpStyle"/>
        </w:rPr>
        <w:t xml:space="preserve">
</w:t>
      </w:r>
    </w:p>
    <w:p>
      <w:pPr>
        <w:pStyle w:val="npara"/>
      </w:pPr>
      <w:r>
        <w:rPr>
          <w:rStyle w:val="undpStyle"/>
        </w:rPr>
        <w:t xml:space="preserve">
Under Component II, with the construction of 6.9 km embankment structures with gabion revetment and bioengineering works, project has been able to reduce the flood risk in the targeted rivers.  Construction of three evacuation shelter in the targeted three VDCs will provide safe shelter to the vulnerable communities during flood and inundation. </w:t>
      </w:r>
    </w:p>
    <w:p>
      <w:pPr>
        <w:pStyle w:val="npara"/>
      </w:pPr>
      <w:r>
        <w:rPr>
          <w:rStyle w:val="undpStyle"/>
        </w:rPr>
        <w:t xml:space="preserve">
</w:t>
      </w:r>
    </w:p>
    <w:p>
      <w:pPr>
        <w:pStyle w:val="npara"/>
      </w:pPr>
      <w:r>
        <w:rPr>
          <w:rStyle w:val="undpStyle"/>
        </w:rPr>
        <w:t xml:space="preserve">
Intermediate impacts of the project interventions could be gradually seen in the project areas during next reporting period.</w:t>
      </w:r>
    </w:p>
    <w:p/>
    <w:p>
      <w:pPr>
        <w:pStyle w:val="Heading1"/>
      </w:pPr>
      <w:r>
        <w:fldChar w:fldCharType="end"/>
      </w:r>
      <w:bookmarkStart w:id="10" w:name="_Toc252634165"/>
      <w:r>
        <w:t>K.    Partnerships</w:t>
      </w:r>
      <w:bookmarkEnd w:id="10"/>
    </w:p>
    <w:tbl>
      <w:tblPr>
        <w:tblStyle w:val="myOwnTableStyle"/>
      </w:tblPr>
      <w:tr>
        <w:tc>
          <w:tcPr>
            <w:tcW w:w="2000" w:type="dxa"/>
            <w:shd w:val="clear" w:color="auto" w:fill="#D9D9D9"/>
          </w:tcPr>
          <w:p>
            <w:r>
              <w:rPr>
                <w:rFonts w:ascii="Calibri" w:hAnsi="Calibri" w:cs="Calibri"/>
              </w:rPr>
              <w:t xml:space="preserve">Partners</w:t>
            </w:r>
          </w:p>
        </w:tc>
        <w:tc>
          <w:tcPr>
            <w:tcW w:w="10000" w:type="dxa"/>
            <w:shd w:val="clear" w:color="auto" w:fill="#D9D9D9"/>
          </w:tcPr>
          <w:p>
            <w:r>
              <w:rPr>
                <w:rFonts w:ascii="Calibri" w:hAnsi="Calibri" w:cs="Calibri"/>
              </w:rPr>
              <w:t xml:space="preserve">Innovation and Work with Partners</w:t>
            </w:r>
          </w:p>
        </w:tc>
      </w:tr>
      <w:tr>
        <w:tc>
          <w:tcPr>
            <w:tcW w:w="2000" w:type="dxa"/>
            <w:shd w:val="clear" w:color="auto" w:fill="#D9D9D9"/>
          </w:tcPr>
          <w:p>
            <w:r>
              <w:rPr>
                <w:rFonts w:ascii="Calibri" w:hAnsi="Calibri" w:cs="Calibri"/>
              </w:rPr>
              <w:t xml:space="preserve">Civil Society Organisations/NGOs</w:t>
            </w:r>
          </w:p>
        </w:tc>
        <w:tc>
          <w:tcPr>
            <w:tcW w:w="10000" w:type="dxa"/>
          </w:tcPr>
          <w:p>
            <w:r>
              <w:t xml:space="preserve">For Component I: 
ï§	Project partnered with local monasteries and schools in Khumbu region to explore the potential of developing monasteries and schools as safe evacuation center. As a result, 4 monasteries and 6 schools have been designated and strengthened as evacuation centers.
ï§	Project has partnered with Sagarmatha National Park (SNP) and reformulated its Management plan. Imja Lake lowering activity has been embedded in a Management Plan. Park warden was fully responsible in reformulating the SNP Management Plan which was later approved by Department of National Park and Wildlife Conservation (DNPWC). Project provided financial support for undertaking the task. 
Regular communication and consultation with SNP staff and Buffer Zone Management Council is being made. Sharing of project plan and activities prior to the implementation is also being practiced. 
ï§	Project has sought the advice and guidance with Sagarmatha Pollution Control Committee (SPCC) for managing garbage and solid waste produced by workforce at Imja Lake lowering construction site. SPCC Guidelines are being followed for managing garbage and solid waste in and around Imja Lake.</w:t>
            </w:r>
          </w:p>
        </w:tc>
      </w:tr>
      <w:tr>
        <w:tc>
          <w:tcPr>
            <w:tcW w:w="2000" w:type="dxa"/>
            <w:shd w:val="clear" w:color="auto" w:fill="#D9D9D9"/>
          </w:tcPr>
          <w:p>
            <w:r>
              <w:rPr>
                <w:rFonts w:ascii="Calibri" w:hAnsi="Calibri" w:cs="Calibri"/>
              </w:rPr>
              <w:t xml:space="preserve">Indigenous Peoples</w:t>
            </w:r>
          </w:p>
        </w:tc>
        <w:tc>
          <w:tcPr>
            <w:tcW w:w="10000" w:type="dxa"/>
          </w:tcPr>
          <w:p>
            <w:r>
              <w:t xml:space="preserve">For Component I: 
ï§	Sherpa, the local inhabitants of the Khumbu region have been involved in the community level activities undertaken by project. Local people have been regularly visiting the lake lowering site to enquire about the work progress. As Imja is highly revered by Sherpa communities, a religious ceremony was done as per the local tradition prior to undertaking the lake lowering works.  This is to ensure that project respects the cultural and religious values of indigenous communities.  
ï§	With an aim to provide short term employment opportunities for the local inhabitants, project has given priority for involving local communities in the construction related works.  Hence, local workers from the vicinity of Imja Lake have been mobilized by Nepal Army as a workforce. 
For Component II: 
Chaudhary and Mushahar communities in Udayapur, and other marginalized people in rest of three districts have been given priority for any activity related to awareness or capacity building initiative in areas of flood risk management.</w:t>
            </w:r>
          </w:p>
        </w:tc>
      </w:tr>
      <w:tr>
        <w:tc>
          <w:tcPr>
            <w:tcW w:w="5500" w:type="dxa"/>
            <w:shd w:val="clear" w:color="auto" w:fill="#D9D9D9"/>
          </w:tcPr>
          <w:p>
            <w:r>
              <w:rPr>
                <w:rFonts w:ascii="Calibri" w:hAnsi="Calibri" w:cs="Calibri"/>
              </w:rPr>
              <w:t xml:space="preserve">Private Sector</w:t>
            </w:r>
          </w:p>
        </w:tc>
        <w:tc>
          <w:tcPr>
            <w:tcW w:w="5500" w:type="dxa"/>
          </w:tcPr>
          <w:p>
            <w:r>
              <w:t xml:space="preserve">Partnership with Nepal Telecom has been established for operating VSAT in the Imja Lake periphery. This will help to operationalize the automated GLOF early warning system.
Partnership at local level with eight most popular FM radio stations were established to air awareness raising programs and public service announcement.</w:t>
            </w:r>
          </w:p>
        </w:tc>
      </w:tr>
      <w:tr>
        <w:tc>
          <w:tcPr>
            <w:tcW w:w="5500" w:type="dxa"/>
            <w:shd w:val="clear" w:color="auto" w:fill="#D9D9D9"/>
          </w:tcPr>
          <w:p>
            <w:r>
              <w:rPr>
                <w:rFonts w:ascii="Calibri" w:hAnsi="Calibri" w:cs="Calibri"/>
              </w:rPr>
              <w:t xml:space="preserve">GEF Small Grants Programme</w:t>
            </w:r>
          </w:p>
        </w:tc>
        <w:tc>
          <w:tcPr>
            <w:tcW w:w="5500" w:type="dxa"/>
          </w:tcPr>
          <w:p>
            <w:r>
              <w:t xml:space="preserve"/>
            </w:r>
          </w:p>
        </w:tc>
      </w:tr>
      <w:tr>
        <w:tc>
          <w:tcPr>
            <w:tcW w:w="5500" w:type="dxa"/>
            <w:shd w:val="clear" w:color="auto" w:fill="#D9D9D9"/>
          </w:tcPr>
          <w:p>
            <w:r>
              <w:rPr>
                <w:rFonts w:ascii="Calibri" w:hAnsi="Calibri" w:cs="Calibri"/>
              </w:rPr>
              <w:t xml:space="preserve">Other Partners</w:t>
            </w:r>
          </w:p>
        </w:tc>
        <w:tc>
          <w:tcPr>
            <w:tcW w:w="5500" w:type="dxa"/>
          </w:tcPr>
          <w:p>
            <w:r>
              <w:t xml:space="preserve">For Component II
â¢	Pilot testing of Community Based Flood Early Warning System (CBFEWS) in Ratu river basin has been made by project in partnership with International Centre for Integrated Mountain Development (ICIMOD). For this, a Letter of Intent (LoI) has been signed. With technical support from ICIMOD, project has installed and operationalized three CBFEWSs at three different sites along the Ratu River.  ICIMOD provided necessary skills and training to focal points on operation and maintenance of these systems. With this system in place, CBEWS has become effective and robust in dealing with flood risk management.</w:t>
            </w:r>
          </w:p>
        </w:tc>
      </w:tr>
    </w:tbl>
    <w:p/>
    <w:p>
      <w:r>
        <w:t xml:space="preserve">General Comments</w:t>
      </w:r>
    </w:p>
    <w:p>
      <w:pPr>
        <w:pStyle w:val="npara"/>
      </w:pPr>
      <w:r>
        <w:rPr>
          <w:rStyle w:val="undpStyle"/>
        </w:rPr>
        <w:t xml:space="preserve">Project seeks to build partnership with the community people, local institutions, community based organizations, VDCs and district level line agencies wherever possible towards institutionalization and sustainability of project interventions. Project intends to intensify such efforts with like-minded institutions towards generating synergy in geographically overlapping areas to generate a greater impact.</w:t>
      </w:r>
    </w:p>
    <w:p/>
    <w:p>
      <w:pPr>
        <w:pStyle w:val="Heading1"/>
      </w:pPr>
      <w:r>
        <w:fldChar w:fldCharType="end"/>
      </w:r>
      <w:bookmarkStart w:id="11" w:name="_Toc252634166"/>
      <w:r>
        <w:t>L.    Progress toward Gender Equality</w:t>
      </w:r>
      <w:bookmarkEnd w:id="11"/>
    </w:p>
    <w:tbl>
      <w:tblPr>
        <w:tblStyle w:val="myOwnTableStyle"/>
      </w:tblPr>
      <w:tr>
        <w:tc>
          <w:tcPr>
            <w:tcW w:w="1800" w:type="dxa"/>
            <w:shd w:val="clear" w:color="auto" w:fill="#D9D9D9"/>
          </w:tcPr>
          <w:p>
            <w:r>
              <w:rPr>
                <w:rFonts w:ascii="Calibri" w:hAnsi="Calibri" w:cs="Calibri"/>
              </w:rPr>
              <w:t xml:space="preserve">Has a gender or social assessment been carried out this reporting period?</w:t>
            </w:r>
          </w:p>
        </w:tc>
        <w:tc>
          <w:tcPr>
            <w:tcW w:w="9000" w:type="dxa"/>
          </w:tcPr>
          <w:p>
            <w:r>
              <w:rPr>
                <w:rFonts w:ascii="Calibri" w:hAnsi="Calibri" w:cs="Calibri"/>
              </w:rPr>
              <w:t xml:space="preserve">Yes</w:t>
            </w:r>
          </w:p>
        </w:tc>
      </w:tr>
      <w:tr>
        <w:tc>
          <w:tcPr>
            <w:tcW w:w="1800" w:type="dxa"/>
            <w:shd w:val="clear" w:color="auto" w:fill="#D9D9D9"/>
          </w:tcPr>
          <w:p>
            <w:r>
              <w:rPr>
                <w:rFonts w:ascii="Calibri" w:hAnsi="Calibri" w:cs="Calibri"/>
              </w:rPr>
              <w:t xml:space="preserve">If a gender or social assessment has been carried out what where the findings?</w:t>
            </w:r>
          </w:p>
        </w:tc>
        <w:tc>
          <w:tcPr>
            <w:tcW w:w="9000" w:type="dxa"/>
          </w:tcPr>
          <w:p>
            <w:r>
              <w:rPr>
                <w:rFonts w:ascii="Calibri" w:hAnsi="Calibri" w:cs="Calibri"/>
              </w:rPr>
              <w:t xml:space="preserve">Formats to document gender and inclusion disaggregated database has been developed and database has been updated accordingly to assess the participation of women and marginalized people in different activities at community level. From the participation in activities, women and marginalized people became aware on GLOF and flood risk reduction measures. Participation of women and socially excluded groups in these events is encouraging. Project expects that this database will be helpful to measure the gender empowerment, change and impacts in the community at the end of the project.     
Mid - term Review was carried out in April 2016 and has analyzed the participation of women and socially excluded and vulnerable groups in different activities in both components. Findings on gender inclusion in the project is appreciated and well explained in the MTR report. 
Project Gender Marker has been developed according to UN standard and CFGORRP has scored 2 which means the Project has substantially addressed the gender and socially excluded groups, vulnerable groups.</w:t>
            </w:r>
          </w:p>
        </w:tc>
      </w:tr>
      <w:tr>
        <w:tc>
          <w:tcPr>
            <w:tcW w:w="1800" w:type="dxa"/>
            <w:shd w:val="clear" w:color="auto" w:fill="#D9D9D9"/>
          </w:tcPr>
          <w:p>
            <w:r>
              <w:rPr>
                <w:rFonts w:ascii="Calibri" w:hAnsi="Calibri" w:cs="Calibri"/>
              </w:rPr>
              <w:t xml:space="preserve">Does this project specifically target woman or girls as direct beneficiaries?</w:t>
            </w:r>
          </w:p>
        </w:tc>
        <w:tc>
          <w:tcPr>
            <w:tcW w:w="9000" w:type="dxa"/>
          </w:tcPr>
          <w:p>
            <w:r>
              <w:rPr>
                <w:rFonts w:ascii="Calibri" w:hAnsi="Calibri" w:cs="Calibri"/>
              </w:rPr>
              <w:t xml:space="preserve">Yes</w:t>
            </w:r>
          </w:p>
        </w:tc>
      </w:tr>
      <w:tr>
        <w:tc>
          <w:tcPr>
            <w:tcW w:w="1800" w:type="dxa"/>
            <w:shd w:val="clear" w:color="auto" w:fill="#D9D9D9"/>
          </w:tcPr>
          <w:p>
            <w:r>
              <w:rPr>
                <w:rFonts w:ascii="Calibri" w:hAnsi="Calibri" w:cs="Calibri"/>
              </w:rPr>
              <w:t xml:space="preserve">Please specify results achieved this reporting period that focus on increasing gender equality and improving the empowerment of women.</w:t>
            </w:r>
          </w:p>
        </w:tc>
        <w:tc>
          <w:tcPr>
            <w:tcW w:w="9000" w:type="dxa"/>
          </w:tcPr>
          <w:p>
            <w:r>
              <w:rPr>
                <w:rFonts w:ascii="Calibri" w:hAnsi="Calibri" w:cs="Calibri"/>
              </w:rPr>
              <w:t xml:space="preserve">Project has developed Gender Strategy, which targets 33% - 50% participation and representation of women and socially excluded and vulnerable groups in project activities, institutions (Community based Disaster Management Committee-CDMC, Village Disaster Risk Management Committee-VDRMC, Taskforces etc.) and different decision making positions. Hence, project prioritized the participation and representation of women in its activities thereby creating a platform for decision making and has empowered women and marginalized people.  
Representation 
Project emphasizes on representation of women and marginalized people in different committees and Taskforces as an important aspect of their capacity building. 
A total of 8 VDRMCs and 35 CDMCs, consisting of 555 members, have been formed, capacitated and made operational under Component II. In these committees, about 38% of women hold key positions, such as chairperson, secretary and treasurer.  Similarly, a total of 90 Taskforces have been formed, trained and made operational under both components. Out of a total of 444 members, 38% are women, 41% belong to an ethnic community, 17% are Dalits and 16% belong to other marginalized castes. They have been trained, equipped and mobilized in the communities to work for flood/GLOF preparedness activities. 
Women members in these committees and Taskforces have been reported to be actively participating in the meetings and providing their inputs as per need. Project team also noticed that members could confidently share their experiences during the monitoring visits.  
Gender friendly structures                                                                                                                             
Gender friendly toilets i.e. separate toilets for men and women have been constructed in the safe evacuation centers under component I. This aims to improve womenâsâ access to sanitation facilities during emergencies. Vulnerable women in the high risk settlements in the Khumbu region appreciated this initiation.  Likewise, with the installation of two disabled friendly elevated tube wells under component II, project expects that disabled people living in vulnerable areas will have easy access to potable drinking water during flood and inundation.   
Participation 
A total of 2,482 vulnerable people were involved in 28 Mock Drill events. Out of which 43% were women, 18% Dalits and 23% Janjatis. Encouraging active participation and changes in level of awareness among women were noticed during these events. Likewise, 17 female members from the disaster risk management committees have learned about upstream-downstream linkages in flood risk management through 3 learning visits. Among 38 participants in these visits, 29% were Janjatis and 24% were Dalits. A total of 3,315 vulnerable people including 1,498 women have been benefited from the 10 street drama demonstrations made during June 2016. Out of total participants, 35% of them were children, 31% youth and 10% were elderly people. Thus, the awareness level of the most vulnerable segment of population i.e. women, children and elderly for reducing risks from flash flood has been enhanced from the street drama events. 
It has been reported that women trained on First Aid have started keeping First Aid box at home and using their skills to support their families and neighbors as per need.</w:t>
            </w:r>
          </w:p>
        </w:tc>
      </w:tr>
    </w:tbl>
    <w:p/>
    <w:p>
      <w:r>
        <w:t xml:space="preserve">General Comments</w:t>
      </w:r>
    </w:p>
    <w:p>
      <w:pPr>
        <w:pStyle w:val="npara"/>
      </w:pPr>
      <w:r>
        <w:rPr>
          <w:rStyle w:val="undpStyle"/>
        </w:rPr>
        <w:t xml:space="preserve">Women, girls, elderly people and children are considered as the most vulnerable groups while implementing flood risk reduction activities and thus targeted to directly benefit by the project activities. It is considered that these people have less access to information and less mobile than men members in community. Hence, project emphasized women to represent and hold decision making positions such as president, secretary or treasures in the disaster risk management committees formed at both VDC and community levels as well as Taskforces. As a result of continuous efforts, about 38% positions of these committees are held by women. These members were trained and capacitated through different trainings.</w:t>
      </w:r>
    </w:p>
    <w:p>
      <w:r>
        <w:br w:type="page"/>
      </w:r>
    </w:p>
    <w:p>
      <w:pPr>
        <w:pStyle w:val="Heading1"/>
      </w:pPr>
      <w:r>
        <w:fldChar w:fldCharType="end"/>
      </w:r>
      <w:bookmarkStart w:id="12" w:name="_Toc252634167"/>
      <w:r>
        <w:t>M.    Annex 1 - Ratings Definitions</w:t>
      </w:r>
      <w:bookmarkEnd w:id="12"/>
    </w:p>
    <w:p>
      <w:r>
        <w:rPr>
          <w:rFonts w:ascii="Calibri" w:hAnsi="Calibri" w:cs="Calibri"/>
          <w:sz w:val="22"/>
          <w:szCs w:val="22"/>
          <w:b/>
        </w:rPr>
        <w:t xml:space="preserve">Development Objective Progress Ratings Definitions</w:t>
      </w:r>
    </w:p>
    <w:p>
      <w:r>
        <w:rPr>
          <w:rFonts w:ascii="Calibri" w:hAnsi="Calibri" w:cs="Calibri"/>
          <w:i/>
          <w:iCs/>
        </w:rPr>
        <w:t xml:space="preserve">Highly Satisfactory (HS): </w:t>
      </w:r>
      <w:r>
        <w:rPr>
          <w:rFonts w:ascii="Calibri" w:hAnsi="Calibri" w:cs="Calibri"/>
        </w:rPr>
        <w:t xml:space="preserve"> Project is expected to achieve or exceed all its major global environmental objectives, and yield substantial global environmental benefits, without major shortcomings. The project can be presented as 'good practice'. </w:t>
      </w:r>
    </w:p>
    <w:p>
      <w:r>
        <w:rPr>
          <w:rFonts w:ascii="Calibri" w:hAnsi="Calibri" w:cs="Calibri"/>
          <w:i/>
          <w:iCs/>
        </w:rPr>
        <w:t xml:space="preserve">Satisfactory (S): </w:t>
      </w:r>
      <w:r>
        <w:rPr>
          <w:rFonts w:ascii="Calibri" w:hAnsi="Calibri" w:cs="Calibri"/>
        </w:rPr>
        <w:t xml:space="preserve">Project is expected to achieve most of its major global environmental objectives, and yield satisfactory global environmental benefits, with only minor shortcomings. </w:t>
      </w:r>
    </w:p>
    <w:p>
      <w:r>
        <w:rPr>
          <w:rFonts w:ascii="Calibri" w:hAnsi="Calibri" w:cs="Calibri"/>
          <w:i/>
          <w:iCs/>
        </w:rPr>
        <w:t xml:space="preserve">Moderately Satisfactory (MS): </w:t>
      </w:r>
      <w:r>
        <w:rPr>
          <w:rFonts w:ascii="Calibri" w:hAnsi="Calibri" w:cs="Calibri"/>
        </w:rPr>
        <w:t xml:space="preserve">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 </w:t>
      </w:r>
    </w:p>
    <w:p>
      <w:r>
        <w:rPr>
          <w:rFonts w:ascii="Calibri" w:hAnsi="Calibri" w:cs="Calibri"/>
          <w:i/>
          <w:iCs/>
        </w:rPr>
        <w:t xml:space="preserve">Moderately Unsatisfactory (MU): </w:t>
      </w:r>
      <w:r>
        <w:rPr>
          <w:rFonts w:ascii="Calibri" w:hAnsi="Calibri" w:cs="Calibri"/>
        </w:rPr>
        <w:t xml:space="preserve">Project is expected to achieve of its major global environmental objectives with major shortcomings or is expected to achieve only some of its major global environmental objectives. </w:t>
      </w:r>
    </w:p>
    <w:p>
      <w:r>
        <w:rPr>
          <w:rFonts w:ascii="Calibri" w:hAnsi="Calibri" w:cs="Calibri"/>
          <w:i/>
          <w:iCs/>
        </w:rPr>
        <w:t xml:space="preserve">Unsatisfactory (U): </w:t>
      </w:r>
      <w:r>
        <w:rPr>
          <w:rFonts w:ascii="Calibri" w:hAnsi="Calibri" w:cs="Calibri"/>
        </w:rPr>
        <w:t xml:space="preserve">Project is expected not to achieve most of its major global environment objectives or to yield any satisfactory global environmental benefits. </w:t>
      </w:r>
    </w:p>
    <w:p>
      <w:r>
        <w:rPr>
          <w:rFonts w:ascii="Calibri" w:hAnsi="Calibri" w:cs="Calibri"/>
          <w:i/>
          <w:iCs/>
        </w:rPr>
        <w:t xml:space="preserve">Highly Unsatisfactory (HU): </w:t>
      </w:r>
      <w:r>
        <w:rPr>
          <w:rFonts w:ascii="Calibri" w:hAnsi="Calibri" w:cs="Calibri"/>
        </w:rPr>
        <w:t xml:space="preserve">The project has failed to achieve, and is not expected to achieve, any of its major global environment objectives with no worthwhile benefits. </w:t>
      </w:r>
    </w:p>
    <w:p>
      <w:r>
        <w:rPr>
          <w:rFonts w:ascii="Calibri" w:hAnsi="Calibri" w:cs="Calibri"/>
          <w:sz w:val="22"/>
          <w:szCs w:val="22"/>
          <w:b/>
        </w:rPr>
        <w:t xml:space="preserve">Implementation Progress Ratings Definitions</w:t>
      </w:r>
    </w:p>
    <w:p>
      <w:r>
        <w:rPr>
          <w:rFonts w:ascii="Calibri" w:hAnsi="Calibri" w:cs="Calibri"/>
          <w:i/>
          <w:iCs/>
        </w:rPr>
        <w:t xml:space="preserve">Highly Satisfactory (HS): </w:t>
      </w:r>
      <w:r>
        <w:rPr>
          <w:rFonts w:ascii="Calibri" w:hAnsi="Calibri" w:cs="Calibri"/>
        </w:rPr>
        <w:t xml:space="preserve">Implementation of all components is in substantial compliance with the original/formally revised implementation plan for the project. The project can be presented as 'good practice'.</w:t>
      </w:r>
    </w:p>
    <w:p>
      <w:r>
        <w:rPr>
          <w:rFonts w:ascii="Calibri" w:hAnsi="Calibri" w:cs="Calibri"/>
          <w:i/>
          <w:iCs/>
        </w:rPr>
        <w:t xml:space="preserve">Satisfactory (S): </w:t>
      </w:r>
      <w:r>
        <w:rPr>
          <w:rFonts w:ascii="Calibri" w:hAnsi="Calibri" w:cs="Calibri"/>
        </w:rPr>
        <w:t xml:space="preserve">Implementation of most components is in substantial compliance with the original/formally revised plan except for only few that are subject to remedial action. </w:t>
      </w:r>
    </w:p>
    <w:p>
      <w:r>
        <w:rPr>
          <w:rFonts w:ascii="Calibri" w:hAnsi="Calibri" w:cs="Calibri"/>
          <w:i/>
          <w:iCs/>
        </w:rPr>
        <w:t xml:space="preserve">Moderately Satisfactory (MS): </w:t>
      </w:r>
      <w:r>
        <w:rPr>
          <w:rFonts w:ascii="Calibri" w:hAnsi="Calibri" w:cs="Calibri"/>
        </w:rPr>
        <w:t xml:space="preserve">Implementation of some components is in substantial compliance with the original/formally revised plan with some components requiring remedial action. </w:t>
      </w:r>
    </w:p>
    <w:p>
      <w:r>
        <w:rPr>
          <w:rFonts w:ascii="Calibri" w:hAnsi="Calibri" w:cs="Calibri"/>
          <w:i/>
          <w:iCs/>
        </w:rPr>
        <w:t xml:space="preserve">Moderately Unsatisfactory (MU): </w:t>
      </w:r>
      <w:r>
        <w:rPr>
          <w:rFonts w:ascii="Calibri" w:hAnsi="Calibri" w:cs="Calibri"/>
        </w:rPr>
        <w:t xml:space="preserve">Implementation of some components is not in substantial compliance with the original/formally revised plan with most components requiring remedial action. </w:t>
      </w:r>
    </w:p>
    <w:p>
      <w:r>
        <w:rPr>
          <w:rFonts w:ascii="Calibri" w:hAnsi="Calibri" w:cs="Calibri"/>
          <w:i/>
          <w:iCs/>
        </w:rPr>
        <w:t xml:space="preserve">Unsatisfactory (U): </w:t>
      </w:r>
      <w:r>
        <w:rPr>
          <w:rFonts w:ascii="Calibri" w:hAnsi="Calibri" w:cs="Calibri"/>
        </w:rPr>
        <w:t xml:space="preserve">Implementation of most components is not in substantial compliance with the original/formally revised plan. </w:t>
      </w:r>
    </w:p>
    <w:p>
      <w:r>
        <w:rPr>
          <w:rFonts w:ascii="Calibri" w:hAnsi="Calibri" w:cs="Calibri"/>
          <w:i/>
          <w:iCs/>
        </w:rPr>
        <w:t xml:space="preserve">Highly Unsatisfactory (HU): </w:t>
      </w:r>
      <w:r>
        <w:rPr>
          <w:rFonts w:ascii="Calibri" w:hAnsi="Calibri" w:cs="Calibri"/>
        </w:rPr>
        <w:t xml:space="preserve">Implementation of none of the components is in substantial compliance with the original/formally revised plan. </w:t>
      </w:r>
    </w:p>
    <w:sectPr>
      <w:pgSz w:w="11906" w:h="16838"/>
      <w:pgMar w:top="600" w:right="500" w:bottom="60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instrText xml:space="preserve"> DATE \@"MMMM d, yyyy" </w:instrText>
    </w:r>
    <w:r>
      <w:fldChar w:fldCharType="separate"/>
    </w:r>
    <w:r>
      <w:fldChar w:fldCharType="end"/>
    </w:r>
    <w:r>
      <w:t xml:space="preserve">               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unHeaderStyle"/>
    <w:rPr>
      <w:rFonts w:ascii="Calibri" w:hAnsi="Calibri" w:cs="Calibri"/>
      <w:sz w:val="28"/>
      <w:szCs w:val="28"/>
    </w:rPr>
  </w:style>
  <w:style w:type="character">
    <w:name w:val="undpStyle"/>
    <w:rPr>
      <w:rFonts w:ascii="Calibri" w:hAnsi="Calibri" w:cs="Calibri"/>
    </w:rPr>
  </w:style>
  <w:style w:type="character">
    <w:name w:val="undpStyleItalic"/>
    <w:rPr>
      <w:rFonts w:ascii="Calibri" w:hAnsi="Calibri" w:cs="Calibri"/>
      <w:i/>
      <w:iCs/>
    </w:rPr>
  </w:style>
  <w:style w:type="paragraph" w:styleId="Heading1">
    <w:link w:val="Heading1Char"/>
    <w:name w:val="heading 1"/>
    <w:pPr>
      <w:jc w:val="left"/>
      <w:spacing w:before="12" w:after="12" w:line="252" w:lineRule="auto"/>
    </w:pPr>
    <w:rPr>
      <w:rFonts w:ascii="Calibri" w:hAnsi="Calibri" w:cs="Calibri"/>
      <w:color w:val="#FFFFFF"/>
      <w:sz w:val="28"/>
      <w:szCs w:val="28"/>
      <w:highlight w:val="darkGray"/>
    </w:rPr>
  </w:style>
  <w:style w:type="character">
    <w:name w:val="rStyle"/>
    <w:rPr>
      <w:rFonts w:ascii="Calibri" w:hAnsi="Calibri" w:cs="Calibri"/>
    </w:rPr>
  </w:style>
  <w:style w:type="paragraph" w:customStyle="1" w:styleId="tpara">
    <w:name w:val="tpara"/>
    <w:pPr>
      <w:jc w:val="center"/>
      <w:spacing w:after="100"/>
    </w:pPr>
  </w:style>
  <w:style w:type="paragraph" w:customStyle="1" w:styleId="npara">
    <w:name w:val="npara"/>
    <w:pPr>
      <w:jc w:val="left"/>
      <w:spacing w:after="100"/>
    </w:pPr>
  </w:style>
  <w:style w:type="table" w:customStyle="1" w:styleId="myOwnTableStyle">
    <w:name w:val="myOwnTableStyle"/>
    <w:uiPriority w:val="99"/>
    <w:tblPr>
      <w:tblCellMar>
        <w:top w:w="20" w:type="dxa"/>
        <w:left w:w="20" w:type="dxa"/>
        <w:right w:w="20" w:type="dxa"/>
        <w:bottom w:w="20" w:type="dxa"/>
      </w:tblCellMar>
      <w:tblBorders>
        <w:top w:val="single" w:sz="5" w:color="000000"/>
        <w:left w:val="single" w:sz="5" w:color="000000"/>
        <w:right w:val="single" w:sz="5" w:color="000000"/>
        <w:bottom w:val="single" w:sz="5" w:color="000000"/>
        <w:insideH w:val="single" w:sz="5" w:color="000000"/>
        <w:insideV w:val="single" w:sz="5"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2016-10-06T01:42:47-07:00</dcterms:created>
  <dcterms:modified xsi:type="dcterms:W3CDTF">2016-10-06T01:42:47-07:00</dcterms:modified>
  <dc:title/>
  <dc:description/>
  <dc:subject/>
  <cp:keywords/>
  <cp:category/>
</cp:coreProperties>
</file>